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D59B4" w14:textId="77777777" w:rsidR="00A75E40" w:rsidRPr="009110F7" w:rsidRDefault="00BF4329" w:rsidP="00E67696">
      <w:pPr>
        <w:rPr>
          <w:lang w:eastAsia="ar-SA"/>
        </w:rPr>
        <w:sectPr w:rsidR="00A75E40" w:rsidRPr="009110F7" w:rsidSect="0085114D">
          <w:pgSz w:w="11906" w:h="16838" w:code="9"/>
          <w:pgMar w:top="1134" w:right="1134" w:bottom="1418" w:left="1134" w:header="709" w:footer="709" w:gutter="0"/>
          <w:pgNumType w:start="1"/>
          <w:cols w:space="708"/>
          <w:docGrid w:linePitch="360"/>
        </w:sectPr>
      </w:pPr>
      <w:r>
        <w:rPr>
          <w:noProof/>
        </w:rPr>
        <mc:AlternateContent>
          <mc:Choice Requires="wpg">
            <w:drawing>
              <wp:anchor distT="0" distB="0" distL="114300" distR="114300" simplePos="0" relativeHeight="251657728" behindDoc="0" locked="1" layoutInCell="1" allowOverlap="1" wp14:anchorId="153790F7" wp14:editId="0FC115F8">
                <wp:simplePos x="0" y="0"/>
                <wp:positionH relativeFrom="page">
                  <wp:posOffset>571500</wp:posOffset>
                </wp:positionH>
                <wp:positionV relativeFrom="page">
                  <wp:posOffset>466725</wp:posOffset>
                </wp:positionV>
                <wp:extent cx="2249805" cy="554355"/>
                <wp:effectExtent l="0" t="0" r="0" b="0"/>
                <wp:wrapSquare wrapText="bothSides"/>
                <wp:docPr id="31" name="Group 2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249805" cy="554355"/>
                          <a:chOff x="567" y="851"/>
                          <a:chExt cx="2714" cy="667"/>
                        </a:xfrm>
                      </wpg:grpSpPr>
                      <wps:wsp>
                        <wps:cNvPr id="32" name="Rectangle 9"/>
                        <wps:cNvSpPr>
                          <a:spLocks noChangeAspect="1" noChangeArrowheads="1"/>
                        </wps:cNvSpPr>
                        <wps:spPr bwMode="auto">
                          <a:xfrm>
                            <a:off x="1215" y="901"/>
                            <a:ext cx="676" cy="154"/>
                          </a:xfrm>
                          <a:prstGeom prst="rect">
                            <a:avLst/>
                          </a:prstGeom>
                          <a:solidFill>
                            <a:srgbClr val="0071BC"/>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10"/>
                        <wps:cNvSpPr>
                          <a:spLocks noChangeAspect="1" noChangeArrowheads="1"/>
                        </wps:cNvSpPr>
                        <wps:spPr bwMode="auto">
                          <a:xfrm>
                            <a:off x="567" y="1131"/>
                            <a:ext cx="1324" cy="154"/>
                          </a:xfrm>
                          <a:prstGeom prst="rect">
                            <a:avLst/>
                          </a:prstGeom>
                          <a:solidFill>
                            <a:srgbClr val="0071BC"/>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11"/>
                        <wps:cNvSpPr>
                          <a:spLocks noChangeAspect="1" noChangeArrowheads="1"/>
                        </wps:cNvSpPr>
                        <wps:spPr bwMode="auto">
                          <a:xfrm>
                            <a:off x="1288" y="1361"/>
                            <a:ext cx="603" cy="153"/>
                          </a:xfrm>
                          <a:prstGeom prst="rect">
                            <a:avLst/>
                          </a:prstGeom>
                          <a:solidFill>
                            <a:srgbClr val="0071BC"/>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bodyPr rot="0" vert="horz" wrap="square" lIns="91440" tIns="45720" rIns="91440" bIns="45720" anchor="t" anchorCtr="0" upright="1">
                          <a:noAutofit/>
                        </wps:bodyPr>
                      </wps:wsp>
                      <wps:wsp>
                        <wps:cNvPr id="39" name="Freeform 12"/>
                        <wps:cNvSpPr>
                          <a:spLocks noChangeAspect="1" noEditPoints="1"/>
                        </wps:cNvSpPr>
                        <wps:spPr bwMode="auto">
                          <a:xfrm>
                            <a:off x="1969" y="1311"/>
                            <a:ext cx="600" cy="207"/>
                          </a:xfrm>
                          <a:custGeom>
                            <a:avLst/>
                            <a:gdLst>
                              <a:gd name="T0" fmla="*/ 520 w 1200"/>
                              <a:gd name="T1" fmla="*/ 84 h 415"/>
                              <a:gd name="T2" fmla="*/ 537 w 1200"/>
                              <a:gd name="T3" fmla="*/ 88 h 415"/>
                              <a:gd name="T4" fmla="*/ 550 w 1200"/>
                              <a:gd name="T5" fmla="*/ 100 h 415"/>
                              <a:gd name="T6" fmla="*/ 557 w 1200"/>
                              <a:gd name="T7" fmla="*/ 114 h 415"/>
                              <a:gd name="T8" fmla="*/ 559 w 1200"/>
                              <a:gd name="T9" fmla="*/ 131 h 415"/>
                              <a:gd name="T10" fmla="*/ 554 w 1200"/>
                              <a:gd name="T11" fmla="*/ 147 h 415"/>
                              <a:gd name="T12" fmla="*/ 544 w 1200"/>
                              <a:gd name="T13" fmla="*/ 160 h 415"/>
                              <a:gd name="T14" fmla="*/ 530 w 1200"/>
                              <a:gd name="T15" fmla="*/ 168 h 415"/>
                              <a:gd name="T16" fmla="*/ 506 w 1200"/>
                              <a:gd name="T17" fmla="*/ 170 h 415"/>
                              <a:gd name="T18" fmla="*/ 540 w 1200"/>
                              <a:gd name="T19" fmla="*/ 202 h 415"/>
                              <a:gd name="T20" fmla="*/ 567 w 1200"/>
                              <a:gd name="T21" fmla="*/ 190 h 415"/>
                              <a:gd name="T22" fmla="*/ 587 w 1200"/>
                              <a:gd name="T23" fmla="*/ 169 h 415"/>
                              <a:gd name="T24" fmla="*/ 599 w 1200"/>
                              <a:gd name="T25" fmla="*/ 142 h 415"/>
                              <a:gd name="T26" fmla="*/ 599 w 1200"/>
                              <a:gd name="T27" fmla="*/ 111 h 415"/>
                              <a:gd name="T28" fmla="*/ 587 w 1200"/>
                              <a:gd name="T29" fmla="*/ 84 h 415"/>
                              <a:gd name="T30" fmla="*/ 567 w 1200"/>
                              <a:gd name="T31" fmla="*/ 63 h 415"/>
                              <a:gd name="T32" fmla="*/ 540 w 1200"/>
                              <a:gd name="T33" fmla="*/ 51 h 415"/>
                              <a:gd name="T34" fmla="*/ 466 w 1200"/>
                              <a:gd name="T35" fmla="*/ 204 h 415"/>
                              <a:gd name="T36" fmla="*/ 388 w 1200"/>
                              <a:gd name="T37" fmla="*/ 146 h 415"/>
                              <a:gd name="T38" fmla="*/ 393 w 1200"/>
                              <a:gd name="T39" fmla="*/ 50 h 415"/>
                              <a:gd name="T40" fmla="*/ 343 w 1200"/>
                              <a:gd name="T41" fmla="*/ 177 h 415"/>
                              <a:gd name="T42" fmla="*/ 257 w 1200"/>
                              <a:gd name="T43" fmla="*/ 18 h 415"/>
                              <a:gd name="T44" fmla="*/ 174 w 1200"/>
                              <a:gd name="T45" fmla="*/ 18 h 415"/>
                              <a:gd name="T46" fmla="*/ 216 w 1200"/>
                              <a:gd name="T47" fmla="*/ 81 h 415"/>
                              <a:gd name="T48" fmla="*/ 231 w 1200"/>
                              <a:gd name="T49" fmla="*/ 88 h 415"/>
                              <a:gd name="T50" fmla="*/ 235 w 1200"/>
                              <a:gd name="T51" fmla="*/ 104 h 415"/>
                              <a:gd name="T52" fmla="*/ 225 w 1200"/>
                              <a:gd name="T53" fmla="*/ 116 h 415"/>
                              <a:gd name="T54" fmla="*/ 204 w 1200"/>
                              <a:gd name="T55" fmla="*/ 119 h 415"/>
                              <a:gd name="T56" fmla="*/ 258 w 1200"/>
                              <a:gd name="T57" fmla="*/ 135 h 415"/>
                              <a:gd name="T58" fmla="*/ 271 w 1200"/>
                              <a:gd name="T59" fmla="*/ 121 h 415"/>
                              <a:gd name="T60" fmla="*/ 276 w 1200"/>
                              <a:gd name="T61" fmla="*/ 102 h 415"/>
                              <a:gd name="T62" fmla="*/ 275 w 1200"/>
                              <a:gd name="T63" fmla="*/ 83 h 415"/>
                              <a:gd name="T64" fmla="*/ 266 w 1200"/>
                              <a:gd name="T65" fmla="*/ 67 h 415"/>
                              <a:gd name="T66" fmla="*/ 252 w 1200"/>
                              <a:gd name="T67" fmla="*/ 55 h 415"/>
                              <a:gd name="T68" fmla="*/ 232 w 1200"/>
                              <a:gd name="T69" fmla="*/ 50 h 415"/>
                              <a:gd name="T70" fmla="*/ 204 w 1200"/>
                              <a:gd name="T71" fmla="*/ 204 h 415"/>
                              <a:gd name="T72" fmla="*/ 243 w 1200"/>
                              <a:gd name="T73" fmla="*/ 141 h 415"/>
                              <a:gd name="T74" fmla="*/ 67 w 1200"/>
                              <a:gd name="T75" fmla="*/ 42 h 415"/>
                              <a:gd name="T76" fmla="*/ 0 w 1200"/>
                              <a:gd name="T77" fmla="*/ 139 h 415"/>
                              <a:gd name="T78" fmla="*/ 3 w 1200"/>
                              <a:gd name="T79" fmla="*/ 166 h 415"/>
                              <a:gd name="T80" fmla="*/ 12 w 1200"/>
                              <a:gd name="T81" fmla="*/ 184 h 415"/>
                              <a:gd name="T82" fmla="*/ 34 w 1200"/>
                              <a:gd name="T83" fmla="*/ 201 h 415"/>
                              <a:gd name="T84" fmla="*/ 67 w 1200"/>
                              <a:gd name="T85" fmla="*/ 207 h 415"/>
                              <a:gd name="T86" fmla="*/ 96 w 1200"/>
                              <a:gd name="T87" fmla="*/ 202 h 415"/>
                              <a:gd name="T88" fmla="*/ 119 w 1200"/>
                              <a:gd name="T89" fmla="*/ 186 h 415"/>
                              <a:gd name="T90" fmla="*/ 131 w 1200"/>
                              <a:gd name="T91" fmla="*/ 166 h 415"/>
                              <a:gd name="T92" fmla="*/ 134 w 1200"/>
                              <a:gd name="T93" fmla="*/ 139 h 415"/>
                              <a:gd name="T94" fmla="*/ 95 w 1200"/>
                              <a:gd name="T95" fmla="*/ 143 h 415"/>
                              <a:gd name="T96" fmla="*/ 89 w 1200"/>
                              <a:gd name="T97" fmla="*/ 163 h 415"/>
                              <a:gd name="T98" fmla="*/ 78 w 1200"/>
                              <a:gd name="T99" fmla="*/ 170 h 415"/>
                              <a:gd name="T100" fmla="*/ 63 w 1200"/>
                              <a:gd name="T101" fmla="*/ 172 h 415"/>
                              <a:gd name="T102" fmla="*/ 52 w 1200"/>
                              <a:gd name="T103" fmla="*/ 168 h 415"/>
                              <a:gd name="T104" fmla="*/ 42 w 1200"/>
                              <a:gd name="T105" fmla="*/ 156 h 415"/>
                              <a:gd name="T106" fmla="*/ 40 w 1200"/>
                              <a:gd name="T107" fmla="*/ 50 h 415"/>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1200" h="415">
                                <a:moveTo>
                                  <a:pt x="1011" y="341"/>
                                </a:moveTo>
                                <a:lnTo>
                                  <a:pt x="1011" y="167"/>
                                </a:lnTo>
                                <a:lnTo>
                                  <a:pt x="1030" y="167"/>
                                </a:lnTo>
                                <a:lnTo>
                                  <a:pt x="1040" y="169"/>
                                </a:lnTo>
                                <a:lnTo>
                                  <a:pt x="1049" y="170"/>
                                </a:lnTo>
                                <a:lnTo>
                                  <a:pt x="1059" y="171"/>
                                </a:lnTo>
                                <a:lnTo>
                                  <a:pt x="1067" y="174"/>
                                </a:lnTo>
                                <a:lnTo>
                                  <a:pt x="1074" y="177"/>
                                </a:lnTo>
                                <a:lnTo>
                                  <a:pt x="1082" y="182"/>
                                </a:lnTo>
                                <a:lnTo>
                                  <a:pt x="1088" y="187"/>
                                </a:lnTo>
                                <a:lnTo>
                                  <a:pt x="1094" y="194"/>
                                </a:lnTo>
                                <a:lnTo>
                                  <a:pt x="1099" y="200"/>
                                </a:lnTo>
                                <a:lnTo>
                                  <a:pt x="1104" y="206"/>
                                </a:lnTo>
                                <a:lnTo>
                                  <a:pt x="1108" y="213"/>
                                </a:lnTo>
                                <a:lnTo>
                                  <a:pt x="1112" y="221"/>
                                </a:lnTo>
                                <a:lnTo>
                                  <a:pt x="1114" y="228"/>
                                </a:lnTo>
                                <a:lnTo>
                                  <a:pt x="1116" y="237"/>
                                </a:lnTo>
                                <a:lnTo>
                                  <a:pt x="1117" y="245"/>
                                </a:lnTo>
                                <a:lnTo>
                                  <a:pt x="1117" y="253"/>
                                </a:lnTo>
                                <a:lnTo>
                                  <a:pt x="1117" y="262"/>
                                </a:lnTo>
                                <a:lnTo>
                                  <a:pt x="1116" y="271"/>
                                </a:lnTo>
                                <a:lnTo>
                                  <a:pt x="1114" y="278"/>
                                </a:lnTo>
                                <a:lnTo>
                                  <a:pt x="1112" y="287"/>
                                </a:lnTo>
                                <a:lnTo>
                                  <a:pt x="1108" y="294"/>
                                </a:lnTo>
                                <a:lnTo>
                                  <a:pt x="1104" y="301"/>
                                </a:lnTo>
                                <a:lnTo>
                                  <a:pt x="1099" y="308"/>
                                </a:lnTo>
                                <a:lnTo>
                                  <a:pt x="1094" y="314"/>
                                </a:lnTo>
                                <a:lnTo>
                                  <a:pt x="1088" y="321"/>
                                </a:lnTo>
                                <a:lnTo>
                                  <a:pt x="1082" y="326"/>
                                </a:lnTo>
                                <a:lnTo>
                                  <a:pt x="1074" y="331"/>
                                </a:lnTo>
                                <a:lnTo>
                                  <a:pt x="1067" y="334"/>
                                </a:lnTo>
                                <a:lnTo>
                                  <a:pt x="1059" y="337"/>
                                </a:lnTo>
                                <a:lnTo>
                                  <a:pt x="1049" y="338"/>
                                </a:lnTo>
                                <a:lnTo>
                                  <a:pt x="1040" y="339"/>
                                </a:lnTo>
                                <a:lnTo>
                                  <a:pt x="1030" y="341"/>
                                </a:lnTo>
                                <a:lnTo>
                                  <a:pt x="1011" y="341"/>
                                </a:lnTo>
                                <a:close/>
                                <a:moveTo>
                                  <a:pt x="931" y="408"/>
                                </a:moveTo>
                                <a:lnTo>
                                  <a:pt x="1049" y="408"/>
                                </a:lnTo>
                                <a:lnTo>
                                  <a:pt x="1064" y="407"/>
                                </a:lnTo>
                                <a:lnTo>
                                  <a:pt x="1079" y="404"/>
                                </a:lnTo>
                                <a:lnTo>
                                  <a:pt x="1093" y="400"/>
                                </a:lnTo>
                                <a:lnTo>
                                  <a:pt x="1107" y="395"/>
                                </a:lnTo>
                                <a:lnTo>
                                  <a:pt x="1121" y="389"/>
                                </a:lnTo>
                                <a:lnTo>
                                  <a:pt x="1133" y="380"/>
                                </a:lnTo>
                                <a:lnTo>
                                  <a:pt x="1144" y="372"/>
                                </a:lnTo>
                                <a:lnTo>
                                  <a:pt x="1155" y="362"/>
                                </a:lnTo>
                                <a:lnTo>
                                  <a:pt x="1165" y="351"/>
                                </a:lnTo>
                                <a:lnTo>
                                  <a:pt x="1174" y="339"/>
                                </a:lnTo>
                                <a:lnTo>
                                  <a:pt x="1182" y="326"/>
                                </a:lnTo>
                                <a:lnTo>
                                  <a:pt x="1188" y="313"/>
                                </a:lnTo>
                                <a:lnTo>
                                  <a:pt x="1194" y="298"/>
                                </a:lnTo>
                                <a:lnTo>
                                  <a:pt x="1198" y="284"/>
                                </a:lnTo>
                                <a:lnTo>
                                  <a:pt x="1200" y="270"/>
                                </a:lnTo>
                                <a:lnTo>
                                  <a:pt x="1200" y="253"/>
                                </a:lnTo>
                                <a:lnTo>
                                  <a:pt x="1200" y="238"/>
                                </a:lnTo>
                                <a:lnTo>
                                  <a:pt x="1198" y="223"/>
                                </a:lnTo>
                                <a:lnTo>
                                  <a:pt x="1194" y="208"/>
                                </a:lnTo>
                                <a:lnTo>
                                  <a:pt x="1188" y="195"/>
                                </a:lnTo>
                                <a:lnTo>
                                  <a:pt x="1182" y="181"/>
                                </a:lnTo>
                                <a:lnTo>
                                  <a:pt x="1174" y="169"/>
                                </a:lnTo>
                                <a:lnTo>
                                  <a:pt x="1165" y="157"/>
                                </a:lnTo>
                                <a:lnTo>
                                  <a:pt x="1155" y="146"/>
                                </a:lnTo>
                                <a:lnTo>
                                  <a:pt x="1144" y="136"/>
                                </a:lnTo>
                                <a:lnTo>
                                  <a:pt x="1133" y="126"/>
                                </a:lnTo>
                                <a:lnTo>
                                  <a:pt x="1121" y="119"/>
                                </a:lnTo>
                                <a:lnTo>
                                  <a:pt x="1107" y="113"/>
                                </a:lnTo>
                                <a:lnTo>
                                  <a:pt x="1093" y="108"/>
                                </a:lnTo>
                                <a:lnTo>
                                  <a:pt x="1079" y="103"/>
                                </a:lnTo>
                                <a:lnTo>
                                  <a:pt x="1064" y="101"/>
                                </a:lnTo>
                                <a:lnTo>
                                  <a:pt x="1049" y="100"/>
                                </a:lnTo>
                                <a:lnTo>
                                  <a:pt x="931" y="100"/>
                                </a:lnTo>
                                <a:lnTo>
                                  <a:pt x="931" y="408"/>
                                </a:lnTo>
                                <a:close/>
                                <a:moveTo>
                                  <a:pt x="775" y="293"/>
                                </a:moveTo>
                                <a:lnTo>
                                  <a:pt x="708" y="293"/>
                                </a:lnTo>
                                <a:lnTo>
                                  <a:pt x="742" y="195"/>
                                </a:lnTo>
                                <a:lnTo>
                                  <a:pt x="775" y="293"/>
                                </a:lnTo>
                                <a:close/>
                                <a:moveTo>
                                  <a:pt x="797" y="354"/>
                                </a:moveTo>
                                <a:lnTo>
                                  <a:pt x="817" y="408"/>
                                </a:lnTo>
                                <a:lnTo>
                                  <a:pt x="901" y="408"/>
                                </a:lnTo>
                                <a:lnTo>
                                  <a:pt x="785" y="100"/>
                                </a:lnTo>
                                <a:lnTo>
                                  <a:pt x="698" y="100"/>
                                </a:lnTo>
                                <a:lnTo>
                                  <a:pt x="581" y="408"/>
                                </a:lnTo>
                                <a:lnTo>
                                  <a:pt x="665" y="408"/>
                                </a:lnTo>
                                <a:lnTo>
                                  <a:pt x="686" y="354"/>
                                </a:lnTo>
                                <a:lnTo>
                                  <a:pt x="797" y="354"/>
                                </a:lnTo>
                                <a:close/>
                                <a:moveTo>
                                  <a:pt x="347" y="37"/>
                                </a:moveTo>
                                <a:lnTo>
                                  <a:pt x="430" y="83"/>
                                </a:lnTo>
                                <a:lnTo>
                                  <a:pt x="513" y="37"/>
                                </a:lnTo>
                                <a:lnTo>
                                  <a:pt x="491" y="3"/>
                                </a:lnTo>
                                <a:lnTo>
                                  <a:pt x="430" y="34"/>
                                </a:lnTo>
                                <a:lnTo>
                                  <a:pt x="369" y="3"/>
                                </a:lnTo>
                                <a:lnTo>
                                  <a:pt x="347" y="37"/>
                                </a:lnTo>
                                <a:close/>
                                <a:moveTo>
                                  <a:pt x="407" y="238"/>
                                </a:moveTo>
                                <a:lnTo>
                                  <a:pt x="407" y="161"/>
                                </a:lnTo>
                                <a:lnTo>
                                  <a:pt x="422" y="161"/>
                                </a:lnTo>
                                <a:lnTo>
                                  <a:pt x="432" y="162"/>
                                </a:lnTo>
                                <a:lnTo>
                                  <a:pt x="442" y="164"/>
                                </a:lnTo>
                                <a:lnTo>
                                  <a:pt x="449" y="166"/>
                                </a:lnTo>
                                <a:lnTo>
                                  <a:pt x="455" y="170"/>
                                </a:lnTo>
                                <a:lnTo>
                                  <a:pt x="461" y="176"/>
                                </a:lnTo>
                                <a:lnTo>
                                  <a:pt x="466" y="182"/>
                                </a:lnTo>
                                <a:lnTo>
                                  <a:pt x="469" y="191"/>
                                </a:lnTo>
                                <a:lnTo>
                                  <a:pt x="470" y="200"/>
                                </a:lnTo>
                                <a:lnTo>
                                  <a:pt x="469" y="208"/>
                                </a:lnTo>
                                <a:lnTo>
                                  <a:pt x="466" y="216"/>
                                </a:lnTo>
                                <a:lnTo>
                                  <a:pt x="461" y="223"/>
                                </a:lnTo>
                                <a:lnTo>
                                  <a:pt x="455" y="230"/>
                                </a:lnTo>
                                <a:lnTo>
                                  <a:pt x="449" y="233"/>
                                </a:lnTo>
                                <a:lnTo>
                                  <a:pt x="442" y="236"/>
                                </a:lnTo>
                                <a:lnTo>
                                  <a:pt x="432" y="237"/>
                                </a:lnTo>
                                <a:lnTo>
                                  <a:pt x="422" y="238"/>
                                </a:lnTo>
                                <a:lnTo>
                                  <a:pt x="407" y="238"/>
                                </a:lnTo>
                                <a:close/>
                                <a:moveTo>
                                  <a:pt x="485" y="282"/>
                                </a:moveTo>
                                <a:lnTo>
                                  <a:pt x="498" y="278"/>
                                </a:lnTo>
                                <a:lnTo>
                                  <a:pt x="508" y="275"/>
                                </a:lnTo>
                                <a:lnTo>
                                  <a:pt x="516" y="270"/>
                                </a:lnTo>
                                <a:lnTo>
                                  <a:pt x="525" y="263"/>
                                </a:lnTo>
                                <a:lnTo>
                                  <a:pt x="531" y="257"/>
                                </a:lnTo>
                                <a:lnTo>
                                  <a:pt x="536" y="250"/>
                                </a:lnTo>
                                <a:lnTo>
                                  <a:pt x="541" y="242"/>
                                </a:lnTo>
                                <a:lnTo>
                                  <a:pt x="545" y="233"/>
                                </a:lnTo>
                                <a:lnTo>
                                  <a:pt x="549" y="225"/>
                                </a:lnTo>
                                <a:lnTo>
                                  <a:pt x="551" y="215"/>
                                </a:lnTo>
                                <a:lnTo>
                                  <a:pt x="552" y="205"/>
                                </a:lnTo>
                                <a:lnTo>
                                  <a:pt x="552" y="195"/>
                                </a:lnTo>
                                <a:lnTo>
                                  <a:pt x="552" y="186"/>
                                </a:lnTo>
                                <a:lnTo>
                                  <a:pt x="551" y="176"/>
                                </a:lnTo>
                                <a:lnTo>
                                  <a:pt x="549" y="167"/>
                                </a:lnTo>
                                <a:lnTo>
                                  <a:pt x="546" y="159"/>
                                </a:lnTo>
                                <a:lnTo>
                                  <a:pt x="542" y="150"/>
                                </a:lnTo>
                                <a:lnTo>
                                  <a:pt x="537" y="141"/>
                                </a:lnTo>
                                <a:lnTo>
                                  <a:pt x="532" y="134"/>
                                </a:lnTo>
                                <a:lnTo>
                                  <a:pt x="526" y="128"/>
                                </a:lnTo>
                                <a:lnTo>
                                  <a:pt x="519" y="120"/>
                                </a:lnTo>
                                <a:lnTo>
                                  <a:pt x="511" y="115"/>
                                </a:lnTo>
                                <a:lnTo>
                                  <a:pt x="504" y="110"/>
                                </a:lnTo>
                                <a:lnTo>
                                  <a:pt x="495" y="106"/>
                                </a:lnTo>
                                <a:lnTo>
                                  <a:pt x="485" y="104"/>
                                </a:lnTo>
                                <a:lnTo>
                                  <a:pt x="475" y="101"/>
                                </a:lnTo>
                                <a:lnTo>
                                  <a:pt x="463" y="100"/>
                                </a:lnTo>
                                <a:lnTo>
                                  <a:pt x="450" y="100"/>
                                </a:lnTo>
                                <a:lnTo>
                                  <a:pt x="327" y="100"/>
                                </a:lnTo>
                                <a:lnTo>
                                  <a:pt x="327" y="408"/>
                                </a:lnTo>
                                <a:lnTo>
                                  <a:pt x="407" y="408"/>
                                </a:lnTo>
                                <a:lnTo>
                                  <a:pt x="407" y="289"/>
                                </a:lnTo>
                                <a:lnTo>
                                  <a:pt x="483" y="408"/>
                                </a:lnTo>
                                <a:lnTo>
                                  <a:pt x="582" y="408"/>
                                </a:lnTo>
                                <a:lnTo>
                                  <a:pt x="485" y="282"/>
                                </a:lnTo>
                                <a:close/>
                                <a:moveTo>
                                  <a:pt x="210" y="35"/>
                                </a:moveTo>
                                <a:lnTo>
                                  <a:pt x="171" y="0"/>
                                </a:lnTo>
                                <a:lnTo>
                                  <a:pt x="105" y="56"/>
                                </a:lnTo>
                                <a:lnTo>
                                  <a:pt x="133" y="85"/>
                                </a:lnTo>
                                <a:lnTo>
                                  <a:pt x="210" y="35"/>
                                </a:lnTo>
                                <a:close/>
                                <a:moveTo>
                                  <a:pt x="80" y="100"/>
                                </a:moveTo>
                                <a:lnTo>
                                  <a:pt x="0" y="100"/>
                                </a:lnTo>
                                <a:lnTo>
                                  <a:pt x="0" y="278"/>
                                </a:lnTo>
                                <a:lnTo>
                                  <a:pt x="0" y="293"/>
                                </a:lnTo>
                                <a:lnTo>
                                  <a:pt x="2" y="308"/>
                                </a:lnTo>
                                <a:lnTo>
                                  <a:pt x="3" y="321"/>
                                </a:lnTo>
                                <a:lnTo>
                                  <a:pt x="5" y="333"/>
                                </a:lnTo>
                                <a:lnTo>
                                  <a:pt x="9" y="343"/>
                                </a:lnTo>
                                <a:lnTo>
                                  <a:pt x="13" y="353"/>
                                </a:lnTo>
                                <a:lnTo>
                                  <a:pt x="17" y="362"/>
                                </a:lnTo>
                                <a:lnTo>
                                  <a:pt x="23" y="369"/>
                                </a:lnTo>
                                <a:lnTo>
                                  <a:pt x="32" y="379"/>
                                </a:lnTo>
                                <a:lnTo>
                                  <a:pt x="43" y="389"/>
                                </a:lnTo>
                                <a:lnTo>
                                  <a:pt x="54" y="397"/>
                                </a:lnTo>
                                <a:lnTo>
                                  <a:pt x="68" y="403"/>
                                </a:lnTo>
                                <a:lnTo>
                                  <a:pt x="83" y="409"/>
                                </a:lnTo>
                                <a:lnTo>
                                  <a:pt x="99" y="413"/>
                                </a:lnTo>
                                <a:lnTo>
                                  <a:pt x="115" y="415"/>
                                </a:lnTo>
                                <a:lnTo>
                                  <a:pt x="133" y="415"/>
                                </a:lnTo>
                                <a:lnTo>
                                  <a:pt x="149" y="415"/>
                                </a:lnTo>
                                <a:lnTo>
                                  <a:pt x="165" y="413"/>
                                </a:lnTo>
                                <a:lnTo>
                                  <a:pt x="179" y="409"/>
                                </a:lnTo>
                                <a:lnTo>
                                  <a:pt x="192" y="404"/>
                                </a:lnTo>
                                <a:lnTo>
                                  <a:pt x="206" y="399"/>
                                </a:lnTo>
                                <a:lnTo>
                                  <a:pt x="217" y="392"/>
                                </a:lnTo>
                                <a:lnTo>
                                  <a:pt x="228" y="383"/>
                                </a:lnTo>
                                <a:lnTo>
                                  <a:pt x="238" y="372"/>
                                </a:lnTo>
                                <a:lnTo>
                                  <a:pt x="246" y="363"/>
                                </a:lnTo>
                                <a:lnTo>
                                  <a:pt x="253" y="353"/>
                                </a:lnTo>
                                <a:lnTo>
                                  <a:pt x="258" y="343"/>
                                </a:lnTo>
                                <a:lnTo>
                                  <a:pt x="262" y="333"/>
                                </a:lnTo>
                                <a:lnTo>
                                  <a:pt x="265" y="321"/>
                                </a:lnTo>
                                <a:lnTo>
                                  <a:pt x="267" y="308"/>
                                </a:lnTo>
                                <a:lnTo>
                                  <a:pt x="268" y="293"/>
                                </a:lnTo>
                                <a:lnTo>
                                  <a:pt x="268" y="278"/>
                                </a:lnTo>
                                <a:lnTo>
                                  <a:pt x="268" y="100"/>
                                </a:lnTo>
                                <a:lnTo>
                                  <a:pt x="189" y="100"/>
                                </a:lnTo>
                                <a:lnTo>
                                  <a:pt x="189" y="267"/>
                                </a:lnTo>
                                <a:lnTo>
                                  <a:pt x="189" y="287"/>
                                </a:lnTo>
                                <a:lnTo>
                                  <a:pt x="187" y="301"/>
                                </a:lnTo>
                                <a:lnTo>
                                  <a:pt x="185" y="311"/>
                                </a:lnTo>
                                <a:lnTo>
                                  <a:pt x="181" y="321"/>
                                </a:lnTo>
                                <a:lnTo>
                                  <a:pt x="177" y="326"/>
                                </a:lnTo>
                                <a:lnTo>
                                  <a:pt x="172" y="331"/>
                                </a:lnTo>
                                <a:lnTo>
                                  <a:pt x="167" y="334"/>
                                </a:lnTo>
                                <a:lnTo>
                                  <a:pt x="161" y="338"/>
                                </a:lnTo>
                                <a:lnTo>
                                  <a:pt x="155" y="341"/>
                                </a:lnTo>
                                <a:lnTo>
                                  <a:pt x="149" y="343"/>
                                </a:lnTo>
                                <a:lnTo>
                                  <a:pt x="141" y="344"/>
                                </a:lnTo>
                                <a:lnTo>
                                  <a:pt x="134" y="346"/>
                                </a:lnTo>
                                <a:lnTo>
                                  <a:pt x="126" y="344"/>
                                </a:lnTo>
                                <a:lnTo>
                                  <a:pt x="120" y="343"/>
                                </a:lnTo>
                                <a:lnTo>
                                  <a:pt x="114" y="342"/>
                                </a:lnTo>
                                <a:lnTo>
                                  <a:pt x="108" y="339"/>
                                </a:lnTo>
                                <a:lnTo>
                                  <a:pt x="103" y="336"/>
                                </a:lnTo>
                                <a:lnTo>
                                  <a:pt x="98" y="332"/>
                                </a:lnTo>
                                <a:lnTo>
                                  <a:pt x="93" y="327"/>
                                </a:lnTo>
                                <a:lnTo>
                                  <a:pt x="89" y="322"/>
                                </a:lnTo>
                                <a:lnTo>
                                  <a:pt x="84" y="312"/>
                                </a:lnTo>
                                <a:lnTo>
                                  <a:pt x="81" y="302"/>
                                </a:lnTo>
                                <a:lnTo>
                                  <a:pt x="80" y="288"/>
                                </a:lnTo>
                                <a:lnTo>
                                  <a:pt x="80" y="267"/>
                                </a:lnTo>
                                <a:lnTo>
                                  <a:pt x="80" y="100"/>
                                </a:lnTo>
                                <a:close/>
                              </a:path>
                            </a:pathLst>
                          </a:custGeom>
                          <a:solidFill>
                            <a:srgbClr val="BD1B21"/>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round/>
                                <a:headEnd/>
                                <a:tailEnd/>
                              </a14:hiddenLine>
                            </a:ext>
                          </a:extLst>
                        </wps:spPr>
                        <wps:bodyPr rot="0" vert="horz" wrap="square" lIns="91440" tIns="45720" rIns="91440" bIns="45720" anchor="t" anchorCtr="0" upright="1">
                          <a:noAutofit/>
                        </wps:bodyPr>
                      </wps:wsp>
                      <wps:wsp>
                        <wps:cNvPr id="40" name="Freeform 13"/>
                        <wps:cNvSpPr>
                          <a:spLocks noChangeAspect="1" noEditPoints="1"/>
                        </wps:cNvSpPr>
                        <wps:spPr bwMode="auto">
                          <a:xfrm>
                            <a:off x="1962" y="1081"/>
                            <a:ext cx="1319" cy="208"/>
                          </a:xfrm>
                          <a:custGeom>
                            <a:avLst/>
                            <a:gdLst>
                              <a:gd name="T0" fmla="*/ 1221 w 2637"/>
                              <a:gd name="T1" fmla="*/ 204 h 416"/>
                              <a:gd name="T2" fmla="*/ 1166 w 2637"/>
                              <a:gd name="T3" fmla="*/ 50 h 416"/>
                              <a:gd name="T4" fmla="*/ 1072 w 2637"/>
                              <a:gd name="T5" fmla="*/ 137 h 416"/>
                              <a:gd name="T6" fmla="*/ 1004 w 2637"/>
                              <a:gd name="T7" fmla="*/ 54 h 416"/>
                              <a:gd name="T8" fmla="*/ 943 w 2637"/>
                              <a:gd name="T9" fmla="*/ 51 h 416"/>
                              <a:gd name="T10" fmla="*/ 900 w 2637"/>
                              <a:gd name="T11" fmla="*/ 82 h 416"/>
                              <a:gd name="T12" fmla="*/ 887 w 2637"/>
                              <a:gd name="T13" fmla="*/ 136 h 416"/>
                              <a:gd name="T14" fmla="*/ 907 w 2637"/>
                              <a:gd name="T15" fmla="*/ 181 h 416"/>
                              <a:gd name="T16" fmla="*/ 959 w 2637"/>
                              <a:gd name="T17" fmla="*/ 208 h 416"/>
                              <a:gd name="T18" fmla="*/ 1000 w 2637"/>
                              <a:gd name="T19" fmla="*/ 157 h 416"/>
                              <a:gd name="T20" fmla="*/ 969 w 2637"/>
                              <a:gd name="T21" fmla="*/ 169 h 416"/>
                              <a:gd name="T22" fmla="*/ 945 w 2637"/>
                              <a:gd name="T23" fmla="*/ 161 h 416"/>
                              <a:gd name="T24" fmla="*/ 929 w 2637"/>
                              <a:gd name="T25" fmla="*/ 137 h 416"/>
                              <a:gd name="T26" fmla="*/ 933 w 2637"/>
                              <a:gd name="T27" fmla="*/ 107 h 416"/>
                              <a:gd name="T28" fmla="*/ 953 w 2637"/>
                              <a:gd name="T29" fmla="*/ 89 h 416"/>
                              <a:gd name="T30" fmla="*/ 984 w 2637"/>
                              <a:gd name="T31" fmla="*/ 88 h 416"/>
                              <a:gd name="T32" fmla="*/ 864 w 2637"/>
                              <a:gd name="T33" fmla="*/ 50 h 416"/>
                              <a:gd name="T34" fmla="*/ 802 w 2637"/>
                              <a:gd name="T35" fmla="*/ 50 h 416"/>
                              <a:gd name="T36" fmla="*/ 680 w 2637"/>
                              <a:gd name="T37" fmla="*/ 59 h 416"/>
                              <a:gd name="T38" fmla="*/ 638 w 2637"/>
                              <a:gd name="T39" fmla="*/ 46 h 416"/>
                              <a:gd name="T40" fmla="*/ 602 w 2637"/>
                              <a:gd name="T41" fmla="*/ 54 h 416"/>
                              <a:gd name="T42" fmla="*/ 581 w 2637"/>
                              <a:gd name="T43" fmla="*/ 82 h 416"/>
                              <a:gd name="T44" fmla="*/ 583 w 2637"/>
                              <a:gd name="T45" fmla="*/ 116 h 416"/>
                              <a:gd name="T46" fmla="*/ 610 w 2637"/>
                              <a:gd name="T47" fmla="*/ 138 h 416"/>
                              <a:gd name="T48" fmla="*/ 644 w 2637"/>
                              <a:gd name="T49" fmla="*/ 153 h 416"/>
                              <a:gd name="T50" fmla="*/ 637 w 2637"/>
                              <a:gd name="T51" fmla="*/ 171 h 416"/>
                              <a:gd name="T52" fmla="*/ 608 w 2637"/>
                              <a:gd name="T53" fmla="*/ 170 h 416"/>
                              <a:gd name="T54" fmla="*/ 586 w 2637"/>
                              <a:gd name="T55" fmla="*/ 198 h 416"/>
                              <a:gd name="T56" fmla="*/ 633 w 2637"/>
                              <a:gd name="T57" fmla="*/ 208 h 416"/>
                              <a:gd name="T58" fmla="*/ 671 w 2637"/>
                              <a:gd name="T59" fmla="*/ 193 h 416"/>
                              <a:gd name="T60" fmla="*/ 687 w 2637"/>
                              <a:gd name="T61" fmla="*/ 160 h 416"/>
                              <a:gd name="T62" fmla="*/ 678 w 2637"/>
                              <a:gd name="T63" fmla="*/ 126 h 416"/>
                              <a:gd name="T64" fmla="*/ 638 w 2637"/>
                              <a:gd name="T65" fmla="*/ 107 h 416"/>
                              <a:gd name="T66" fmla="*/ 621 w 2637"/>
                              <a:gd name="T67" fmla="*/ 93 h 416"/>
                              <a:gd name="T68" fmla="*/ 635 w 2637"/>
                              <a:gd name="T69" fmla="*/ 80 h 416"/>
                              <a:gd name="T70" fmla="*/ 665 w 2637"/>
                              <a:gd name="T71" fmla="*/ 90 h 416"/>
                              <a:gd name="T72" fmla="*/ 452 w 2637"/>
                              <a:gd name="T73" fmla="*/ 84 h 416"/>
                              <a:gd name="T74" fmla="*/ 452 w 2637"/>
                              <a:gd name="T75" fmla="*/ 204 h 416"/>
                              <a:gd name="T76" fmla="*/ 343 w 2637"/>
                              <a:gd name="T77" fmla="*/ 204 h 416"/>
                              <a:gd name="T78" fmla="*/ 333 w 2637"/>
                              <a:gd name="T79" fmla="*/ 177 h 416"/>
                              <a:gd name="T80" fmla="*/ 158 w 2637"/>
                              <a:gd name="T81" fmla="*/ 204 h 416"/>
                              <a:gd name="T82" fmla="*/ 84 w 2637"/>
                              <a:gd name="T83" fmla="*/ 49 h 416"/>
                              <a:gd name="T84" fmla="*/ 42 w 2637"/>
                              <a:gd name="T85" fmla="*/ 48 h 416"/>
                              <a:gd name="T86" fmla="*/ 14 w 2637"/>
                              <a:gd name="T87" fmla="*/ 68 h 416"/>
                              <a:gd name="T88" fmla="*/ 6 w 2637"/>
                              <a:gd name="T89" fmla="*/ 103 h 416"/>
                              <a:gd name="T90" fmla="*/ 19 w 2637"/>
                              <a:gd name="T91" fmla="*/ 128 h 416"/>
                              <a:gd name="T92" fmla="*/ 64 w 2637"/>
                              <a:gd name="T93" fmla="*/ 147 h 416"/>
                              <a:gd name="T94" fmla="*/ 71 w 2637"/>
                              <a:gd name="T95" fmla="*/ 165 h 416"/>
                              <a:gd name="T96" fmla="*/ 48 w 2637"/>
                              <a:gd name="T97" fmla="*/ 174 h 416"/>
                              <a:gd name="T98" fmla="*/ 17 w 2637"/>
                              <a:gd name="T99" fmla="*/ 158 h 416"/>
                              <a:gd name="T100" fmla="*/ 40 w 2637"/>
                              <a:gd name="T101" fmla="*/ 207 h 416"/>
                              <a:gd name="T102" fmla="*/ 84 w 2637"/>
                              <a:gd name="T103" fmla="*/ 202 h 416"/>
                              <a:gd name="T104" fmla="*/ 110 w 2637"/>
                              <a:gd name="T105" fmla="*/ 176 h 416"/>
                              <a:gd name="T106" fmla="*/ 110 w 2637"/>
                              <a:gd name="T107" fmla="*/ 135 h 416"/>
                              <a:gd name="T108" fmla="*/ 93 w 2637"/>
                              <a:gd name="T109" fmla="*/ 117 h 416"/>
                              <a:gd name="T110" fmla="*/ 50 w 2637"/>
                              <a:gd name="T111" fmla="*/ 99 h 416"/>
                              <a:gd name="T112" fmla="*/ 53 w 2637"/>
                              <a:gd name="T113" fmla="*/ 84 h 416"/>
                              <a:gd name="T114" fmla="*/ 76 w 2637"/>
                              <a:gd name="T115" fmla="*/ 81 h 41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2637" h="416">
                                <a:moveTo>
                                  <a:pt x="2561" y="35"/>
                                </a:moveTo>
                                <a:lnTo>
                                  <a:pt x="2524" y="0"/>
                                </a:lnTo>
                                <a:lnTo>
                                  <a:pt x="2458" y="56"/>
                                </a:lnTo>
                                <a:lnTo>
                                  <a:pt x="2485" y="84"/>
                                </a:lnTo>
                                <a:lnTo>
                                  <a:pt x="2561" y="35"/>
                                </a:lnTo>
                                <a:close/>
                                <a:moveTo>
                                  <a:pt x="2442" y="260"/>
                                </a:moveTo>
                                <a:lnTo>
                                  <a:pt x="2442" y="407"/>
                                </a:lnTo>
                                <a:lnTo>
                                  <a:pt x="2521" y="407"/>
                                </a:lnTo>
                                <a:lnTo>
                                  <a:pt x="2521" y="260"/>
                                </a:lnTo>
                                <a:lnTo>
                                  <a:pt x="2637" y="99"/>
                                </a:lnTo>
                                <a:lnTo>
                                  <a:pt x="2540" y="99"/>
                                </a:lnTo>
                                <a:lnTo>
                                  <a:pt x="2484" y="183"/>
                                </a:lnTo>
                                <a:lnTo>
                                  <a:pt x="2427" y="99"/>
                                </a:lnTo>
                                <a:lnTo>
                                  <a:pt x="2331" y="99"/>
                                </a:lnTo>
                                <a:lnTo>
                                  <a:pt x="2442" y="260"/>
                                </a:lnTo>
                                <a:close/>
                                <a:moveTo>
                                  <a:pt x="2143" y="226"/>
                                </a:moveTo>
                                <a:lnTo>
                                  <a:pt x="2143" y="99"/>
                                </a:lnTo>
                                <a:lnTo>
                                  <a:pt x="2063" y="99"/>
                                </a:lnTo>
                                <a:lnTo>
                                  <a:pt x="2063" y="407"/>
                                </a:lnTo>
                                <a:lnTo>
                                  <a:pt x="2143" y="407"/>
                                </a:lnTo>
                                <a:lnTo>
                                  <a:pt x="2143" y="274"/>
                                </a:lnTo>
                                <a:lnTo>
                                  <a:pt x="2247" y="407"/>
                                </a:lnTo>
                                <a:lnTo>
                                  <a:pt x="2351" y="407"/>
                                </a:lnTo>
                                <a:lnTo>
                                  <a:pt x="2217" y="245"/>
                                </a:lnTo>
                                <a:lnTo>
                                  <a:pt x="2340" y="99"/>
                                </a:lnTo>
                                <a:lnTo>
                                  <a:pt x="2240" y="99"/>
                                </a:lnTo>
                                <a:lnTo>
                                  <a:pt x="2143" y="226"/>
                                </a:lnTo>
                                <a:close/>
                                <a:moveTo>
                                  <a:pt x="2008" y="108"/>
                                </a:moveTo>
                                <a:lnTo>
                                  <a:pt x="1987" y="102"/>
                                </a:lnTo>
                                <a:lnTo>
                                  <a:pt x="1969" y="97"/>
                                </a:lnTo>
                                <a:lnTo>
                                  <a:pt x="1952" y="93"/>
                                </a:lnTo>
                                <a:lnTo>
                                  <a:pt x="1936" y="93"/>
                                </a:lnTo>
                                <a:lnTo>
                                  <a:pt x="1918" y="93"/>
                                </a:lnTo>
                                <a:lnTo>
                                  <a:pt x="1902" y="96"/>
                                </a:lnTo>
                                <a:lnTo>
                                  <a:pt x="1886" y="101"/>
                                </a:lnTo>
                                <a:lnTo>
                                  <a:pt x="1871" y="106"/>
                                </a:lnTo>
                                <a:lnTo>
                                  <a:pt x="1857" y="112"/>
                                </a:lnTo>
                                <a:lnTo>
                                  <a:pt x="1844" y="121"/>
                                </a:lnTo>
                                <a:lnTo>
                                  <a:pt x="1831" y="129"/>
                                </a:lnTo>
                                <a:lnTo>
                                  <a:pt x="1820" y="140"/>
                                </a:lnTo>
                                <a:lnTo>
                                  <a:pt x="1809" y="152"/>
                                </a:lnTo>
                                <a:lnTo>
                                  <a:pt x="1800" y="164"/>
                                </a:lnTo>
                                <a:lnTo>
                                  <a:pt x="1791" y="178"/>
                                </a:lnTo>
                                <a:lnTo>
                                  <a:pt x="1785" y="192"/>
                                </a:lnTo>
                                <a:lnTo>
                                  <a:pt x="1780" y="207"/>
                                </a:lnTo>
                                <a:lnTo>
                                  <a:pt x="1775" y="223"/>
                                </a:lnTo>
                                <a:lnTo>
                                  <a:pt x="1773" y="239"/>
                                </a:lnTo>
                                <a:lnTo>
                                  <a:pt x="1773" y="256"/>
                                </a:lnTo>
                                <a:lnTo>
                                  <a:pt x="1773" y="271"/>
                                </a:lnTo>
                                <a:lnTo>
                                  <a:pt x="1775" y="286"/>
                                </a:lnTo>
                                <a:lnTo>
                                  <a:pt x="1778" y="300"/>
                                </a:lnTo>
                                <a:lnTo>
                                  <a:pt x="1783" y="314"/>
                                </a:lnTo>
                                <a:lnTo>
                                  <a:pt x="1789" y="327"/>
                                </a:lnTo>
                                <a:lnTo>
                                  <a:pt x="1795" y="340"/>
                                </a:lnTo>
                                <a:lnTo>
                                  <a:pt x="1804" y="351"/>
                                </a:lnTo>
                                <a:lnTo>
                                  <a:pt x="1813" y="362"/>
                                </a:lnTo>
                                <a:lnTo>
                                  <a:pt x="1825" y="373"/>
                                </a:lnTo>
                                <a:lnTo>
                                  <a:pt x="1839" y="385"/>
                                </a:lnTo>
                                <a:lnTo>
                                  <a:pt x="1854" y="393"/>
                                </a:lnTo>
                                <a:lnTo>
                                  <a:pt x="1869" y="401"/>
                                </a:lnTo>
                                <a:lnTo>
                                  <a:pt x="1885" y="407"/>
                                </a:lnTo>
                                <a:lnTo>
                                  <a:pt x="1902" y="412"/>
                                </a:lnTo>
                                <a:lnTo>
                                  <a:pt x="1918" y="415"/>
                                </a:lnTo>
                                <a:lnTo>
                                  <a:pt x="1936" y="416"/>
                                </a:lnTo>
                                <a:lnTo>
                                  <a:pt x="1951" y="415"/>
                                </a:lnTo>
                                <a:lnTo>
                                  <a:pt x="1966" y="413"/>
                                </a:lnTo>
                                <a:lnTo>
                                  <a:pt x="1983" y="408"/>
                                </a:lnTo>
                                <a:lnTo>
                                  <a:pt x="2008" y="401"/>
                                </a:lnTo>
                                <a:lnTo>
                                  <a:pt x="2008" y="306"/>
                                </a:lnTo>
                                <a:lnTo>
                                  <a:pt x="1999" y="314"/>
                                </a:lnTo>
                                <a:lnTo>
                                  <a:pt x="1992" y="320"/>
                                </a:lnTo>
                                <a:lnTo>
                                  <a:pt x="1983" y="326"/>
                                </a:lnTo>
                                <a:lnTo>
                                  <a:pt x="1976" y="330"/>
                                </a:lnTo>
                                <a:lnTo>
                                  <a:pt x="1967" y="334"/>
                                </a:lnTo>
                                <a:lnTo>
                                  <a:pt x="1957" y="336"/>
                                </a:lnTo>
                                <a:lnTo>
                                  <a:pt x="1948" y="337"/>
                                </a:lnTo>
                                <a:lnTo>
                                  <a:pt x="1938" y="337"/>
                                </a:lnTo>
                                <a:lnTo>
                                  <a:pt x="1931" y="337"/>
                                </a:lnTo>
                                <a:lnTo>
                                  <a:pt x="1923" y="336"/>
                                </a:lnTo>
                                <a:lnTo>
                                  <a:pt x="1916" y="335"/>
                                </a:lnTo>
                                <a:lnTo>
                                  <a:pt x="1908" y="332"/>
                                </a:lnTo>
                                <a:lnTo>
                                  <a:pt x="1902" y="330"/>
                                </a:lnTo>
                                <a:lnTo>
                                  <a:pt x="1896" y="326"/>
                                </a:lnTo>
                                <a:lnTo>
                                  <a:pt x="1889" y="322"/>
                                </a:lnTo>
                                <a:lnTo>
                                  <a:pt x="1884" y="317"/>
                                </a:lnTo>
                                <a:lnTo>
                                  <a:pt x="1876" y="311"/>
                                </a:lnTo>
                                <a:lnTo>
                                  <a:pt x="1871" y="305"/>
                                </a:lnTo>
                                <a:lnTo>
                                  <a:pt x="1866" y="299"/>
                                </a:lnTo>
                                <a:lnTo>
                                  <a:pt x="1862" y="291"/>
                                </a:lnTo>
                                <a:lnTo>
                                  <a:pt x="1860" y="283"/>
                                </a:lnTo>
                                <a:lnTo>
                                  <a:pt x="1857" y="274"/>
                                </a:lnTo>
                                <a:lnTo>
                                  <a:pt x="1856" y="265"/>
                                </a:lnTo>
                                <a:lnTo>
                                  <a:pt x="1856" y="255"/>
                                </a:lnTo>
                                <a:lnTo>
                                  <a:pt x="1856" y="246"/>
                                </a:lnTo>
                                <a:lnTo>
                                  <a:pt x="1857" y="238"/>
                                </a:lnTo>
                                <a:lnTo>
                                  <a:pt x="1860" y="229"/>
                                </a:lnTo>
                                <a:lnTo>
                                  <a:pt x="1862" y="221"/>
                                </a:lnTo>
                                <a:lnTo>
                                  <a:pt x="1865" y="214"/>
                                </a:lnTo>
                                <a:lnTo>
                                  <a:pt x="1870" y="207"/>
                                </a:lnTo>
                                <a:lnTo>
                                  <a:pt x="1874" y="200"/>
                                </a:lnTo>
                                <a:lnTo>
                                  <a:pt x="1879" y="194"/>
                                </a:lnTo>
                                <a:lnTo>
                                  <a:pt x="1885" y="189"/>
                                </a:lnTo>
                                <a:lnTo>
                                  <a:pt x="1891" y="184"/>
                                </a:lnTo>
                                <a:lnTo>
                                  <a:pt x="1898" y="180"/>
                                </a:lnTo>
                                <a:lnTo>
                                  <a:pt x="1905" y="177"/>
                                </a:lnTo>
                                <a:lnTo>
                                  <a:pt x="1913" y="174"/>
                                </a:lnTo>
                                <a:lnTo>
                                  <a:pt x="1921" y="172"/>
                                </a:lnTo>
                                <a:lnTo>
                                  <a:pt x="1930" y="170"/>
                                </a:lnTo>
                                <a:lnTo>
                                  <a:pt x="1938" y="170"/>
                                </a:lnTo>
                                <a:lnTo>
                                  <a:pt x="1948" y="170"/>
                                </a:lnTo>
                                <a:lnTo>
                                  <a:pt x="1958" y="173"/>
                                </a:lnTo>
                                <a:lnTo>
                                  <a:pt x="1967" y="175"/>
                                </a:lnTo>
                                <a:lnTo>
                                  <a:pt x="1977" y="179"/>
                                </a:lnTo>
                                <a:lnTo>
                                  <a:pt x="1984" y="184"/>
                                </a:lnTo>
                                <a:lnTo>
                                  <a:pt x="1993" y="189"/>
                                </a:lnTo>
                                <a:lnTo>
                                  <a:pt x="2001" y="197"/>
                                </a:lnTo>
                                <a:lnTo>
                                  <a:pt x="2008" y="204"/>
                                </a:lnTo>
                                <a:lnTo>
                                  <a:pt x="2008" y="108"/>
                                </a:lnTo>
                                <a:close/>
                                <a:moveTo>
                                  <a:pt x="1727" y="99"/>
                                </a:moveTo>
                                <a:lnTo>
                                  <a:pt x="1647" y="99"/>
                                </a:lnTo>
                                <a:lnTo>
                                  <a:pt x="1647" y="407"/>
                                </a:lnTo>
                                <a:lnTo>
                                  <a:pt x="1727" y="407"/>
                                </a:lnTo>
                                <a:lnTo>
                                  <a:pt x="1727" y="99"/>
                                </a:lnTo>
                                <a:close/>
                                <a:moveTo>
                                  <a:pt x="1538" y="167"/>
                                </a:moveTo>
                                <a:lnTo>
                                  <a:pt x="1604" y="167"/>
                                </a:lnTo>
                                <a:lnTo>
                                  <a:pt x="1604" y="99"/>
                                </a:lnTo>
                                <a:lnTo>
                                  <a:pt x="1394" y="99"/>
                                </a:lnTo>
                                <a:lnTo>
                                  <a:pt x="1394" y="167"/>
                                </a:lnTo>
                                <a:lnTo>
                                  <a:pt x="1459" y="167"/>
                                </a:lnTo>
                                <a:lnTo>
                                  <a:pt x="1459" y="407"/>
                                </a:lnTo>
                                <a:lnTo>
                                  <a:pt x="1538" y="407"/>
                                </a:lnTo>
                                <a:lnTo>
                                  <a:pt x="1538" y="167"/>
                                </a:lnTo>
                                <a:close/>
                                <a:moveTo>
                                  <a:pt x="1360" y="117"/>
                                </a:moveTo>
                                <a:lnTo>
                                  <a:pt x="1349" y="111"/>
                                </a:lnTo>
                                <a:lnTo>
                                  <a:pt x="1337" y="106"/>
                                </a:lnTo>
                                <a:lnTo>
                                  <a:pt x="1324" y="102"/>
                                </a:lnTo>
                                <a:lnTo>
                                  <a:pt x="1313" y="98"/>
                                </a:lnTo>
                                <a:lnTo>
                                  <a:pt x="1300" y="96"/>
                                </a:lnTo>
                                <a:lnTo>
                                  <a:pt x="1288" y="93"/>
                                </a:lnTo>
                                <a:lnTo>
                                  <a:pt x="1276" y="92"/>
                                </a:lnTo>
                                <a:lnTo>
                                  <a:pt x="1263" y="92"/>
                                </a:lnTo>
                                <a:lnTo>
                                  <a:pt x="1252" y="92"/>
                                </a:lnTo>
                                <a:lnTo>
                                  <a:pt x="1241" y="94"/>
                                </a:lnTo>
                                <a:lnTo>
                                  <a:pt x="1231" y="96"/>
                                </a:lnTo>
                                <a:lnTo>
                                  <a:pt x="1221" y="99"/>
                                </a:lnTo>
                                <a:lnTo>
                                  <a:pt x="1211" y="103"/>
                                </a:lnTo>
                                <a:lnTo>
                                  <a:pt x="1203" y="108"/>
                                </a:lnTo>
                                <a:lnTo>
                                  <a:pt x="1195" y="114"/>
                                </a:lnTo>
                                <a:lnTo>
                                  <a:pt x="1187" y="121"/>
                                </a:lnTo>
                                <a:lnTo>
                                  <a:pt x="1181" y="128"/>
                                </a:lnTo>
                                <a:lnTo>
                                  <a:pt x="1175" y="136"/>
                                </a:lnTo>
                                <a:lnTo>
                                  <a:pt x="1170" y="144"/>
                                </a:lnTo>
                                <a:lnTo>
                                  <a:pt x="1166" y="153"/>
                                </a:lnTo>
                                <a:lnTo>
                                  <a:pt x="1162" y="163"/>
                                </a:lnTo>
                                <a:lnTo>
                                  <a:pt x="1161" y="174"/>
                                </a:lnTo>
                                <a:lnTo>
                                  <a:pt x="1158" y="184"/>
                                </a:lnTo>
                                <a:lnTo>
                                  <a:pt x="1158" y="195"/>
                                </a:lnTo>
                                <a:lnTo>
                                  <a:pt x="1158" y="205"/>
                                </a:lnTo>
                                <a:lnTo>
                                  <a:pt x="1160" y="215"/>
                                </a:lnTo>
                                <a:lnTo>
                                  <a:pt x="1162" y="224"/>
                                </a:lnTo>
                                <a:lnTo>
                                  <a:pt x="1165" y="231"/>
                                </a:lnTo>
                                <a:lnTo>
                                  <a:pt x="1168" y="239"/>
                                </a:lnTo>
                                <a:lnTo>
                                  <a:pt x="1172" y="245"/>
                                </a:lnTo>
                                <a:lnTo>
                                  <a:pt x="1177" y="251"/>
                                </a:lnTo>
                                <a:lnTo>
                                  <a:pt x="1183" y="256"/>
                                </a:lnTo>
                                <a:lnTo>
                                  <a:pt x="1192" y="263"/>
                                </a:lnTo>
                                <a:lnTo>
                                  <a:pt x="1203" y="269"/>
                                </a:lnTo>
                                <a:lnTo>
                                  <a:pt x="1219" y="275"/>
                                </a:lnTo>
                                <a:lnTo>
                                  <a:pt x="1242" y="281"/>
                                </a:lnTo>
                                <a:lnTo>
                                  <a:pt x="1254" y="286"/>
                                </a:lnTo>
                                <a:lnTo>
                                  <a:pt x="1264" y="290"/>
                                </a:lnTo>
                                <a:lnTo>
                                  <a:pt x="1273" y="294"/>
                                </a:lnTo>
                                <a:lnTo>
                                  <a:pt x="1279" y="297"/>
                                </a:lnTo>
                                <a:lnTo>
                                  <a:pt x="1284" y="301"/>
                                </a:lnTo>
                                <a:lnTo>
                                  <a:pt x="1287" y="306"/>
                                </a:lnTo>
                                <a:lnTo>
                                  <a:pt x="1289" y="311"/>
                                </a:lnTo>
                                <a:lnTo>
                                  <a:pt x="1289" y="317"/>
                                </a:lnTo>
                                <a:lnTo>
                                  <a:pt x="1289" y="324"/>
                                </a:lnTo>
                                <a:lnTo>
                                  <a:pt x="1287" y="330"/>
                                </a:lnTo>
                                <a:lnTo>
                                  <a:pt x="1283" y="335"/>
                                </a:lnTo>
                                <a:lnTo>
                                  <a:pt x="1279" y="339"/>
                                </a:lnTo>
                                <a:lnTo>
                                  <a:pt x="1273" y="342"/>
                                </a:lnTo>
                                <a:lnTo>
                                  <a:pt x="1267" y="345"/>
                                </a:lnTo>
                                <a:lnTo>
                                  <a:pt x="1259" y="346"/>
                                </a:lnTo>
                                <a:lnTo>
                                  <a:pt x="1251" y="347"/>
                                </a:lnTo>
                                <a:lnTo>
                                  <a:pt x="1242" y="347"/>
                                </a:lnTo>
                                <a:lnTo>
                                  <a:pt x="1233" y="345"/>
                                </a:lnTo>
                                <a:lnTo>
                                  <a:pt x="1224" y="344"/>
                                </a:lnTo>
                                <a:lnTo>
                                  <a:pt x="1216" y="340"/>
                                </a:lnTo>
                                <a:lnTo>
                                  <a:pt x="1207" y="335"/>
                                </a:lnTo>
                                <a:lnTo>
                                  <a:pt x="1198" y="330"/>
                                </a:lnTo>
                                <a:lnTo>
                                  <a:pt x="1190" y="324"/>
                                </a:lnTo>
                                <a:lnTo>
                                  <a:pt x="1180" y="316"/>
                                </a:lnTo>
                                <a:lnTo>
                                  <a:pt x="1146" y="381"/>
                                </a:lnTo>
                                <a:lnTo>
                                  <a:pt x="1158" y="388"/>
                                </a:lnTo>
                                <a:lnTo>
                                  <a:pt x="1171" y="396"/>
                                </a:lnTo>
                                <a:lnTo>
                                  <a:pt x="1185" y="401"/>
                                </a:lnTo>
                                <a:lnTo>
                                  <a:pt x="1198" y="406"/>
                                </a:lnTo>
                                <a:lnTo>
                                  <a:pt x="1212" y="410"/>
                                </a:lnTo>
                                <a:lnTo>
                                  <a:pt x="1226" y="413"/>
                                </a:lnTo>
                                <a:lnTo>
                                  <a:pt x="1239" y="415"/>
                                </a:lnTo>
                                <a:lnTo>
                                  <a:pt x="1253" y="415"/>
                                </a:lnTo>
                                <a:lnTo>
                                  <a:pt x="1266" y="415"/>
                                </a:lnTo>
                                <a:lnTo>
                                  <a:pt x="1278" y="413"/>
                                </a:lnTo>
                                <a:lnTo>
                                  <a:pt x="1290" y="411"/>
                                </a:lnTo>
                                <a:lnTo>
                                  <a:pt x="1302" y="407"/>
                                </a:lnTo>
                                <a:lnTo>
                                  <a:pt x="1313" y="403"/>
                                </a:lnTo>
                                <a:lnTo>
                                  <a:pt x="1323" y="398"/>
                                </a:lnTo>
                                <a:lnTo>
                                  <a:pt x="1333" y="392"/>
                                </a:lnTo>
                                <a:lnTo>
                                  <a:pt x="1342" y="386"/>
                                </a:lnTo>
                                <a:lnTo>
                                  <a:pt x="1349" y="378"/>
                                </a:lnTo>
                                <a:lnTo>
                                  <a:pt x="1355" y="371"/>
                                </a:lnTo>
                                <a:lnTo>
                                  <a:pt x="1360" y="362"/>
                                </a:lnTo>
                                <a:lnTo>
                                  <a:pt x="1365" y="352"/>
                                </a:lnTo>
                                <a:lnTo>
                                  <a:pt x="1369" y="342"/>
                                </a:lnTo>
                                <a:lnTo>
                                  <a:pt x="1371" y="331"/>
                                </a:lnTo>
                                <a:lnTo>
                                  <a:pt x="1373" y="319"/>
                                </a:lnTo>
                                <a:lnTo>
                                  <a:pt x="1373" y="306"/>
                                </a:lnTo>
                                <a:lnTo>
                                  <a:pt x="1371" y="290"/>
                                </a:lnTo>
                                <a:lnTo>
                                  <a:pt x="1369" y="275"/>
                                </a:lnTo>
                                <a:lnTo>
                                  <a:pt x="1366" y="269"/>
                                </a:lnTo>
                                <a:lnTo>
                                  <a:pt x="1363" y="263"/>
                                </a:lnTo>
                                <a:lnTo>
                                  <a:pt x="1359" y="258"/>
                                </a:lnTo>
                                <a:lnTo>
                                  <a:pt x="1355" y="251"/>
                                </a:lnTo>
                                <a:lnTo>
                                  <a:pt x="1350" y="246"/>
                                </a:lnTo>
                                <a:lnTo>
                                  <a:pt x="1345" y="241"/>
                                </a:lnTo>
                                <a:lnTo>
                                  <a:pt x="1339" y="238"/>
                                </a:lnTo>
                                <a:lnTo>
                                  <a:pt x="1332" y="234"/>
                                </a:lnTo>
                                <a:lnTo>
                                  <a:pt x="1315" y="226"/>
                                </a:lnTo>
                                <a:lnTo>
                                  <a:pt x="1298" y="220"/>
                                </a:lnTo>
                                <a:lnTo>
                                  <a:pt x="1276" y="213"/>
                                </a:lnTo>
                                <a:lnTo>
                                  <a:pt x="1263" y="209"/>
                                </a:lnTo>
                                <a:lnTo>
                                  <a:pt x="1256" y="205"/>
                                </a:lnTo>
                                <a:lnTo>
                                  <a:pt x="1249" y="200"/>
                                </a:lnTo>
                                <a:lnTo>
                                  <a:pt x="1247" y="198"/>
                                </a:lnTo>
                                <a:lnTo>
                                  <a:pt x="1244" y="194"/>
                                </a:lnTo>
                                <a:lnTo>
                                  <a:pt x="1242" y="189"/>
                                </a:lnTo>
                                <a:lnTo>
                                  <a:pt x="1242" y="185"/>
                                </a:lnTo>
                                <a:lnTo>
                                  <a:pt x="1243" y="179"/>
                                </a:lnTo>
                                <a:lnTo>
                                  <a:pt x="1244" y="174"/>
                                </a:lnTo>
                                <a:lnTo>
                                  <a:pt x="1248" y="170"/>
                                </a:lnTo>
                                <a:lnTo>
                                  <a:pt x="1252" y="167"/>
                                </a:lnTo>
                                <a:lnTo>
                                  <a:pt x="1257" y="163"/>
                                </a:lnTo>
                                <a:lnTo>
                                  <a:pt x="1263" y="160"/>
                                </a:lnTo>
                                <a:lnTo>
                                  <a:pt x="1269" y="159"/>
                                </a:lnTo>
                                <a:lnTo>
                                  <a:pt x="1277" y="158"/>
                                </a:lnTo>
                                <a:lnTo>
                                  <a:pt x="1283" y="159"/>
                                </a:lnTo>
                                <a:lnTo>
                                  <a:pt x="1289" y="159"/>
                                </a:lnTo>
                                <a:lnTo>
                                  <a:pt x="1297" y="162"/>
                                </a:lnTo>
                                <a:lnTo>
                                  <a:pt x="1303" y="163"/>
                                </a:lnTo>
                                <a:lnTo>
                                  <a:pt x="1315" y="170"/>
                                </a:lnTo>
                                <a:lnTo>
                                  <a:pt x="1329" y="179"/>
                                </a:lnTo>
                                <a:lnTo>
                                  <a:pt x="1360" y="117"/>
                                </a:lnTo>
                                <a:close/>
                                <a:moveTo>
                                  <a:pt x="1091" y="99"/>
                                </a:moveTo>
                                <a:lnTo>
                                  <a:pt x="1011" y="99"/>
                                </a:lnTo>
                                <a:lnTo>
                                  <a:pt x="1011" y="407"/>
                                </a:lnTo>
                                <a:lnTo>
                                  <a:pt x="1091" y="407"/>
                                </a:lnTo>
                                <a:lnTo>
                                  <a:pt x="1091" y="99"/>
                                </a:lnTo>
                                <a:close/>
                                <a:moveTo>
                                  <a:pt x="904" y="167"/>
                                </a:moveTo>
                                <a:lnTo>
                                  <a:pt x="970" y="167"/>
                                </a:lnTo>
                                <a:lnTo>
                                  <a:pt x="970" y="99"/>
                                </a:lnTo>
                                <a:lnTo>
                                  <a:pt x="758" y="99"/>
                                </a:lnTo>
                                <a:lnTo>
                                  <a:pt x="758" y="167"/>
                                </a:lnTo>
                                <a:lnTo>
                                  <a:pt x="825" y="167"/>
                                </a:lnTo>
                                <a:lnTo>
                                  <a:pt x="825" y="407"/>
                                </a:lnTo>
                                <a:lnTo>
                                  <a:pt x="904" y="407"/>
                                </a:lnTo>
                                <a:lnTo>
                                  <a:pt x="904" y="167"/>
                                </a:lnTo>
                                <a:close/>
                                <a:moveTo>
                                  <a:pt x="644" y="292"/>
                                </a:moveTo>
                                <a:lnTo>
                                  <a:pt x="578" y="292"/>
                                </a:lnTo>
                                <a:lnTo>
                                  <a:pt x="611" y="194"/>
                                </a:lnTo>
                                <a:lnTo>
                                  <a:pt x="644" y="292"/>
                                </a:lnTo>
                                <a:close/>
                                <a:moveTo>
                                  <a:pt x="666" y="354"/>
                                </a:moveTo>
                                <a:lnTo>
                                  <a:pt x="686" y="407"/>
                                </a:lnTo>
                                <a:lnTo>
                                  <a:pt x="771" y="407"/>
                                </a:lnTo>
                                <a:lnTo>
                                  <a:pt x="655" y="99"/>
                                </a:lnTo>
                                <a:lnTo>
                                  <a:pt x="568" y="99"/>
                                </a:lnTo>
                                <a:lnTo>
                                  <a:pt x="450" y="407"/>
                                </a:lnTo>
                                <a:lnTo>
                                  <a:pt x="534" y="407"/>
                                </a:lnTo>
                                <a:lnTo>
                                  <a:pt x="555" y="354"/>
                                </a:lnTo>
                                <a:lnTo>
                                  <a:pt x="666" y="354"/>
                                </a:lnTo>
                                <a:close/>
                                <a:moveTo>
                                  <a:pt x="395" y="167"/>
                                </a:moveTo>
                                <a:lnTo>
                                  <a:pt x="461" y="167"/>
                                </a:lnTo>
                                <a:lnTo>
                                  <a:pt x="461" y="99"/>
                                </a:lnTo>
                                <a:lnTo>
                                  <a:pt x="249" y="99"/>
                                </a:lnTo>
                                <a:lnTo>
                                  <a:pt x="249" y="167"/>
                                </a:lnTo>
                                <a:lnTo>
                                  <a:pt x="315" y="167"/>
                                </a:lnTo>
                                <a:lnTo>
                                  <a:pt x="315" y="407"/>
                                </a:lnTo>
                                <a:lnTo>
                                  <a:pt x="395" y="407"/>
                                </a:lnTo>
                                <a:lnTo>
                                  <a:pt x="395" y="167"/>
                                </a:lnTo>
                                <a:close/>
                                <a:moveTo>
                                  <a:pt x="214" y="117"/>
                                </a:moveTo>
                                <a:lnTo>
                                  <a:pt x="203" y="111"/>
                                </a:lnTo>
                                <a:lnTo>
                                  <a:pt x="190" y="106"/>
                                </a:lnTo>
                                <a:lnTo>
                                  <a:pt x="178" y="102"/>
                                </a:lnTo>
                                <a:lnTo>
                                  <a:pt x="167" y="98"/>
                                </a:lnTo>
                                <a:lnTo>
                                  <a:pt x="154" y="96"/>
                                </a:lnTo>
                                <a:lnTo>
                                  <a:pt x="142" y="93"/>
                                </a:lnTo>
                                <a:lnTo>
                                  <a:pt x="129" y="92"/>
                                </a:lnTo>
                                <a:lnTo>
                                  <a:pt x="117" y="92"/>
                                </a:lnTo>
                                <a:lnTo>
                                  <a:pt x="106" y="92"/>
                                </a:lnTo>
                                <a:lnTo>
                                  <a:pt x="94" y="94"/>
                                </a:lnTo>
                                <a:lnTo>
                                  <a:pt x="84" y="96"/>
                                </a:lnTo>
                                <a:lnTo>
                                  <a:pt x="75" y="99"/>
                                </a:lnTo>
                                <a:lnTo>
                                  <a:pt x="65" y="103"/>
                                </a:lnTo>
                                <a:lnTo>
                                  <a:pt x="56" y="108"/>
                                </a:lnTo>
                                <a:lnTo>
                                  <a:pt x="48" y="114"/>
                                </a:lnTo>
                                <a:lnTo>
                                  <a:pt x="41" y="121"/>
                                </a:lnTo>
                                <a:lnTo>
                                  <a:pt x="35" y="128"/>
                                </a:lnTo>
                                <a:lnTo>
                                  <a:pt x="28" y="136"/>
                                </a:lnTo>
                                <a:lnTo>
                                  <a:pt x="23" y="144"/>
                                </a:lnTo>
                                <a:lnTo>
                                  <a:pt x="20" y="153"/>
                                </a:lnTo>
                                <a:lnTo>
                                  <a:pt x="16" y="163"/>
                                </a:lnTo>
                                <a:lnTo>
                                  <a:pt x="15" y="174"/>
                                </a:lnTo>
                                <a:lnTo>
                                  <a:pt x="12" y="184"/>
                                </a:lnTo>
                                <a:lnTo>
                                  <a:pt x="12" y="195"/>
                                </a:lnTo>
                                <a:lnTo>
                                  <a:pt x="12" y="205"/>
                                </a:lnTo>
                                <a:lnTo>
                                  <a:pt x="13" y="215"/>
                                </a:lnTo>
                                <a:lnTo>
                                  <a:pt x="16" y="224"/>
                                </a:lnTo>
                                <a:lnTo>
                                  <a:pt x="18" y="231"/>
                                </a:lnTo>
                                <a:lnTo>
                                  <a:pt x="22" y="239"/>
                                </a:lnTo>
                                <a:lnTo>
                                  <a:pt x="26" y="245"/>
                                </a:lnTo>
                                <a:lnTo>
                                  <a:pt x="31" y="251"/>
                                </a:lnTo>
                                <a:lnTo>
                                  <a:pt x="37" y="256"/>
                                </a:lnTo>
                                <a:lnTo>
                                  <a:pt x="46" y="263"/>
                                </a:lnTo>
                                <a:lnTo>
                                  <a:pt x="57" y="269"/>
                                </a:lnTo>
                                <a:lnTo>
                                  <a:pt x="73" y="275"/>
                                </a:lnTo>
                                <a:lnTo>
                                  <a:pt x="96" y="281"/>
                                </a:lnTo>
                                <a:lnTo>
                                  <a:pt x="108" y="286"/>
                                </a:lnTo>
                                <a:lnTo>
                                  <a:pt x="118" y="290"/>
                                </a:lnTo>
                                <a:lnTo>
                                  <a:pt x="127" y="294"/>
                                </a:lnTo>
                                <a:lnTo>
                                  <a:pt x="133" y="297"/>
                                </a:lnTo>
                                <a:lnTo>
                                  <a:pt x="138" y="301"/>
                                </a:lnTo>
                                <a:lnTo>
                                  <a:pt x="141" y="306"/>
                                </a:lnTo>
                                <a:lnTo>
                                  <a:pt x="143" y="311"/>
                                </a:lnTo>
                                <a:lnTo>
                                  <a:pt x="143" y="317"/>
                                </a:lnTo>
                                <a:lnTo>
                                  <a:pt x="143" y="324"/>
                                </a:lnTo>
                                <a:lnTo>
                                  <a:pt x="141" y="330"/>
                                </a:lnTo>
                                <a:lnTo>
                                  <a:pt x="137" y="335"/>
                                </a:lnTo>
                                <a:lnTo>
                                  <a:pt x="133" y="339"/>
                                </a:lnTo>
                                <a:lnTo>
                                  <a:pt x="127" y="342"/>
                                </a:lnTo>
                                <a:lnTo>
                                  <a:pt x="121" y="345"/>
                                </a:lnTo>
                                <a:lnTo>
                                  <a:pt x="113" y="346"/>
                                </a:lnTo>
                                <a:lnTo>
                                  <a:pt x="104" y="347"/>
                                </a:lnTo>
                                <a:lnTo>
                                  <a:pt x="96" y="347"/>
                                </a:lnTo>
                                <a:lnTo>
                                  <a:pt x="87" y="345"/>
                                </a:lnTo>
                                <a:lnTo>
                                  <a:pt x="78" y="344"/>
                                </a:lnTo>
                                <a:lnTo>
                                  <a:pt x="70" y="340"/>
                                </a:lnTo>
                                <a:lnTo>
                                  <a:pt x="61" y="335"/>
                                </a:lnTo>
                                <a:lnTo>
                                  <a:pt x="52" y="330"/>
                                </a:lnTo>
                                <a:lnTo>
                                  <a:pt x="43" y="324"/>
                                </a:lnTo>
                                <a:lnTo>
                                  <a:pt x="33" y="316"/>
                                </a:lnTo>
                                <a:lnTo>
                                  <a:pt x="0" y="381"/>
                                </a:lnTo>
                                <a:lnTo>
                                  <a:pt x="12" y="388"/>
                                </a:lnTo>
                                <a:lnTo>
                                  <a:pt x="25" y="396"/>
                                </a:lnTo>
                                <a:lnTo>
                                  <a:pt x="38" y="401"/>
                                </a:lnTo>
                                <a:lnTo>
                                  <a:pt x="52" y="406"/>
                                </a:lnTo>
                                <a:lnTo>
                                  <a:pt x="66" y="410"/>
                                </a:lnTo>
                                <a:lnTo>
                                  <a:pt x="79" y="413"/>
                                </a:lnTo>
                                <a:lnTo>
                                  <a:pt x="93" y="415"/>
                                </a:lnTo>
                                <a:lnTo>
                                  <a:pt x="107" y="415"/>
                                </a:lnTo>
                                <a:lnTo>
                                  <a:pt x="119" y="415"/>
                                </a:lnTo>
                                <a:lnTo>
                                  <a:pt x="132" y="413"/>
                                </a:lnTo>
                                <a:lnTo>
                                  <a:pt x="144" y="411"/>
                                </a:lnTo>
                                <a:lnTo>
                                  <a:pt x="155" y="407"/>
                                </a:lnTo>
                                <a:lnTo>
                                  <a:pt x="167" y="403"/>
                                </a:lnTo>
                                <a:lnTo>
                                  <a:pt x="177" y="398"/>
                                </a:lnTo>
                                <a:lnTo>
                                  <a:pt x="187" y="392"/>
                                </a:lnTo>
                                <a:lnTo>
                                  <a:pt x="195" y="386"/>
                                </a:lnTo>
                                <a:lnTo>
                                  <a:pt x="203" y="378"/>
                                </a:lnTo>
                                <a:lnTo>
                                  <a:pt x="209" y="371"/>
                                </a:lnTo>
                                <a:lnTo>
                                  <a:pt x="214" y="362"/>
                                </a:lnTo>
                                <a:lnTo>
                                  <a:pt x="219" y="352"/>
                                </a:lnTo>
                                <a:lnTo>
                                  <a:pt x="223" y="342"/>
                                </a:lnTo>
                                <a:lnTo>
                                  <a:pt x="225" y="331"/>
                                </a:lnTo>
                                <a:lnTo>
                                  <a:pt x="227" y="319"/>
                                </a:lnTo>
                                <a:lnTo>
                                  <a:pt x="227" y="306"/>
                                </a:lnTo>
                                <a:lnTo>
                                  <a:pt x="225" y="290"/>
                                </a:lnTo>
                                <a:lnTo>
                                  <a:pt x="223" y="275"/>
                                </a:lnTo>
                                <a:lnTo>
                                  <a:pt x="220" y="269"/>
                                </a:lnTo>
                                <a:lnTo>
                                  <a:pt x="217" y="263"/>
                                </a:lnTo>
                                <a:lnTo>
                                  <a:pt x="213" y="258"/>
                                </a:lnTo>
                                <a:lnTo>
                                  <a:pt x="209" y="251"/>
                                </a:lnTo>
                                <a:lnTo>
                                  <a:pt x="204" y="246"/>
                                </a:lnTo>
                                <a:lnTo>
                                  <a:pt x="199" y="241"/>
                                </a:lnTo>
                                <a:lnTo>
                                  <a:pt x="193" y="238"/>
                                </a:lnTo>
                                <a:lnTo>
                                  <a:pt x="185" y="234"/>
                                </a:lnTo>
                                <a:lnTo>
                                  <a:pt x="169" y="226"/>
                                </a:lnTo>
                                <a:lnTo>
                                  <a:pt x="151" y="220"/>
                                </a:lnTo>
                                <a:lnTo>
                                  <a:pt x="129" y="213"/>
                                </a:lnTo>
                                <a:lnTo>
                                  <a:pt x="117" y="209"/>
                                </a:lnTo>
                                <a:lnTo>
                                  <a:pt x="109" y="205"/>
                                </a:lnTo>
                                <a:lnTo>
                                  <a:pt x="103" y="200"/>
                                </a:lnTo>
                                <a:lnTo>
                                  <a:pt x="99" y="198"/>
                                </a:lnTo>
                                <a:lnTo>
                                  <a:pt x="98" y="194"/>
                                </a:lnTo>
                                <a:lnTo>
                                  <a:pt x="96" y="189"/>
                                </a:lnTo>
                                <a:lnTo>
                                  <a:pt x="96" y="185"/>
                                </a:lnTo>
                                <a:lnTo>
                                  <a:pt x="97" y="179"/>
                                </a:lnTo>
                                <a:lnTo>
                                  <a:pt x="98" y="174"/>
                                </a:lnTo>
                                <a:lnTo>
                                  <a:pt x="102" y="170"/>
                                </a:lnTo>
                                <a:lnTo>
                                  <a:pt x="106" y="167"/>
                                </a:lnTo>
                                <a:lnTo>
                                  <a:pt x="111" y="163"/>
                                </a:lnTo>
                                <a:lnTo>
                                  <a:pt x="117" y="160"/>
                                </a:lnTo>
                                <a:lnTo>
                                  <a:pt x="123" y="159"/>
                                </a:lnTo>
                                <a:lnTo>
                                  <a:pt x="129" y="158"/>
                                </a:lnTo>
                                <a:lnTo>
                                  <a:pt x="137" y="159"/>
                                </a:lnTo>
                                <a:lnTo>
                                  <a:pt x="143" y="159"/>
                                </a:lnTo>
                                <a:lnTo>
                                  <a:pt x="151" y="162"/>
                                </a:lnTo>
                                <a:lnTo>
                                  <a:pt x="157" y="163"/>
                                </a:lnTo>
                                <a:lnTo>
                                  <a:pt x="169" y="170"/>
                                </a:lnTo>
                                <a:lnTo>
                                  <a:pt x="183" y="179"/>
                                </a:lnTo>
                                <a:lnTo>
                                  <a:pt x="214" y="117"/>
                                </a:lnTo>
                                <a:close/>
                              </a:path>
                            </a:pathLst>
                          </a:custGeom>
                          <a:solidFill>
                            <a:srgbClr val="BD1B21"/>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round/>
                                <a:headEnd/>
                                <a:tailEnd/>
                              </a14:hiddenLine>
                            </a:ext>
                          </a:extLst>
                        </wps:spPr>
                        <wps:bodyPr rot="0" vert="horz" wrap="square" lIns="91440" tIns="45720" rIns="91440" bIns="45720" anchor="t" anchorCtr="0" upright="1">
                          <a:noAutofit/>
                        </wps:bodyPr>
                      </wps:wsp>
                      <wps:wsp>
                        <wps:cNvPr id="41" name="Freeform 14"/>
                        <wps:cNvSpPr>
                          <a:spLocks noChangeAspect="1" noEditPoints="1"/>
                        </wps:cNvSpPr>
                        <wps:spPr bwMode="auto">
                          <a:xfrm>
                            <a:off x="1962" y="851"/>
                            <a:ext cx="679" cy="208"/>
                          </a:xfrm>
                          <a:custGeom>
                            <a:avLst/>
                            <a:gdLst>
                              <a:gd name="T0" fmla="*/ 641 w 1358"/>
                              <a:gd name="T1" fmla="*/ 18 h 416"/>
                              <a:gd name="T2" fmla="*/ 679 w 1358"/>
                              <a:gd name="T3" fmla="*/ 50 h 416"/>
                              <a:gd name="T4" fmla="*/ 581 w 1358"/>
                              <a:gd name="T5" fmla="*/ 130 h 416"/>
                              <a:gd name="T6" fmla="*/ 432 w 1358"/>
                              <a:gd name="T7" fmla="*/ 204 h 416"/>
                              <a:gd name="T8" fmla="*/ 530 w 1358"/>
                              <a:gd name="T9" fmla="*/ 50 h 416"/>
                              <a:gd name="T10" fmla="*/ 349 w 1358"/>
                              <a:gd name="T11" fmla="*/ 54 h 416"/>
                              <a:gd name="T12" fmla="*/ 318 w 1358"/>
                              <a:gd name="T13" fmla="*/ 46 h 416"/>
                              <a:gd name="T14" fmla="*/ 290 w 1358"/>
                              <a:gd name="T15" fmla="*/ 50 h 416"/>
                              <a:gd name="T16" fmla="*/ 271 w 1358"/>
                              <a:gd name="T17" fmla="*/ 64 h 416"/>
                              <a:gd name="T18" fmla="*/ 261 w 1358"/>
                              <a:gd name="T19" fmla="*/ 87 h 416"/>
                              <a:gd name="T20" fmla="*/ 261 w 1358"/>
                              <a:gd name="T21" fmla="*/ 112 h 416"/>
                              <a:gd name="T22" fmla="*/ 272 w 1358"/>
                              <a:gd name="T23" fmla="*/ 129 h 416"/>
                              <a:gd name="T24" fmla="*/ 307 w 1358"/>
                              <a:gd name="T25" fmla="*/ 144 h 416"/>
                              <a:gd name="T26" fmla="*/ 324 w 1358"/>
                              <a:gd name="T27" fmla="*/ 153 h 416"/>
                              <a:gd name="T28" fmla="*/ 322 w 1358"/>
                              <a:gd name="T29" fmla="*/ 168 h 416"/>
                              <a:gd name="T30" fmla="*/ 306 w 1358"/>
                              <a:gd name="T31" fmla="*/ 174 h 416"/>
                              <a:gd name="T32" fmla="*/ 284 w 1358"/>
                              <a:gd name="T33" fmla="*/ 168 h 416"/>
                              <a:gd name="T34" fmla="*/ 260 w 1358"/>
                              <a:gd name="T35" fmla="*/ 195 h 416"/>
                              <a:gd name="T36" fmla="*/ 293 w 1358"/>
                              <a:gd name="T37" fmla="*/ 207 h 416"/>
                              <a:gd name="T38" fmla="*/ 326 w 1358"/>
                              <a:gd name="T39" fmla="*/ 206 h 416"/>
                              <a:gd name="T40" fmla="*/ 351 w 1358"/>
                              <a:gd name="T41" fmla="*/ 193 h 416"/>
                              <a:gd name="T42" fmla="*/ 365 w 1358"/>
                              <a:gd name="T43" fmla="*/ 172 h 416"/>
                              <a:gd name="T44" fmla="*/ 365 w 1358"/>
                              <a:gd name="T45" fmla="*/ 138 h 416"/>
                              <a:gd name="T46" fmla="*/ 356 w 1358"/>
                              <a:gd name="T47" fmla="*/ 124 h 416"/>
                              <a:gd name="T48" fmla="*/ 329 w 1358"/>
                              <a:gd name="T49" fmla="*/ 111 h 416"/>
                              <a:gd name="T50" fmla="*/ 304 w 1358"/>
                              <a:gd name="T51" fmla="*/ 99 h 416"/>
                              <a:gd name="T52" fmla="*/ 303 w 1358"/>
                              <a:gd name="T53" fmla="*/ 87 h 416"/>
                              <a:gd name="T54" fmla="*/ 315 w 1358"/>
                              <a:gd name="T55" fmla="*/ 80 h 416"/>
                              <a:gd name="T56" fmla="*/ 332 w 1358"/>
                              <a:gd name="T57" fmla="*/ 82 h 416"/>
                              <a:gd name="T58" fmla="*/ 232 w 1358"/>
                              <a:gd name="T59" fmla="*/ 50 h 416"/>
                              <a:gd name="T60" fmla="*/ 185 w 1358"/>
                              <a:gd name="T61" fmla="*/ 170 h 416"/>
                              <a:gd name="T62" fmla="*/ 185 w 1358"/>
                              <a:gd name="T63" fmla="*/ 84 h 416"/>
                              <a:gd name="T64" fmla="*/ 105 w 1358"/>
                              <a:gd name="T65" fmla="*/ 1 h 416"/>
                              <a:gd name="T66" fmla="*/ 108 w 1358"/>
                              <a:gd name="T67" fmla="*/ 51 h 416"/>
                              <a:gd name="T68" fmla="*/ 65 w 1358"/>
                              <a:gd name="T69" fmla="*/ 48 h 416"/>
                              <a:gd name="T70" fmla="*/ 29 w 1358"/>
                              <a:gd name="T71" fmla="*/ 65 h 416"/>
                              <a:gd name="T72" fmla="*/ 6 w 1358"/>
                              <a:gd name="T73" fmla="*/ 96 h 416"/>
                              <a:gd name="T74" fmla="*/ 0 w 1358"/>
                              <a:gd name="T75" fmla="*/ 136 h 416"/>
                              <a:gd name="T76" fmla="*/ 11 w 1358"/>
                              <a:gd name="T77" fmla="*/ 170 h 416"/>
                              <a:gd name="T78" fmla="*/ 41 w 1358"/>
                              <a:gd name="T79" fmla="*/ 197 h 416"/>
                              <a:gd name="T80" fmla="*/ 82 w 1358"/>
                              <a:gd name="T81" fmla="*/ 208 h 416"/>
                              <a:gd name="T82" fmla="*/ 118 w 1358"/>
                              <a:gd name="T83" fmla="*/ 153 h 416"/>
                              <a:gd name="T84" fmla="*/ 97 w 1358"/>
                              <a:gd name="T85" fmla="*/ 167 h 416"/>
                              <a:gd name="T86" fmla="*/ 76 w 1358"/>
                              <a:gd name="T87" fmla="*/ 168 h 416"/>
                              <a:gd name="T88" fmla="*/ 59 w 1358"/>
                              <a:gd name="T89" fmla="*/ 162 h 416"/>
                              <a:gd name="T90" fmla="*/ 45 w 1358"/>
                              <a:gd name="T91" fmla="*/ 146 h 416"/>
                              <a:gd name="T92" fmla="*/ 42 w 1358"/>
                              <a:gd name="T93" fmla="*/ 124 h 416"/>
                              <a:gd name="T94" fmla="*/ 49 w 1358"/>
                              <a:gd name="T95" fmla="*/ 104 h 416"/>
                              <a:gd name="T96" fmla="*/ 63 w 1358"/>
                              <a:gd name="T97" fmla="*/ 91 h 416"/>
                              <a:gd name="T98" fmla="*/ 83 w 1358"/>
                              <a:gd name="T99" fmla="*/ 86 h 416"/>
                              <a:gd name="T100" fmla="*/ 107 w 1358"/>
                              <a:gd name="T101" fmla="*/ 92 h 41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358" h="416">
                                <a:moveTo>
                                  <a:pt x="1282" y="36"/>
                                </a:moveTo>
                                <a:lnTo>
                                  <a:pt x="1243" y="0"/>
                                </a:lnTo>
                                <a:lnTo>
                                  <a:pt x="1178" y="56"/>
                                </a:lnTo>
                                <a:lnTo>
                                  <a:pt x="1205" y="85"/>
                                </a:lnTo>
                                <a:lnTo>
                                  <a:pt x="1282" y="36"/>
                                </a:lnTo>
                                <a:close/>
                                <a:moveTo>
                                  <a:pt x="1162" y="260"/>
                                </a:moveTo>
                                <a:lnTo>
                                  <a:pt x="1162" y="407"/>
                                </a:lnTo>
                                <a:lnTo>
                                  <a:pt x="1242" y="407"/>
                                </a:lnTo>
                                <a:lnTo>
                                  <a:pt x="1242" y="260"/>
                                </a:lnTo>
                                <a:lnTo>
                                  <a:pt x="1358" y="100"/>
                                </a:lnTo>
                                <a:lnTo>
                                  <a:pt x="1261" y="100"/>
                                </a:lnTo>
                                <a:lnTo>
                                  <a:pt x="1205" y="183"/>
                                </a:lnTo>
                                <a:lnTo>
                                  <a:pt x="1146" y="100"/>
                                </a:lnTo>
                                <a:lnTo>
                                  <a:pt x="1051" y="100"/>
                                </a:lnTo>
                                <a:lnTo>
                                  <a:pt x="1162" y="260"/>
                                </a:lnTo>
                                <a:close/>
                                <a:moveTo>
                                  <a:pt x="863" y="227"/>
                                </a:moveTo>
                                <a:lnTo>
                                  <a:pt x="863" y="100"/>
                                </a:lnTo>
                                <a:lnTo>
                                  <a:pt x="783" y="100"/>
                                </a:lnTo>
                                <a:lnTo>
                                  <a:pt x="783" y="407"/>
                                </a:lnTo>
                                <a:lnTo>
                                  <a:pt x="863" y="407"/>
                                </a:lnTo>
                                <a:lnTo>
                                  <a:pt x="863" y="274"/>
                                </a:lnTo>
                                <a:lnTo>
                                  <a:pt x="967" y="407"/>
                                </a:lnTo>
                                <a:lnTo>
                                  <a:pt x="1071" y="407"/>
                                </a:lnTo>
                                <a:lnTo>
                                  <a:pt x="938" y="245"/>
                                </a:lnTo>
                                <a:lnTo>
                                  <a:pt x="1059" y="100"/>
                                </a:lnTo>
                                <a:lnTo>
                                  <a:pt x="960" y="100"/>
                                </a:lnTo>
                                <a:lnTo>
                                  <a:pt x="863" y="227"/>
                                </a:lnTo>
                                <a:close/>
                                <a:moveTo>
                                  <a:pt x="721" y="117"/>
                                </a:moveTo>
                                <a:lnTo>
                                  <a:pt x="709" y="112"/>
                                </a:lnTo>
                                <a:lnTo>
                                  <a:pt x="697" y="107"/>
                                </a:lnTo>
                                <a:lnTo>
                                  <a:pt x="685" y="102"/>
                                </a:lnTo>
                                <a:lnTo>
                                  <a:pt x="673" y="98"/>
                                </a:lnTo>
                                <a:lnTo>
                                  <a:pt x="660" y="96"/>
                                </a:lnTo>
                                <a:lnTo>
                                  <a:pt x="648" y="93"/>
                                </a:lnTo>
                                <a:lnTo>
                                  <a:pt x="635" y="92"/>
                                </a:lnTo>
                                <a:lnTo>
                                  <a:pt x="624" y="92"/>
                                </a:lnTo>
                                <a:lnTo>
                                  <a:pt x="611" y="92"/>
                                </a:lnTo>
                                <a:lnTo>
                                  <a:pt x="602" y="95"/>
                                </a:lnTo>
                                <a:lnTo>
                                  <a:pt x="590" y="97"/>
                                </a:lnTo>
                                <a:lnTo>
                                  <a:pt x="580" y="100"/>
                                </a:lnTo>
                                <a:lnTo>
                                  <a:pt x="572" y="103"/>
                                </a:lnTo>
                                <a:lnTo>
                                  <a:pt x="563" y="108"/>
                                </a:lnTo>
                                <a:lnTo>
                                  <a:pt x="555" y="115"/>
                                </a:lnTo>
                                <a:lnTo>
                                  <a:pt x="548" y="121"/>
                                </a:lnTo>
                                <a:lnTo>
                                  <a:pt x="542" y="128"/>
                                </a:lnTo>
                                <a:lnTo>
                                  <a:pt x="535" y="136"/>
                                </a:lnTo>
                                <a:lnTo>
                                  <a:pt x="531" y="145"/>
                                </a:lnTo>
                                <a:lnTo>
                                  <a:pt x="527" y="153"/>
                                </a:lnTo>
                                <a:lnTo>
                                  <a:pt x="523" y="163"/>
                                </a:lnTo>
                                <a:lnTo>
                                  <a:pt x="521" y="174"/>
                                </a:lnTo>
                                <a:lnTo>
                                  <a:pt x="519" y="184"/>
                                </a:lnTo>
                                <a:lnTo>
                                  <a:pt x="519" y="196"/>
                                </a:lnTo>
                                <a:lnTo>
                                  <a:pt x="519" y="206"/>
                                </a:lnTo>
                                <a:lnTo>
                                  <a:pt x="521" y="216"/>
                                </a:lnTo>
                                <a:lnTo>
                                  <a:pt x="522" y="224"/>
                                </a:lnTo>
                                <a:lnTo>
                                  <a:pt x="524" y="232"/>
                                </a:lnTo>
                                <a:lnTo>
                                  <a:pt x="528" y="239"/>
                                </a:lnTo>
                                <a:lnTo>
                                  <a:pt x="533" y="245"/>
                                </a:lnTo>
                                <a:lnTo>
                                  <a:pt x="538" y="252"/>
                                </a:lnTo>
                                <a:lnTo>
                                  <a:pt x="543" y="257"/>
                                </a:lnTo>
                                <a:lnTo>
                                  <a:pt x="552" y="263"/>
                                </a:lnTo>
                                <a:lnTo>
                                  <a:pt x="564" y="269"/>
                                </a:lnTo>
                                <a:lnTo>
                                  <a:pt x="580" y="275"/>
                                </a:lnTo>
                                <a:lnTo>
                                  <a:pt x="602" y="282"/>
                                </a:lnTo>
                                <a:lnTo>
                                  <a:pt x="614" y="287"/>
                                </a:lnTo>
                                <a:lnTo>
                                  <a:pt x="625" y="290"/>
                                </a:lnTo>
                                <a:lnTo>
                                  <a:pt x="634" y="294"/>
                                </a:lnTo>
                                <a:lnTo>
                                  <a:pt x="640" y="298"/>
                                </a:lnTo>
                                <a:lnTo>
                                  <a:pt x="644" y="301"/>
                                </a:lnTo>
                                <a:lnTo>
                                  <a:pt x="648" y="306"/>
                                </a:lnTo>
                                <a:lnTo>
                                  <a:pt x="649" y="311"/>
                                </a:lnTo>
                                <a:lnTo>
                                  <a:pt x="650" y="318"/>
                                </a:lnTo>
                                <a:lnTo>
                                  <a:pt x="649" y="324"/>
                                </a:lnTo>
                                <a:lnTo>
                                  <a:pt x="648" y="330"/>
                                </a:lnTo>
                                <a:lnTo>
                                  <a:pt x="644" y="335"/>
                                </a:lnTo>
                                <a:lnTo>
                                  <a:pt x="639" y="339"/>
                                </a:lnTo>
                                <a:lnTo>
                                  <a:pt x="634" y="343"/>
                                </a:lnTo>
                                <a:lnTo>
                                  <a:pt x="626" y="345"/>
                                </a:lnTo>
                                <a:lnTo>
                                  <a:pt x="619" y="348"/>
                                </a:lnTo>
                                <a:lnTo>
                                  <a:pt x="611" y="348"/>
                                </a:lnTo>
                                <a:lnTo>
                                  <a:pt x="603" y="348"/>
                                </a:lnTo>
                                <a:lnTo>
                                  <a:pt x="594" y="345"/>
                                </a:lnTo>
                                <a:lnTo>
                                  <a:pt x="585" y="344"/>
                                </a:lnTo>
                                <a:lnTo>
                                  <a:pt x="577" y="340"/>
                                </a:lnTo>
                                <a:lnTo>
                                  <a:pt x="568" y="335"/>
                                </a:lnTo>
                                <a:lnTo>
                                  <a:pt x="559" y="330"/>
                                </a:lnTo>
                                <a:lnTo>
                                  <a:pt x="549" y="324"/>
                                </a:lnTo>
                                <a:lnTo>
                                  <a:pt x="540" y="316"/>
                                </a:lnTo>
                                <a:lnTo>
                                  <a:pt x="507" y="381"/>
                                </a:lnTo>
                                <a:lnTo>
                                  <a:pt x="519" y="389"/>
                                </a:lnTo>
                                <a:lnTo>
                                  <a:pt x="532" y="396"/>
                                </a:lnTo>
                                <a:lnTo>
                                  <a:pt x="544" y="401"/>
                                </a:lnTo>
                                <a:lnTo>
                                  <a:pt x="558" y="406"/>
                                </a:lnTo>
                                <a:lnTo>
                                  <a:pt x="572" y="410"/>
                                </a:lnTo>
                                <a:lnTo>
                                  <a:pt x="585" y="414"/>
                                </a:lnTo>
                                <a:lnTo>
                                  <a:pt x="599" y="415"/>
                                </a:lnTo>
                                <a:lnTo>
                                  <a:pt x="613" y="415"/>
                                </a:lnTo>
                                <a:lnTo>
                                  <a:pt x="626" y="415"/>
                                </a:lnTo>
                                <a:lnTo>
                                  <a:pt x="639" y="414"/>
                                </a:lnTo>
                                <a:lnTo>
                                  <a:pt x="651" y="411"/>
                                </a:lnTo>
                                <a:lnTo>
                                  <a:pt x="663" y="407"/>
                                </a:lnTo>
                                <a:lnTo>
                                  <a:pt x="674" y="404"/>
                                </a:lnTo>
                                <a:lnTo>
                                  <a:pt x="684" y="399"/>
                                </a:lnTo>
                                <a:lnTo>
                                  <a:pt x="694" y="392"/>
                                </a:lnTo>
                                <a:lnTo>
                                  <a:pt x="702" y="386"/>
                                </a:lnTo>
                                <a:lnTo>
                                  <a:pt x="709" y="379"/>
                                </a:lnTo>
                                <a:lnTo>
                                  <a:pt x="716" y="371"/>
                                </a:lnTo>
                                <a:lnTo>
                                  <a:pt x="721" y="363"/>
                                </a:lnTo>
                                <a:lnTo>
                                  <a:pt x="725" y="353"/>
                                </a:lnTo>
                                <a:lnTo>
                                  <a:pt x="729" y="343"/>
                                </a:lnTo>
                                <a:lnTo>
                                  <a:pt x="731" y="331"/>
                                </a:lnTo>
                                <a:lnTo>
                                  <a:pt x="732" y="319"/>
                                </a:lnTo>
                                <a:lnTo>
                                  <a:pt x="734" y="306"/>
                                </a:lnTo>
                                <a:lnTo>
                                  <a:pt x="732" y="290"/>
                                </a:lnTo>
                                <a:lnTo>
                                  <a:pt x="729" y="275"/>
                                </a:lnTo>
                                <a:lnTo>
                                  <a:pt x="726" y="269"/>
                                </a:lnTo>
                                <a:lnTo>
                                  <a:pt x="724" y="263"/>
                                </a:lnTo>
                                <a:lnTo>
                                  <a:pt x="720" y="258"/>
                                </a:lnTo>
                                <a:lnTo>
                                  <a:pt x="716" y="252"/>
                                </a:lnTo>
                                <a:lnTo>
                                  <a:pt x="711" y="247"/>
                                </a:lnTo>
                                <a:lnTo>
                                  <a:pt x="705" y="243"/>
                                </a:lnTo>
                                <a:lnTo>
                                  <a:pt x="699" y="238"/>
                                </a:lnTo>
                                <a:lnTo>
                                  <a:pt x="692" y="234"/>
                                </a:lnTo>
                                <a:lnTo>
                                  <a:pt x="676" y="227"/>
                                </a:lnTo>
                                <a:lnTo>
                                  <a:pt x="658" y="221"/>
                                </a:lnTo>
                                <a:lnTo>
                                  <a:pt x="636" y="214"/>
                                </a:lnTo>
                                <a:lnTo>
                                  <a:pt x="624" y="209"/>
                                </a:lnTo>
                                <a:lnTo>
                                  <a:pt x="615" y="206"/>
                                </a:lnTo>
                                <a:lnTo>
                                  <a:pt x="610" y="201"/>
                                </a:lnTo>
                                <a:lnTo>
                                  <a:pt x="607" y="198"/>
                                </a:lnTo>
                                <a:lnTo>
                                  <a:pt x="604" y="194"/>
                                </a:lnTo>
                                <a:lnTo>
                                  <a:pt x="603" y="189"/>
                                </a:lnTo>
                                <a:lnTo>
                                  <a:pt x="603" y="186"/>
                                </a:lnTo>
                                <a:lnTo>
                                  <a:pt x="603" y="181"/>
                                </a:lnTo>
                                <a:lnTo>
                                  <a:pt x="605" y="174"/>
                                </a:lnTo>
                                <a:lnTo>
                                  <a:pt x="608" y="171"/>
                                </a:lnTo>
                                <a:lnTo>
                                  <a:pt x="611" y="167"/>
                                </a:lnTo>
                                <a:lnTo>
                                  <a:pt x="618" y="163"/>
                                </a:lnTo>
                                <a:lnTo>
                                  <a:pt x="623" y="161"/>
                                </a:lnTo>
                                <a:lnTo>
                                  <a:pt x="629" y="159"/>
                                </a:lnTo>
                                <a:lnTo>
                                  <a:pt x="636" y="158"/>
                                </a:lnTo>
                                <a:lnTo>
                                  <a:pt x="643" y="159"/>
                                </a:lnTo>
                                <a:lnTo>
                                  <a:pt x="650" y="159"/>
                                </a:lnTo>
                                <a:lnTo>
                                  <a:pt x="656" y="162"/>
                                </a:lnTo>
                                <a:lnTo>
                                  <a:pt x="663" y="163"/>
                                </a:lnTo>
                                <a:lnTo>
                                  <a:pt x="676" y="171"/>
                                </a:lnTo>
                                <a:lnTo>
                                  <a:pt x="689" y="179"/>
                                </a:lnTo>
                                <a:lnTo>
                                  <a:pt x="721" y="117"/>
                                </a:lnTo>
                                <a:close/>
                                <a:moveTo>
                                  <a:pt x="463" y="167"/>
                                </a:moveTo>
                                <a:lnTo>
                                  <a:pt x="463" y="100"/>
                                </a:lnTo>
                                <a:lnTo>
                                  <a:pt x="289" y="100"/>
                                </a:lnTo>
                                <a:lnTo>
                                  <a:pt x="289" y="407"/>
                                </a:lnTo>
                                <a:lnTo>
                                  <a:pt x="463" y="407"/>
                                </a:lnTo>
                                <a:lnTo>
                                  <a:pt x="463" y="340"/>
                                </a:lnTo>
                                <a:lnTo>
                                  <a:pt x="369" y="340"/>
                                </a:lnTo>
                                <a:lnTo>
                                  <a:pt x="369" y="287"/>
                                </a:lnTo>
                                <a:lnTo>
                                  <a:pt x="458" y="287"/>
                                </a:lnTo>
                                <a:lnTo>
                                  <a:pt x="458" y="219"/>
                                </a:lnTo>
                                <a:lnTo>
                                  <a:pt x="369" y="219"/>
                                </a:lnTo>
                                <a:lnTo>
                                  <a:pt x="369" y="167"/>
                                </a:lnTo>
                                <a:lnTo>
                                  <a:pt x="463" y="167"/>
                                </a:lnTo>
                                <a:close/>
                                <a:moveTo>
                                  <a:pt x="66" y="36"/>
                                </a:moveTo>
                                <a:lnTo>
                                  <a:pt x="148" y="82"/>
                                </a:lnTo>
                                <a:lnTo>
                                  <a:pt x="231" y="36"/>
                                </a:lnTo>
                                <a:lnTo>
                                  <a:pt x="210" y="2"/>
                                </a:lnTo>
                                <a:lnTo>
                                  <a:pt x="148" y="34"/>
                                </a:lnTo>
                                <a:lnTo>
                                  <a:pt x="87" y="2"/>
                                </a:lnTo>
                                <a:lnTo>
                                  <a:pt x="66" y="36"/>
                                </a:lnTo>
                                <a:close/>
                                <a:moveTo>
                                  <a:pt x="235" y="108"/>
                                </a:moveTo>
                                <a:lnTo>
                                  <a:pt x="215" y="102"/>
                                </a:lnTo>
                                <a:lnTo>
                                  <a:pt x="197" y="97"/>
                                </a:lnTo>
                                <a:lnTo>
                                  <a:pt x="180" y="95"/>
                                </a:lnTo>
                                <a:lnTo>
                                  <a:pt x="163" y="93"/>
                                </a:lnTo>
                                <a:lnTo>
                                  <a:pt x="146" y="95"/>
                                </a:lnTo>
                                <a:lnTo>
                                  <a:pt x="129" y="96"/>
                                </a:lnTo>
                                <a:lnTo>
                                  <a:pt x="114" y="101"/>
                                </a:lnTo>
                                <a:lnTo>
                                  <a:pt x="99" y="106"/>
                                </a:lnTo>
                                <a:lnTo>
                                  <a:pt x="84" y="112"/>
                                </a:lnTo>
                                <a:lnTo>
                                  <a:pt x="71" y="121"/>
                                </a:lnTo>
                                <a:lnTo>
                                  <a:pt x="58" y="130"/>
                                </a:lnTo>
                                <a:lnTo>
                                  <a:pt x="47" y="141"/>
                                </a:lnTo>
                                <a:lnTo>
                                  <a:pt x="37" y="152"/>
                                </a:lnTo>
                                <a:lnTo>
                                  <a:pt x="27" y="164"/>
                                </a:lnTo>
                                <a:lnTo>
                                  <a:pt x="20" y="178"/>
                                </a:lnTo>
                                <a:lnTo>
                                  <a:pt x="12" y="192"/>
                                </a:lnTo>
                                <a:lnTo>
                                  <a:pt x="7" y="207"/>
                                </a:lnTo>
                                <a:lnTo>
                                  <a:pt x="3" y="223"/>
                                </a:lnTo>
                                <a:lnTo>
                                  <a:pt x="1" y="239"/>
                                </a:lnTo>
                                <a:lnTo>
                                  <a:pt x="0" y="257"/>
                                </a:lnTo>
                                <a:lnTo>
                                  <a:pt x="0" y="272"/>
                                </a:lnTo>
                                <a:lnTo>
                                  <a:pt x="2" y="287"/>
                                </a:lnTo>
                                <a:lnTo>
                                  <a:pt x="6" y="300"/>
                                </a:lnTo>
                                <a:lnTo>
                                  <a:pt x="10" y="314"/>
                                </a:lnTo>
                                <a:lnTo>
                                  <a:pt x="16" y="328"/>
                                </a:lnTo>
                                <a:lnTo>
                                  <a:pt x="22" y="340"/>
                                </a:lnTo>
                                <a:lnTo>
                                  <a:pt x="31" y="351"/>
                                </a:lnTo>
                                <a:lnTo>
                                  <a:pt x="41" y="363"/>
                                </a:lnTo>
                                <a:lnTo>
                                  <a:pt x="53" y="374"/>
                                </a:lnTo>
                                <a:lnTo>
                                  <a:pt x="66" y="385"/>
                                </a:lnTo>
                                <a:lnTo>
                                  <a:pt x="81" y="394"/>
                                </a:lnTo>
                                <a:lnTo>
                                  <a:pt x="97" y="401"/>
                                </a:lnTo>
                                <a:lnTo>
                                  <a:pt x="113" y="407"/>
                                </a:lnTo>
                                <a:lnTo>
                                  <a:pt x="129" y="412"/>
                                </a:lnTo>
                                <a:lnTo>
                                  <a:pt x="147" y="415"/>
                                </a:lnTo>
                                <a:lnTo>
                                  <a:pt x="163" y="416"/>
                                </a:lnTo>
                                <a:lnTo>
                                  <a:pt x="179" y="415"/>
                                </a:lnTo>
                                <a:lnTo>
                                  <a:pt x="193" y="414"/>
                                </a:lnTo>
                                <a:lnTo>
                                  <a:pt x="212" y="409"/>
                                </a:lnTo>
                                <a:lnTo>
                                  <a:pt x="235" y="401"/>
                                </a:lnTo>
                                <a:lnTo>
                                  <a:pt x="235" y="306"/>
                                </a:lnTo>
                                <a:lnTo>
                                  <a:pt x="228" y="314"/>
                                </a:lnTo>
                                <a:lnTo>
                                  <a:pt x="219" y="320"/>
                                </a:lnTo>
                                <a:lnTo>
                                  <a:pt x="212" y="326"/>
                                </a:lnTo>
                                <a:lnTo>
                                  <a:pt x="203" y="330"/>
                                </a:lnTo>
                                <a:lnTo>
                                  <a:pt x="194" y="334"/>
                                </a:lnTo>
                                <a:lnTo>
                                  <a:pt x="185" y="336"/>
                                </a:lnTo>
                                <a:lnTo>
                                  <a:pt x="175" y="338"/>
                                </a:lnTo>
                                <a:lnTo>
                                  <a:pt x="165" y="339"/>
                                </a:lnTo>
                                <a:lnTo>
                                  <a:pt x="158" y="338"/>
                                </a:lnTo>
                                <a:lnTo>
                                  <a:pt x="151" y="336"/>
                                </a:lnTo>
                                <a:lnTo>
                                  <a:pt x="143" y="335"/>
                                </a:lnTo>
                                <a:lnTo>
                                  <a:pt x="137" y="333"/>
                                </a:lnTo>
                                <a:lnTo>
                                  <a:pt x="129" y="330"/>
                                </a:lnTo>
                                <a:lnTo>
                                  <a:pt x="123" y="326"/>
                                </a:lnTo>
                                <a:lnTo>
                                  <a:pt x="117" y="323"/>
                                </a:lnTo>
                                <a:lnTo>
                                  <a:pt x="111" y="318"/>
                                </a:lnTo>
                                <a:lnTo>
                                  <a:pt x="104" y="311"/>
                                </a:lnTo>
                                <a:lnTo>
                                  <a:pt x="98" y="305"/>
                                </a:lnTo>
                                <a:lnTo>
                                  <a:pt x="93" y="299"/>
                                </a:lnTo>
                                <a:lnTo>
                                  <a:pt x="89" y="292"/>
                                </a:lnTo>
                                <a:lnTo>
                                  <a:pt x="87" y="283"/>
                                </a:lnTo>
                                <a:lnTo>
                                  <a:pt x="84" y="274"/>
                                </a:lnTo>
                                <a:lnTo>
                                  <a:pt x="83" y="265"/>
                                </a:lnTo>
                                <a:lnTo>
                                  <a:pt x="83" y="255"/>
                                </a:lnTo>
                                <a:lnTo>
                                  <a:pt x="83" y="247"/>
                                </a:lnTo>
                                <a:lnTo>
                                  <a:pt x="84" y="238"/>
                                </a:lnTo>
                                <a:lnTo>
                                  <a:pt x="87" y="229"/>
                                </a:lnTo>
                                <a:lnTo>
                                  <a:pt x="89" y="222"/>
                                </a:lnTo>
                                <a:lnTo>
                                  <a:pt x="93" y="214"/>
                                </a:lnTo>
                                <a:lnTo>
                                  <a:pt x="97" y="207"/>
                                </a:lnTo>
                                <a:lnTo>
                                  <a:pt x="102" y="201"/>
                                </a:lnTo>
                                <a:lnTo>
                                  <a:pt x="107" y="194"/>
                                </a:lnTo>
                                <a:lnTo>
                                  <a:pt x="112" y="189"/>
                                </a:lnTo>
                                <a:lnTo>
                                  <a:pt x="118" y="184"/>
                                </a:lnTo>
                                <a:lnTo>
                                  <a:pt x="126" y="181"/>
                                </a:lnTo>
                                <a:lnTo>
                                  <a:pt x="133" y="177"/>
                                </a:lnTo>
                                <a:lnTo>
                                  <a:pt x="141" y="174"/>
                                </a:lnTo>
                                <a:lnTo>
                                  <a:pt x="148" y="172"/>
                                </a:lnTo>
                                <a:lnTo>
                                  <a:pt x="157" y="171"/>
                                </a:lnTo>
                                <a:lnTo>
                                  <a:pt x="165" y="171"/>
                                </a:lnTo>
                                <a:lnTo>
                                  <a:pt x="175" y="171"/>
                                </a:lnTo>
                                <a:lnTo>
                                  <a:pt x="185" y="173"/>
                                </a:lnTo>
                                <a:lnTo>
                                  <a:pt x="195" y="176"/>
                                </a:lnTo>
                                <a:lnTo>
                                  <a:pt x="204" y="179"/>
                                </a:lnTo>
                                <a:lnTo>
                                  <a:pt x="213" y="184"/>
                                </a:lnTo>
                                <a:lnTo>
                                  <a:pt x="220" y="189"/>
                                </a:lnTo>
                                <a:lnTo>
                                  <a:pt x="228" y="197"/>
                                </a:lnTo>
                                <a:lnTo>
                                  <a:pt x="235" y="204"/>
                                </a:lnTo>
                                <a:lnTo>
                                  <a:pt x="235" y="108"/>
                                </a:lnTo>
                                <a:close/>
                              </a:path>
                            </a:pathLst>
                          </a:custGeom>
                          <a:solidFill>
                            <a:srgbClr val="BD1B21"/>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D550F9" id="Group 24" o:spid="_x0000_s1026" style="position:absolute;margin-left:45pt;margin-top:36.75pt;width:177.15pt;height:43.65pt;z-index:251657728;mso-position-horizontal-relative:page;mso-position-vertical-relative:page" coordorigin="567,851" coordsize="271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">
                <o:lock v:ext="edit" aspectratio="t"/>
                <v:rect id="Rectangle 9" o:spid="_x0000_s1027" style="position:absolute;left:1215;top:901;width:676;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" fillcolor="#0071bc" stroked="f">
                  <o:lock v:ext="edit" aspectratio="t"/>
                </v:rect>
                <v:rect id="Rectangle 10" o:spid="_x0000_s1028" style="position:absolute;left:567;top:1131;width:1324;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" fillcolor="#0071bc" stroked="f">
                  <o:lock v:ext="edit" aspectratio="t"/>
                </v:rect>
                <v:rect id="Rectangle 11" o:spid="_x0000_s1029" style="position:absolute;left:1288;top:1361;width:603;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" fillcolor="#0071bc" stroked="f">
                  <o:lock v:ext="edit" aspectratio="t"/>
                </v:rect>
                <v:shape id="Freeform 12" o:spid="_x0000_s1030" style="position:absolute;left:1969;top:1311;width:600;height:207;visibility:visible;mso-wrap-style:square;v-text-anchor:top" coordsize="120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"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d1b21" stroked="f">
                  <v:path arrowok="t" o:connecttype="custom" o:connectlocs="260,42;269,44;275,50;279,57;280,65;277,73;272,80;265,84;253,85;270,101;284,95;294,84;300,71;300,55;294,42;284,31;270,25;233,102;194,73;197,25;172,88;129,9;87,9;108,40;116,44;118,52;113,58;102,59;129,67;136,60;138,51;138,41;133,33;126,27;116,25;102,102;122,70;34,21;0,69;2,83;6,92;17,100;34,103;48,101;60,93;66,83;67,69;48,71;45,81;39,85;32,86;26,84;21,78;20,25" o:connectangles="0,0,0,0,0,0,0,0,0,0,0,0,0,0,0,0,0,0,0,0,0,0,0,0,0,0,0,0,0,0,0,0,0,0,0,0,0,0,0,0,0,0,0,0,0,0,0,0,0,0,0,0,0,0"/>
                  <o:lock v:ext="edit" aspectratio="t" verticies="t"/>
                </v:shape>
                <v:shape id="Freeform 13" o:spid="_x0000_s1031" style="position:absolute;left:1962;top:1081;width:1319;height:208;visibility:visible;mso-wrap-style:square;v-text-anchor:top" coordsize="2637,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"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d1b21" stroked="f">
                  <v:path arrowok="t" o:connecttype="custom" o:connectlocs="611,102;583,25;536,69;502,27;472,26;450,41;444,68;454,91;480,104;500,79;485,85;473,81;465,69;467,54;477,45;492,44;432,25;401,25;340,30;319,23;301,27;291,41;292,58;305,69;322,77;319,86;304,85;293,99;317,104;336,97;344,80;339,63;319,54;311,47;318,40;333,45;226,42;226,102;172,102;167,89;79,102;42,25;21,24;7,34;3,52;10,64;32,74;36,83;24,87;9,79;20,104;42,101;55,88;55,68;47,59;25,50;27,42;38,41" o:connectangles="0,0,0,0,0,0,0,0,0,0,0,0,0,0,0,0,0,0,0,0,0,0,0,0,0,0,0,0,0,0,0,0,0,0,0,0,0,0,0,0,0,0,0,0,0,0,0,0,0,0,0,0,0,0,0,0,0,0"/>
                  <o:lock v:ext="edit" aspectratio="t" verticies="t"/>
                </v:shape>
                <v:shape id="Freeform 14" o:spid="_x0000_s1032" style="position:absolute;left:1962;top:851;width:679;height:208;visibility:visible;mso-wrap-style:square;v-text-anchor:top" coordsize="1358,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"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7,-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d1b21" stroked="f">
                  <v:path arrowok="t" o:connecttype="custom" o:connectlocs="321,9;340,25;291,65;216,102;265,25;175,27;159,23;145,25;136,32;131,44;131,56;136,65;154,72;162,77;161,84;153,87;142,84;130,98;147,104;163,103;176,97;183,86;183,69;178,62;165,56;152,50;152,44;158,40;166,41;116,25;93,85;93,42;53,1;54,26;33,24;15,33;3,48;0,68;6,85;21,99;41,104;59,77;49,84;38,84;30,81;23,73;21,62;25,52;32,46;42,43;54,46" o:connectangles="0,0,0,0,0,0,0,0,0,0,0,0,0,0,0,0,0,0,0,0,0,0,0,0,0,0,0,0,0,0,0,0,0,0,0,0,0,0,0,0,0,0,0,0,0,0,0,0,0,0,0"/>
                  <o:lock v:ext="edit" aspectratio="t" verticies="t"/>
                </v:shape>
                <w10:wrap type="square" anchorx="page" anchory="page"/>
                <w10:anchorlock/>
              </v:group>
            </w:pict>
          </mc:Fallback>
        </mc:AlternateContent>
      </w:r>
      <w:r>
        <w:rPr>
          <w:noProof/>
        </w:rPr>
        <mc:AlternateContent>
          <mc:Choice Requires="wps">
            <w:drawing>
              <wp:anchor distT="0" distB="0" distL="114300" distR="114300" simplePos="0" relativeHeight="251656704" behindDoc="0" locked="1" layoutInCell="1" allowOverlap="1" wp14:anchorId="7D749472" wp14:editId="7C6FD2F2">
                <wp:simplePos x="0" y="0"/>
                <wp:positionH relativeFrom="page">
                  <wp:posOffset>1705610</wp:posOffset>
                </wp:positionH>
                <wp:positionV relativeFrom="page">
                  <wp:posOffset>8173085</wp:posOffset>
                </wp:positionV>
                <wp:extent cx="5130165" cy="925195"/>
                <wp:effectExtent l="0" t="0" r="0" b="0"/>
                <wp:wrapNone/>
                <wp:docPr id="2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165" cy="925195"/>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7E9AC955" w14:textId="77777777" w:rsidR="003474B6" w:rsidRDefault="003474B6" w:rsidP="004924DC">
                            <w:r>
                              <w:t>Z</w:t>
                            </w:r>
                            <w:r w:rsidRPr="006C5577">
                              <w:t xml:space="preserve">pracoval: </w:t>
                            </w:r>
                            <w:r>
                              <w:t>o</w:t>
                            </w:r>
                            <w:r w:rsidRPr="006C5577">
                              <w:t>dbor</w:t>
                            </w:r>
                            <w:r>
                              <w:t xml:space="preserve"> Kancelář předsedy, oddělení svodných analýz</w:t>
                            </w:r>
                          </w:p>
                          <w:p w14:paraId="132AD0FF" w14:textId="77777777" w:rsidR="003474B6" w:rsidRPr="006C5577" w:rsidRDefault="003474B6" w:rsidP="004924DC">
                            <w:r w:rsidRPr="006C5577">
                              <w:t xml:space="preserve">Ředitel odboru: </w:t>
                            </w:r>
                            <w:proofErr w:type="spellStart"/>
                            <w:r>
                              <w:t>Egor</w:t>
                            </w:r>
                            <w:proofErr w:type="spellEnd"/>
                            <w:r>
                              <w:t xml:space="preserve"> </w:t>
                            </w:r>
                            <w:proofErr w:type="spellStart"/>
                            <w:r>
                              <w:t>Sidorov</w:t>
                            </w:r>
                            <w:proofErr w:type="spellEnd"/>
                            <w:r>
                              <w:t>, Ph.D.</w:t>
                            </w:r>
                          </w:p>
                          <w:p w14:paraId="6CA077B6" w14:textId="77777777" w:rsidR="003474B6" w:rsidRPr="006C5577" w:rsidRDefault="003474B6" w:rsidP="004924DC">
                            <w:r w:rsidRPr="006C5577">
                              <w:t xml:space="preserve">Kontaktní osoba: </w:t>
                            </w:r>
                            <w:r>
                              <w:t>Karolína Zábojníková</w:t>
                            </w:r>
                            <w:r w:rsidRPr="006C5577">
                              <w:t>,</w:t>
                            </w:r>
                            <w:r>
                              <w:t xml:space="preserve"> e-mail: karolina.zabojnikova@czso.cz</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749472" id="_x0000_t202" coordsize="21600,21600" o:spt="202" path="m,l,21600r21600,l21600,xe">
                <v:stroke joinstyle="miter"/>
                <v:path gradientshapeok="t" o:connecttype="rect"/>
              </v:shapetype>
              <v:shape id="Textové pole 2" o:spid="_x0000_s1026" type="#_x0000_t202" style="position:absolute;left:0;text-align:left;margin-left:134.3pt;margin-top:643.55pt;width:403.95pt;height:72.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" filled="f" stroked="f">
                <v:textbox inset="0,0,0,0">
                  <w:txbxContent>
                    <w:p w14:paraId="7E9AC955" w14:textId="77777777" w:rsidR="003474B6" w:rsidRDefault="003474B6" w:rsidP="004924DC">
                      <w:r>
                        <w:t>Z</w:t>
                      </w:r>
                      <w:r w:rsidRPr="006C5577">
                        <w:t xml:space="preserve">pracoval: </w:t>
                      </w:r>
                      <w:r>
                        <w:t>o</w:t>
                      </w:r>
                      <w:r w:rsidRPr="006C5577">
                        <w:t>dbor</w:t>
                      </w:r>
                      <w:r>
                        <w:t xml:space="preserve"> Kancelář předsedy, oddělení svodných analýz</w:t>
                      </w:r>
                    </w:p>
                    <w:p w14:paraId="132AD0FF" w14:textId="77777777" w:rsidR="003474B6" w:rsidRPr="006C5577" w:rsidRDefault="003474B6" w:rsidP="004924DC">
                      <w:r w:rsidRPr="006C5577">
                        <w:t xml:space="preserve">Ředitel odboru: </w:t>
                      </w:r>
                      <w:proofErr w:type="spellStart"/>
                      <w:r>
                        <w:t>Egor</w:t>
                      </w:r>
                      <w:proofErr w:type="spellEnd"/>
                      <w:r>
                        <w:t xml:space="preserve"> </w:t>
                      </w:r>
                      <w:proofErr w:type="spellStart"/>
                      <w:r>
                        <w:t>Sidorov</w:t>
                      </w:r>
                      <w:proofErr w:type="spellEnd"/>
                      <w:r>
                        <w:t>, Ph.D.</w:t>
                      </w:r>
                    </w:p>
                    <w:p w14:paraId="6CA077B6" w14:textId="77777777" w:rsidR="003474B6" w:rsidRPr="006C5577" w:rsidRDefault="003474B6" w:rsidP="004924DC">
                      <w:r w:rsidRPr="006C5577">
                        <w:t xml:space="preserve">Kontaktní osoba: </w:t>
                      </w:r>
                      <w:r>
                        <w:t>Karolína Zábojníková</w:t>
                      </w:r>
                      <w:r w:rsidRPr="006C5577">
                        <w:t>,</w:t>
                      </w:r>
                      <w:r>
                        <w:t xml:space="preserve"> e-mail: karolina.zabojnikova@czso.cz</w:t>
                      </w: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68FC7FBA" wp14:editId="39BCFF7A">
                <wp:simplePos x="0" y="0"/>
                <wp:positionH relativeFrom="page">
                  <wp:posOffset>1710055</wp:posOffset>
                </wp:positionH>
                <wp:positionV relativeFrom="page">
                  <wp:posOffset>4680585</wp:posOffset>
                </wp:positionV>
                <wp:extent cx="5129530" cy="1686560"/>
                <wp:effectExtent l="0" t="0" r="0" b="0"/>
                <wp:wrapNone/>
                <wp:docPr id="3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9530" cy="168656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7DD19A4A" w14:textId="77777777" w:rsidR="003474B6" w:rsidRPr="004924DC" w:rsidRDefault="003474B6" w:rsidP="004924DC">
                            <w:pPr>
                              <w:pStyle w:val="TLIdentifikace-sted"/>
                            </w:pPr>
                            <w:r>
                              <w:t>souhrnná data o České republice</w:t>
                            </w:r>
                          </w:p>
                          <w:p w14:paraId="6D18FF6B" w14:textId="5FD4099D" w:rsidR="003474B6" w:rsidRPr="004924DC" w:rsidRDefault="003474B6" w:rsidP="004924DC">
                            <w:pPr>
                              <w:pStyle w:val="TLIdentifikace-sted"/>
                            </w:pPr>
                            <w:r>
                              <w:t>Praha, 15. 4. 2020</w:t>
                            </w:r>
                          </w:p>
                          <w:p w14:paraId="730B937E" w14:textId="77777777" w:rsidR="003474B6" w:rsidRPr="004924DC" w:rsidRDefault="003474B6" w:rsidP="004924DC">
                            <w:pPr>
                              <w:pStyle w:val="TLIdentifikace-sted"/>
                            </w:pPr>
                            <w:r w:rsidRPr="004924DC">
                              <w:t xml:space="preserve">Kód publikace: </w:t>
                            </w:r>
                            <w:r>
                              <w:t>320193-19</w:t>
                            </w:r>
                          </w:p>
                          <w:p w14:paraId="1E265112" w14:textId="19768F7F" w:rsidR="003474B6" w:rsidRPr="004924DC" w:rsidRDefault="003474B6" w:rsidP="004924DC">
                            <w:pPr>
                              <w:pStyle w:val="TLIdentifikace-sted"/>
                            </w:pPr>
                            <w:r w:rsidRPr="00795759">
                              <w:t xml:space="preserve">Č. j.: </w:t>
                            </w:r>
                            <w:r w:rsidRPr="00795759">
                              <w:rPr>
                                <w:color w:val="000000"/>
                              </w:rPr>
                              <w:t>CSU-005036/2020-11</w:t>
                            </w:r>
                          </w:p>
                          <w:p w14:paraId="3F00E29A" w14:textId="630CBCA3" w:rsidR="003474B6" w:rsidRPr="004924DC" w:rsidRDefault="003474B6" w:rsidP="004924DC">
                            <w:pPr>
                              <w:pStyle w:val="TLIdentifikace-sted"/>
                            </w:pPr>
                            <w:r w:rsidRPr="004924DC">
                              <w:t>Pořadové číslo v</w:t>
                            </w:r>
                            <w:r>
                              <w:t> </w:t>
                            </w:r>
                            <w:r w:rsidRPr="004924DC">
                              <w:t xml:space="preserve">roce: </w:t>
                            </w:r>
                            <w:r>
                              <w:t>4</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8FC7FBA" id="_x0000_s1027" type="#_x0000_t202" style="position:absolute;left:0;text-align:left;margin-left:134.65pt;margin-top:368.55pt;width:403.9pt;height:132.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" filled="f" stroked="f">
                <v:textbox style="mso-fit-shape-to-text:t" inset="0,0,0,0">
                  <w:txbxContent>
                    <w:p w14:paraId="7DD19A4A" w14:textId="77777777" w:rsidR="003474B6" w:rsidRPr="004924DC" w:rsidRDefault="003474B6" w:rsidP="004924DC">
                      <w:pPr>
                        <w:pStyle w:val="TLIdentifikace-sted"/>
                      </w:pPr>
                      <w:r>
                        <w:t>souhrnná data o České republice</w:t>
                      </w:r>
                    </w:p>
                    <w:p w14:paraId="6D18FF6B" w14:textId="5FD4099D" w:rsidR="003474B6" w:rsidRPr="004924DC" w:rsidRDefault="003474B6" w:rsidP="004924DC">
                      <w:pPr>
                        <w:pStyle w:val="TLIdentifikace-sted"/>
                      </w:pPr>
                      <w:r>
                        <w:t>Praha, 15. 4. 2020</w:t>
                      </w:r>
                    </w:p>
                    <w:p w14:paraId="730B937E" w14:textId="77777777" w:rsidR="003474B6" w:rsidRPr="004924DC" w:rsidRDefault="003474B6" w:rsidP="004924DC">
                      <w:pPr>
                        <w:pStyle w:val="TLIdentifikace-sted"/>
                      </w:pPr>
                      <w:r w:rsidRPr="004924DC">
                        <w:t xml:space="preserve">Kód publikace: </w:t>
                      </w:r>
                      <w:r>
                        <w:t>320193-19</w:t>
                      </w:r>
                    </w:p>
                    <w:p w14:paraId="1E265112" w14:textId="19768F7F" w:rsidR="003474B6" w:rsidRPr="004924DC" w:rsidRDefault="003474B6" w:rsidP="004924DC">
                      <w:pPr>
                        <w:pStyle w:val="TLIdentifikace-sted"/>
                      </w:pPr>
                      <w:r w:rsidRPr="00795759">
                        <w:t xml:space="preserve">Č. j.: </w:t>
                      </w:r>
                      <w:r w:rsidRPr="00795759">
                        <w:rPr>
                          <w:color w:val="000000"/>
                        </w:rPr>
                        <w:t>CSU-005036/2020-11</w:t>
                      </w:r>
                    </w:p>
                    <w:p w14:paraId="3F00E29A" w14:textId="630CBCA3" w:rsidR="003474B6" w:rsidRPr="004924DC" w:rsidRDefault="003474B6" w:rsidP="004924DC">
                      <w:pPr>
                        <w:pStyle w:val="TLIdentifikace-sted"/>
                      </w:pPr>
                      <w:r w:rsidRPr="004924DC">
                        <w:t>Pořadové číslo v</w:t>
                      </w:r>
                      <w:r>
                        <w:t> </w:t>
                      </w:r>
                      <w:r w:rsidRPr="004924DC">
                        <w:t xml:space="preserve">roce: </w:t>
                      </w:r>
                      <w:r>
                        <w:t>4</w:t>
                      </w:r>
                    </w:p>
                  </w:txbxContent>
                </v:textbox>
                <w10:wrap anchorx="page" anchory="page"/>
                <w10:anchorlock/>
              </v:shape>
            </w:pict>
          </mc:Fallback>
        </mc:AlternateContent>
      </w:r>
      <w:r>
        <w:rPr>
          <w:noProof/>
        </w:rPr>
        <mc:AlternateContent>
          <mc:Choice Requires="wps">
            <w:drawing>
              <wp:anchor distT="0" distB="0" distL="114300" distR="114300" simplePos="0" relativeHeight="251654656" behindDoc="0" locked="1" layoutInCell="1" allowOverlap="1" wp14:anchorId="22A1BD4B" wp14:editId="31E7B526">
                <wp:simplePos x="0" y="0"/>
                <wp:positionH relativeFrom="page">
                  <wp:posOffset>1710055</wp:posOffset>
                </wp:positionH>
                <wp:positionV relativeFrom="page">
                  <wp:posOffset>1476375</wp:posOffset>
                </wp:positionV>
                <wp:extent cx="5129530" cy="1471930"/>
                <wp:effectExtent l="0" t="0" r="0" b="0"/>
                <wp:wrapNone/>
                <wp:docPr id="1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9530" cy="147193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06763847" w14:textId="77777777" w:rsidR="003474B6" w:rsidRPr="000E6FBD" w:rsidRDefault="003474B6" w:rsidP="000E6FBD">
                            <w:pPr>
                              <w:pStyle w:val="Nzev"/>
                            </w:pPr>
                            <w:r>
                              <w:t>Vývoj ekonomiky české republiky</w:t>
                            </w:r>
                          </w:p>
                          <w:p w14:paraId="0059A4DC" w14:textId="77777777" w:rsidR="003474B6" w:rsidRPr="0012192F" w:rsidRDefault="003474B6" w:rsidP="0012192F">
                            <w:pPr>
                              <w:pStyle w:val="Podnadpis"/>
                            </w:pPr>
                          </w:p>
                          <w:p w14:paraId="0A162DB8" w14:textId="31BB58E8" w:rsidR="003474B6" w:rsidRPr="0012192F" w:rsidRDefault="003474B6" w:rsidP="000F090B">
                            <w:pPr>
                              <w:pStyle w:val="Podnadpis"/>
                            </w:pPr>
                            <w:r>
                              <w:t>rok 2019</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2A1BD4B" id="_x0000_s1028" type="#_x0000_t202" style="position:absolute;left:0;text-align:left;margin-left:134.65pt;margin-top:116.25pt;width:403.9pt;height:115.9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" filled="f" stroked="f">
                <v:textbox style="mso-fit-shape-to-text:t" inset="0,0,0,0">
                  <w:txbxContent>
                    <w:p w14:paraId="06763847" w14:textId="77777777" w:rsidR="003474B6" w:rsidRPr="000E6FBD" w:rsidRDefault="003474B6" w:rsidP="000E6FBD">
                      <w:pPr>
                        <w:pStyle w:val="Nzev"/>
                      </w:pPr>
                      <w:r>
                        <w:t>Vývoj ekonomiky české republiky</w:t>
                      </w:r>
                    </w:p>
                    <w:p w14:paraId="0059A4DC" w14:textId="77777777" w:rsidR="003474B6" w:rsidRPr="0012192F" w:rsidRDefault="003474B6" w:rsidP="0012192F">
                      <w:pPr>
                        <w:pStyle w:val="Podnadpis"/>
                      </w:pPr>
                    </w:p>
                    <w:p w14:paraId="0A162DB8" w14:textId="31BB58E8" w:rsidR="003474B6" w:rsidRPr="0012192F" w:rsidRDefault="003474B6" w:rsidP="000F090B">
                      <w:pPr>
                        <w:pStyle w:val="Podnadpis"/>
                      </w:pPr>
                      <w:r>
                        <w:t>rok 2019</w:t>
                      </w:r>
                    </w:p>
                  </w:txbxContent>
                </v:textbox>
                <w10:wrap anchorx="page" anchory="page"/>
                <w10:anchorlock/>
              </v:shape>
            </w:pict>
          </mc:Fallback>
        </mc:AlternateContent>
      </w:r>
      <w:r>
        <w:rPr>
          <w:noProof/>
        </w:rPr>
        <mc:AlternateContent>
          <mc:Choice Requires="wps">
            <w:drawing>
              <wp:anchor distT="0" distB="0" distL="114300" distR="114300" simplePos="0" relativeHeight="251658752" behindDoc="0" locked="1" layoutInCell="1" allowOverlap="1" wp14:anchorId="211D308C" wp14:editId="77DC381B">
                <wp:simplePos x="0" y="0"/>
                <wp:positionH relativeFrom="page">
                  <wp:posOffset>1710055</wp:posOffset>
                </wp:positionH>
                <wp:positionV relativeFrom="page">
                  <wp:posOffset>9649460</wp:posOffset>
                </wp:positionV>
                <wp:extent cx="5130165" cy="179705"/>
                <wp:effectExtent l="0" t="0" r="0" b="0"/>
                <wp:wrapNone/>
                <wp:docPr id="1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165" cy="179705"/>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504B1224" w14:textId="7F5B7397" w:rsidR="003474B6" w:rsidRPr="004924DC" w:rsidRDefault="003474B6" w:rsidP="004924DC">
                            <w:r w:rsidRPr="004924DC">
                              <w:t xml:space="preserve">© Český statistický úřad, </w:t>
                            </w:r>
                            <w:r>
                              <w:t>Praha</w:t>
                            </w:r>
                            <w:r w:rsidRPr="004924DC">
                              <w:t xml:space="preserve">, </w:t>
                            </w:r>
                            <w:r>
                              <w:t>2020</w:t>
                            </w:r>
                          </w:p>
                          <w:p w14:paraId="6B03C3EF" w14:textId="77777777" w:rsidR="003474B6" w:rsidRPr="005251DD" w:rsidRDefault="003474B6" w:rsidP="00665BA4"/>
                          <w:p w14:paraId="0A8089AF" w14:textId="77777777" w:rsidR="003474B6" w:rsidRPr="005251DD" w:rsidRDefault="003474B6" w:rsidP="00FC684B"/>
                          <w:p w14:paraId="002EBABF" w14:textId="77777777" w:rsidR="003474B6" w:rsidRDefault="003474B6"/>
                          <w:p w14:paraId="1BBEDF65" w14:textId="77777777" w:rsidR="003474B6" w:rsidRPr="00097407" w:rsidRDefault="003474B6" w:rsidP="00665BA4">
                            <w:r w:rsidRPr="00097407">
                              <w:t xml:space="preserve">© </w:t>
                            </w:r>
                            <w:r w:rsidRPr="005251DD">
                              <w:t>Český statistický úřad</w:t>
                            </w:r>
                            <w:r>
                              <w:t xml:space="preserve"> / </w:t>
                            </w:r>
                            <w:r w:rsidRPr="009A1902">
                              <w:rPr>
                                <w:i/>
                              </w:rPr>
                              <w:t xml:space="preserve">Czech </w:t>
                            </w:r>
                            <w:proofErr w:type="spellStart"/>
                            <w:r w:rsidRPr="009A1902">
                              <w:rPr>
                                <w:rFonts w:cs="Arial"/>
                                <w:i/>
                                <w:szCs w:val="20"/>
                              </w:rPr>
                              <w:t>Statistical</w:t>
                            </w:r>
                            <w:proofErr w:type="spellEnd"/>
                            <w:r w:rsidRPr="009A1902">
                              <w:rPr>
                                <w:rFonts w:cs="Arial"/>
                                <w:i/>
                                <w:szCs w:val="20"/>
                              </w:rPr>
                              <w:t xml:space="preserve"> Office</w:t>
                            </w:r>
                            <w:r w:rsidRPr="00097407">
                              <w:t>, místo, rok vydání</w:t>
                            </w:r>
                          </w:p>
                          <w:p w14:paraId="048CED67" w14:textId="77777777" w:rsidR="003474B6" w:rsidRPr="005251DD" w:rsidRDefault="003474B6" w:rsidP="00665BA4"/>
                          <w:p w14:paraId="2D7C43C3" w14:textId="77777777" w:rsidR="003474B6" w:rsidRPr="005251DD" w:rsidRDefault="003474B6" w:rsidP="00FC684B"/>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1D308C" id="_x0000_s1029" type="#_x0000_t202" style="position:absolute;left:0;text-align:left;margin-left:134.65pt;margin-top:759.8pt;width:403.95pt;height:14.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" filled="f" stroked="f">
                <v:textbox inset="0,0,0,0">
                  <w:txbxContent>
                    <w:p w14:paraId="504B1224" w14:textId="7F5B7397" w:rsidR="003474B6" w:rsidRPr="004924DC" w:rsidRDefault="003474B6" w:rsidP="004924DC">
                      <w:r w:rsidRPr="004924DC">
                        <w:t xml:space="preserve">© Český statistický úřad, </w:t>
                      </w:r>
                      <w:r>
                        <w:t>Praha</w:t>
                      </w:r>
                      <w:r w:rsidRPr="004924DC">
                        <w:t xml:space="preserve">, </w:t>
                      </w:r>
                      <w:r>
                        <w:t>2020</w:t>
                      </w:r>
                    </w:p>
                    <w:p w14:paraId="6B03C3EF" w14:textId="77777777" w:rsidR="003474B6" w:rsidRPr="005251DD" w:rsidRDefault="003474B6" w:rsidP="00665BA4"/>
                    <w:p w14:paraId="0A8089AF" w14:textId="77777777" w:rsidR="003474B6" w:rsidRPr="005251DD" w:rsidRDefault="003474B6" w:rsidP="00FC684B"/>
                    <w:p w14:paraId="002EBABF" w14:textId="77777777" w:rsidR="003474B6" w:rsidRDefault="003474B6"/>
                    <w:p w14:paraId="1BBEDF65" w14:textId="77777777" w:rsidR="003474B6" w:rsidRPr="00097407" w:rsidRDefault="003474B6" w:rsidP="00665BA4">
                      <w:r w:rsidRPr="00097407">
                        <w:t xml:space="preserve">© </w:t>
                      </w:r>
                      <w:r w:rsidRPr="005251DD">
                        <w:t>Český statistický úřad</w:t>
                      </w:r>
                      <w:r>
                        <w:t xml:space="preserve"> / </w:t>
                      </w:r>
                      <w:r w:rsidRPr="009A1902">
                        <w:rPr>
                          <w:i/>
                        </w:rPr>
                        <w:t xml:space="preserve">Czech </w:t>
                      </w:r>
                      <w:proofErr w:type="spellStart"/>
                      <w:r w:rsidRPr="009A1902">
                        <w:rPr>
                          <w:rFonts w:cs="Arial"/>
                          <w:i/>
                          <w:szCs w:val="20"/>
                        </w:rPr>
                        <w:t>Statistical</w:t>
                      </w:r>
                      <w:proofErr w:type="spellEnd"/>
                      <w:r w:rsidRPr="009A1902">
                        <w:rPr>
                          <w:rFonts w:cs="Arial"/>
                          <w:i/>
                          <w:szCs w:val="20"/>
                        </w:rPr>
                        <w:t xml:space="preserve"> Office</w:t>
                      </w:r>
                      <w:r w:rsidRPr="00097407">
                        <w:t>, místo, rok vydání</w:t>
                      </w:r>
                    </w:p>
                    <w:p w14:paraId="048CED67" w14:textId="77777777" w:rsidR="003474B6" w:rsidRPr="005251DD" w:rsidRDefault="003474B6" w:rsidP="00665BA4"/>
                    <w:p w14:paraId="2D7C43C3" w14:textId="77777777" w:rsidR="003474B6" w:rsidRPr="005251DD" w:rsidRDefault="003474B6" w:rsidP="00FC684B"/>
                  </w:txbxContent>
                </v:textbox>
                <w10:wrap anchorx="page" anchory="page"/>
                <w10:anchorlock/>
              </v:shape>
            </w:pict>
          </mc:Fallback>
        </mc:AlternateContent>
      </w:r>
      <w:r>
        <w:rPr>
          <w:noProof/>
        </w:rPr>
        <mc:AlternateContent>
          <mc:Choice Requires="wps">
            <w:drawing>
              <wp:anchor distT="4294967293" distB="4294967293" distL="114300" distR="114300" simplePos="0" relativeHeight="251653632" behindDoc="0" locked="1" layoutInCell="0" allowOverlap="1" wp14:anchorId="56616E6D" wp14:editId="72D626EF">
                <wp:simplePos x="0" y="0"/>
                <wp:positionH relativeFrom="page">
                  <wp:posOffset>1710055</wp:posOffset>
                </wp:positionH>
                <wp:positionV relativeFrom="page">
                  <wp:posOffset>9361169</wp:posOffset>
                </wp:positionV>
                <wp:extent cx="5130165" cy="0"/>
                <wp:effectExtent l="0" t="0" r="13335" b="0"/>
                <wp:wrapNone/>
                <wp:docPr id="17" name="Přímá spojnic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3016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CF06386" id="Přímá spojnice 33" o:spid="_x0000_s1026" style="position:absolute;z-index:251653632;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134.65pt,737.1pt" to="538.6pt,7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" o:allowincell="f" strokecolor="windowText" strokeweight="1pt">
                <o:lock v:ext="edit" shapetype="f"/>
                <w10:wrap anchorx="page" anchory="page"/>
                <w10:anchorlock/>
              </v:line>
            </w:pict>
          </mc:Fallback>
        </mc:AlternateContent>
      </w:r>
      <w:r w:rsidR="00F63FB7" w:rsidRPr="009110F7">
        <w:br w:type="page"/>
      </w:r>
      <w:r w:rsidR="00D57677" w:rsidRPr="009110F7">
        <w:lastRenderedPageBreak/>
        <w:br w:type="page"/>
      </w:r>
      <w:r>
        <w:rPr>
          <w:noProof/>
        </w:rPr>
        <mc:AlternateContent>
          <mc:Choice Requires="wps">
            <w:drawing>
              <wp:anchor distT="0" distB="0" distL="114300" distR="114300" simplePos="0" relativeHeight="251659776" behindDoc="0" locked="1" layoutInCell="1" allowOverlap="1" wp14:anchorId="1CA088C6" wp14:editId="054DEB49">
                <wp:simplePos x="0" y="0"/>
                <wp:positionH relativeFrom="page">
                  <wp:posOffset>723900</wp:posOffset>
                </wp:positionH>
                <wp:positionV relativeFrom="page">
                  <wp:posOffset>1440180</wp:posOffset>
                </wp:positionV>
                <wp:extent cx="6119495" cy="7673340"/>
                <wp:effectExtent l="0" t="0" r="0" b="0"/>
                <wp:wrapNone/>
                <wp:docPr id="1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767334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28541332" w14:textId="77777777" w:rsidR="003474B6" w:rsidRPr="006F5416" w:rsidRDefault="003474B6" w:rsidP="006F5416">
                            <w:pPr>
                              <w:pStyle w:val="TLKontaktyerven"/>
                            </w:pPr>
                            <w:r w:rsidRPr="006F5416">
                              <w:t>KONTAKTY V ÚSTŘEDÍ</w:t>
                            </w:r>
                          </w:p>
                          <w:p w14:paraId="3C71345D" w14:textId="77777777" w:rsidR="003474B6" w:rsidRPr="007D40DF" w:rsidRDefault="003474B6" w:rsidP="00825C4D">
                            <w:pPr>
                              <w:pStyle w:val="TLKontakty"/>
                              <w:spacing w:after="80" w:line="240" w:lineRule="auto"/>
                              <w:contextualSpacing w:val="0"/>
                              <w:rPr>
                                <w:b w:val="0"/>
                                <w:color w:val="auto"/>
                              </w:rPr>
                            </w:pPr>
                            <w:r w:rsidRPr="00D66223">
                              <w:t>Český statistický úřad</w:t>
                            </w:r>
                            <w:r w:rsidRPr="007D40DF">
                              <w:rPr>
                                <w:b w:val="0"/>
                                <w:color w:val="auto"/>
                              </w:rPr>
                              <w:t xml:space="preserve"> | Na</w:t>
                            </w:r>
                            <w:r>
                              <w:rPr>
                                <w:b w:val="0"/>
                                <w:color w:val="auto"/>
                              </w:rPr>
                              <w:t xml:space="preserve"> padesátém 81, 100 82 Praha</w:t>
                            </w:r>
                            <w:r w:rsidRPr="007D40DF">
                              <w:rPr>
                                <w:b w:val="0"/>
                                <w:color w:val="auto"/>
                              </w:rPr>
                              <w:t> </w:t>
                            </w:r>
                            <w:r>
                              <w:rPr>
                                <w:b w:val="0"/>
                                <w:color w:val="auto"/>
                              </w:rPr>
                              <w:t xml:space="preserve">10, </w:t>
                            </w:r>
                            <w:r w:rsidRPr="007D40DF">
                              <w:rPr>
                                <w:b w:val="0"/>
                                <w:color w:val="auto"/>
                              </w:rPr>
                              <w:t xml:space="preserve">tel.: 274 051 111 | </w:t>
                            </w:r>
                            <w:r w:rsidRPr="007D40DF">
                              <w:rPr>
                                <w:color w:val="auto"/>
                              </w:rPr>
                              <w:t>www.czso.cz</w:t>
                            </w:r>
                          </w:p>
                          <w:p w14:paraId="5DF2AD66" w14:textId="77777777" w:rsidR="003474B6" w:rsidRPr="00D235B7" w:rsidRDefault="003474B6" w:rsidP="00825C4D">
                            <w:pPr>
                              <w:pStyle w:val="TLKontakty"/>
                              <w:spacing w:after="80" w:line="240" w:lineRule="auto"/>
                              <w:contextualSpacing w:val="0"/>
                              <w:rPr>
                                <w:b w:val="0"/>
                                <w:color w:val="auto"/>
                              </w:rPr>
                            </w:pPr>
                            <w:r w:rsidRPr="00D235B7">
                              <w:rPr>
                                <w:color w:val="auto"/>
                              </w:rPr>
                              <w:t>Oddělení informačních služeb</w:t>
                            </w:r>
                            <w:r w:rsidRPr="00D235B7">
                              <w:rPr>
                                <w:b w:val="0"/>
                                <w:color w:val="auto"/>
                              </w:rPr>
                              <w:t xml:space="preserve"> | tel.: 274</w:t>
                            </w:r>
                            <w:r>
                              <w:rPr>
                                <w:b w:val="0"/>
                                <w:color w:val="auto"/>
                              </w:rPr>
                              <w:t> </w:t>
                            </w:r>
                            <w:r w:rsidRPr="00D235B7">
                              <w:rPr>
                                <w:b w:val="0"/>
                                <w:color w:val="auto"/>
                              </w:rPr>
                              <w:t>052</w:t>
                            </w:r>
                            <w:r>
                              <w:rPr>
                                <w:b w:val="0"/>
                                <w:color w:val="auto"/>
                              </w:rPr>
                              <w:t> </w:t>
                            </w:r>
                            <w:r w:rsidRPr="00D235B7">
                              <w:rPr>
                                <w:b w:val="0"/>
                                <w:color w:val="auto"/>
                              </w:rPr>
                              <w:t>304, 274</w:t>
                            </w:r>
                            <w:r>
                              <w:rPr>
                                <w:b w:val="0"/>
                                <w:color w:val="auto"/>
                              </w:rPr>
                              <w:t> </w:t>
                            </w:r>
                            <w:r w:rsidRPr="00D235B7">
                              <w:rPr>
                                <w:b w:val="0"/>
                                <w:color w:val="auto"/>
                              </w:rPr>
                              <w:t>052 451 | e-mail: infoservis@czso.cz</w:t>
                            </w:r>
                          </w:p>
                          <w:p w14:paraId="41F3052F" w14:textId="77777777" w:rsidR="003474B6" w:rsidRPr="00D235B7" w:rsidRDefault="003474B6" w:rsidP="00825C4D">
                            <w:pPr>
                              <w:pStyle w:val="TLKontakty"/>
                              <w:spacing w:after="80" w:line="240" w:lineRule="auto"/>
                              <w:contextualSpacing w:val="0"/>
                              <w:rPr>
                                <w:b w:val="0"/>
                                <w:color w:val="auto"/>
                              </w:rPr>
                            </w:pPr>
                            <w:r w:rsidRPr="00D235B7">
                              <w:rPr>
                                <w:color w:val="auto"/>
                              </w:rPr>
                              <w:t>Prodejna publikací ČSÚ</w:t>
                            </w:r>
                            <w:r w:rsidRPr="00D235B7">
                              <w:rPr>
                                <w:b w:val="0"/>
                                <w:color w:val="auto"/>
                              </w:rPr>
                              <w:t xml:space="preserve"> | tel.: 274</w:t>
                            </w:r>
                            <w:r>
                              <w:rPr>
                                <w:b w:val="0"/>
                                <w:color w:val="auto"/>
                              </w:rPr>
                              <w:t> </w:t>
                            </w:r>
                            <w:r w:rsidRPr="00D235B7">
                              <w:rPr>
                                <w:b w:val="0"/>
                                <w:color w:val="auto"/>
                              </w:rPr>
                              <w:t>052 361 | e-mail: prodejna@czso.cz</w:t>
                            </w:r>
                          </w:p>
                          <w:p w14:paraId="231AC1D4" w14:textId="77777777" w:rsidR="003474B6" w:rsidRPr="00D235B7" w:rsidRDefault="003474B6" w:rsidP="00825C4D">
                            <w:pPr>
                              <w:pStyle w:val="TLKontakty"/>
                              <w:spacing w:after="80" w:line="240" w:lineRule="auto"/>
                              <w:contextualSpacing w:val="0"/>
                              <w:rPr>
                                <w:b w:val="0"/>
                                <w:color w:val="auto"/>
                              </w:rPr>
                            </w:pPr>
                            <w:r w:rsidRPr="00D235B7">
                              <w:rPr>
                                <w:color w:val="auto"/>
                              </w:rPr>
                              <w:t>Evropská data (ESDS), mezinárodní srovnání</w:t>
                            </w:r>
                            <w:r w:rsidRPr="00D235B7">
                              <w:rPr>
                                <w:b w:val="0"/>
                                <w:color w:val="auto"/>
                              </w:rPr>
                              <w:t xml:space="preserve"> | tel.: 274</w:t>
                            </w:r>
                            <w:r>
                              <w:rPr>
                                <w:b w:val="0"/>
                                <w:color w:val="auto"/>
                              </w:rPr>
                              <w:t> </w:t>
                            </w:r>
                            <w:r w:rsidRPr="00D235B7">
                              <w:rPr>
                                <w:b w:val="0"/>
                                <w:color w:val="auto"/>
                              </w:rPr>
                              <w:t>052</w:t>
                            </w:r>
                            <w:r>
                              <w:rPr>
                                <w:b w:val="0"/>
                                <w:color w:val="auto"/>
                              </w:rPr>
                              <w:t> </w:t>
                            </w:r>
                            <w:r w:rsidRPr="00D235B7">
                              <w:rPr>
                                <w:b w:val="0"/>
                                <w:color w:val="auto"/>
                              </w:rPr>
                              <w:t>347 | e-mail: esds@czso.cz</w:t>
                            </w:r>
                          </w:p>
                          <w:p w14:paraId="548AAF1E" w14:textId="77777777" w:rsidR="003474B6" w:rsidRPr="00D235B7" w:rsidRDefault="003474B6" w:rsidP="00825C4D">
                            <w:pPr>
                              <w:pStyle w:val="TLKontakty"/>
                              <w:spacing w:after="80" w:line="240" w:lineRule="auto"/>
                              <w:contextualSpacing w:val="0"/>
                              <w:rPr>
                                <w:b w:val="0"/>
                                <w:color w:val="auto"/>
                              </w:rPr>
                            </w:pPr>
                            <w:r w:rsidRPr="00D235B7">
                              <w:rPr>
                                <w:color w:val="auto"/>
                              </w:rPr>
                              <w:t>Ústřední statistická knihovna</w:t>
                            </w:r>
                            <w:r w:rsidRPr="00D235B7">
                              <w:rPr>
                                <w:b w:val="0"/>
                                <w:color w:val="auto"/>
                              </w:rPr>
                              <w:t xml:space="preserve"> | tel.: 274</w:t>
                            </w:r>
                            <w:r>
                              <w:rPr>
                                <w:b w:val="0"/>
                                <w:color w:val="auto"/>
                              </w:rPr>
                              <w:t> </w:t>
                            </w:r>
                            <w:r w:rsidRPr="00D235B7">
                              <w:rPr>
                                <w:b w:val="0"/>
                                <w:color w:val="auto"/>
                              </w:rPr>
                              <w:t>052 361 | e-mail: knihovna@czso.cz</w:t>
                            </w:r>
                          </w:p>
                          <w:p w14:paraId="676CE837" w14:textId="77777777" w:rsidR="003474B6" w:rsidRPr="004A61C5" w:rsidRDefault="003474B6" w:rsidP="00825C4D">
                            <w:pPr>
                              <w:pStyle w:val="TLKontakty"/>
                              <w:spacing w:after="80" w:line="240" w:lineRule="auto"/>
                              <w:contextualSpacing w:val="0"/>
                              <w:rPr>
                                <w:color w:val="auto"/>
                              </w:rPr>
                            </w:pPr>
                          </w:p>
                          <w:p w14:paraId="58156969" w14:textId="77777777" w:rsidR="003474B6" w:rsidRPr="00D66223" w:rsidRDefault="003474B6" w:rsidP="00D66223">
                            <w:pPr>
                              <w:pStyle w:val="TLKontaktyerven"/>
                            </w:pPr>
                            <w:r w:rsidRPr="00D66223">
                              <w:t>INFORMAČNÍ SLUŽBY V REGIONECH</w:t>
                            </w:r>
                          </w:p>
                          <w:p w14:paraId="4879BC68" w14:textId="77777777" w:rsidR="003474B6" w:rsidRPr="00992CF3" w:rsidRDefault="003474B6" w:rsidP="00825C4D">
                            <w:pPr>
                              <w:pStyle w:val="TLKontakty"/>
                              <w:spacing w:after="80" w:line="240" w:lineRule="auto"/>
                              <w:rPr>
                                <w:b w:val="0"/>
                                <w:color w:val="auto"/>
                              </w:rPr>
                            </w:pPr>
                            <w:r w:rsidRPr="00D66223">
                              <w:t>Hl. m. Praha</w:t>
                            </w:r>
                            <w:r w:rsidRPr="00992CF3">
                              <w:rPr>
                                <w:b w:val="0"/>
                                <w:color w:val="auto"/>
                              </w:rPr>
                              <w:t xml:space="preserve"> | Na</w:t>
                            </w:r>
                            <w:r>
                              <w:rPr>
                                <w:b w:val="0"/>
                                <w:color w:val="auto"/>
                              </w:rPr>
                              <w:t xml:space="preserve"> padesátém 81, 100 82 Praha 10, </w:t>
                            </w:r>
                            <w:r w:rsidRPr="00992CF3">
                              <w:rPr>
                                <w:b w:val="0"/>
                                <w:color w:val="auto"/>
                              </w:rPr>
                              <w:t>tel.</w:t>
                            </w:r>
                            <w:r w:rsidRPr="007D40DF">
                              <w:rPr>
                                <w:b w:val="0"/>
                                <w:color w:val="auto"/>
                              </w:rPr>
                              <w:t>:</w:t>
                            </w:r>
                            <w:r>
                              <w:rPr>
                                <w:b w:val="0"/>
                                <w:color w:val="auto"/>
                              </w:rPr>
                              <w:t xml:space="preserve"> 274 052 673, </w:t>
                            </w:r>
                            <w:r w:rsidRPr="00992CF3">
                              <w:rPr>
                                <w:b w:val="0"/>
                                <w:color w:val="auto"/>
                              </w:rPr>
                              <w:t>274</w:t>
                            </w:r>
                            <w:r>
                              <w:rPr>
                                <w:b w:val="0"/>
                                <w:color w:val="auto"/>
                              </w:rPr>
                              <w:t> </w:t>
                            </w:r>
                            <w:r w:rsidRPr="00992CF3">
                              <w:rPr>
                                <w:b w:val="0"/>
                                <w:color w:val="auto"/>
                              </w:rPr>
                              <w:t>054</w:t>
                            </w:r>
                            <w:r>
                              <w:rPr>
                                <w:b w:val="0"/>
                                <w:color w:val="auto"/>
                              </w:rPr>
                              <w:t> </w:t>
                            </w:r>
                            <w:r w:rsidRPr="00992CF3">
                              <w:rPr>
                                <w:b w:val="0"/>
                                <w:color w:val="auto"/>
                              </w:rPr>
                              <w:t>223</w:t>
                            </w:r>
                          </w:p>
                          <w:p w14:paraId="013DC4C4" w14:textId="77777777" w:rsidR="003474B6" w:rsidRPr="00992CF3" w:rsidRDefault="003474B6" w:rsidP="00825C4D">
                            <w:pPr>
                              <w:pStyle w:val="TLKontakty"/>
                              <w:spacing w:after="80" w:line="240" w:lineRule="auto"/>
                              <w:rPr>
                                <w:b w:val="0"/>
                                <w:color w:val="auto"/>
                              </w:rPr>
                            </w:pPr>
                            <w:r w:rsidRPr="00992CF3">
                              <w:rPr>
                                <w:b w:val="0"/>
                                <w:color w:val="auto"/>
                              </w:rPr>
                              <w:t xml:space="preserve">e-mail: infoservispraha@czso.cz | </w:t>
                            </w:r>
                            <w:r w:rsidRPr="00992CF3">
                              <w:rPr>
                                <w:color w:val="auto"/>
                              </w:rPr>
                              <w:t>www.praha.czso.cz</w:t>
                            </w:r>
                          </w:p>
                          <w:p w14:paraId="39B244A8" w14:textId="77777777" w:rsidR="003474B6" w:rsidRPr="004A61C5" w:rsidRDefault="003474B6" w:rsidP="00825C4D">
                            <w:pPr>
                              <w:pStyle w:val="TLKontakty"/>
                              <w:spacing w:after="80" w:line="240" w:lineRule="auto"/>
                              <w:rPr>
                                <w:color w:val="auto"/>
                              </w:rPr>
                            </w:pPr>
                          </w:p>
                          <w:p w14:paraId="0700B661" w14:textId="77777777" w:rsidR="003474B6" w:rsidRPr="00992CF3" w:rsidRDefault="003474B6" w:rsidP="00825C4D">
                            <w:pPr>
                              <w:pStyle w:val="TLKontakty"/>
                              <w:spacing w:after="80" w:line="240" w:lineRule="auto"/>
                              <w:rPr>
                                <w:b w:val="0"/>
                                <w:color w:val="auto"/>
                              </w:rPr>
                            </w:pPr>
                            <w:r w:rsidRPr="00D66223">
                              <w:t>Středočeský kraj</w:t>
                            </w:r>
                            <w:r w:rsidRPr="00992CF3">
                              <w:rPr>
                                <w:b w:val="0"/>
                                <w:color w:val="auto"/>
                              </w:rPr>
                              <w:t xml:space="preserve"> | Na padesátém</w:t>
                            </w:r>
                            <w:r>
                              <w:rPr>
                                <w:b w:val="0"/>
                                <w:color w:val="auto"/>
                              </w:rPr>
                              <w:t> </w:t>
                            </w:r>
                            <w:r w:rsidRPr="00992CF3">
                              <w:rPr>
                                <w:b w:val="0"/>
                                <w:color w:val="auto"/>
                              </w:rPr>
                              <w:t>81, 100</w:t>
                            </w:r>
                            <w:r>
                              <w:rPr>
                                <w:b w:val="0"/>
                                <w:color w:val="auto"/>
                              </w:rPr>
                              <w:t> </w:t>
                            </w:r>
                            <w:r w:rsidRPr="00992CF3">
                              <w:rPr>
                                <w:b w:val="0"/>
                                <w:color w:val="auto"/>
                              </w:rPr>
                              <w:t>82 Praha</w:t>
                            </w:r>
                            <w:r>
                              <w:rPr>
                                <w:b w:val="0"/>
                                <w:color w:val="auto"/>
                              </w:rPr>
                              <w:t> </w:t>
                            </w:r>
                            <w:r w:rsidRPr="00992CF3">
                              <w:rPr>
                                <w:b w:val="0"/>
                                <w:color w:val="auto"/>
                              </w:rPr>
                              <w:t>10, tel.</w:t>
                            </w:r>
                            <w:r>
                              <w:rPr>
                                <w:b w:val="0"/>
                                <w:color w:val="auto"/>
                              </w:rPr>
                              <w:t xml:space="preserve">: </w:t>
                            </w:r>
                            <w:r w:rsidRPr="00992CF3">
                              <w:rPr>
                                <w:b w:val="0"/>
                                <w:color w:val="auto"/>
                              </w:rPr>
                              <w:t>274</w:t>
                            </w:r>
                            <w:r>
                              <w:rPr>
                                <w:b w:val="0"/>
                                <w:color w:val="auto"/>
                              </w:rPr>
                              <w:t> </w:t>
                            </w:r>
                            <w:r w:rsidRPr="00992CF3">
                              <w:rPr>
                                <w:b w:val="0"/>
                                <w:color w:val="auto"/>
                              </w:rPr>
                              <w:t>054 175</w:t>
                            </w:r>
                          </w:p>
                          <w:p w14:paraId="416161E8" w14:textId="77777777" w:rsidR="003474B6" w:rsidRPr="00992CF3" w:rsidRDefault="003474B6" w:rsidP="00825C4D">
                            <w:pPr>
                              <w:pStyle w:val="TLKontakty"/>
                              <w:spacing w:after="80" w:line="240" w:lineRule="auto"/>
                              <w:rPr>
                                <w:color w:val="auto"/>
                              </w:rPr>
                            </w:pPr>
                            <w:r w:rsidRPr="00992CF3">
                              <w:rPr>
                                <w:b w:val="0"/>
                                <w:color w:val="auto"/>
                              </w:rPr>
                              <w:t xml:space="preserve">e-mail: infoservisstc@czso.cz | </w:t>
                            </w:r>
                            <w:r w:rsidRPr="00992CF3">
                              <w:rPr>
                                <w:color w:val="auto"/>
                              </w:rPr>
                              <w:t>www.stredocesky.czso.cz</w:t>
                            </w:r>
                          </w:p>
                          <w:p w14:paraId="4FF5E3BD" w14:textId="77777777" w:rsidR="003474B6" w:rsidRPr="004A61C5" w:rsidRDefault="003474B6" w:rsidP="00825C4D">
                            <w:pPr>
                              <w:pStyle w:val="TLKontakty"/>
                              <w:spacing w:after="80" w:line="240" w:lineRule="auto"/>
                              <w:rPr>
                                <w:color w:val="auto"/>
                              </w:rPr>
                            </w:pPr>
                          </w:p>
                          <w:p w14:paraId="272E9710" w14:textId="77777777" w:rsidR="003474B6" w:rsidRPr="00992CF3" w:rsidRDefault="003474B6" w:rsidP="00825C4D">
                            <w:pPr>
                              <w:pStyle w:val="TLKontakty"/>
                              <w:spacing w:after="80" w:line="240" w:lineRule="auto"/>
                              <w:rPr>
                                <w:b w:val="0"/>
                                <w:color w:val="auto"/>
                              </w:rPr>
                            </w:pPr>
                            <w:r w:rsidRPr="00D66223">
                              <w:t>České Budějovice</w:t>
                            </w:r>
                            <w:r w:rsidRPr="00992CF3">
                              <w:rPr>
                                <w:b w:val="0"/>
                                <w:color w:val="auto"/>
                              </w:rPr>
                              <w:t xml:space="preserve"> | Žižkova</w:t>
                            </w:r>
                            <w:r>
                              <w:rPr>
                                <w:b w:val="0"/>
                                <w:color w:val="auto"/>
                              </w:rPr>
                              <w:t> </w:t>
                            </w:r>
                            <w:r w:rsidRPr="00992CF3">
                              <w:rPr>
                                <w:b w:val="0"/>
                                <w:color w:val="auto"/>
                              </w:rPr>
                              <w:t>1, 370</w:t>
                            </w:r>
                            <w:r>
                              <w:rPr>
                                <w:b w:val="0"/>
                                <w:color w:val="auto"/>
                              </w:rPr>
                              <w:t> </w:t>
                            </w:r>
                            <w:r w:rsidRPr="00992CF3">
                              <w:rPr>
                                <w:b w:val="0"/>
                                <w:color w:val="auto"/>
                              </w:rPr>
                              <w:t>77 České Budějovice</w:t>
                            </w:r>
                            <w:r>
                              <w:rPr>
                                <w:b w:val="0"/>
                                <w:color w:val="auto"/>
                              </w:rPr>
                              <w:t xml:space="preserve">, </w:t>
                            </w:r>
                            <w:r w:rsidRPr="00992CF3">
                              <w:rPr>
                                <w:b w:val="0"/>
                                <w:color w:val="auto"/>
                              </w:rPr>
                              <w:t>tel.</w:t>
                            </w:r>
                            <w:r>
                              <w:rPr>
                                <w:b w:val="0"/>
                                <w:color w:val="auto"/>
                              </w:rPr>
                              <w:t xml:space="preserve">: </w:t>
                            </w:r>
                            <w:r w:rsidRPr="00992CF3">
                              <w:rPr>
                                <w:b w:val="0"/>
                                <w:color w:val="auto"/>
                              </w:rPr>
                              <w:t>386</w:t>
                            </w:r>
                            <w:r>
                              <w:rPr>
                                <w:b w:val="0"/>
                                <w:color w:val="auto"/>
                              </w:rPr>
                              <w:t> </w:t>
                            </w:r>
                            <w:r w:rsidRPr="00992CF3">
                              <w:rPr>
                                <w:b w:val="0"/>
                                <w:color w:val="auto"/>
                              </w:rPr>
                              <w:t>718 440</w:t>
                            </w:r>
                          </w:p>
                          <w:p w14:paraId="41660CA4" w14:textId="77777777" w:rsidR="003474B6" w:rsidRPr="00992CF3" w:rsidRDefault="003474B6" w:rsidP="00825C4D">
                            <w:pPr>
                              <w:pStyle w:val="TLKontakty"/>
                              <w:spacing w:after="80" w:line="240" w:lineRule="auto"/>
                              <w:rPr>
                                <w:b w:val="0"/>
                                <w:color w:val="auto"/>
                              </w:rPr>
                            </w:pPr>
                            <w:r w:rsidRPr="00992CF3">
                              <w:rPr>
                                <w:b w:val="0"/>
                                <w:color w:val="auto"/>
                              </w:rPr>
                              <w:t xml:space="preserve">e-mail: infoserviscb@czso.cz | </w:t>
                            </w:r>
                            <w:r w:rsidRPr="00992CF3">
                              <w:rPr>
                                <w:color w:val="auto"/>
                              </w:rPr>
                              <w:t>www.cbudejovice.czso.cz</w:t>
                            </w:r>
                          </w:p>
                          <w:p w14:paraId="02FFC287" w14:textId="77777777" w:rsidR="003474B6" w:rsidRPr="004A61C5" w:rsidRDefault="003474B6" w:rsidP="00825C4D">
                            <w:pPr>
                              <w:pStyle w:val="TLKontakty"/>
                              <w:spacing w:after="80" w:line="240" w:lineRule="auto"/>
                              <w:rPr>
                                <w:color w:val="auto"/>
                              </w:rPr>
                            </w:pPr>
                          </w:p>
                          <w:p w14:paraId="28D66B71" w14:textId="77777777" w:rsidR="003474B6" w:rsidRPr="00BC731E" w:rsidRDefault="003474B6" w:rsidP="00825C4D">
                            <w:pPr>
                              <w:pStyle w:val="TLKontakty"/>
                              <w:spacing w:after="80" w:line="240" w:lineRule="auto"/>
                              <w:rPr>
                                <w:b w:val="0"/>
                                <w:color w:val="auto"/>
                              </w:rPr>
                            </w:pPr>
                            <w:r w:rsidRPr="00D66223">
                              <w:t>Plzeň</w:t>
                            </w:r>
                            <w:r w:rsidRPr="004A61C5">
                              <w:rPr>
                                <w:b w:val="0"/>
                                <w:color w:val="auto"/>
                              </w:rPr>
                              <w:t xml:space="preserve"> | Slovanská alej</w:t>
                            </w:r>
                            <w:r>
                              <w:rPr>
                                <w:b w:val="0"/>
                                <w:color w:val="auto"/>
                              </w:rPr>
                              <w:t> </w:t>
                            </w:r>
                            <w:r w:rsidRPr="004A61C5">
                              <w:rPr>
                                <w:b w:val="0"/>
                                <w:color w:val="auto"/>
                              </w:rPr>
                              <w:t>36, 326</w:t>
                            </w:r>
                            <w:r>
                              <w:rPr>
                                <w:b w:val="0"/>
                                <w:color w:val="auto"/>
                              </w:rPr>
                              <w:t> </w:t>
                            </w:r>
                            <w:r w:rsidRPr="004A61C5">
                              <w:rPr>
                                <w:b w:val="0"/>
                                <w:color w:val="auto"/>
                              </w:rPr>
                              <w:t>64 Plzeň</w:t>
                            </w:r>
                            <w:r>
                              <w:rPr>
                                <w:b w:val="0"/>
                                <w:color w:val="auto"/>
                              </w:rPr>
                              <w:t xml:space="preserve">, </w:t>
                            </w:r>
                            <w:r w:rsidRPr="004A61C5">
                              <w:rPr>
                                <w:b w:val="0"/>
                                <w:color w:val="auto"/>
                              </w:rPr>
                              <w:t>tel.</w:t>
                            </w:r>
                            <w:r>
                              <w:rPr>
                                <w:b w:val="0"/>
                                <w:color w:val="auto"/>
                              </w:rPr>
                              <w:t xml:space="preserve">: </w:t>
                            </w:r>
                            <w:r w:rsidRPr="004A61C5">
                              <w:rPr>
                                <w:b w:val="0"/>
                                <w:color w:val="auto"/>
                              </w:rPr>
                              <w:t>377</w:t>
                            </w:r>
                            <w:r>
                              <w:rPr>
                                <w:b w:val="0"/>
                                <w:color w:val="auto"/>
                              </w:rPr>
                              <w:t> </w:t>
                            </w:r>
                            <w:r w:rsidRPr="004A61C5">
                              <w:rPr>
                                <w:b w:val="0"/>
                                <w:color w:val="auto"/>
                              </w:rPr>
                              <w:t>612</w:t>
                            </w:r>
                            <w:r>
                              <w:rPr>
                                <w:b w:val="0"/>
                                <w:color w:val="auto"/>
                              </w:rPr>
                              <w:t> </w:t>
                            </w:r>
                            <w:r w:rsidRPr="004A61C5">
                              <w:rPr>
                                <w:b w:val="0"/>
                                <w:color w:val="auto"/>
                              </w:rPr>
                              <w:t>108</w:t>
                            </w:r>
                            <w:r w:rsidRPr="00BC731E">
                              <w:rPr>
                                <w:b w:val="0"/>
                                <w:color w:val="auto"/>
                              </w:rPr>
                              <w:t>, 377 612 145</w:t>
                            </w:r>
                          </w:p>
                          <w:p w14:paraId="44E4A2F2" w14:textId="77777777" w:rsidR="003474B6" w:rsidRPr="004A61C5" w:rsidRDefault="003474B6" w:rsidP="00825C4D">
                            <w:pPr>
                              <w:pStyle w:val="TLKontakty"/>
                              <w:spacing w:after="80" w:line="240" w:lineRule="auto"/>
                              <w:rPr>
                                <w:b w:val="0"/>
                                <w:color w:val="auto"/>
                              </w:rPr>
                            </w:pPr>
                            <w:r w:rsidRPr="004A61C5">
                              <w:rPr>
                                <w:b w:val="0"/>
                                <w:color w:val="auto"/>
                              </w:rPr>
                              <w:t xml:space="preserve">e-mail: infoservisplzen@czso.cz | </w:t>
                            </w:r>
                            <w:r w:rsidRPr="004A61C5">
                              <w:rPr>
                                <w:color w:val="auto"/>
                              </w:rPr>
                              <w:t>www.plzen.czso.cz</w:t>
                            </w:r>
                          </w:p>
                          <w:p w14:paraId="124C070B" w14:textId="77777777" w:rsidR="003474B6" w:rsidRPr="004A61C5" w:rsidRDefault="003474B6" w:rsidP="00825C4D">
                            <w:pPr>
                              <w:pStyle w:val="TLKontakty"/>
                              <w:spacing w:after="80" w:line="240" w:lineRule="auto"/>
                              <w:rPr>
                                <w:color w:val="auto"/>
                              </w:rPr>
                            </w:pPr>
                          </w:p>
                          <w:p w14:paraId="09B6DE68" w14:textId="77777777" w:rsidR="003474B6" w:rsidRPr="004A61C5" w:rsidRDefault="003474B6" w:rsidP="00825C4D">
                            <w:pPr>
                              <w:pStyle w:val="TLKontakty"/>
                              <w:spacing w:after="80" w:line="240" w:lineRule="auto"/>
                              <w:rPr>
                                <w:b w:val="0"/>
                                <w:color w:val="auto"/>
                              </w:rPr>
                            </w:pPr>
                            <w:r w:rsidRPr="00D66223">
                              <w:t>Karlovy Vary</w:t>
                            </w:r>
                            <w:r w:rsidRPr="004A61C5">
                              <w:rPr>
                                <w:b w:val="0"/>
                                <w:color w:val="auto"/>
                              </w:rPr>
                              <w:t xml:space="preserve"> | </w:t>
                            </w:r>
                            <w:r w:rsidRPr="00095135">
                              <w:rPr>
                                <w:b w:val="0"/>
                                <w:color w:val="auto"/>
                              </w:rPr>
                              <w:t>Závodní</w:t>
                            </w:r>
                            <w:r>
                              <w:rPr>
                                <w:b w:val="0"/>
                                <w:color w:val="auto"/>
                              </w:rPr>
                              <w:t> </w:t>
                            </w:r>
                            <w:r w:rsidRPr="00095135">
                              <w:rPr>
                                <w:b w:val="0"/>
                                <w:color w:val="auto"/>
                              </w:rPr>
                              <w:t>360/94, 360</w:t>
                            </w:r>
                            <w:r>
                              <w:rPr>
                                <w:b w:val="0"/>
                                <w:color w:val="auto"/>
                              </w:rPr>
                              <w:t> </w:t>
                            </w:r>
                            <w:r w:rsidRPr="00095135">
                              <w:rPr>
                                <w:b w:val="0"/>
                                <w:color w:val="auto"/>
                              </w:rPr>
                              <w:t>06 Karlovy Vary</w:t>
                            </w:r>
                            <w:r w:rsidRPr="004A61C5">
                              <w:rPr>
                                <w:b w:val="0"/>
                                <w:color w:val="auto"/>
                              </w:rPr>
                              <w:t>, tel.</w:t>
                            </w:r>
                            <w:r>
                              <w:rPr>
                                <w:b w:val="0"/>
                                <w:color w:val="auto"/>
                              </w:rPr>
                              <w:t xml:space="preserve">: </w:t>
                            </w:r>
                            <w:r w:rsidRPr="004A61C5">
                              <w:rPr>
                                <w:b w:val="0"/>
                                <w:color w:val="auto"/>
                              </w:rPr>
                              <w:t>353</w:t>
                            </w:r>
                            <w:r>
                              <w:rPr>
                                <w:b w:val="0"/>
                                <w:color w:val="auto"/>
                              </w:rPr>
                              <w:t> </w:t>
                            </w:r>
                            <w:r w:rsidRPr="004A61C5">
                              <w:rPr>
                                <w:b w:val="0"/>
                                <w:color w:val="auto"/>
                              </w:rPr>
                              <w:t>114</w:t>
                            </w:r>
                            <w:r>
                              <w:rPr>
                                <w:b w:val="0"/>
                                <w:color w:val="auto"/>
                              </w:rPr>
                              <w:t> </w:t>
                            </w:r>
                            <w:r w:rsidRPr="004A61C5">
                              <w:rPr>
                                <w:b w:val="0"/>
                                <w:color w:val="auto"/>
                              </w:rPr>
                              <w:t>529, 353</w:t>
                            </w:r>
                            <w:r>
                              <w:rPr>
                                <w:b w:val="0"/>
                                <w:color w:val="auto"/>
                              </w:rPr>
                              <w:t> </w:t>
                            </w:r>
                            <w:r w:rsidRPr="004A61C5">
                              <w:rPr>
                                <w:b w:val="0"/>
                                <w:color w:val="auto"/>
                              </w:rPr>
                              <w:t>114 525</w:t>
                            </w:r>
                          </w:p>
                          <w:p w14:paraId="477EF21B" w14:textId="77777777" w:rsidR="003474B6" w:rsidRPr="004A61C5" w:rsidRDefault="003474B6" w:rsidP="00825C4D">
                            <w:pPr>
                              <w:pStyle w:val="TLKontakty"/>
                              <w:spacing w:after="80" w:line="240" w:lineRule="auto"/>
                              <w:rPr>
                                <w:b w:val="0"/>
                                <w:color w:val="auto"/>
                              </w:rPr>
                            </w:pPr>
                            <w:r w:rsidRPr="004A61C5">
                              <w:rPr>
                                <w:b w:val="0"/>
                                <w:color w:val="auto"/>
                              </w:rPr>
                              <w:t xml:space="preserve">e-mail: infoserviskv@czso.cz | </w:t>
                            </w:r>
                            <w:r w:rsidRPr="004A61C5">
                              <w:rPr>
                                <w:color w:val="auto"/>
                              </w:rPr>
                              <w:t>www.kvary.czso.cz</w:t>
                            </w:r>
                          </w:p>
                          <w:p w14:paraId="6C1AC3BB" w14:textId="77777777" w:rsidR="003474B6" w:rsidRPr="004A61C5" w:rsidRDefault="003474B6" w:rsidP="00825C4D">
                            <w:pPr>
                              <w:pStyle w:val="TLKontakty"/>
                              <w:spacing w:after="80" w:line="240" w:lineRule="auto"/>
                              <w:rPr>
                                <w:color w:val="auto"/>
                              </w:rPr>
                            </w:pPr>
                          </w:p>
                          <w:p w14:paraId="59D3D98A" w14:textId="77777777" w:rsidR="003474B6" w:rsidRPr="004A61C5" w:rsidRDefault="003474B6" w:rsidP="00825C4D">
                            <w:pPr>
                              <w:pStyle w:val="TLKontakty"/>
                              <w:spacing w:after="80" w:line="240" w:lineRule="auto"/>
                              <w:rPr>
                                <w:b w:val="0"/>
                                <w:color w:val="auto"/>
                              </w:rPr>
                            </w:pPr>
                            <w:r w:rsidRPr="00D66223">
                              <w:t>Ústí nad Labem</w:t>
                            </w:r>
                            <w:r w:rsidRPr="004A61C5">
                              <w:rPr>
                                <w:b w:val="0"/>
                                <w:color w:val="auto"/>
                              </w:rPr>
                              <w:t xml:space="preserve"> | Špálova</w:t>
                            </w:r>
                            <w:r>
                              <w:rPr>
                                <w:b w:val="0"/>
                                <w:color w:val="auto"/>
                              </w:rPr>
                              <w:t> </w:t>
                            </w:r>
                            <w:r w:rsidRPr="004A61C5">
                              <w:rPr>
                                <w:b w:val="0"/>
                                <w:color w:val="auto"/>
                              </w:rPr>
                              <w:t>2684, 400</w:t>
                            </w:r>
                            <w:r>
                              <w:rPr>
                                <w:b w:val="0"/>
                                <w:color w:val="auto"/>
                              </w:rPr>
                              <w:t> </w:t>
                            </w:r>
                            <w:r w:rsidRPr="004A61C5">
                              <w:rPr>
                                <w:b w:val="0"/>
                                <w:color w:val="auto"/>
                              </w:rPr>
                              <w:t>11 Ústí nad Labem</w:t>
                            </w:r>
                            <w:r>
                              <w:rPr>
                                <w:b w:val="0"/>
                                <w:color w:val="auto"/>
                              </w:rPr>
                              <w:t xml:space="preserve">, </w:t>
                            </w:r>
                            <w:r w:rsidRPr="004A61C5">
                              <w:rPr>
                                <w:b w:val="0"/>
                                <w:color w:val="auto"/>
                              </w:rPr>
                              <w:t>tel.</w:t>
                            </w:r>
                            <w:r>
                              <w:rPr>
                                <w:b w:val="0"/>
                                <w:color w:val="auto"/>
                              </w:rPr>
                              <w:t xml:space="preserve">: </w:t>
                            </w:r>
                            <w:r w:rsidRPr="004A61C5">
                              <w:rPr>
                                <w:b w:val="0"/>
                                <w:color w:val="auto"/>
                              </w:rPr>
                              <w:t>472</w:t>
                            </w:r>
                            <w:r>
                              <w:rPr>
                                <w:b w:val="0"/>
                                <w:color w:val="auto"/>
                              </w:rPr>
                              <w:t> </w:t>
                            </w:r>
                            <w:r w:rsidRPr="004A61C5">
                              <w:rPr>
                                <w:b w:val="0"/>
                                <w:color w:val="auto"/>
                              </w:rPr>
                              <w:t>706</w:t>
                            </w:r>
                            <w:r>
                              <w:rPr>
                                <w:b w:val="0"/>
                                <w:color w:val="auto"/>
                              </w:rPr>
                              <w:t> </w:t>
                            </w:r>
                            <w:r w:rsidRPr="004A61C5">
                              <w:rPr>
                                <w:b w:val="0"/>
                                <w:color w:val="auto"/>
                              </w:rPr>
                              <w:t>176,</w:t>
                            </w:r>
                            <w:r>
                              <w:rPr>
                                <w:b w:val="0"/>
                                <w:color w:val="auto"/>
                              </w:rPr>
                              <w:t xml:space="preserve"> </w:t>
                            </w:r>
                            <w:r w:rsidRPr="004A61C5">
                              <w:rPr>
                                <w:b w:val="0"/>
                                <w:color w:val="auto"/>
                              </w:rPr>
                              <w:t>472</w:t>
                            </w:r>
                            <w:r>
                              <w:rPr>
                                <w:b w:val="0"/>
                                <w:color w:val="auto"/>
                              </w:rPr>
                              <w:t> </w:t>
                            </w:r>
                            <w:r w:rsidRPr="004A61C5">
                              <w:rPr>
                                <w:b w:val="0"/>
                                <w:color w:val="auto"/>
                              </w:rPr>
                              <w:t>706 121</w:t>
                            </w:r>
                          </w:p>
                          <w:p w14:paraId="2F4D5FAC" w14:textId="77777777" w:rsidR="003474B6" w:rsidRPr="004A61C5" w:rsidRDefault="003474B6" w:rsidP="00825C4D">
                            <w:pPr>
                              <w:pStyle w:val="TLKontakty"/>
                              <w:spacing w:after="80" w:line="240" w:lineRule="auto"/>
                              <w:rPr>
                                <w:b w:val="0"/>
                                <w:color w:val="auto"/>
                              </w:rPr>
                            </w:pPr>
                            <w:r w:rsidRPr="004A61C5">
                              <w:rPr>
                                <w:b w:val="0"/>
                                <w:color w:val="auto"/>
                              </w:rPr>
                              <w:t xml:space="preserve">e-mail: infoservisul@czso.cz | </w:t>
                            </w:r>
                            <w:r w:rsidRPr="004A61C5">
                              <w:rPr>
                                <w:color w:val="auto"/>
                              </w:rPr>
                              <w:t>www.ustinadlabem.czso.cz</w:t>
                            </w:r>
                          </w:p>
                          <w:p w14:paraId="465C0979" w14:textId="77777777" w:rsidR="003474B6" w:rsidRPr="004A61C5" w:rsidRDefault="003474B6" w:rsidP="00825C4D">
                            <w:pPr>
                              <w:pStyle w:val="TLKontakty"/>
                              <w:spacing w:after="80" w:line="240" w:lineRule="auto"/>
                              <w:rPr>
                                <w:color w:val="auto"/>
                              </w:rPr>
                            </w:pPr>
                          </w:p>
                          <w:p w14:paraId="53E44571" w14:textId="77777777" w:rsidR="003474B6" w:rsidRPr="004A61C5" w:rsidRDefault="003474B6" w:rsidP="00825C4D">
                            <w:pPr>
                              <w:pStyle w:val="TLKontakty"/>
                              <w:spacing w:after="80" w:line="240" w:lineRule="auto"/>
                              <w:rPr>
                                <w:b w:val="0"/>
                                <w:color w:val="auto"/>
                              </w:rPr>
                            </w:pPr>
                            <w:r w:rsidRPr="00D66223">
                              <w:t>Liberec</w:t>
                            </w:r>
                            <w:r w:rsidRPr="004A61C5">
                              <w:rPr>
                                <w:b w:val="0"/>
                                <w:color w:val="auto"/>
                              </w:rPr>
                              <w:t xml:space="preserve"> | </w:t>
                            </w:r>
                            <w:r>
                              <w:rPr>
                                <w:b w:val="0"/>
                                <w:color w:val="auto"/>
                              </w:rPr>
                              <w:t>n</w:t>
                            </w:r>
                            <w:r w:rsidRPr="004A61C5">
                              <w:rPr>
                                <w:b w:val="0"/>
                                <w:color w:val="auto"/>
                              </w:rPr>
                              <w:t>ám. Dr.</w:t>
                            </w:r>
                            <w:r>
                              <w:rPr>
                                <w:b w:val="0"/>
                                <w:color w:val="auto"/>
                              </w:rPr>
                              <w:t> </w:t>
                            </w:r>
                            <w:r w:rsidRPr="004A61C5">
                              <w:rPr>
                                <w:b w:val="0"/>
                                <w:color w:val="auto"/>
                              </w:rPr>
                              <w:t>Edvarda Beneše</w:t>
                            </w:r>
                            <w:r>
                              <w:rPr>
                                <w:b w:val="0"/>
                                <w:color w:val="auto"/>
                              </w:rPr>
                              <w:t> </w:t>
                            </w:r>
                            <w:r w:rsidRPr="004A61C5">
                              <w:rPr>
                                <w:b w:val="0"/>
                                <w:color w:val="auto"/>
                              </w:rPr>
                              <w:t>585/26, 460</w:t>
                            </w:r>
                            <w:r>
                              <w:rPr>
                                <w:b w:val="0"/>
                                <w:color w:val="auto"/>
                              </w:rPr>
                              <w:t> </w:t>
                            </w:r>
                            <w:r w:rsidRPr="004A61C5">
                              <w:rPr>
                                <w:b w:val="0"/>
                                <w:color w:val="auto"/>
                              </w:rPr>
                              <w:t>01 Liberec</w:t>
                            </w:r>
                            <w:r>
                              <w:rPr>
                                <w:b w:val="0"/>
                                <w:color w:val="auto"/>
                              </w:rPr>
                              <w:t> </w:t>
                            </w:r>
                            <w:r w:rsidRPr="004A61C5">
                              <w:rPr>
                                <w:b w:val="0"/>
                                <w:color w:val="auto"/>
                              </w:rPr>
                              <w:t>1, tel.</w:t>
                            </w:r>
                            <w:r>
                              <w:rPr>
                                <w:b w:val="0"/>
                                <w:color w:val="auto"/>
                              </w:rPr>
                              <w:t xml:space="preserve">: </w:t>
                            </w:r>
                            <w:r w:rsidRPr="004A61C5">
                              <w:rPr>
                                <w:b w:val="0"/>
                                <w:color w:val="auto"/>
                              </w:rPr>
                              <w:t>485</w:t>
                            </w:r>
                            <w:r>
                              <w:rPr>
                                <w:b w:val="0"/>
                                <w:color w:val="auto"/>
                              </w:rPr>
                              <w:t> </w:t>
                            </w:r>
                            <w:r w:rsidRPr="004A61C5">
                              <w:rPr>
                                <w:b w:val="0"/>
                                <w:color w:val="auto"/>
                              </w:rPr>
                              <w:t>238 811</w:t>
                            </w:r>
                          </w:p>
                          <w:p w14:paraId="7748DBC3" w14:textId="77777777" w:rsidR="003474B6" w:rsidRPr="004A61C5" w:rsidRDefault="003474B6" w:rsidP="00825C4D">
                            <w:pPr>
                              <w:pStyle w:val="TLKontakty"/>
                              <w:spacing w:after="80" w:line="240" w:lineRule="auto"/>
                              <w:rPr>
                                <w:b w:val="0"/>
                                <w:color w:val="auto"/>
                              </w:rPr>
                            </w:pPr>
                            <w:r w:rsidRPr="004A61C5">
                              <w:rPr>
                                <w:b w:val="0"/>
                                <w:color w:val="auto"/>
                              </w:rPr>
                              <w:t xml:space="preserve">e-mail: infoservislbc@czso.cz | </w:t>
                            </w:r>
                            <w:r w:rsidRPr="004A61C5">
                              <w:rPr>
                                <w:color w:val="auto"/>
                              </w:rPr>
                              <w:t>www.liberec.czso.cz</w:t>
                            </w:r>
                          </w:p>
                          <w:p w14:paraId="4123AE44" w14:textId="77777777" w:rsidR="003474B6" w:rsidRPr="004A61C5" w:rsidRDefault="003474B6" w:rsidP="00825C4D">
                            <w:pPr>
                              <w:pStyle w:val="TLKontakty"/>
                              <w:spacing w:after="80" w:line="240" w:lineRule="auto"/>
                              <w:rPr>
                                <w:b w:val="0"/>
                                <w:color w:val="auto"/>
                              </w:rPr>
                            </w:pPr>
                          </w:p>
                          <w:p w14:paraId="10E14C3C" w14:textId="77777777" w:rsidR="003474B6" w:rsidRPr="004A61C5" w:rsidRDefault="003474B6" w:rsidP="00825C4D">
                            <w:pPr>
                              <w:pStyle w:val="TLKontakty"/>
                              <w:spacing w:after="80" w:line="240" w:lineRule="auto"/>
                              <w:rPr>
                                <w:b w:val="0"/>
                                <w:color w:val="auto"/>
                              </w:rPr>
                            </w:pPr>
                            <w:r w:rsidRPr="00D66223">
                              <w:t>Hradec Králové</w:t>
                            </w:r>
                            <w:r w:rsidRPr="004A61C5">
                              <w:rPr>
                                <w:b w:val="0"/>
                                <w:color w:val="auto"/>
                              </w:rPr>
                              <w:t xml:space="preserve"> | Myslivečkova</w:t>
                            </w:r>
                            <w:r>
                              <w:rPr>
                                <w:b w:val="0"/>
                                <w:color w:val="auto"/>
                              </w:rPr>
                              <w:t> </w:t>
                            </w:r>
                            <w:r w:rsidRPr="004A61C5">
                              <w:rPr>
                                <w:b w:val="0"/>
                                <w:color w:val="auto"/>
                              </w:rPr>
                              <w:t>914, 500</w:t>
                            </w:r>
                            <w:r>
                              <w:rPr>
                                <w:b w:val="0"/>
                                <w:color w:val="auto"/>
                              </w:rPr>
                              <w:t> </w:t>
                            </w:r>
                            <w:r w:rsidRPr="004A61C5">
                              <w:rPr>
                                <w:b w:val="0"/>
                                <w:color w:val="auto"/>
                              </w:rPr>
                              <w:t>03 Hradec Králové</w:t>
                            </w:r>
                            <w:r>
                              <w:rPr>
                                <w:b w:val="0"/>
                                <w:color w:val="auto"/>
                              </w:rPr>
                              <w:t> </w:t>
                            </w:r>
                            <w:r w:rsidRPr="004A61C5">
                              <w:rPr>
                                <w:b w:val="0"/>
                                <w:color w:val="auto"/>
                              </w:rPr>
                              <w:t xml:space="preserve">3, </w:t>
                            </w:r>
                            <w:r>
                              <w:rPr>
                                <w:b w:val="0"/>
                                <w:color w:val="auto"/>
                              </w:rPr>
                              <w:t>tel.</w:t>
                            </w:r>
                            <w:r w:rsidRPr="007D40DF">
                              <w:rPr>
                                <w:b w:val="0"/>
                                <w:color w:val="auto"/>
                              </w:rPr>
                              <w:t>:</w:t>
                            </w:r>
                            <w:r>
                              <w:rPr>
                                <w:b w:val="0"/>
                                <w:color w:val="auto"/>
                              </w:rPr>
                              <w:t xml:space="preserve"> </w:t>
                            </w:r>
                            <w:r w:rsidRPr="004A61C5">
                              <w:rPr>
                                <w:b w:val="0"/>
                                <w:color w:val="auto"/>
                              </w:rPr>
                              <w:t>495</w:t>
                            </w:r>
                            <w:r>
                              <w:rPr>
                                <w:b w:val="0"/>
                                <w:color w:val="auto"/>
                              </w:rPr>
                              <w:t> </w:t>
                            </w:r>
                            <w:r w:rsidRPr="004A61C5">
                              <w:rPr>
                                <w:b w:val="0"/>
                                <w:color w:val="auto"/>
                              </w:rPr>
                              <w:t>762</w:t>
                            </w:r>
                            <w:r>
                              <w:rPr>
                                <w:b w:val="0"/>
                                <w:color w:val="auto"/>
                              </w:rPr>
                              <w:t> </w:t>
                            </w:r>
                            <w:r w:rsidRPr="004A61C5">
                              <w:rPr>
                                <w:b w:val="0"/>
                                <w:color w:val="auto"/>
                              </w:rPr>
                              <w:t>322,</w:t>
                            </w:r>
                            <w:r>
                              <w:rPr>
                                <w:b w:val="0"/>
                                <w:color w:val="auto"/>
                              </w:rPr>
                              <w:t xml:space="preserve"> </w:t>
                            </w:r>
                            <w:r w:rsidRPr="004A61C5">
                              <w:rPr>
                                <w:b w:val="0"/>
                                <w:color w:val="auto"/>
                              </w:rPr>
                              <w:t>495</w:t>
                            </w:r>
                            <w:r>
                              <w:rPr>
                                <w:b w:val="0"/>
                                <w:color w:val="auto"/>
                              </w:rPr>
                              <w:t> </w:t>
                            </w:r>
                            <w:r w:rsidRPr="004A61C5">
                              <w:rPr>
                                <w:b w:val="0"/>
                                <w:color w:val="auto"/>
                              </w:rPr>
                              <w:t>762 317</w:t>
                            </w:r>
                          </w:p>
                          <w:p w14:paraId="2E3651FF" w14:textId="77777777" w:rsidR="003474B6" w:rsidRPr="004A61C5" w:rsidRDefault="003474B6" w:rsidP="00825C4D">
                            <w:pPr>
                              <w:pStyle w:val="TLKontakty"/>
                              <w:spacing w:after="80" w:line="240" w:lineRule="auto"/>
                              <w:rPr>
                                <w:b w:val="0"/>
                                <w:color w:val="auto"/>
                              </w:rPr>
                            </w:pPr>
                            <w:r w:rsidRPr="004A61C5">
                              <w:rPr>
                                <w:b w:val="0"/>
                                <w:color w:val="auto"/>
                              </w:rPr>
                              <w:t xml:space="preserve">e-mail: infoservishk@czso.cz | </w:t>
                            </w:r>
                            <w:r w:rsidRPr="004A61C5">
                              <w:rPr>
                                <w:color w:val="auto"/>
                              </w:rPr>
                              <w:t>www.hradeckralove.czso.cz</w:t>
                            </w:r>
                          </w:p>
                          <w:p w14:paraId="74F45FF3" w14:textId="77777777" w:rsidR="003474B6" w:rsidRPr="004A61C5" w:rsidRDefault="003474B6" w:rsidP="00825C4D">
                            <w:pPr>
                              <w:pStyle w:val="TLKontakty"/>
                              <w:spacing w:after="80" w:line="240" w:lineRule="auto"/>
                              <w:rPr>
                                <w:color w:val="auto"/>
                              </w:rPr>
                            </w:pPr>
                          </w:p>
                          <w:p w14:paraId="5E11F5F2" w14:textId="77777777" w:rsidR="003474B6" w:rsidRPr="004A61C5" w:rsidRDefault="003474B6" w:rsidP="00825C4D">
                            <w:pPr>
                              <w:pStyle w:val="TLKontakty"/>
                              <w:spacing w:after="80" w:line="240" w:lineRule="auto"/>
                              <w:rPr>
                                <w:b w:val="0"/>
                                <w:color w:val="auto"/>
                              </w:rPr>
                            </w:pPr>
                            <w:r w:rsidRPr="00D66223">
                              <w:t>Pardubice</w:t>
                            </w:r>
                            <w:r w:rsidRPr="004A61C5">
                              <w:rPr>
                                <w:b w:val="0"/>
                                <w:color w:val="auto"/>
                              </w:rPr>
                              <w:t xml:space="preserve"> | V</w:t>
                            </w:r>
                            <w:r>
                              <w:rPr>
                                <w:b w:val="0"/>
                                <w:color w:val="auto"/>
                              </w:rPr>
                              <w:t> </w:t>
                            </w:r>
                            <w:r w:rsidRPr="004A61C5">
                              <w:rPr>
                                <w:b w:val="0"/>
                                <w:color w:val="auto"/>
                              </w:rPr>
                              <w:t>Ráji</w:t>
                            </w:r>
                            <w:r>
                              <w:rPr>
                                <w:b w:val="0"/>
                                <w:color w:val="auto"/>
                              </w:rPr>
                              <w:t> </w:t>
                            </w:r>
                            <w:r w:rsidRPr="004A61C5">
                              <w:rPr>
                                <w:b w:val="0"/>
                                <w:color w:val="auto"/>
                              </w:rPr>
                              <w:t>872, 531</w:t>
                            </w:r>
                            <w:r>
                              <w:rPr>
                                <w:b w:val="0"/>
                                <w:color w:val="auto"/>
                              </w:rPr>
                              <w:t> </w:t>
                            </w:r>
                            <w:r w:rsidRPr="004A61C5">
                              <w:rPr>
                                <w:b w:val="0"/>
                                <w:color w:val="auto"/>
                              </w:rPr>
                              <w:t>53 Pardubice</w:t>
                            </w:r>
                            <w:r>
                              <w:rPr>
                                <w:b w:val="0"/>
                                <w:color w:val="auto"/>
                              </w:rPr>
                              <w:t xml:space="preserve">, </w:t>
                            </w:r>
                            <w:r w:rsidRPr="004A61C5">
                              <w:rPr>
                                <w:b w:val="0"/>
                                <w:color w:val="auto"/>
                              </w:rPr>
                              <w:t>tel.</w:t>
                            </w:r>
                            <w:r>
                              <w:rPr>
                                <w:b w:val="0"/>
                                <w:color w:val="auto"/>
                              </w:rPr>
                              <w:t>:</w:t>
                            </w:r>
                            <w:r w:rsidRPr="004A61C5">
                              <w:rPr>
                                <w:b w:val="0"/>
                                <w:color w:val="auto"/>
                              </w:rPr>
                              <w:t xml:space="preserve"> 466</w:t>
                            </w:r>
                            <w:r>
                              <w:rPr>
                                <w:b w:val="0"/>
                                <w:color w:val="auto"/>
                              </w:rPr>
                              <w:t> </w:t>
                            </w:r>
                            <w:r w:rsidRPr="004A61C5">
                              <w:rPr>
                                <w:b w:val="0"/>
                                <w:color w:val="auto"/>
                              </w:rPr>
                              <w:t>743</w:t>
                            </w:r>
                            <w:r>
                              <w:rPr>
                                <w:b w:val="0"/>
                                <w:color w:val="auto"/>
                              </w:rPr>
                              <w:t> </w:t>
                            </w:r>
                            <w:r w:rsidRPr="004A61C5">
                              <w:rPr>
                                <w:b w:val="0"/>
                                <w:color w:val="auto"/>
                              </w:rPr>
                              <w:t>480, 466</w:t>
                            </w:r>
                            <w:r>
                              <w:rPr>
                                <w:b w:val="0"/>
                                <w:color w:val="auto"/>
                              </w:rPr>
                              <w:t> </w:t>
                            </w:r>
                            <w:r w:rsidRPr="004A61C5">
                              <w:rPr>
                                <w:b w:val="0"/>
                                <w:color w:val="auto"/>
                              </w:rPr>
                              <w:t>743 418</w:t>
                            </w:r>
                          </w:p>
                          <w:p w14:paraId="72152ABD" w14:textId="77777777" w:rsidR="003474B6" w:rsidRPr="004A61C5" w:rsidRDefault="003474B6" w:rsidP="00825C4D">
                            <w:pPr>
                              <w:pStyle w:val="TLKontakty"/>
                              <w:spacing w:after="80" w:line="240" w:lineRule="auto"/>
                              <w:rPr>
                                <w:b w:val="0"/>
                                <w:color w:val="auto"/>
                              </w:rPr>
                            </w:pPr>
                            <w:r w:rsidRPr="004A61C5">
                              <w:rPr>
                                <w:b w:val="0"/>
                                <w:color w:val="auto"/>
                              </w:rPr>
                              <w:t xml:space="preserve">e-mail: infoservispa@czso.cz | </w:t>
                            </w:r>
                            <w:r w:rsidRPr="004A61C5">
                              <w:rPr>
                                <w:color w:val="auto"/>
                              </w:rPr>
                              <w:t>www.pardubice.czso.cz</w:t>
                            </w:r>
                          </w:p>
                          <w:p w14:paraId="31158F18" w14:textId="77777777" w:rsidR="003474B6" w:rsidRPr="004A61C5" w:rsidRDefault="003474B6" w:rsidP="00825C4D">
                            <w:pPr>
                              <w:pStyle w:val="TLKontakty"/>
                              <w:spacing w:after="80" w:line="240" w:lineRule="auto"/>
                              <w:rPr>
                                <w:b w:val="0"/>
                                <w:color w:val="auto"/>
                              </w:rPr>
                            </w:pPr>
                          </w:p>
                          <w:p w14:paraId="231F5E11" w14:textId="77777777" w:rsidR="003474B6" w:rsidRPr="004A61C5" w:rsidRDefault="003474B6" w:rsidP="00825C4D">
                            <w:pPr>
                              <w:pStyle w:val="TLKontakty"/>
                              <w:spacing w:after="80" w:line="240" w:lineRule="auto"/>
                              <w:rPr>
                                <w:b w:val="0"/>
                                <w:color w:val="auto"/>
                              </w:rPr>
                            </w:pPr>
                            <w:r w:rsidRPr="00D66223">
                              <w:t>Jihlava</w:t>
                            </w:r>
                            <w:r w:rsidRPr="004A61C5">
                              <w:rPr>
                                <w:b w:val="0"/>
                                <w:color w:val="auto"/>
                              </w:rPr>
                              <w:t xml:space="preserve"> | Ke</w:t>
                            </w:r>
                            <w:r>
                              <w:rPr>
                                <w:b w:val="0"/>
                                <w:color w:val="auto"/>
                              </w:rPr>
                              <w:t> </w:t>
                            </w:r>
                            <w:r w:rsidRPr="004A61C5">
                              <w:rPr>
                                <w:b w:val="0"/>
                                <w:color w:val="auto"/>
                              </w:rPr>
                              <w:t>Skalce</w:t>
                            </w:r>
                            <w:r>
                              <w:rPr>
                                <w:b w:val="0"/>
                                <w:color w:val="auto"/>
                              </w:rPr>
                              <w:t> </w:t>
                            </w:r>
                            <w:r w:rsidRPr="004A61C5">
                              <w:rPr>
                                <w:b w:val="0"/>
                                <w:color w:val="auto"/>
                              </w:rPr>
                              <w:t>30,</w:t>
                            </w:r>
                            <w:r>
                              <w:rPr>
                                <w:b w:val="0"/>
                                <w:color w:val="auto"/>
                              </w:rPr>
                              <w:t xml:space="preserve"> 586 01 Jihlava, tel.: </w:t>
                            </w:r>
                            <w:r w:rsidRPr="004A61C5">
                              <w:rPr>
                                <w:b w:val="0"/>
                                <w:color w:val="auto"/>
                              </w:rPr>
                              <w:t>567</w:t>
                            </w:r>
                            <w:r>
                              <w:rPr>
                                <w:b w:val="0"/>
                                <w:color w:val="auto"/>
                              </w:rPr>
                              <w:t> </w:t>
                            </w:r>
                            <w:r w:rsidRPr="004A61C5">
                              <w:rPr>
                                <w:b w:val="0"/>
                                <w:color w:val="auto"/>
                              </w:rPr>
                              <w:t>109</w:t>
                            </w:r>
                            <w:r>
                              <w:rPr>
                                <w:b w:val="0"/>
                                <w:color w:val="auto"/>
                              </w:rPr>
                              <w:t> </w:t>
                            </w:r>
                            <w:r w:rsidRPr="00BC731E">
                              <w:rPr>
                                <w:b w:val="0"/>
                                <w:color w:val="auto"/>
                              </w:rPr>
                              <w:t>062, 567</w:t>
                            </w:r>
                            <w:r>
                              <w:rPr>
                                <w:b w:val="0"/>
                                <w:color w:val="auto"/>
                              </w:rPr>
                              <w:t> </w:t>
                            </w:r>
                            <w:r w:rsidRPr="00BC731E">
                              <w:rPr>
                                <w:b w:val="0"/>
                                <w:color w:val="auto"/>
                              </w:rPr>
                              <w:t>109 073</w:t>
                            </w:r>
                          </w:p>
                          <w:p w14:paraId="05687D8F" w14:textId="77777777" w:rsidR="003474B6" w:rsidRPr="004A61C5" w:rsidRDefault="003474B6" w:rsidP="00825C4D">
                            <w:pPr>
                              <w:pStyle w:val="TLKontakty"/>
                              <w:spacing w:after="80" w:line="240" w:lineRule="auto"/>
                              <w:rPr>
                                <w:b w:val="0"/>
                                <w:color w:val="auto"/>
                              </w:rPr>
                            </w:pPr>
                            <w:r w:rsidRPr="004A61C5">
                              <w:rPr>
                                <w:b w:val="0"/>
                                <w:color w:val="auto"/>
                              </w:rPr>
                              <w:t xml:space="preserve">e-mail: infoservisvys@czso.cz | </w:t>
                            </w:r>
                            <w:r w:rsidRPr="004A61C5">
                              <w:rPr>
                                <w:color w:val="auto"/>
                              </w:rPr>
                              <w:t>www.jihlava.czso.cz</w:t>
                            </w:r>
                          </w:p>
                          <w:p w14:paraId="14A58016" w14:textId="77777777" w:rsidR="003474B6" w:rsidRDefault="003474B6" w:rsidP="00825C4D">
                            <w:pPr>
                              <w:pStyle w:val="TLKontakty"/>
                              <w:spacing w:after="80" w:line="240" w:lineRule="auto"/>
                            </w:pPr>
                          </w:p>
                          <w:p w14:paraId="2C2F9B1E" w14:textId="455F4613" w:rsidR="003474B6" w:rsidRPr="00BC731E" w:rsidRDefault="003474B6" w:rsidP="00825C4D">
                            <w:pPr>
                              <w:pStyle w:val="TLKontakty"/>
                              <w:spacing w:after="80" w:line="240" w:lineRule="auto"/>
                              <w:rPr>
                                <w:b w:val="0"/>
                                <w:color w:val="auto"/>
                              </w:rPr>
                            </w:pPr>
                            <w:r w:rsidRPr="00D66223">
                              <w:t>Brno</w:t>
                            </w:r>
                            <w:r w:rsidRPr="004A61C5">
                              <w:rPr>
                                <w:b w:val="0"/>
                                <w:color w:val="auto"/>
                              </w:rPr>
                              <w:t xml:space="preserve"> | Jezuitská</w:t>
                            </w:r>
                            <w:r>
                              <w:rPr>
                                <w:b w:val="0"/>
                                <w:color w:val="auto"/>
                              </w:rPr>
                              <w:t> </w:t>
                            </w:r>
                            <w:r w:rsidRPr="004A61C5">
                              <w:rPr>
                                <w:b w:val="0"/>
                                <w:color w:val="auto"/>
                              </w:rPr>
                              <w:t>2, 601</w:t>
                            </w:r>
                            <w:r>
                              <w:rPr>
                                <w:b w:val="0"/>
                                <w:color w:val="auto"/>
                              </w:rPr>
                              <w:t> </w:t>
                            </w:r>
                            <w:r w:rsidRPr="004A61C5">
                              <w:rPr>
                                <w:b w:val="0"/>
                                <w:color w:val="auto"/>
                              </w:rPr>
                              <w:t xml:space="preserve">59 Brno, </w:t>
                            </w:r>
                            <w:r>
                              <w:rPr>
                                <w:b w:val="0"/>
                                <w:color w:val="auto"/>
                              </w:rPr>
                              <w:t xml:space="preserve">tel.: </w:t>
                            </w:r>
                            <w:r w:rsidRPr="004A61C5">
                              <w:rPr>
                                <w:b w:val="0"/>
                                <w:color w:val="auto"/>
                              </w:rPr>
                              <w:t>542</w:t>
                            </w:r>
                            <w:r>
                              <w:rPr>
                                <w:b w:val="0"/>
                                <w:color w:val="auto"/>
                              </w:rPr>
                              <w:t> </w:t>
                            </w:r>
                            <w:r w:rsidRPr="004A61C5">
                              <w:rPr>
                                <w:b w:val="0"/>
                                <w:color w:val="auto"/>
                              </w:rPr>
                              <w:t>528</w:t>
                            </w:r>
                            <w:r>
                              <w:rPr>
                                <w:b w:val="0"/>
                                <w:color w:val="auto"/>
                              </w:rPr>
                              <w:t> </w:t>
                            </w:r>
                            <w:r w:rsidRPr="00BC731E">
                              <w:rPr>
                                <w:b w:val="0"/>
                                <w:color w:val="auto"/>
                              </w:rPr>
                              <w:t>115, 542</w:t>
                            </w:r>
                            <w:r>
                              <w:rPr>
                                <w:b w:val="0"/>
                                <w:color w:val="auto"/>
                              </w:rPr>
                              <w:t> </w:t>
                            </w:r>
                            <w:r w:rsidRPr="00BC731E">
                              <w:rPr>
                                <w:b w:val="0"/>
                                <w:color w:val="auto"/>
                              </w:rPr>
                              <w:t>528 200</w:t>
                            </w:r>
                          </w:p>
                          <w:p w14:paraId="395EA08C" w14:textId="77777777" w:rsidR="003474B6" w:rsidRPr="004A61C5" w:rsidRDefault="003474B6" w:rsidP="00825C4D">
                            <w:pPr>
                              <w:pStyle w:val="TLKontakty"/>
                              <w:spacing w:after="80" w:line="240" w:lineRule="auto"/>
                              <w:rPr>
                                <w:color w:val="auto"/>
                              </w:rPr>
                            </w:pPr>
                            <w:r w:rsidRPr="004A61C5">
                              <w:rPr>
                                <w:b w:val="0"/>
                                <w:color w:val="auto"/>
                              </w:rPr>
                              <w:t xml:space="preserve">e-mail: infoservisbrno@czso.cz | </w:t>
                            </w:r>
                            <w:r w:rsidRPr="004A61C5">
                              <w:rPr>
                                <w:color w:val="auto"/>
                              </w:rPr>
                              <w:t>www.brno.czso.cz</w:t>
                            </w:r>
                          </w:p>
                          <w:p w14:paraId="7E41DBBE" w14:textId="77777777" w:rsidR="003474B6" w:rsidRPr="004A61C5" w:rsidRDefault="003474B6" w:rsidP="00825C4D">
                            <w:pPr>
                              <w:pStyle w:val="TLKontakty"/>
                              <w:spacing w:after="80" w:line="240" w:lineRule="auto"/>
                              <w:rPr>
                                <w:b w:val="0"/>
                                <w:color w:val="auto"/>
                              </w:rPr>
                            </w:pPr>
                          </w:p>
                          <w:p w14:paraId="3F9813C4" w14:textId="77777777" w:rsidR="003474B6" w:rsidRPr="005E7C78" w:rsidRDefault="003474B6" w:rsidP="00825C4D">
                            <w:pPr>
                              <w:pStyle w:val="TLKontakty"/>
                              <w:spacing w:after="80" w:line="240" w:lineRule="auto"/>
                              <w:rPr>
                                <w:b w:val="0"/>
                                <w:color w:val="auto"/>
                              </w:rPr>
                            </w:pPr>
                            <w:r w:rsidRPr="00D66223">
                              <w:t>Olomouc</w:t>
                            </w:r>
                            <w:r w:rsidRPr="005E7C78">
                              <w:rPr>
                                <w:b w:val="0"/>
                                <w:color w:val="auto"/>
                              </w:rPr>
                              <w:t xml:space="preserve"> | Jeremenkova</w:t>
                            </w:r>
                            <w:r>
                              <w:rPr>
                                <w:b w:val="0"/>
                                <w:color w:val="auto"/>
                              </w:rPr>
                              <w:t> </w:t>
                            </w:r>
                            <w:r w:rsidRPr="005E7C78">
                              <w:rPr>
                                <w:b w:val="0"/>
                                <w:color w:val="auto"/>
                              </w:rPr>
                              <w:t>1142/42, 772</w:t>
                            </w:r>
                            <w:r>
                              <w:rPr>
                                <w:b w:val="0"/>
                                <w:color w:val="auto"/>
                              </w:rPr>
                              <w:t> </w:t>
                            </w:r>
                            <w:r w:rsidRPr="005E7C78">
                              <w:rPr>
                                <w:b w:val="0"/>
                                <w:color w:val="auto"/>
                              </w:rPr>
                              <w:t xml:space="preserve">11 Olomouc, </w:t>
                            </w:r>
                            <w:r>
                              <w:rPr>
                                <w:b w:val="0"/>
                                <w:color w:val="auto"/>
                              </w:rPr>
                              <w:t xml:space="preserve">tel.: </w:t>
                            </w:r>
                            <w:r w:rsidRPr="005E7C78">
                              <w:rPr>
                                <w:b w:val="0"/>
                                <w:color w:val="auto"/>
                              </w:rPr>
                              <w:t>585</w:t>
                            </w:r>
                            <w:r>
                              <w:rPr>
                                <w:b w:val="0"/>
                                <w:color w:val="auto"/>
                              </w:rPr>
                              <w:t> </w:t>
                            </w:r>
                            <w:r w:rsidRPr="005E7C78">
                              <w:rPr>
                                <w:b w:val="0"/>
                                <w:color w:val="auto"/>
                              </w:rPr>
                              <w:t>731</w:t>
                            </w:r>
                            <w:r>
                              <w:rPr>
                                <w:b w:val="0"/>
                                <w:color w:val="auto"/>
                              </w:rPr>
                              <w:t> </w:t>
                            </w:r>
                            <w:r w:rsidRPr="00BC731E">
                              <w:rPr>
                                <w:b w:val="0"/>
                                <w:color w:val="auto"/>
                              </w:rPr>
                              <w:t>516, 585</w:t>
                            </w:r>
                            <w:r>
                              <w:rPr>
                                <w:b w:val="0"/>
                                <w:color w:val="auto"/>
                              </w:rPr>
                              <w:t> </w:t>
                            </w:r>
                            <w:r w:rsidRPr="00BC731E">
                              <w:rPr>
                                <w:b w:val="0"/>
                                <w:color w:val="auto"/>
                              </w:rPr>
                              <w:t>731 511</w:t>
                            </w:r>
                          </w:p>
                          <w:p w14:paraId="483B16E7" w14:textId="77777777" w:rsidR="003474B6" w:rsidRPr="005E7C78" w:rsidRDefault="003474B6" w:rsidP="00825C4D">
                            <w:pPr>
                              <w:pStyle w:val="TLKontakty"/>
                              <w:spacing w:after="80" w:line="240" w:lineRule="auto"/>
                              <w:rPr>
                                <w:b w:val="0"/>
                                <w:color w:val="auto"/>
                              </w:rPr>
                            </w:pPr>
                            <w:r w:rsidRPr="005E7C78">
                              <w:rPr>
                                <w:b w:val="0"/>
                                <w:color w:val="auto"/>
                              </w:rPr>
                              <w:t xml:space="preserve">e-mail: infoservisolom@czso.cz | </w:t>
                            </w:r>
                            <w:r w:rsidRPr="005E7C78">
                              <w:rPr>
                                <w:color w:val="auto"/>
                              </w:rPr>
                              <w:t>www.olomouc.czso.cz</w:t>
                            </w:r>
                          </w:p>
                          <w:p w14:paraId="1DEA6773" w14:textId="77777777" w:rsidR="003474B6" w:rsidRPr="005E7C78" w:rsidRDefault="003474B6" w:rsidP="00825C4D">
                            <w:pPr>
                              <w:pStyle w:val="TLKontakty"/>
                              <w:spacing w:after="80" w:line="240" w:lineRule="auto"/>
                              <w:rPr>
                                <w:b w:val="0"/>
                                <w:color w:val="auto"/>
                              </w:rPr>
                            </w:pPr>
                          </w:p>
                          <w:p w14:paraId="448F5DDA" w14:textId="77777777" w:rsidR="003474B6" w:rsidRPr="005E7C78" w:rsidRDefault="003474B6" w:rsidP="00825C4D">
                            <w:pPr>
                              <w:pStyle w:val="TLKontakty"/>
                              <w:spacing w:after="80" w:line="240" w:lineRule="auto"/>
                              <w:rPr>
                                <w:b w:val="0"/>
                                <w:color w:val="auto"/>
                              </w:rPr>
                            </w:pPr>
                            <w:r w:rsidRPr="00D66223">
                              <w:t>Zlín</w:t>
                            </w:r>
                            <w:r w:rsidRPr="005E7C78">
                              <w:rPr>
                                <w:b w:val="0"/>
                                <w:color w:val="auto"/>
                              </w:rPr>
                              <w:t xml:space="preserve"> | tř.</w:t>
                            </w:r>
                            <w:r>
                              <w:rPr>
                                <w:b w:val="0"/>
                                <w:color w:val="auto"/>
                              </w:rPr>
                              <w:t> </w:t>
                            </w:r>
                            <w:r w:rsidRPr="005E7C78">
                              <w:rPr>
                                <w:b w:val="0"/>
                                <w:color w:val="auto"/>
                              </w:rPr>
                              <w:t>Tomáše Bati</w:t>
                            </w:r>
                            <w:r>
                              <w:rPr>
                                <w:b w:val="0"/>
                                <w:color w:val="auto"/>
                              </w:rPr>
                              <w:t> </w:t>
                            </w:r>
                            <w:r w:rsidRPr="005E7C78">
                              <w:rPr>
                                <w:b w:val="0"/>
                                <w:color w:val="auto"/>
                              </w:rPr>
                              <w:t>1565, 761</w:t>
                            </w:r>
                            <w:r>
                              <w:rPr>
                                <w:b w:val="0"/>
                                <w:color w:val="auto"/>
                              </w:rPr>
                              <w:t> </w:t>
                            </w:r>
                            <w:r w:rsidRPr="005E7C78">
                              <w:rPr>
                                <w:b w:val="0"/>
                                <w:color w:val="auto"/>
                              </w:rPr>
                              <w:t xml:space="preserve">76 Zlín, </w:t>
                            </w:r>
                            <w:r w:rsidRPr="00BC731E">
                              <w:rPr>
                                <w:b w:val="0"/>
                                <w:color w:val="auto"/>
                              </w:rPr>
                              <w:t>tel.: 577</w:t>
                            </w:r>
                            <w:r>
                              <w:rPr>
                                <w:b w:val="0"/>
                                <w:color w:val="auto"/>
                              </w:rPr>
                              <w:t> </w:t>
                            </w:r>
                            <w:r w:rsidRPr="00BC731E">
                              <w:rPr>
                                <w:b w:val="0"/>
                                <w:color w:val="auto"/>
                              </w:rPr>
                              <w:t>004 932, 5</w:t>
                            </w:r>
                            <w:r w:rsidRPr="005E7C78">
                              <w:rPr>
                                <w:b w:val="0"/>
                                <w:color w:val="auto"/>
                              </w:rPr>
                              <w:t>77</w:t>
                            </w:r>
                            <w:r>
                              <w:rPr>
                                <w:b w:val="0"/>
                                <w:color w:val="auto"/>
                              </w:rPr>
                              <w:t> </w:t>
                            </w:r>
                            <w:r w:rsidRPr="005E7C78">
                              <w:rPr>
                                <w:b w:val="0"/>
                                <w:color w:val="auto"/>
                              </w:rPr>
                              <w:t>004</w:t>
                            </w:r>
                            <w:r>
                              <w:rPr>
                                <w:b w:val="0"/>
                                <w:color w:val="auto"/>
                              </w:rPr>
                              <w:t> </w:t>
                            </w:r>
                            <w:r w:rsidRPr="005E7C78">
                              <w:rPr>
                                <w:b w:val="0"/>
                                <w:color w:val="auto"/>
                              </w:rPr>
                              <w:t>935</w:t>
                            </w:r>
                          </w:p>
                          <w:p w14:paraId="4B103B14" w14:textId="77777777" w:rsidR="003474B6" w:rsidRDefault="003474B6" w:rsidP="00825C4D">
                            <w:pPr>
                              <w:pStyle w:val="TLKontakty"/>
                              <w:spacing w:after="80" w:line="240" w:lineRule="auto"/>
                              <w:rPr>
                                <w:color w:val="auto"/>
                              </w:rPr>
                            </w:pPr>
                            <w:r w:rsidRPr="005E7C78">
                              <w:rPr>
                                <w:b w:val="0"/>
                                <w:color w:val="auto"/>
                              </w:rPr>
                              <w:t xml:space="preserve">e-mail: infoservis-zl@czso.cz | </w:t>
                            </w:r>
                            <w:r w:rsidRPr="00227A53">
                              <w:rPr>
                                <w:color w:val="auto"/>
                              </w:rPr>
                              <w:t>www.zlin.czso.cz</w:t>
                            </w:r>
                          </w:p>
                          <w:p w14:paraId="48B741A9" w14:textId="77777777" w:rsidR="003474B6" w:rsidRPr="005E7C78" w:rsidRDefault="003474B6" w:rsidP="00095135">
                            <w:pPr>
                              <w:pStyle w:val="TLKontakty"/>
                              <w:spacing w:after="80" w:line="240" w:lineRule="auto"/>
                              <w:rPr>
                                <w:b w:val="0"/>
                                <w:color w:val="auto"/>
                              </w:rPr>
                            </w:pPr>
                          </w:p>
                          <w:p w14:paraId="395ED09A" w14:textId="77777777" w:rsidR="003474B6" w:rsidRPr="005E7C78" w:rsidRDefault="003474B6" w:rsidP="00095135">
                            <w:pPr>
                              <w:pStyle w:val="TLKontakty"/>
                              <w:spacing w:after="80" w:line="240" w:lineRule="auto"/>
                              <w:rPr>
                                <w:b w:val="0"/>
                                <w:color w:val="auto"/>
                              </w:rPr>
                            </w:pPr>
                            <w:r w:rsidRPr="00D66223">
                              <w:t>Ostrava</w:t>
                            </w:r>
                            <w:r w:rsidRPr="005E7C78">
                              <w:rPr>
                                <w:b w:val="0"/>
                                <w:color w:val="auto"/>
                              </w:rPr>
                              <w:t xml:space="preserve"> | Repinova</w:t>
                            </w:r>
                            <w:r>
                              <w:rPr>
                                <w:b w:val="0"/>
                                <w:color w:val="auto"/>
                              </w:rPr>
                              <w:t> </w:t>
                            </w:r>
                            <w:r w:rsidRPr="005E7C78">
                              <w:rPr>
                                <w:b w:val="0"/>
                                <w:color w:val="auto"/>
                              </w:rPr>
                              <w:t>17, 702</w:t>
                            </w:r>
                            <w:r>
                              <w:rPr>
                                <w:b w:val="0"/>
                                <w:color w:val="auto"/>
                              </w:rPr>
                              <w:t> </w:t>
                            </w:r>
                            <w:r w:rsidRPr="005E7C78">
                              <w:rPr>
                                <w:b w:val="0"/>
                                <w:color w:val="auto"/>
                              </w:rPr>
                              <w:t>03 Ostrava,</w:t>
                            </w:r>
                            <w:r>
                              <w:rPr>
                                <w:b w:val="0"/>
                                <w:color w:val="auto"/>
                              </w:rPr>
                              <w:t xml:space="preserve"> tel.: </w:t>
                            </w:r>
                            <w:r w:rsidRPr="005E7C78">
                              <w:rPr>
                                <w:b w:val="0"/>
                                <w:color w:val="auto"/>
                              </w:rPr>
                              <w:t>595</w:t>
                            </w:r>
                            <w:r>
                              <w:rPr>
                                <w:b w:val="0"/>
                                <w:color w:val="auto"/>
                              </w:rPr>
                              <w:t> </w:t>
                            </w:r>
                            <w:r w:rsidRPr="005E7C78">
                              <w:rPr>
                                <w:b w:val="0"/>
                                <w:color w:val="auto"/>
                              </w:rPr>
                              <w:t>131</w:t>
                            </w:r>
                            <w:r>
                              <w:rPr>
                                <w:b w:val="0"/>
                                <w:color w:val="auto"/>
                              </w:rPr>
                              <w:t> </w:t>
                            </w:r>
                            <w:r w:rsidRPr="005E7C78">
                              <w:rPr>
                                <w:b w:val="0"/>
                                <w:color w:val="auto"/>
                              </w:rPr>
                              <w:t>230, 595</w:t>
                            </w:r>
                            <w:r>
                              <w:rPr>
                                <w:b w:val="0"/>
                                <w:color w:val="auto"/>
                              </w:rPr>
                              <w:t> </w:t>
                            </w:r>
                            <w:r w:rsidRPr="005E7C78">
                              <w:rPr>
                                <w:b w:val="0"/>
                                <w:color w:val="auto"/>
                              </w:rPr>
                              <w:t>131</w:t>
                            </w:r>
                            <w:r>
                              <w:rPr>
                                <w:b w:val="0"/>
                                <w:color w:val="auto"/>
                              </w:rPr>
                              <w:t> </w:t>
                            </w:r>
                            <w:r w:rsidRPr="005E7C78">
                              <w:rPr>
                                <w:b w:val="0"/>
                                <w:color w:val="auto"/>
                              </w:rPr>
                              <w:t>232</w:t>
                            </w:r>
                          </w:p>
                          <w:p w14:paraId="0575867B" w14:textId="77777777" w:rsidR="003474B6" w:rsidRPr="00095135" w:rsidRDefault="003474B6" w:rsidP="00825C4D">
                            <w:pPr>
                              <w:pStyle w:val="TLKontakty"/>
                              <w:spacing w:after="80" w:line="240" w:lineRule="auto"/>
                              <w:rPr>
                                <w:b w:val="0"/>
                                <w:color w:val="auto"/>
                              </w:rPr>
                            </w:pPr>
                            <w:r w:rsidRPr="005E7C78">
                              <w:rPr>
                                <w:b w:val="0"/>
                                <w:color w:val="auto"/>
                              </w:rPr>
                              <w:t xml:space="preserve">e-mail: infoservis_ov@czso.cz | </w:t>
                            </w:r>
                            <w:r w:rsidRPr="005E7C78">
                              <w:rPr>
                                <w:color w:val="auto"/>
                              </w:rPr>
                              <w:t>www.ostrava.czso.cz</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CA088C6" id="_x0000_s1030" type="#_x0000_t202" style="position:absolute;left:0;text-align:left;margin-left:57pt;margin-top:113.4pt;width:481.85pt;height:604.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" filled="f" stroked="f">
                <v:textbox style="mso-fit-shape-to-text:t" inset="0,0,0,0">
                  <w:txbxContent>
                    <w:p w14:paraId="28541332" w14:textId="77777777" w:rsidR="003474B6" w:rsidRPr="006F5416" w:rsidRDefault="003474B6" w:rsidP="006F5416">
                      <w:pPr>
                        <w:pStyle w:val="TLKontaktyerven"/>
                      </w:pPr>
                      <w:r w:rsidRPr="006F5416">
                        <w:t>KONTAKTY V ÚSTŘEDÍ</w:t>
                      </w:r>
                    </w:p>
                    <w:p w14:paraId="3C71345D" w14:textId="77777777" w:rsidR="003474B6" w:rsidRPr="007D40DF" w:rsidRDefault="003474B6" w:rsidP="00825C4D">
                      <w:pPr>
                        <w:pStyle w:val="TLKontakty"/>
                        <w:spacing w:after="80" w:line="240" w:lineRule="auto"/>
                        <w:contextualSpacing w:val="0"/>
                        <w:rPr>
                          <w:b w:val="0"/>
                          <w:color w:val="auto"/>
                        </w:rPr>
                      </w:pPr>
                      <w:r w:rsidRPr="00D66223">
                        <w:t>Český statistický úřad</w:t>
                      </w:r>
                      <w:r w:rsidRPr="007D40DF">
                        <w:rPr>
                          <w:b w:val="0"/>
                          <w:color w:val="auto"/>
                        </w:rPr>
                        <w:t xml:space="preserve"> | Na</w:t>
                      </w:r>
                      <w:r>
                        <w:rPr>
                          <w:b w:val="0"/>
                          <w:color w:val="auto"/>
                        </w:rPr>
                        <w:t xml:space="preserve"> padesátém 81, 100 82 Praha</w:t>
                      </w:r>
                      <w:r w:rsidRPr="007D40DF">
                        <w:rPr>
                          <w:b w:val="0"/>
                          <w:color w:val="auto"/>
                        </w:rPr>
                        <w:t> </w:t>
                      </w:r>
                      <w:r>
                        <w:rPr>
                          <w:b w:val="0"/>
                          <w:color w:val="auto"/>
                        </w:rPr>
                        <w:t xml:space="preserve">10, </w:t>
                      </w:r>
                      <w:r w:rsidRPr="007D40DF">
                        <w:rPr>
                          <w:b w:val="0"/>
                          <w:color w:val="auto"/>
                        </w:rPr>
                        <w:t xml:space="preserve">tel.: 274 051 111 | </w:t>
                      </w:r>
                      <w:r w:rsidRPr="007D40DF">
                        <w:rPr>
                          <w:color w:val="auto"/>
                        </w:rPr>
                        <w:t>www.czso.cz</w:t>
                      </w:r>
                    </w:p>
                    <w:p w14:paraId="5DF2AD66" w14:textId="77777777" w:rsidR="003474B6" w:rsidRPr="00D235B7" w:rsidRDefault="003474B6" w:rsidP="00825C4D">
                      <w:pPr>
                        <w:pStyle w:val="TLKontakty"/>
                        <w:spacing w:after="80" w:line="240" w:lineRule="auto"/>
                        <w:contextualSpacing w:val="0"/>
                        <w:rPr>
                          <w:b w:val="0"/>
                          <w:color w:val="auto"/>
                        </w:rPr>
                      </w:pPr>
                      <w:r w:rsidRPr="00D235B7">
                        <w:rPr>
                          <w:color w:val="auto"/>
                        </w:rPr>
                        <w:t>Oddělení informačních služeb</w:t>
                      </w:r>
                      <w:r w:rsidRPr="00D235B7">
                        <w:rPr>
                          <w:b w:val="0"/>
                          <w:color w:val="auto"/>
                        </w:rPr>
                        <w:t xml:space="preserve"> | tel.: 274</w:t>
                      </w:r>
                      <w:r>
                        <w:rPr>
                          <w:b w:val="0"/>
                          <w:color w:val="auto"/>
                        </w:rPr>
                        <w:t> </w:t>
                      </w:r>
                      <w:r w:rsidRPr="00D235B7">
                        <w:rPr>
                          <w:b w:val="0"/>
                          <w:color w:val="auto"/>
                        </w:rPr>
                        <w:t>052</w:t>
                      </w:r>
                      <w:r>
                        <w:rPr>
                          <w:b w:val="0"/>
                          <w:color w:val="auto"/>
                        </w:rPr>
                        <w:t> </w:t>
                      </w:r>
                      <w:r w:rsidRPr="00D235B7">
                        <w:rPr>
                          <w:b w:val="0"/>
                          <w:color w:val="auto"/>
                        </w:rPr>
                        <w:t>304, 274</w:t>
                      </w:r>
                      <w:r>
                        <w:rPr>
                          <w:b w:val="0"/>
                          <w:color w:val="auto"/>
                        </w:rPr>
                        <w:t> </w:t>
                      </w:r>
                      <w:r w:rsidRPr="00D235B7">
                        <w:rPr>
                          <w:b w:val="0"/>
                          <w:color w:val="auto"/>
                        </w:rPr>
                        <w:t>052 451 | e-mail: infoservis@czso.cz</w:t>
                      </w:r>
                    </w:p>
                    <w:p w14:paraId="41F3052F" w14:textId="77777777" w:rsidR="003474B6" w:rsidRPr="00D235B7" w:rsidRDefault="003474B6" w:rsidP="00825C4D">
                      <w:pPr>
                        <w:pStyle w:val="TLKontakty"/>
                        <w:spacing w:after="80" w:line="240" w:lineRule="auto"/>
                        <w:contextualSpacing w:val="0"/>
                        <w:rPr>
                          <w:b w:val="0"/>
                          <w:color w:val="auto"/>
                        </w:rPr>
                      </w:pPr>
                      <w:r w:rsidRPr="00D235B7">
                        <w:rPr>
                          <w:color w:val="auto"/>
                        </w:rPr>
                        <w:t>Prodejna publikací ČSÚ</w:t>
                      </w:r>
                      <w:r w:rsidRPr="00D235B7">
                        <w:rPr>
                          <w:b w:val="0"/>
                          <w:color w:val="auto"/>
                        </w:rPr>
                        <w:t xml:space="preserve"> | tel.: 274</w:t>
                      </w:r>
                      <w:r>
                        <w:rPr>
                          <w:b w:val="0"/>
                          <w:color w:val="auto"/>
                        </w:rPr>
                        <w:t> </w:t>
                      </w:r>
                      <w:r w:rsidRPr="00D235B7">
                        <w:rPr>
                          <w:b w:val="0"/>
                          <w:color w:val="auto"/>
                        </w:rPr>
                        <w:t>052 361 | e-mail: prodejna@czso.cz</w:t>
                      </w:r>
                    </w:p>
                    <w:p w14:paraId="231AC1D4" w14:textId="77777777" w:rsidR="003474B6" w:rsidRPr="00D235B7" w:rsidRDefault="003474B6" w:rsidP="00825C4D">
                      <w:pPr>
                        <w:pStyle w:val="TLKontakty"/>
                        <w:spacing w:after="80" w:line="240" w:lineRule="auto"/>
                        <w:contextualSpacing w:val="0"/>
                        <w:rPr>
                          <w:b w:val="0"/>
                          <w:color w:val="auto"/>
                        </w:rPr>
                      </w:pPr>
                      <w:r w:rsidRPr="00D235B7">
                        <w:rPr>
                          <w:color w:val="auto"/>
                        </w:rPr>
                        <w:t>Evropská data (ESDS), mezinárodní srovnání</w:t>
                      </w:r>
                      <w:r w:rsidRPr="00D235B7">
                        <w:rPr>
                          <w:b w:val="0"/>
                          <w:color w:val="auto"/>
                        </w:rPr>
                        <w:t xml:space="preserve"> | tel.: 274</w:t>
                      </w:r>
                      <w:r>
                        <w:rPr>
                          <w:b w:val="0"/>
                          <w:color w:val="auto"/>
                        </w:rPr>
                        <w:t> </w:t>
                      </w:r>
                      <w:r w:rsidRPr="00D235B7">
                        <w:rPr>
                          <w:b w:val="0"/>
                          <w:color w:val="auto"/>
                        </w:rPr>
                        <w:t>052</w:t>
                      </w:r>
                      <w:r>
                        <w:rPr>
                          <w:b w:val="0"/>
                          <w:color w:val="auto"/>
                        </w:rPr>
                        <w:t> </w:t>
                      </w:r>
                      <w:r w:rsidRPr="00D235B7">
                        <w:rPr>
                          <w:b w:val="0"/>
                          <w:color w:val="auto"/>
                        </w:rPr>
                        <w:t>347 | e-mail: esds@czso.cz</w:t>
                      </w:r>
                    </w:p>
                    <w:p w14:paraId="548AAF1E" w14:textId="77777777" w:rsidR="003474B6" w:rsidRPr="00D235B7" w:rsidRDefault="003474B6" w:rsidP="00825C4D">
                      <w:pPr>
                        <w:pStyle w:val="TLKontakty"/>
                        <w:spacing w:after="80" w:line="240" w:lineRule="auto"/>
                        <w:contextualSpacing w:val="0"/>
                        <w:rPr>
                          <w:b w:val="0"/>
                          <w:color w:val="auto"/>
                        </w:rPr>
                      </w:pPr>
                      <w:r w:rsidRPr="00D235B7">
                        <w:rPr>
                          <w:color w:val="auto"/>
                        </w:rPr>
                        <w:t>Ústřední statistická knihovna</w:t>
                      </w:r>
                      <w:r w:rsidRPr="00D235B7">
                        <w:rPr>
                          <w:b w:val="0"/>
                          <w:color w:val="auto"/>
                        </w:rPr>
                        <w:t xml:space="preserve"> | tel.: 274</w:t>
                      </w:r>
                      <w:r>
                        <w:rPr>
                          <w:b w:val="0"/>
                          <w:color w:val="auto"/>
                        </w:rPr>
                        <w:t> </w:t>
                      </w:r>
                      <w:r w:rsidRPr="00D235B7">
                        <w:rPr>
                          <w:b w:val="0"/>
                          <w:color w:val="auto"/>
                        </w:rPr>
                        <w:t>052 361 | e-mail: knihovna@czso.cz</w:t>
                      </w:r>
                    </w:p>
                    <w:p w14:paraId="676CE837" w14:textId="77777777" w:rsidR="003474B6" w:rsidRPr="004A61C5" w:rsidRDefault="003474B6" w:rsidP="00825C4D">
                      <w:pPr>
                        <w:pStyle w:val="TLKontakty"/>
                        <w:spacing w:after="80" w:line="240" w:lineRule="auto"/>
                        <w:contextualSpacing w:val="0"/>
                        <w:rPr>
                          <w:color w:val="auto"/>
                        </w:rPr>
                      </w:pPr>
                    </w:p>
                    <w:p w14:paraId="58156969" w14:textId="77777777" w:rsidR="003474B6" w:rsidRPr="00D66223" w:rsidRDefault="003474B6" w:rsidP="00D66223">
                      <w:pPr>
                        <w:pStyle w:val="TLKontaktyerven"/>
                      </w:pPr>
                      <w:r w:rsidRPr="00D66223">
                        <w:t>INFORMAČNÍ SLUŽBY V REGIONECH</w:t>
                      </w:r>
                    </w:p>
                    <w:p w14:paraId="4879BC68" w14:textId="77777777" w:rsidR="003474B6" w:rsidRPr="00992CF3" w:rsidRDefault="003474B6" w:rsidP="00825C4D">
                      <w:pPr>
                        <w:pStyle w:val="TLKontakty"/>
                        <w:spacing w:after="80" w:line="240" w:lineRule="auto"/>
                        <w:rPr>
                          <w:b w:val="0"/>
                          <w:color w:val="auto"/>
                        </w:rPr>
                      </w:pPr>
                      <w:r w:rsidRPr="00D66223">
                        <w:t>Hl. m. Praha</w:t>
                      </w:r>
                      <w:r w:rsidRPr="00992CF3">
                        <w:rPr>
                          <w:b w:val="0"/>
                          <w:color w:val="auto"/>
                        </w:rPr>
                        <w:t xml:space="preserve"> | Na</w:t>
                      </w:r>
                      <w:r>
                        <w:rPr>
                          <w:b w:val="0"/>
                          <w:color w:val="auto"/>
                        </w:rPr>
                        <w:t xml:space="preserve"> padesátém 81, 100 82 Praha 10, </w:t>
                      </w:r>
                      <w:r w:rsidRPr="00992CF3">
                        <w:rPr>
                          <w:b w:val="0"/>
                          <w:color w:val="auto"/>
                        </w:rPr>
                        <w:t>tel.</w:t>
                      </w:r>
                      <w:r w:rsidRPr="007D40DF">
                        <w:rPr>
                          <w:b w:val="0"/>
                          <w:color w:val="auto"/>
                        </w:rPr>
                        <w:t>:</w:t>
                      </w:r>
                      <w:r>
                        <w:rPr>
                          <w:b w:val="0"/>
                          <w:color w:val="auto"/>
                        </w:rPr>
                        <w:t xml:space="preserve"> 274 052 673, </w:t>
                      </w:r>
                      <w:r w:rsidRPr="00992CF3">
                        <w:rPr>
                          <w:b w:val="0"/>
                          <w:color w:val="auto"/>
                        </w:rPr>
                        <w:t>274</w:t>
                      </w:r>
                      <w:r>
                        <w:rPr>
                          <w:b w:val="0"/>
                          <w:color w:val="auto"/>
                        </w:rPr>
                        <w:t> </w:t>
                      </w:r>
                      <w:r w:rsidRPr="00992CF3">
                        <w:rPr>
                          <w:b w:val="0"/>
                          <w:color w:val="auto"/>
                        </w:rPr>
                        <w:t>054</w:t>
                      </w:r>
                      <w:r>
                        <w:rPr>
                          <w:b w:val="0"/>
                          <w:color w:val="auto"/>
                        </w:rPr>
                        <w:t> </w:t>
                      </w:r>
                      <w:r w:rsidRPr="00992CF3">
                        <w:rPr>
                          <w:b w:val="0"/>
                          <w:color w:val="auto"/>
                        </w:rPr>
                        <w:t>223</w:t>
                      </w:r>
                    </w:p>
                    <w:p w14:paraId="013DC4C4" w14:textId="77777777" w:rsidR="003474B6" w:rsidRPr="00992CF3" w:rsidRDefault="003474B6" w:rsidP="00825C4D">
                      <w:pPr>
                        <w:pStyle w:val="TLKontakty"/>
                        <w:spacing w:after="80" w:line="240" w:lineRule="auto"/>
                        <w:rPr>
                          <w:b w:val="0"/>
                          <w:color w:val="auto"/>
                        </w:rPr>
                      </w:pPr>
                      <w:r w:rsidRPr="00992CF3">
                        <w:rPr>
                          <w:b w:val="0"/>
                          <w:color w:val="auto"/>
                        </w:rPr>
                        <w:t xml:space="preserve">e-mail: infoservispraha@czso.cz | </w:t>
                      </w:r>
                      <w:r w:rsidRPr="00992CF3">
                        <w:rPr>
                          <w:color w:val="auto"/>
                        </w:rPr>
                        <w:t>www.praha.czso.cz</w:t>
                      </w:r>
                    </w:p>
                    <w:p w14:paraId="39B244A8" w14:textId="77777777" w:rsidR="003474B6" w:rsidRPr="004A61C5" w:rsidRDefault="003474B6" w:rsidP="00825C4D">
                      <w:pPr>
                        <w:pStyle w:val="TLKontakty"/>
                        <w:spacing w:after="80" w:line="240" w:lineRule="auto"/>
                        <w:rPr>
                          <w:color w:val="auto"/>
                        </w:rPr>
                      </w:pPr>
                    </w:p>
                    <w:p w14:paraId="0700B661" w14:textId="77777777" w:rsidR="003474B6" w:rsidRPr="00992CF3" w:rsidRDefault="003474B6" w:rsidP="00825C4D">
                      <w:pPr>
                        <w:pStyle w:val="TLKontakty"/>
                        <w:spacing w:after="80" w:line="240" w:lineRule="auto"/>
                        <w:rPr>
                          <w:b w:val="0"/>
                          <w:color w:val="auto"/>
                        </w:rPr>
                      </w:pPr>
                      <w:r w:rsidRPr="00D66223">
                        <w:t>Středočeský kraj</w:t>
                      </w:r>
                      <w:r w:rsidRPr="00992CF3">
                        <w:rPr>
                          <w:b w:val="0"/>
                          <w:color w:val="auto"/>
                        </w:rPr>
                        <w:t xml:space="preserve"> | Na padesátém</w:t>
                      </w:r>
                      <w:r>
                        <w:rPr>
                          <w:b w:val="0"/>
                          <w:color w:val="auto"/>
                        </w:rPr>
                        <w:t> </w:t>
                      </w:r>
                      <w:r w:rsidRPr="00992CF3">
                        <w:rPr>
                          <w:b w:val="0"/>
                          <w:color w:val="auto"/>
                        </w:rPr>
                        <w:t>81, 100</w:t>
                      </w:r>
                      <w:r>
                        <w:rPr>
                          <w:b w:val="0"/>
                          <w:color w:val="auto"/>
                        </w:rPr>
                        <w:t> </w:t>
                      </w:r>
                      <w:r w:rsidRPr="00992CF3">
                        <w:rPr>
                          <w:b w:val="0"/>
                          <w:color w:val="auto"/>
                        </w:rPr>
                        <w:t>82 Praha</w:t>
                      </w:r>
                      <w:r>
                        <w:rPr>
                          <w:b w:val="0"/>
                          <w:color w:val="auto"/>
                        </w:rPr>
                        <w:t> </w:t>
                      </w:r>
                      <w:r w:rsidRPr="00992CF3">
                        <w:rPr>
                          <w:b w:val="0"/>
                          <w:color w:val="auto"/>
                        </w:rPr>
                        <w:t>10, tel.</w:t>
                      </w:r>
                      <w:r>
                        <w:rPr>
                          <w:b w:val="0"/>
                          <w:color w:val="auto"/>
                        </w:rPr>
                        <w:t xml:space="preserve">: </w:t>
                      </w:r>
                      <w:r w:rsidRPr="00992CF3">
                        <w:rPr>
                          <w:b w:val="0"/>
                          <w:color w:val="auto"/>
                        </w:rPr>
                        <w:t>274</w:t>
                      </w:r>
                      <w:r>
                        <w:rPr>
                          <w:b w:val="0"/>
                          <w:color w:val="auto"/>
                        </w:rPr>
                        <w:t> </w:t>
                      </w:r>
                      <w:r w:rsidRPr="00992CF3">
                        <w:rPr>
                          <w:b w:val="0"/>
                          <w:color w:val="auto"/>
                        </w:rPr>
                        <w:t>054 175</w:t>
                      </w:r>
                    </w:p>
                    <w:p w14:paraId="416161E8" w14:textId="77777777" w:rsidR="003474B6" w:rsidRPr="00992CF3" w:rsidRDefault="003474B6" w:rsidP="00825C4D">
                      <w:pPr>
                        <w:pStyle w:val="TLKontakty"/>
                        <w:spacing w:after="80" w:line="240" w:lineRule="auto"/>
                        <w:rPr>
                          <w:color w:val="auto"/>
                        </w:rPr>
                      </w:pPr>
                      <w:r w:rsidRPr="00992CF3">
                        <w:rPr>
                          <w:b w:val="0"/>
                          <w:color w:val="auto"/>
                        </w:rPr>
                        <w:t xml:space="preserve">e-mail: infoservisstc@czso.cz | </w:t>
                      </w:r>
                      <w:r w:rsidRPr="00992CF3">
                        <w:rPr>
                          <w:color w:val="auto"/>
                        </w:rPr>
                        <w:t>www.stredocesky.czso.cz</w:t>
                      </w:r>
                    </w:p>
                    <w:p w14:paraId="4FF5E3BD" w14:textId="77777777" w:rsidR="003474B6" w:rsidRPr="004A61C5" w:rsidRDefault="003474B6" w:rsidP="00825C4D">
                      <w:pPr>
                        <w:pStyle w:val="TLKontakty"/>
                        <w:spacing w:after="80" w:line="240" w:lineRule="auto"/>
                        <w:rPr>
                          <w:color w:val="auto"/>
                        </w:rPr>
                      </w:pPr>
                    </w:p>
                    <w:p w14:paraId="272E9710" w14:textId="77777777" w:rsidR="003474B6" w:rsidRPr="00992CF3" w:rsidRDefault="003474B6" w:rsidP="00825C4D">
                      <w:pPr>
                        <w:pStyle w:val="TLKontakty"/>
                        <w:spacing w:after="80" w:line="240" w:lineRule="auto"/>
                        <w:rPr>
                          <w:b w:val="0"/>
                          <w:color w:val="auto"/>
                        </w:rPr>
                      </w:pPr>
                      <w:r w:rsidRPr="00D66223">
                        <w:t>České Budějovice</w:t>
                      </w:r>
                      <w:r w:rsidRPr="00992CF3">
                        <w:rPr>
                          <w:b w:val="0"/>
                          <w:color w:val="auto"/>
                        </w:rPr>
                        <w:t xml:space="preserve"> | Žižkova</w:t>
                      </w:r>
                      <w:r>
                        <w:rPr>
                          <w:b w:val="0"/>
                          <w:color w:val="auto"/>
                        </w:rPr>
                        <w:t> </w:t>
                      </w:r>
                      <w:r w:rsidRPr="00992CF3">
                        <w:rPr>
                          <w:b w:val="0"/>
                          <w:color w:val="auto"/>
                        </w:rPr>
                        <w:t>1, 370</w:t>
                      </w:r>
                      <w:r>
                        <w:rPr>
                          <w:b w:val="0"/>
                          <w:color w:val="auto"/>
                        </w:rPr>
                        <w:t> </w:t>
                      </w:r>
                      <w:r w:rsidRPr="00992CF3">
                        <w:rPr>
                          <w:b w:val="0"/>
                          <w:color w:val="auto"/>
                        </w:rPr>
                        <w:t>77 České Budějovice</w:t>
                      </w:r>
                      <w:r>
                        <w:rPr>
                          <w:b w:val="0"/>
                          <w:color w:val="auto"/>
                        </w:rPr>
                        <w:t xml:space="preserve">, </w:t>
                      </w:r>
                      <w:r w:rsidRPr="00992CF3">
                        <w:rPr>
                          <w:b w:val="0"/>
                          <w:color w:val="auto"/>
                        </w:rPr>
                        <w:t>tel.</w:t>
                      </w:r>
                      <w:r>
                        <w:rPr>
                          <w:b w:val="0"/>
                          <w:color w:val="auto"/>
                        </w:rPr>
                        <w:t xml:space="preserve">: </w:t>
                      </w:r>
                      <w:r w:rsidRPr="00992CF3">
                        <w:rPr>
                          <w:b w:val="0"/>
                          <w:color w:val="auto"/>
                        </w:rPr>
                        <w:t>386</w:t>
                      </w:r>
                      <w:r>
                        <w:rPr>
                          <w:b w:val="0"/>
                          <w:color w:val="auto"/>
                        </w:rPr>
                        <w:t> </w:t>
                      </w:r>
                      <w:r w:rsidRPr="00992CF3">
                        <w:rPr>
                          <w:b w:val="0"/>
                          <w:color w:val="auto"/>
                        </w:rPr>
                        <w:t>718 440</w:t>
                      </w:r>
                    </w:p>
                    <w:p w14:paraId="41660CA4" w14:textId="77777777" w:rsidR="003474B6" w:rsidRPr="00992CF3" w:rsidRDefault="003474B6" w:rsidP="00825C4D">
                      <w:pPr>
                        <w:pStyle w:val="TLKontakty"/>
                        <w:spacing w:after="80" w:line="240" w:lineRule="auto"/>
                        <w:rPr>
                          <w:b w:val="0"/>
                          <w:color w:val="auto"/>
                        </w:rPr>
                      </w:pPr>
                      <w:r w:rsidRPr="00992CF3">
                        <w:rPr>
                          <w:b w:val="0"/>
                          <w:color w:val="auto"/>
                        </w:rPr>
                        <w:t xml:space="preserve">e-mail: infoserviscb@czso.cz | </w:t>
                      </w:r>
                      <w:r w:rsidRPr="00992CF3">
                        <w:rPr>
                          <w:color w:val="auto"/>
                        </w:rPr>
                        <w:t>www.cbudejovice.czso.cz</w:t>
                      </w:r>
                    </w:p>
                    <w:p w14:paraId="02FFC287" w14:textId="77777777" w:rsidR="003474B6" w:rsidRPr="004A61C5" w:rsidRDefault="003474B6" w:rsidP="00825C4D">
                      <w:pPr>
                        <w:pStyle w:val="TLKontakty"/>
                        <w:spacing w:after="80" w:line="240" w:lineRule="auto"/>
                        <w:rPr>
                          <w:color w:val="auto"/>
                        </w:rPr>
                      </w:pPr>
                    </w:p>
                    <w:p w14:paraId="28D66B71" w14:textId="77777777" w:rsidR="003474B6" w:rsidRPr="00BC731E" w:rsidRDefault="003474B6" w:rsidP="00825C4D">
                      <w:pPr>
                        <w:pStyle w:val="TLKontakty"/>
                        <w:spacing w:after="80" w:line="240" w:lineRule="auto"/>
                        <w:rPr>
                          <w:b w:val="0"/>
                          <w:color w:val="auto"/>
                        </w:rPr>
                      </w:pPr>
                      <w:r w:rsidRPr="00D66223">
                        <w:t>Plzeň</w:t>
                      </w:r>
                      <w:r w:rsidRPr="004A61C5">
                        <w:rPr>
                          <w:b w:val="0"/>
                          <w:color w:val="auto"/>
                        </w:rPr>
                        <w:t xml:space="preserve"> | Slovanská alej</w:t>
                      </w:r>
                      <w:r>
                        <w:rPr>
                          <w:b w:val="0"/>
                          <w:color w:val="auto"/>
                        </w:rPr>
                        <w:t> </w:t>
                      </w:r>
                      <w:r w:rsidRPr="004A61C5">
                        <w:rPr>
                          <w:b w:val="0"/>
                          <w:color w:val="auto"/>
                        </w:rPr>
                        <w:t>36, 326</w:t>
                      </w:r>
                      <w:r>
                        <w:rPr>
                          <w:b w:val="0"/>
                          <w:color w:val="auto"/>
                        </w:rPr>
                        <w:t> </w:t>
                      </w:r>
                      <w:r w:rsidRPr="004A61C5">
                        <w:rPr>
                          <w:b w:val="0"/>
                          <w:color w:val="auto"/>
                        </w:rPr>
                        <w:t>64 Plzeň</w:t>
                      </w:r>
                      <w:r>
                        <w:rPr>
                          <w:b w:val="0"/>
                          <w:color w:val="auto"/>
                        </w:rPr>
                        <w:t xml:space="preserve">, </w:t>
                      </w:r>
                      <w:r w:rsidRPr="004A61C5">
                        <w:rPr>
                          <w:b w:val="0"/>
                          <w:color w:val="auto"/>
                        </w:rPr>
                        <w:t>tel.</w:t>
                      </w:r>
                      <w:r>
                        <w:rPr>
                          <w:b w:val="0"/>
                          <w:color w:val="auto"/>
                        </w:rPr>
                        <w:t xml:space="preserve">: </w:t>
                      </w:r>
                      <w:r w:rsidRPr="004A61C5">
                        <w:rPr>
                          <w:b w:val="0"/>
                          <w:color w:val="auto"/>
                        </w:rPr>
                        <w:t>377</w:t>
                      </w:r>
                      <w:r>
                        <w:rPr>
                          <w:b w:val="0"/>
                          <w:color w:val="auto"/>
                        </w:rPr>
                        <w:t> </w:t>
                      </w:r>
                      <w:r w:rsidRPr="004A61C5">
                        <w:rPr>
                          <w:b w:val="0"/>
                          <w:color w:val="auto"/>
                        </w:rPr>
                        <w:t>612</w:t>
                      </w:r>
                      <w:r>
                        <w:rPr>
                          <w:b w:val="0"/>
                          <w:color w:val="auto"/>
                        </w:rPr>
                        <w:t> </w:t>
                      </w:r>
                      <w:r w:rsidRPr="004A61C5">
                        <w:rPr>
                          <w:b w:val="0"/>
                          <w:color w:val="auto"/>
                        </w:rPr>
                        <w:t>108</w:t>
                      </w:r>
                      <w:r w:rsidRPr="00BC731E">
                        <w:rPr>
                          <w:b w:val="0"/>
                          <w:color w:val="auto"/>
                        </w:rPr>
                        <w:t>, 377 612 145</w:t>
                      </w:r>
                    </w:p>
                    <w:p w14:paraId="44E4A2F2" w14:textId="77777777" w:rsidR="003474B6" w:rsidRPr="004A61C5" w:rsidRDefault="003474B6" w:rsidP="00825C4D">
                      <w:pPr>
                        <w:pStyle w:val="TLKontakty"/>
                        <w:spacing w:after="80" w:line="240" w:lineRule="auto"/>
                        <w:rPr>
                          <w:b w:val="0"/>
                          <w:color w:val="auto"/>
                        </w:rPr>
                      </w:pPr>
                      <w:r w:rsidRPr="004A61C5">
                        <w:rPr>
                          <w:b w:val="0"/>
                          <w:color w:val="auto"/>
                        </w:rPr>
                        <w:t xml:space="preserve">e-mail: infoservisplzen@czso.cz | </w:t>
                      </w:r>
                      <w:r w:rsidRPr="004A61C5">
                        <w:rPr>
                          <w:color w:val="auto"/>
                        </w:rPr>
                        <w:t>www.plzen.czso.cz</w:t>
                      </w:r>
                    </w:p>
                    <w:p w14:paraId="124C070B" w14:textId="77777777" w:rsidR="003474B6" w:rsidRPr="004A61C5" w:rsidRDefault="003474B6" w:rsidP="00825C4D">
                      <w:pPr>
                        <w:pStyle w:val="TLKontakty"/>
                        <w:spacing w:after="80" w:line="240" w:lineRule="auto"/>
                        <w:rPr>
                          <w:color w:val="auto"/>
                        </w:rPr>
                      </w:pPr>
                    </w:p>
                    <w:p w14:paraId="09B6DE68" w14:textId="77777777" w:rsidR="003474B6" w:rsidRPr="004A61C5" w:rsidRDefault="003474B6" w:rsidP="00825C4D">
                      <w:pPr>
                        <w:pStyle w:val="TLKontakty"/>
                        <w:spacing w:after="80" w:line="240" w:lineRule="auto"/>
                        <w:rPr>
                          <w:b w:val="0"/>
                          <w:color w:val="auto"/>
                        </w:rPr>
                      </w:pPr>
                      <w:r w:rsidRPr="00D66223">
                        <w:t>Karlovy Vary</w:t>
                      </w:r>
                      <w:r w:rsidRPr="004A61C5">
                        <w:rPr>
                          <w:b w:val="0"/>
                          <w:color w:val="auto"/>
                        </w:rPr>
                        <w:t xml:space="preserve"> | </w:t>
                      </w:r>
                      <w:r w:rsidRPr="00095135">
                        <w:rPr>
                          <w:b w:val="0"/>
                          <w:color w:val="auto"/>
                        </w:rPr>
                        <w:t>Závodní</w:t>
                      </w:r>
                      <w:r>
                        <w:rPr>
                          <w:b w:val="0"/>
                          <w:color w:val="auto"/>
                        </w:rPr>
                        <w:t> </w:t>
                      </w:r>
                      <w:r w:rsidRPr="00095135">
                        <w:rPr>
                          <w:b w:val="0"/>
                          <w:color w:val="auto"/>
                        </w:rPr>
                        <w:t>360/94, 360</w:t>
                      </w:r>
                      <w:r>
                        <w:rPr>
                          <w:b w:val="0"/>
                          <w:color w:val="auto"/>
                        </w:rPr>
                        <w:t> </w:t>
                      </w:r>
                      <w:r w:rsidRPr="00095135">
                        <w:rPr>
                          <w:b w:val="0"/>
                          <w:color w:val="auto"/>
                        </w:rPr>
                        <w:t>06 Karlovy Vary</w:t>
                      </w:r>
                      <w:r w:rsidRPr="004A61C5">
                        <w:rPr>
                          <w:b w:val="0"/>
                          <w:color w:val="auto"/>
                        </w:rPr>
                        <w:t>, tel.</w:t>
                      </w:r>
                      <w:r>
                        <w:rPr>
                          <w:b w:val="0"/>
                          <w:color w:val="auto"/>
                        </w:rPr>
                        <w:t xml:space="preserve">: </w:t>
                      </w:r>
                      <w:r w:rsidRPr="004A61C5">
                        <w:rPr>
                          <w:b w:val="0"/>
                          <w:color w:val="auto"/>
                        </w:rPr>
                        <w:t>353</w:t>
                      </w:r>
                      <w:r>
                        <w:rPr>
                          <w:b w:val="0"/>
                          <w:color w:val="auto"/>
                        </w:rPr>
                        <w:t> </w:t>
                      </w:r>
                      <w:r w:rsidRPr="004A61C5">
                        <w:rPr>
                          <w:b w:val="0"/>
                          <w:color w:val="auto"/>
                        </w:rPr>
                        <w:t>114</w:t>
                      </w:r>
                      <w:r>
                        <w:rPr>
                          <w:b w:val="0"/>
                          <w:color w:val="auto"/>
                        </w:rPr>
                        <w:t> </w:t>
                      </w:r>
                      <w:r w:rsidRPr="004A61C5">
                        <w:rPr>
                          <w:b w:val="0"/>
                          <w:color w:val="auto"/>
                        </w:rPr>
                        <w:t>529, 353</w:t>
                      </w:r>
                      <w:r>
                        <w:rPr>
                          <w:b w:val="0"/>
                          <w:color w:val="auto"/>
                        </w:rPr>
                        <w:t> </w:t>
                      </w:r>
                      <w:r w:rsidRPr="004A61C5">
                        <w:rPr>
                          <w:b w:val="0"/>
                          <w:color w:val="auto"/>
                        </w:rPr>
                        <w:t>114 525</w:t>
                      </w:r>
                    </w:p>
                    <w:p w14:paraId="477EF21B" w14:textId="77777777" w:rsidR="003474B6" w:rsidRPr="004A61C5" w:rsidRDefault="003474B6" w:rsidP="00825C4D">
                      <w:pPr>
                        <w:pStyle w:val="TLKontakty"/>
                        <w:spacing w:after="80" w:line="240" w:lineRule="auto"/>
                        <w:rPr>
                          <w:b w:val="0"/>
                          <w:color w:val="auto"/>
                        </w:rPr>
                      </w:pPr>
                      <w:r w:rsidRPr="004A61C5">
                        <w:rPr>
                          <w:b w:val="0"/>
                          <w:color w:val="auto"/>
                        </w:rPr>
                        <w:t xml:space="preserve">e-mail: infoserviskv@czso.cz | </w:t>
                      </w:r>
                      <w:r w:rsidRPr="004A61C5">
                        <w:rPr>
                          <w:color w:val="auto"/>
                        </w:rPr>
                        <w:t>www.kvary.czso.cz</w:t>
                      </w:r>
                    </w:p>
                    <w:p w14:paraId="6C1AC3BB" w14:textId="77777777" w:rsidR="003474B6" w:rsidRPr="004A61C5" w:rsidRDefault="003474B6" w:rsidP="00825C4D">
                      <w:pPr>
                        <w:pStyle w:val="TLKontakty"/>
                        <w:spacing w:after="80" w:line="240" w:lineRule="auto"/>
                        <w:rPr>
                          <w:color w:val="auto"/>
                        </w:rPr>
                      </w:pPr>
                    </w:p>
                    <w:p w14:paraId="59D3D98A" w14:textId="77777777" w:rsidR="003474B6" w:rsidRPr="004A61C5" w:rsidRDefault="003474B6" w:rsidP="00825C4D">
                      <w:pPr>
                        <w:pStyle w:val="TLKontakty"/>
                        <w:spacing w:after="80" w:line="240" w:lineRule="auto"/>
                        <w:rPr>
                          <w:b w:val="0"/>
                          <w:color w:val="auto"/>
                        </w:rPr>
                      </w:pPr>
                      <w:r w:rsidRPr="00D66223">
                        <w:t>Ústí nad Labem</w:t>
                      </w:r>
                      <w:r w:rsidRPr="004A61C5">
                        <w:rPr>
                          <w:b w:val="0"/>
                          <w:color w:val="auto"/>
                        </w:rPr>
                        <w:t xml:space="preserve"> | Špálova</w:t>
                      </w:r>
                      <w:r>
                        <w:rPr>
                          <w:b w:val="0"/>
                          <w:color w:val="auto"/>
                        </w:rPr>
                        <w:t> </w:t>
                      </w:r>
                      <w:r w:rsidRPr="004A61C5">
                        <w:rPr>
                          <w:b w:val="0"/>
                          <w:color w:val="auto"/>
                        </w:rPr>
                        <w:t>2684, 400</w:t>
                      </w:r>
                      <w:r>
                        <w:rPr>
                          <w:b w:val="0"/>
                          <w:color w:val="auto"/>
                        </w:rPr>
                        <w:t> </w:t>
                      </w:r>
                      <w:r w:rsidRPr="004A61C5">
                        <w:rPr>
                          <w:b w:val="0"/>
                          <w:color w:val="auto"/>
                        </w:rPr>
                        <w:t>11 Ústí nad Labem</w:t>
                      </w:r>
                      <w:r>
                        <w:rPr>
                          <w:b w:val="0"/>
                          <w:color w:val="auto"/>
                        </w:rPr>
                        <w:t xml:space="preserve">, </w:t>
                      </w:r>
                      <w:r w:rsidRPr="004A61C5">
                        <w:rPr>
                          <w:b w:val="0"/>
                          <w:color w:val="auto"/>
                        </w:rPr>
                        <w:t>tel.</w:t>
                      </w:r>
                      <w:r>
                        <w:rPr>
                          <w:b w:val="0"/>
                          <w:color w:val="auto"/>
                        </w:rPr>
                        <w:t xml:space="preserve">: </w:t>
                      </w:r>
                      <w:r w:rsidRPr="004A61C5">
                        <w:rPr>
                          <w:b w:val="0"/>
                          <w:color w:val="auto"/>
                        </w:rPr>
                        <w:t>472</w:t>
                      </w:r>
                      <w:r>
                        <w:rPr>
                          <w:b w:val="0"/>
                          <w:color w:val="auto"/>
                        </w:rPr>
                        <w:t> </w:t>
                      </w:r>
                      <w:r w:rsidRPr="004A61C5">
                        <w:rPr>
                          <w:b w:val="0"/>
                          <w:color w:val="auto"/>
                        </w:rPr>
                        <w:t>706</w:t>
                      </w:r>
                      <w:r>
                        <w:rPr>
                          <w:b w:val="0"/>
                          <w:color w:val="auto"/>
                        </w:rPr>
                        <w:t> </w:t>
                      </w:r>
                      <w:r w:rsidRPr="004A61C5">
                        <w:rPr>
                          <w:b w:val="0"/>
                          <w:color w:val="auto"/>
                        </w:rPr>
                        <w:t>176,</w:t>
                      </w:r>
                      <w:r>
                        <w:rPr>
                          <w:b w:val="0"/>
                          <w:color w:val="auto"/>
                        </w:rPr>
                        <w:t xml:space="preserve"> </w:t>
                      </w:r>
                      <w:r w:rsidRPr="004A61C5">
                        <w:rPr>
                          <w:b w:val="0"/>
                          <w:color w:val="auto"/>
                        </w:rPr>
                        <w:t>472</w:t>
                      </w:r>
                      <w:r>
                        <w:rPr>
                          <w:b w:val="0"/>
                          <w:color w:val="auto"/>
                        </w:rPr>
                        <w:t> </w:t>
                      </w:r>
                      <w:r w:rsidRPr="004A61C5">
                        <w:rPr>
                          <w:b w:val="0"/>
                          <w:color w:val="auto"/>
                        </w:rPr>
                        <w:t>706 121</w:t>
                      </w:r>
                    </w:p>
                    <w:p w14:paraId="2F4D5FAC" w14:textId="77777777" w:rsidR="003474B6" w:rsidRPr="004A61C5" w:rsidRDefault="003474B6" w:rsidP="00825C4D">
                      <w:pPr>
                        <w:pStyle w:val="TLKontakty"/>
                        <w:spacing w:after="80" w:line="240" w:lineRule="auto"/>
                        <w:rPr>
                          <w:b w:val="0"/>
                          <w:color w:val="auto"/>
                        </w:rPr>
                      </w:pPr>
                      <w:r w:rsidRPr="004A61C5">
                        <w:rPr>
                          <w:b w:val="0"/>
                          <w:color w:val="auto"/>
                        </w:rPr>
                        <w:t xml:space="preserve">e-mail: infoservisul@czso.cz | </w:t>
                      </w:r>
                      <w:r w:rsidRPr="004A61C5">
                        <w:rPr>
                          <w:color w:val="auto"/>
                        </w:rPr>
                        <w:t>www.ustinadlabem.czso.cz</w:t>
                      </w:r>
                    </w:p>
                    <w:p w14:paraId="465C0979" w14:textId="77777777" w:rsidR="003474B6" w:rsidRPr="004A61C5" w:rsidRDefault="003474B6" w:rsidP="00825C4D">
                      <w:pPr>
                        <w:pStyle w:val="TLKontakty"/>
                        <w:spacing w:after="80" w:line="240" w:lineRule="auto"/>
                        <w:rPr>
                          <w:color w:val="auto"/>
                        </w:rPr>
                      </w:pPr>
                    </w:p>
                    <w:p w14:paraId="53E44571" w14:textId="77777777" w:rsidR="003474B6" w:rsidRPr="004A61C5" w:rsidRDefault="003474B6" w:rsidP="00825C4D">
                      <w:pPr>
                        <w:pStyle w:val="TLKontakty"/>
                        <w:spacing w:after="80" w:line="240" w:lineRule="auto"/>
                        <w:rPr>
                          <w:b w:val="0"/>
                          <w:color w:val="auto"/>
                        </w:rPr>
                      </w:pPr>
                      <w:r w:rsidRPr="00D66223">
                        <w:t>Liberec</w:t>
                      </w:r>
                      <w:r w:rsidRPr="004A61C5">
                        <w:rPr>
                          <w:b w:val="0"/>
                          <w:color w:val="auto"/>
                        </w:rPr>
                        <w:t xml:space="preserve"> | </w:t>
                      </w:r>
                      <w:r>
                        <w:rPr>
                          <w:b w:val="0"/>
                          <w:color w:val="auto"/>
                        </w:rPr>
                        <w:t>n</w:t>
                      </w:r>
                      <w:r w:rsidRPr="004A61C5">
                        <w:rPr>
                          <w:b w:val="0"/>
                          <w:color w:val="auto"/>
                        </w:rPr>
                        <w:t>ám. Dr.</w:t>
                      </w:r>
                      <w:r>
                        <w:rPr>
                          <w:b w:val="0"/>
                          <w:color w:val="auto"/>
                        </w:rPr>
                        <w:t> </w:t>
                      </w:r>
                      <w:r w:rsidRPr="004A61C5">
                        <w:rPr>
                          <w:b w:val="0"/>
                          <w:color w:val="auto"/>
                        </w:rPr>
                        <w:t>Edvarda Beneše</w:t>
                      </w:r>
                      <w:r>
                        <w:rPr>
                          <w:b w:val="0"/>
                          <w:color w:val="auto"/>
                        </w:rPr>
                        <w:t> </w:t>
                      </w:r>
                      <w:r w:rsidRPr="004A61C5">
                        <w:rPr>
                          <w:b w:val="0"/>
                          <w:color w:val="auto"/>
                        </w:rPr>
                        <w:t>585/26, 460</w:t>
                      </w:r>
                      <w:r>
                        <w:rPr>
                          <w:b w:val="0"/>
                          <w:color w:val="auto"/>
                        </w:rPr>
                        <w:t> </w:t>
                      </w:r>
                      <w:r w:rsidRPr="004A61C5">
                        <w:rPr>
                          <w:b w:val="0"/>
                          <w:color w:val="auto"/>
                        </w:rPr>
                        <w:t>01 Liberec</w:t>
                      </w:r>
                      <w:r>
                        <w:rPr>
                          <w:b w:val="0"/>
                          <w:color w:val="auto"/>
                        </w:rPr>
                        <w:t> </w:t>
                      </w:r>
                      <w:r w:rsidRPr="004A61C5">
                        <w:rPr>
                          <w:b w:val="0"/>
                          <w:color w:val="auto"/>
                        </w:rPr>
                        <w:t>1, tel.</w:t>
                      </w:r>
                      <w:r>
                        <w:rPr>
                          <w:b w:val="0"/>
                          <w:color w:val="auto"/>
                        </w:rPr>
                        <w:t xml:space="preserve">: </w:t>
                      </w:r>
                      <w:r w:rsidRPr="004A61C5">
                        <w:rPr>
                          <w:b w:val="0"/>
                          <w:color w:val="auto"/>
                        </w:rPr>
                        <w:t>485</w:t>
                      </w:r>
                      <w:r>
                        <w:rPr>
                          <w:b w:val="0"/>
                          <w:color w:val="auto"/>
                        </w:rPr>
                        <w:t> </w:t>
                      </w:r>
                      <w:r w:rsidRPr="004A61C5">
                        <w:rPr>
                          <w:b w:val="0"/>
                          <w:color w:val="auto"/>
                        </w:rPr>
                        <w:t>238 811</w:t>
                      </w:r>
                    </w:p>
                    <w:p w14:paraId="7748DBC3" w14:textId="77777777" w:rsidR="003474B6" w:rsidRPr="004A61C5" w:rsidRDefault="003474B6" w:rsidP="00825C4D">
                      <w:pPr>
                        <w:pStyle w:val="TLKontakty"/>
                        <w:spacing w:after="80" w:line="240" w:lineRule="auto"/>
                        <w:rPr>
                          <w:b w:val="0"/>
                          <w:color w:val="auto"/>
                        </w:rPr>
                      </w:pPr>
                      <w:r w:rsidRPr="004A61C5">
                        <w:rPr>
                          <w:b w:val="0"/>
                          <w:color w:val="auto"/>
                        </w:rPr>
                        <w:t xml:space="preserve">e-mail: infoservislbc@czso.cz | </w:t>
                      </w:r>
                      <w:r w:rsidRPr="004A61C5">
                        <w:rPr>
                          <w:color w:val="auto"/>
                        </w:rPr>
                        <w:t>www.liberec.czso.cz</w:t>
                      </w:r>
                    </w:p>
                    <w:p w14:paraId="4123AE44" w14:textId="77777777" w:rsidR="003474B6" w:rsidRPr="004A61C5" w:rsidRDefault="003474B6" w:rsidP="00825C4D">
                      <w:pPr>
                        <w:pStyle w:val="TLKontakty"/>
                        <w:spacing w:after="80" w:line="240" w:lineRule="auto"/>
                        <w:rPr>
                          <w:b w:val="0"/>
                          <w:color w:val="auto"/>
                        </w:rPr>
                      </w:pPr>
                    </w:p>
                    <w:p w14:paraId="10E14C3C" w14:textId="77777777" w:rsidR="003474B6" w:rsidRPr="004A61C5" w:rsidRDefault="003474B6" w:rsidP="00825C4D">
                      <w:pPr>
                        <w:pStyle w:val="TLKontakty"/>
                        <w:spacing w:after="80" w:line="240" w:lineRule="auto"/>
                        <w:rPr>
                          <w:b w:val="0"/>
                          <w:color w:val="auto"/>
                        </w:rPr>
                      </w:pPr>
                      <w:r w:rsidRPr="00D66223">
                        <w:t>Hradec Králové</w:t>
                      </w:r>
                      <w:r w:rsidRPr="004A61C5">
                        <w:rPr>
                          <w:b w:val="0"/>
                          <w:color w:val="auto"/>
                        </w:rPr>
                        <w:t xml:space="preserve"> | Myslivečkova</w:t>
                      </w:r>
                      <w:r>
                        <w:rPr>
                          <w:b w:val="0"/>
                          <w:color w:val="auto"/>
                        </w:rPr>
                        <w:t> </w:t>
                      </w:r>
                      <w:r w:rsidRPr="004A61C5">
                        <w:rPr>
                          <w:b w:val="0"/>
                          <w:color w:val="auto"/>
                        </w:rPr>
                        <w:t>914, 500</w:t>
                      </w:r>
                      <w:r>
                        <w:rPr>
                          <w:b w:val="0"/>
                          <w:color w:val="auto"/>
                        </w:rPr>
                        <w:t> </w:t>
                      </w:r>
                      <w:r w:rsidRPr="004A61C5">
                        <w:rPr>
                          <w:b w:val="0"/>
                          <w:color w:val="auto"/>
                        </w:rPr>
                        <w:t>03 Hradec Králové</w:t>
                      </w:r>
                      <w:r>
                        <w:rPr>
                          <w:b w:val="0"/>
                          <w:color w:val="auto"/>
                        </w:rPr>
                        <w:t> </w:t>
                      </w:r>
                      <w:r w:rsidRPr="004A61C5">
                        <w:rPr>
                          <w:b w:val="0"/>
                          <w:color w:val="auto"/>
                        </w:rPr>
                        <w:t xml:space="preserve">3, </w:t>
                      </w:r>
                      <w:r>
                        <w:rPr>
                          <w:b w:val="0"/>
                          <w:color w:val="auto"/>
                        </w:rPr>
                        <w:t>tel.</w:t>
                      </w:r>
                      <w:r w:rsidRPr="007D40DF">
                        <w:rPr>
                          <w:b w:val="0"/>
                          <w:color w:val="auto"/>
                        </w:rPr>
                        <w:t>:</w:t>
                      </w:r>
                      <w:r>
                        <w:rPr>
                          <w:b w:val="0"/>
                          <w:color w:val="auto"/>
                        </w:rPr>
                        <w:t xml:space="preserve"> </w:t>
                      </w:r>
                      <w:r w:rsidRPr="004A61C5">
                        <w:rPr>
                          <w:b w:val="0"/>
                          <w:color w:val="auto"/>
                        </w:rPr>
                        <w:t>495</w:t>
                      </w:r>
                      <w:r>
                        <w:rPr>
                          <w:b w:val="0"/>
                          <w:color w:val="auto"/>
                        </w:rPr>
                        <w:t> </w:t>
                      </w:r>
                      <w:r w:rsidRPr="004A61C5">
                        <w:rPr>
                          <w:b w:val="0"/>
                          <w:color w:val="auto"/>
                        </w:rPr>
                        <w:t>762</w:t>
                      </w:r>
                      <w:r>
                        <w:rPr>
                          <w:b w:val="0"/>
                          <w:color w:val="auto"/>
                        </w:rPr>
                        <w:t> </w:t>
                      </w:r>
                      <w:r w:rsidRPr="004A61C5">
                        <w:rPr>
                          <w:b w:val="0"/>
                          <w:color w:val="auto"/>
                        </w:rPr>
                        <w:t>322,</w:t>
                      </w:r>
                      <w:r>
                        <w:rPr>
                          <w:b w:val="0"/>
                          <w:color w:val="auto"/>
                        </w:rPr>
                        <w:t xml:space="preserve"> </w:t>
                      </w:r>
                      <w:r w:rsidRPr="004A61C5">
                        <w:rPr>
                          <w:b w:val="0"/>
                          <w:color w:val="auto"/>
                        </w:rPr>
                        <w:t>495</w:t>
                      </w:r>
                      <w:r>
                        <w:rPr>
                          <w:b w:val="0"/>
                          <w:color w:val="auto"/>
                        </w:rPr>
                        <w:t> </w:t>
                      </w:r>
                      <w:r w:rsidRPr="004A61C5">
                        <w:rPr>
                          <w:b w:val="0"/>
                          <w:color w:val="auto"/>
                        </w:rPr>
                        <w:t>762 317</w:t>
                      </w:r>
                    </w:p>
                    <w:p w14:paraId="2E3651FF" w14:textId="77777777" w:rsidR="003474B6" w:rsidRPr="004A61C5" w:rsidRDefault="003474B6" w:rsidP="00825C4D">
                      <w:pPr>
                        <w:pStyle w:val="TLKontakty"/>
                        <w:spacing w:after="80" w:line="240" w:lineRule="auto"/>
                        <w:rPr>
                          <w:b w:val="0"/>
                          <w:color w:val="auto"/>
                        </w:rPr>
                      </w:pPr>
                      <w:r w:rsidRPr="004A61C5">
                        <w:rPr>
                          <w:b w:val="0"/>
                          <w:color w:val="auto"/>
                        </w:rPr>
                        <w:t xml:space="preserve">e-mail: infoservishk@czso.cz | </w:t>
                      </w:r>
                      <w:r w:rsidRPr="004A61C5">
                        <w:rPr>
                          <w:color w:val="auto"/>
                        </w:rPr>
                        <w:t>www.hradeckralove.czso.cz</w:t>
                      </w:r>
                    </w:p>
                    <w:p w14:paraId="74F45FF3" w14:textId="77777777" w:rsidR="003474B6" w:rsidRPr="004A61C5" w:rsidRDefault="003474B6" w:rsidP="00825C4D">
                      <w:pPr>
                        <w:pStyle w:val="TLKontakty"/>
                        <w:spacing w:after="80" w:line="240" w:lineRule="auto"/>
                        <w:rPr>
                          <w:color w:val="auto"/>
                        </w:rPr>
                      </w:pPr>
                    </w:p>
                    <w:p w14:paraId="5E11F5F2" w14:textId="77777777" w:rsidR="003474B6" w:rsidRPr="004A61C5" w:rsidRDefault="003474B6" w:rsidP="00825C4D">
                      <w:pPr>
                        <w:pStyle w:val="TLKontakty"/>
                        <w:spacing w:after="80" w:line="240" w:lineRule="auto"/>
                        <w:rPr>
                          <w:b w:val="0"/>
                          <w:color w:val="auto"/>
                        </w:rPr>
                      </w:pPr>
                      <w:r w:rsidRPr="00D66223">
                        <w:t>Pardubice</w:t>
                      </w:r>
                      <w:r w:rsidRPr="004A61C5">
                        <w:rPr>
                          <w:b w:val="0"/>
                          <w:color w:val="auto"/>
                        </w:rPr>
                        <w:t xml:space="preserve"> | V</w:t>
                      </w:r>
                      <w:r>
                        <w:rPr>
                          <w:b w:val="0"/>
                          <w:color w:val="auto"/>
                        </w:rPr>
                        <w:t> </w:t>
                      </w:r>
                      <w:r w:rsidRPr="004A61C5">
                        <w:rPr>
                          <w:b w:val="0"/>
                          <w:color w:val="auto"/>
                        </w:rPr>
                        <w:t>Ráji</w:t>
                      </w:r>
                      <w:r>
                        <w:rPr>
                          <w:b w:val="0"/>
                          <w:color w:val="auto"/>
                        </w:rPr>
                        <w:t> </w:t>
                      </w:r>
                      <w:r w:rsidRPr="004A61C5">
                        <w:rPr>
                          <w:b w:val="0"/>
                          <w:color w:val="auto"/>
                        </w:rPr>
                        <w:t>872, 531</w:t>
                      </w:r>
                      <w:r>
                        <w:rPr>
                          <w:b w:val="0"/>
                          <w:color w:val="auto"/>
                        </w:rPr>
                        <w:t> </w:t>
                      </w:r>
                      <w:r w:rsidRPr="004A61C5">
                        <w:rPr>
                          <w:b w:val="0"/>
                          <w:color w:val="auto"/>
                        </w:rPr>
                        <w:t>53 Pardubice</w:t>
                      </w:r>
                      <w:r>
                        <w:rPr>
                          <w:b w:val="0"/>
                          <w:color w:val="auto"/>
                        </w:rPr>
                        <w:t xml:space="preserve">, </w:t>
                      </w:r>
                      <w:r w:rsidRPr="004A61C5">
                        <w:rPr>
                          <w:b w:val="0"/>
                          <w:color w:val="auto"/>
                        </w:rPr>
                        <w:t>tel.</w:t>
                      </w:r>
                      <w:r>
                        <w:rPr>
                          <w:b w:val="0"/>
                          <w:color w:val="auto"/>
                        </w:rPr>
                        <w:t>:</w:t>
                      </w:r>
                      <w:r w:rsidRPr="004A61C5">
                        <w:rPr>
                          <w:b w:val="0"/>
                          <w:color w:val="auto"/>
                        </w:rPr>
                        <w:t xml:space="preserve"> 466</w:t>
                      </w:r>
                      <w:r>
                        <w:rPr>
                          <w:b w:val="0"/>
                          <w:color w:val="auto"/>
                        </w:rPr>
                        <w:t> </w:t>
                      </w:r>
                      <w:r w:rsidRPr="004A61C5">
                        <w:rPr>
                          <w:b w:val="0"/>
                          <w:color w:val="auto"/>
                        </w:rPr>
                        <w:t>743</w:t>
                      </w:r>
                      <w:r>
                        <w:rPr>
                          <w:b w:val="0"/>
                          <w:color w:val="auto"/>
                        </w:rPr>
                        <w:t> </w:t>
                      </w:r>
                      <w:r w:rsidRPr="004A61C5">
                        <w:rPr>
                          <w:b w:val="0"/>
                          <w:color w:val="auto"/>
                        </w:rPr>
                        <w:t>480, 466</w:t>
                      </w:r>
                      <w:r>
                        <w:rPr>
                          <w:b w:val="0"/>
                          <w:color w:val="auto"/>
                        </w:rPr>
                        <w:t> </w:t>
                      </w:r>
                      <w:r w:rsidRPr="004A61C5">
                        <w:rPr>
                          <w:b w:val="0"/>
                          <w:color w:val="auto"/>
                        </w:rPr>
                        <w:t>743 418</w:t>
                      </w:r>
                    </w:p>
                    <w:p w14:paraId="72152ABD" w14:textId="77777777" w:rsidR="003474B6" w:rsidRPr="004A61C5" w:rsidRDefault="003474B6" w:rsidP="00825C4D">
                      <w:pPr>
                        <w:pStyle w:val="TLKontakty"/>
                        <w:spacing w:after="80" w:line="240" w:lineRule="auto"/>
                        <w:rPr>
                          <w:b w:val="0"/>
                          <w:color w:val="auto"/>
                        </w:rPr>
                      </w:pPr>
                      <w:r w:rsidRPr="004A61C5">
                        <w:rPr>
                          <w:b w:val="0"/>
                          <w:color w:val="auto"/>
                        </w:rPr>
                        <w:t xml:space="preserve">e-mail: infoservispa@czso.cz | </w:t>
                      </w:r>
                      <w:r w:rsidRPr="004A61C5">
                        <w:rPr>
                          <w:color w:val="auto"/>
                        </w:rPr>
                        <w:t>www.pardubice.czso.cz</w:t>
                      </w:r>
                    </w:p>
                    <w:p w14:paraId="31158F18" w14:textId="77777777" w:rsidR="003474B6" w:rsidRPr="004A61C5" w:rsidRDefault="003474B6" w:rsidP="00825C4D">
                      <w:pPr>
                        <w:pStyle w:val="TLKontakty"/>
                        <w:spacing w:after="80" w:line="240" w:lineRule="auto"/>
                        <w:rPr>
                          <w:b w:val="0"/>
                          <w:color w:val="auto"/>
                        </w:rPr>
                      </w:pPr>
                    </w:p>
                    <w:p w14:paraId="231F5E11" w14:textId="77777777" w:rsidR="003474B6" w:rsidRPr="004A61C5" w:rsidRDefault="003474B6" w:rsidP="00825C4D">
                      <w:pPr>
                        <w:pStyle w:val="TLKontakty"/>
                        <w:spacing w:after="80" w:line="240" w:lineRule="auto"/>
                        <w:rPr>
                          <w:b w:val="0"/>
                          <w:color w:val="auto"/>
                        </w:rPr>
                      </w:pPr>
                      <w:r w:rsidRPr="00D66223">
                        <w:t>Jihlava</w:t>
                      </w:r>
                      <w:r w:rsidRPr="004A61C5">
                        <w:rPr>
                          <w:b w:val="0"/>
                          <w:color w:val="auto"/>
                        </w:rPr>
                        <w:t xml:space="preserve"> | Ke</w:t>
                      </w:r>
                      <w:r>
                        <w:rPr>
                          <w:b w:val="0"/>
                          <w:color w:val="auto"/>
                        </w:rPr>
                        <w:t> </w:t>
                      </w:r>
                      <w:r w:rsidRPr="004A61C5">
                        <w:rPr>
                          <w:b w:val="0"/>
                          <w:color w:val="auto"/>
                        </w:rPr>
                        <w:t>Skalce</w:t>
                      </w:r>
                      <w:r>
                        <w:rPr>
                          <w:b w:val="0"/>
                          <w:color w:val="auto"/>
                        </w:rPr>
                        <w:t> </w:t>
                      </w:r>
                      <w:r w:rsidRPr="004A61C5">
                        <w:rPr>
                          <w:b w:val="0"/>
                          <w:color w:val="auto"/>
                        </w:rPr>
                        <w:t>30,</w:t>
                      </w:r>
                      <w:r>
                        <w:rPr>
                          <w:b w:val="0"/>
                          <w:color w:val="auto"/>
                        </w:rPr>
                        <w:t xml:space="preserve"> 586 01 Jihlava, tel.: </w:t>
                      </w:r>
                      <w:r w:rsidRPr="004A61C5">
                        <w:rPr>
                          <w:b w:val="0"/>
                          <w:color w:val="auto"/>
                        </w:rPr>
                        <w:t>567</w:t>
                      </w:r>
                      <w:r>
                        <w:rPr>
                          <w:b w:val="0"/>
                          <w:color w:val="auto"/>
                        </w:rPr>
                        <w:t> </w:t>
                      </w:r>
                      <w:r w:rsidRPr="004A61C5">
                        <w:rPr>
                          <w:b w:val="0"/>
                          <w:color w:val="auto"/>
                        </w:rPr>
                        <w:t>109</w:t>
                      </w:r>
                      <w:r>
                        <w:rPr>
                          <w:b w:val="0"/>
                          <w:color w:val="auto"/>
                        </w:rPr>
                        <w:t> </w:t>
                      </w:r>
                      <w:r w:rsidRPr="00BC731E">
                        <w:rPr>
                          <w:b w:val="0"/>
                          <w:color w:val="auto"/>
                        </w:rPr>
                        <w:t>062, 567</w:t>
                      </w:r>
                      <w:r>
                        <w:rPr>
                          <w:b w:val="0"/>
                          <w:color w:val="auto"/>
                        </w:rPr>
                        <w:t> </w:t>
                      </w:r>
                      <w:r w:rsidRPr="00BC731E">
                        <w:rPr>
                          <w:b w:val="0"/>
                          <w:color w:val="auto"/>
                        </w:rPr>
                        <w:t>109 073</w:t>
                      </w:r>
                    </w:p>
                    <w:p w14:paraId="05687D8F" w14:textId="77777777" w:rsidR="003474B6" w:rsidRPr="004A61C5" w:rsidRDefault="003474B6" w:rsidP="00825C4D">
                      <w:pPr>
                        <w:pStyle w:val="TLKontakty"/>
                        <w:spacing w:after="80" w:line="240" w:lineRule="auto"/>
                        <w:rPr>
                          <w:b w:val="0"/>
                          <w:color w:val="auto"/>
                        </w:rPr>
                      </w:pPr>
                      <w:r w:rsidRPr="004A61C5">
                        <w:rPr>
                          <w:b w:val="0"/>
                          <w:color w:val="auto"/>
                        </w:rPr>
                        <w:t xml:space="preserve">e-mail: infoservisvys@czso.cz | </w:t>
                      </w:r>
                      <w:r w:rsidRPr="004A61C5">
                        <w:rPr>
                          <w:color w:val="auto"/>
                        </w:rPr>
                        <w:t>www.jihlava.czso.cz</w:t>
                      </w:r>
                    </w:p>
                    <w:p w14:paraId="14A58016" w14:textId="77777777" w:rsidR="003474B6" w:rsidRDefault="003474B6" w:rsidP="00825C4D">
                      <w:pPr>
                        <w:pStyle w:val="TLKontakty"/>
                        <w:spacing w:after="80" w:line="240" w:lineRule="auto"/>
                      </w:pPr>
                    </w:p>
                    <w:p w14:paraId="2C2F9B1E" w14:textId="455F4613" w:rsidR="003474B6" w:rsidRPr="00BC731E" w:rsidRDefault="003474B6" w:rsidP="00825C4D">
                      <w:pPr>
                        <w:pStyle w:val="TLKontakty"/>
                        <w:spacing w:after="80" w:line="240" w:lineRule="auto"/>
                        <w:rPr>
                          <w:b w:val="0"/>
                          <w:color w:val="auto"/>
                        </w:rPr>
                      </w:pPr>
                      <w:r w:rsidRPr="00D66223">
                        <w:t>Brno</w:t>
                      </w:r>
                      <w:r w:rsidRPr="004A61C5">
                        <w:rPr>
                          <w:b w:val="0"/>
                          <w:color w:val="auto"/>
                        </w:rPr>
                        <w:t xml:space="preserve"> | Jezuitská</w:t>
                      </w:r>
                      <w:r>
                        <w:rPr>
                          <w:b w:val="0"/>
                          <w:color w:val="auto"/>
                        </w:rPr>
                        <w:t> </w:t>
                      </w:r>
                      <w:r w:rsidRPr="004A61C5">
                        <w:rPr>
                          <w:b w:val="0"/>
                          <w:color w:val="auto"/>
                        </w:rPr>
                        <w:t>2, 601</w:t>
                      </w:r>
                      <w:r>
                        <w:rPr>
                          <w:b w:val="0"/>
                          <w:color w:val="auto"/>
                        </w:rPr>
                        <w:t> </w:t>
                      </w:r>
                      <w:r w:rsidRPr="004A61C5">
                        <w:rPr>
                          <w:b w:val="0"/>
                          <w:color w:val="auto"/>
                        </w:rPr>
                        <w:t xml:space="preserve">59 Brno, </w:t>
                      </w:r>
                      <w:r>
                        <w:rPr>
                          <w:b w:val="0"/>
                          <w:color w:val="auto"/>
                        </w:rPr>
                        <w:t xml:space="preserve">tel.: </w:t>
                      </w:r>
                      <w:r w:rsidRPr="004A61C5">
                        <w:rPr>
                          <w:b w:val="0"/>
                          <w:color w:val="auto"/>
                        </w:rPr>
                        <w:t>542</w:t>
                      </w:r>
                      <w:r>
                        <w:rPr>
                          <w:b w:val="0"/>
                          <w:color w:val="auto"/>
                        </w:rPr>
                        <w:t> </w:t>
                      </w:r>
                      <w:r w:rsidRPr="004A61C5">
                        <w:rPr>
                          <w:b w:val="0"/>
                          <w:color w:val="auto"/>
                        </w:rPr>
                        <w:t>528</w:t>
                      </w:r>
                      <w:r>
                        <w:rPr>
                          <w:b w:val="0"/>
                          <w:color w:val="auto"/>
                        </w:rPr>
                        <w:t> </w:t>
                      </w:r>
                      <w:r w:rsidRPr="00BC731E">
                        <w:rPr>
                          <w:b w:val="0"/>
                          <w:color w:val="auto"/>
                        </w:rPr>
                        <w:t>115, 542</w:t>
                      </w:r>
                      <w:r>
                        <w:rPr>
                          <w:b w:val="0"/>
                          <w:color w:val="auto"/>
                        </w:rPr>
                        <w:t> </w:t>
                      </w:r>
                      <w:r w:rsidRPr="00BC731E">
                        <w:rPr>
                          <w:b w:val="0"/>
                          <w:color w:val="auto"/>
                        </w:rPr>
                        <w:t>528 200</w:t>
                      </w:r>
                    </w:p>
                    <w:p w14:paraId="395EA08C" w14:textId="77777777" w:rsidR="003474B6" w:rsidRPr="004A61C5" w:rsidRDefault="003474B6" w:rsidP="00825C4D">
                      <w:pPr>
                        <w:pStyle w:val="TLKontakty"/>
                        <w:spacing w:after="80" w:line="240" w:lineRule="auto"/>
                        <w:rPr>
                          <w:color w:val="auto"/>
                        </w:rPr>
                      </w:pPr>
                      <w:r w:rsidRPr="004A61C5">
                        <w:rPr>
                          <w:b w:val="0"/>
                          <w:color w:val="auto"/>
                        </w:rPr>
                        <w:t xml:space="preserve">e-mail: infoservisbrno@czso.cz | </w:t>
                      </w:r>
                      <w:r w:rsidRPr="004A61C5">
                        <w:rPr>
                          <w:color w:val="auto"/>
                        </w:rPr>
                        <w:t>www.brno.czso.cz</w:t>
                      </w:r>
                    </w:p>
                    <w:p w14:paraId="7E41DBBE" w14:textId="77777777" w:rsidR="003474B6" w:rsidRPr="004A61C5" w:rsidRDefault="003474B6" w:rsidP="00825C4D">
                      <w:pPr>
                        <w:pStyle w:val="TLKontakty"/>
                        <w:spacing w:after="80" w:line="240" w:lineRule="auto"/>
                        <w:rPr>
                          <w:b w:val="0"/>
                          <w:color w:val="auto"/>
                        </w:rPr>
                      </w:pPr>
                    </w:p>
                    <w:p w14:paraId="3F9813C4" w14:textId="77777777" w:rsidR="003474B6" w:rsidRPr="005E7C78" w:rsidRDefault="003474B6" w:rsidP="00825C4D">
                      <w:pPr>
                        <w:pStyle w:val="TLKontakty"/>
                        <w:spacing w:after="80" w:line="240" w:lineRule="auto"/>
                        <w:rPr>
                          <w:b w:val="0"/>
                          <w:color w:val="auto"/>
                        </w:rPr>
                      </w:pPr>
                      <w:r w:rsidRPr="00D66223">
                        <w:t>Olomouc</w:t>
                      </w:r>
                      <w:r w:rsidRPr="005E7C78">
                        <w:rPr>
                          <w:b w:val="0"/>
                          <w:color w:val="auto"/>
                        </w:rPr>
                        <w:t xml:space="preserve"> | Jeremenkova</w:t>
                      </w:r>
                      <w:r>
                        <w:rPr>
                          <w:b w:val="0"/>
                          <w:color w:val="auto"/>
                        </w:rPr>
                        <w:t> </w:t>
                      </w:r>
                      <w:r w:rsidRPr="005E7C78">
                        <w:rPr>
                          <w:b w:val="0"/>
                          <w:color w:val="auto"/>
                        </w:rPr>
                        <w:t>1142/42, 772</w:t>
                      </w:r>
                      <w:r>
                        <w:rPr>
                          <w:b w:val="0"/>
                          <w:color w:val="auto"/>
                        </w:rPr>
                        <w:t> </w:t>
                      </w:r>
                      <w:r w:rsidRPr="005E7C78">
                        <w:rPr>
                          <w:b w:val="0"/>
                          <w:color w:val="auto"/>
                        </w:rPr>
                        <w:t xml:space="preserve">11 Olomouc, </w:t>
                      </w:r>
                      <w:r>
                        <w:rPr>
                          <w:b w:val="0"/>
                          <w:color w:val="auto"/>
                        </w:rPr>
                        <w:t xml:space="preserve">tel.: </w:t>
                      </w:r>
                      <w:r w:rsidRPr="005E7C78">
                        <w:rPr>
                          <w:b w:val="0"/>
                          <w:color w:val="auto"/>
                        </w:rPr>
                        <w:t>585</w:t>
                      </w:r>
                      <w:r>
                        <w:rPr>
                          <w:b w:val="0"/>
                          <w:color w:val="auto"/>
                        </w:rPr>
                        <w:t> </w:t>
                      </w:r>
                      <w:r w:rsidRPr="005E7C78">
                        <w:rPr>
                          <w:b w:val="0"/>
                          <w:color w:val="auto"/>
                        </w:rPr>
                        <w:t>731</w:t>
                      </w:r>
                      <w:r>
                        <w:rPr>
                          <w:b w:val="0"/>
                          <w:color w:val="auto"/>
                        </w:rPr>
                        <w:t> </w:t>
                      </w:r>
                      <w:r w:rsidRPr="00BC731E">
                        <w:rPr>
                          <w:b w:val="0"/>
                          <w:color w:val="auto"/>
                        </w:rPr>
                        <w:t>516, 585</w:t>
                      </w:r>
                      <w:r>
                        <w:rPr>
                          <w:b w:val="0"/>
                          <w:color w:val="auto"/>
                        </w:rPr>
                        <w:t> </w:t>
                      </w:r>
                      <w:r w:rsidRPr="00BC731E">
                        <w:rPr>
                          <w:b w:val="0"/>
                          <w:color w:val="auto"/>
                        </w:rPr>
                        <w:t>731 511</w:t>
                      </w:r>
                    </w:p>
                    <w:p w14:paraId="483B16E7" w14:textId="77777777" w:rsidR="003474B6" w:rsidRPr="005E7C78" w:rsidRDefault="003474B6" w:rsidP="00825C4D">
                      <w:pPr>
                        <w:pStyle w:val="TLKontakty"/>
                        <w:spacing w:after="80" w:line="240" w:lineRule="auto"/>
                        <w:rPr>
                          <w:b w:val="0"/>
                          <w:color w:val="auto"/>
                        </w:rPr>
                      </w:pPr>
                      <w:r w:rsidRPr="005E7C78">
                        <w:rPr>
                          <w:b w:val="0"/>
                          <w:color w:val="auto"/>
                        </w:rPr>
                        <w:t xml:space="preserve">e-mail: infoservisolom@czso.cz | </w:t>
                      </w:r>
                      <w:r w:rsidRPr="005E7C78">
                        <w:rPr>
                          <w:color w:val="auto"/>
                        </w:rPr>
                        <w:t>www.olomouc.czso.cz</w:t>
                      </w:r>
                    </w:p>
                    <w:p w14:paraId="1DEA6773" w14:textId="77777777" w:rsidR="003474B6" w:rsidRPr="005E7C78" w:rsidRDefault="003474B6" w:rsidP="00825C4D">
                      <w:pPr>
                        <w:pStyle w:val="TLKontakty"/>
                        <w:spacing w:after="80" w:line="240" w:lineRule="auto"/>
                        <w:rPr>
                          <w:b w:val="0"/>
                          <w:color w:val="auto"/>
                        </w:rPr>
                      </w:pPr>
                    </w:p>
                    <w:p w14:paraId="448F5DDA" w14:textId="77777777" w:rsidR="003474B6" w:rsidRPr="005E7C78" w:rsidRDefault="003474B6" w:rsidP="00825C4D">
                      <w:pPr>
                        <w:pStyle w:val="TLKontakty"/>
                        <w:spacing w:after="80" w:line="240" w:lineRule="auto"/>
                        <w:rPr>
                          <w:b w:val="0"/>
                          <w:color w:val="auto"/>
                        </w:rPr>
                      </w:pPr>
                      <w:r w:rsidRPr="00D66223">
                        <w:t>Zlín</w:t>
                      </w:r>
                      <w:r w:rsidRPr="005E7C78">
                        <w:rPr>
                          <w:b w:val="0"/>
                          <w:color w:val="auto"/>
                        </w:rPr>
                        <w:t xml:space="preserve"> | tř.</w:t>
                      </w:r>
                      <w:r>
                        <w:rPr>
                          <w:b w:val="0"/>
                          <w:color w:val="auto"/>
                        </w:rPr>
                        <w:t> </w:t>
                      </w:r>
                      <w:r w:rsidRPr="005E7C78">
                        <w:rPr>
                          <w:b w:val="0"/>
                          <w:color w:val="auto"/>
                        </w:rPr>
                        <w:t>Tomáše Bati</w:t>
                      </w:r>
                      <w:r>
                        <w:rPr>
                          <w:b w:val="0"/>
                          <w:color w:val="auto"/>
                        </w:rPr>
                        <w:t> </w:t>
                      </w:r>
                      <w:r w:rsidRPr="005E7C78">
                        <w:rPr>
                          <w:b w:val="0"/>
                          <w:color w:val="auto"/>
                        </w:rPr>
                        <w:t>1565, 761</w:t>
                      </w:r>
                      <w:r>
                        <w:rPr>
                          <w:b w:val="0"/>
                          <w:color w:val="auto"/>
                        </w:rPr>
                        <w:t> </w:t>
                      </w:r>
                      <w:r w:rsidRPr="005E7C78">
                        <w:rPr>
                          <w:b w:val="0"/>
                          <w:color w:val="auto"/>
                        </w:rPr>
                        <w:t xml:space="preserve">76 Zlín, </w:t>
                      </w:r>
                      <w:r w:rsidRPr="00BC731E">
                        <w:rPr>
                          <w:b w:val="0"/>
                          <w:color w:val="auto"/>
                        </w:rPr>
                        <w:t>tel.: 577</w:t>
                      </w:r>
                      <w:r>
                        <w:rPr>
                          <w:b w:val="0"/>
                          <w:color w:val="auto"/>
                        </w:rPr>
                        <w:t> </w:t>
                      </w:r>
                      <w:r w:rsidRPr="00BC731E">
                        <w:rPr>
                          <w:b w:val="0"/>
                          <w:color w:val="auto"/>
                        </w:rPr>
                        <w:t>004 932, 5</w:t>
                      </w:r>
                      <w:r w:rsidRPr="005E7C78">
                        <w:rPr>
                          <w:b w:val="0"/>
                          <w:color w:val="auto"/>
                        </w:rPr>
                        <w:t>77</w:t>
                      </w:r>
                      <w:r>
                        <w:rPr>
                          <w:b w:val="0"/>
                          <w:color w:val="auto"/>
                        </w:rPr>
                        <w:t> </w:t>
                      </w:r>
                      <w:r w:rsidRPr="005E7C78">
                        <w:rPr>
                          <w:b w:val="0"/>
                          <w:color w:val="auto"/>
                        </w:rPr>
                        <w:t>004</w:t>
                      </w:r>
                      <w:r>
                        <w:rPr>
                          <w:b w:val="0"/>
                          <w:color w:val="auto"/>
                        </w:rPr>
                        <w:t> </w:t>
                      </w:r>
                      <w:r w:rsidRPr="005E7C78">
                        <w:rPr>
                          <w:b w:val="0"/>
                          <w:color w:val="auto"/>
                        </w:rPr>
                        <w:t>935</w:t>
                      </w:r>
                    </w:p>
                    <w:p w14:paraId="4B103B14" w14:textId="77777777" w:rsidR="003474B6" w:rsidRDefault="003474B6" w:rsidP="00825C4D">
                      <w:pPr>
                        <w:pStyle w:val="TLKontakty"/>
                        <w:spacing w:after="80" w:line="240" w:lineRule="auto"/>
                        <w:rPr>
                          <w:color w:val="auto"/>
                        </w:rPr>
                      </w:pPr>
                      <w:r w:rsidRPr="005E7C78">
                        <w:rPr>
                          <w:b w:val="0"/>
                          <w:color w:val="auto"/>
                        </w:rPr>
                        <w:t xml:space="preserve">e-mail: infoservis-zl@czso.cz | </w:t>
                      </w:r>
                      <w:r w:rsidRPr="00227A53">
                        <w:rPr>
                          <w:color w:val="auto"/>
                        </w:rPr>
                        <w:t>www.zlin.czso.cz</w:t>
                      </w:r>
                    </w:p>
                    <w:p w14:paraId="48B741A9" w14:textId="77777777" w:rsidR="003474B6" w:rsidRPr="005E7C78" w:rsidRDefault="003474B6" w:rsidP="00095135">
                      <w:pPr>
                        <w:pStyle w:val="TLKontakty"/>
                        <w:spacing w:after="80" w:line="240" w:lineRule="auto"/>
                        <w:rPr>
                          <w:b w:val="0"/>
                          <w:color w:val="auto"/>
                        </w:rPr>
                      </w:pPr>
                    </w:p>
                    <w:p w14:paraId="395ED09A" w14:textId="77777777" w:rsidR="003474B6" w:rsidRPr="005E7C78" w:rsidRDefault="003474B6" w:rsidP="00095135">
                      <w:pPr>
                        <w:pStyle w:val="TLKontakty"/>
                        <w:spacing w:after="80" w:line="240" w:lineRule="auto"/>
                        <w:rPr>
                          <w:b w:val="0"/>
                          <w:color w:val="auto"/>
                        </w:rPr>
                      </w:pPr>
                      <w:r w:rsidRPr="00D66223">
                        <w:t>Ostrava</w:t>
                      </w:r>
                      <w:r w:rsidRPr="005E7C78">
                        <w:rPr>
                          <w:b w:val="0"/>
                          <w:color w:val="auto"/>
                        </w:rPr>
                        <w:t xml:space="preserve"> | Repinova</w:t>
                      </w:r>
                      <w:r>
                        <w:rPr>
                          <w:b w:val="0"/>
                          <w:color w:val="auto"/>
                        </w:rPr>
                        <w:t> </w:t>
                      </w:r>
                      <w:r w:rsidRPr="005E7C78">
                        <w:rPr>
                          <w:b w:val="0"/>
                          <w:color w:val="auto"/>
                        </w:rPr>
                        <w:t>17, 702</w:t>
                      </w:r>
                      <w:r>
                        <w:rPr>
                          <w:b w:val="0"/>
                          <w:color w:val="auto"/>
                        </w:rPr>
                        <w:t> </w:t>
                      </w:r>
                      <w:r w:rsidRPr="005E7C78">
                        <w:rPr>
                          <w:b w:val="0"/>
                          <w:color w:val="auto"/>
                        </w:rPr>
                        <w:t>03 Ostrava,</w:t>
                      </w:r>
                      <w:r>
                        <w:rPr>
                          <w:b w:val="0"/>
                          <w:color w:val="auto"/>
                        </w:rPr>
                        <w:t xml:space="preserve"> tel.: </w:t>
                      </w:r>
                      <w:r w:rsidRPr="005E7C78">
                        <w:rPr>
                          <w:b w:val="0"/>
                          <w:color w:val="auto"/>
                        </w:rPr>
                        <w:t>595</w:t>
                      </w:r>
                      <w:r>
                        <w:rPr>
                          <w:b w:val="0"/>
                          <w:color w:val="auto"/>
                        </w:rPr>
                        <w:t> </w:t>
                      </w:r>
                      <w:r w:rsidRPr="005E7C78">
                        <w:rPr>
                          <w:b w:val="0"/>
                          <w:color w:val="auto"/>
                        </w:rPr>
                        <w:t>131</w:t>
                      </w:r>
                      <w:r>
                        <w:rPr>
                          <w:b w:val="0"/>
                          <w:color w:val="auto"/>
                        </w:rPr>
                        <w:t> </w:t>
                      </w:r>
                      <w:r w:rsidRPr="005E7C78">
                        <w:rPr>
                          <w:b w:val="0"/>
                          <w:color w:val="auto"/>
                        </w:rPr>
                        <w:t>230, 595</w:t>
                      </w:r>
                      <w:r>
                        <w:rPr>
                          <w:b w:val="0"/>
                          <w:color w:val="auto"/>
                        </w:rPr>
                        <w:t> </w:t>
                      </w:r>
                      <w:r w:rsidRPr="005E7C78">
                        <w:rPr>
                          <w:b w:val="0"/>
                          <w:color w:val="auto"/>
                        </w:rPr>
                        <w:t>131</w:t>
                      </w:r>
                      <w:r>
                        <w:rPr>
                          <w:b w:val="0"/>
                          <w:color w:val="auto"/>
                        </w:rPr>
                        <w:t> </w:t>
                      </w:r>
                      <w:r w:rsidRPr="005E7C78">
                        <w:rPr>
                          <w:b w:val="0"/>
                          <w:color w:val="auto"/>
                        </w:rPr>
                        <w:t>232</w:t>
                      </w:r>
                    </w:p>
                    <w:p w14:paraId="0575867B" w14:textId="77777777" w:rsidR="003474B6" w:rsidRPr="00095135" w:rsidRDefault="003474B6" w:rsidP="00825C4D">
                      <w:pPr>
                        <w:pStyle w:val="TLKontakty"/>
                        <w:spacing w:after="80" w:line="240" w:lineRule="auto"/>
                        <w:rPr>
                          <w:b w:val="0"/>
                          <w:color w:val="auto"/>
                        </w:rPr>
                      </w:pPr>
                      <w:r w:rsidRPr="005E7C78">
                        <w:rPr>
                          <w:b w:val="0"/>
                          <w:color w:val="auto"/>
                        </w:rPr>
                        <w:t xml:space="preserve">e-mail: infoservis_ov@czso.cz | </w:t>
                      </w:r>
                      <w:r w:rsidRPr="005E7C78">
                        <w:rPr>
                          <w:color w:val="auto"/>
                        </w:rPr>
                        <w:t>www.ostrava.czso.cz</w:t>
                      </w:r>
                    </w:p>
                  </w:txbxContent>
                </v:textbox>
                <w10:wrap anchorx="page" anchory="page"/>
                <w10:anchorlock/>
              </v:shape>
            </w:pict>
          </mc:Fallback>
        </mc:AlternateContent>
      </w:r>
      <w:r>
        <w:rPr>
          <w:noProof/>
        </w:rPr>
        <mc:AlternateContent>
          <mc:Choice Requires="wps">
            <w:drawing>
              <wp:anchor distT="0" distB="0" distL="114300" distR="114300" simplePos="0" relativeHeight="251661824" behindDoc="0" locked="1" layoutInCell="1" allowOverlap="1" wp14:anchorId="3EE77A96" wp14:editId="5156964C">
                <wp:simplePos x="0" y="0"/>
                <wp:positionH relativeFrom="page">
                  <wp:posOffset>720090</wp:posOffset>
                </wp:positionH>
                <wp:positionV relativeFrom="page">
                  <wp:posOffset>9486900</wp:posOffset>
                </wp:positionV>
                <wp:extent cx="6120130" cy="360045"/>
                <wp:effectExtent l="0" t="0" r="0" b="0"/>
                <wp:wrapNone/>
                <wp:docPr id="1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60045"/>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1AD0B002" w14:textId="25AECD0A" w:rsidR="003474B6" w:rsidRPr="00321924" w:rsidRDefault="003474B6" w:rsidP="00A16E1D">
                            <w:pPr>
                              <w:jc w:val="left"/>
                            </w:pPr>
                            <w:r w:rsidRPr="00321924">
                              <w:br/>
                              <w:t xml:space="preserve">© Český statistický úřad, </w:t>
                            </w:r>
                            <w:r>
                              <w:t>Praha, 2020</w:t>
                            </w:r>
                          </w:p>
                          <w:p w14:paraId="52FD100C" w14:textId="77777777" w:rsidR="003474B6" w:rsidRDefault="003474B6"/>
                          <w:p w14:paraId="515D7599" w14:textId="0789EE63" w:rsidR="003474B6" w:rsidRPr="00841D9F" w:rsidRDefault="003474B6" w:rsidP="000A3A2C">
                            <w:r w:rsidRPr="00841D9F">
                              <w:rPr>
                                <w:szCs w:val="26"/>
                              </w:rPr>
                              <w:t>ISBN XX-XXXX-XXX-X</w:t>
                            </w:r>
                            <w:r>
                              <w:rPr>
                                <w:szCs w:val="26"/>
                              </w:rPr>
                              <w:t> </w:t>
                            </w:r>
                            <w:r w:rsidRPr="00841D9F">
                              <w:rPr>
                                <w:szCs w:val="26"/>
                              </w:rPr>
                              <w:t xml:space="preserve"> </w:t>
                            </w:r>
                            <w:r w:rsidRPr="00841D9F">
                              <w:t>(pouze u</w:t>
                            </w:r>
                            <w:r>
                              <w:t> </w:t>
                            </w:r>
                            <w:r w:rsidRPr="00841D9F">
                              <w:t>nepravidelných a</w:t>
                            </w:r>
                            <w:r>
                              <w:t> </w:t>
                            </w:r>
                            <w:r w:rsidRPr="00841D9F">
                              <w:t>ročních publikací)</w:t>
                            </w:r>
                          </w:p>
                          <w:p w14:paraId="0975553D" w14:textId="77777777" w:rsidR="003474B6" w:rsidRPr="00AF2852" w:rsidRDefault="003474B6" w:rsidP="000A3A2C">
                            <w:r w:rsidRPr="00841D9F">
                              <w:t>© Český sta</w:t>
                            </w:r>
                            <w:r>
                              <w:t xml:space="preserve">tistický úřad / </w:t>
                            </w:r>
                            <w:r w:rsidRPr="009A1902">
                              <w:rPr>
                                <w:i/>
                              </w:rPr>
                              <w:t xml:space="preserve">Czech </w:t>
                            </w:r>
                            <w:proofErr w:type="spellStart"/>
                            <w:r w:rsidRPr="009A1902">
                              <w:rPr>
                                <w:rFonts w:cs="Arial"/>
                                <w:i/>
                                <w:szCs w:val="20"/>
                              </w:rPr>
                              <w:t>Statistical</w:t>
                            </w:r>
                            <w:proofErr w:type="spellEnd"/>
                            <w:r w:rsidRPr="009A1902">
                              <w:rPr>
                                <w:rFonts w:cs="Arial"/>
                                <w:i/>
                                <w:szCs w:val="20"/>
                              </w:rPr>
                              <w:t xml:space="preserve"> Office</w:t>
                            </w:r>
                            <w:r>
                              <w:t>, místo, rok vydání</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E77A96" id="_x0000_s1031" type="#_x0000_t202" style="position:absolute;left:0;text-align:left;margin-left:56.7pt;margin-top:747pt;width:481.9pt;height:28.3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" filled="f" stroked="f">
                <v:textbox inset="0,0,0,0">
                  <w:txbxContent>
                    <w:p w14:paraId="1AD0B002" w14:textId="25AECD0A" w:rsidR="003474B6" w:rsidRPr="00321924" w:rsidRDefault="003474B6" w:rsidP="00A16E1D">
                      <w:pPr>
                        <w:jc w:val="left"/>
                      </w:pPr>
                      <w:r w:rsidRPr="00321924">
                        <w:br/>
                        <w:t xml:space="preserve">© Český statistický úřad, </w:t>
                      </w:r>
                      <w:r>
                        <w:t>Praha, 2020</w:t>
                      </w:r>
                    </w:p>
                    <w:p w14:paraId="52FD100C" w14:textId="77777777" w:rsidR="003474B6" w:rsidRDefault="003474B6"/>
                    <w:p w14:paraId="515D7599" w14:textId="0789EE63" w:rsidR="003474B6" w:rsidRPr="00841D9F" w:rsidRDefault="003474B6" w:rsidP="000A3A2C">
                      <w:r w:rsidRPr="00841D9F">
                        <w:rPr>
                          <w:szCs w:val="26"/>
                        </w:rPr>
                        <w:t>ISBN XX-XXXX-XXX-X</w:t>
                      </w:r>
                      <w:r>
                        <w:rPr>
                          <w:szCs w:val="26"/>
                        </w:rPr>
                        <w:t> </w:t>
                      </w:r>
                      <w:r w:rsidRPr="00841D9F">
                        <w:rPr>
                          <w:szCs w:val="26"/>
                        </w:rPr>
                        <w:t xml:space="preserve"> </w:t>
                      </w:r>
                      <w:r w:rsidRPr="00841D9F">
                        <w:t>(pouze u</w:t>
                      </w:r>
                      <w:r>
                        <w:t> </w:t>
                      </w:r>
                      <w:r w:rsidRPr="00841D9F">
                        <w:t>nepravidelných a</w:t>
                      </w:r>
                      <w:r>
                        <w:t> </w:t>
                      </w:r>
                      <w:r w:rsidRPr="00841D9F">
                        <w:t>ročních publikací)</w:t>
                      </w:r>
                    </w:p>
                    <w:p w14:paraId="0975553D" w14:textId="77777777" w:rsidR="003474B6" w:rsidRPr="00AF2852" w:rsidRDefault="003474B6" w:rsidP="000A3A2C">
                      <w:r w:rsidRPr="00841D9F">
                        <w:t>© Český sta</w:t>
                      </w:r>
                      <w:r>
                        <w:t xml:space="preserve">tistický úřad / </w:t>
                      </w:r>
                      <w:r w:rsidRPr="009A1902">
                        <w:rPr>
                          <w:i/>
                        </w:rPr>
                        <w:t xml:space="preserve">Czech </w:t>
                      </w:r>
                      <w:proofErr w:type="spellStart"/>
                      <w:r w:rsidRPr="009A1902">
                        <w:rPr>
                          <w:rFonts w:cs="Arial"/>
                          <w:i/>
                          <w:szCs w:val="20"/>
                        </w:rPr>
                        <w:t>Statistical</w:t>
                      </w:r>
                      <w:proofErr w:type="spellEnd"/>
                      <w:r w:rsidRPr="009A1902">
                        <w:rPr>
                          <w:rFonts w:cs="Arial"/>
                          <w:i/>
                          <w:szCs w:val="20"/>
                        </w:rPr>
                        <w:t xml:space="preserve"> Office</w:t>
                      </w:r>
                      <w:r>
                        <w:t>, místo, rok vydání</w:t>
                      </w:r>
                    </w:p>
                  </w:txbxContent>
                </v:textbox>
                <w10:wrap anchorx="page" anchory="page"/>
                <w10:anchorlock/>
              </v:shape>
            </w:pict>
          </mc:Fallback>
        </mc:AlternateContent>
      </w:r>
      <w:r>
        <w:rPr>
          <w:noProof/>
        </w:rPr>
        <mc:AlternateContent>
          <mc:Choice Requires="wps">
            <w:drawing>
              <wp:anchor distT="0" distB="0" distL="114300" distR="114300" simplePos="0" relativeHeight="251660800" behindDoc="0" locked="1" layoutInCell="1" allowOverlap="1" wp14:anchorId="01D0B83B" wp14:editId="3F386203">
                <wp:simplePos x="0" y="0"/>
                <wp:positionH relativeFrom="page">
                  <wp:posOffset>723265</wp:posOffset>
                </wp:positionH>
                <wp:positionV relativeFrom="page">
                  <wp:posOffset>723265</wp:posOffset>
                </wp:positionV>
                <wp:extent cx="6119495" cy="555625"/>
                <wp:effectExtent l="0" t="0" r="0" b="0"/>
                <wp:wrapNone/>
                <wp:docPr id="1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555625"/>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26FEE0FA" w14:textId="77777777" w:rsidR="003474B6" w:rsidRPr="009A1902" w:rsidRDefault="003474B6" w:rsidP="000A3A2C">
                            <w:pPr>
                              <w:rPr>
                                <w:b/>
                                <w:bCs/>
                                <w:i/>
                                <w:sz w:val="24"/>
                              </w:rPr>
                            </w:pPr>
                            <w:r w:rsidRPr="00B95F50">
                              <w:rPr>
                                <w:b/>
                                <w:color w:val="0071BC"/>
                                <w:sz w:val="24"/>
                              </w:rPr>
                              <w:t xml:space="preserve">Zajímají </w:t>
                            </w:r>
                            <w:r>
                              <w:rPr>
                                <w:b/>
                                <w:color w:val="0071BC"/>
                                <w:sz w:val="24"/>
                              </w:rPr>
                              <w:t>v</w:t>
                            </w:r>
                            <w:r w:rsidRPr="00B95F50">
                              <w:rPr>
                                <w:b/>
                                <w:color w:val="0071BC"/>
                                <w:sz w:val="24"/>
                              </w:rPr>
                              <w:t>ás nejnovější údaje o</w:t>
                            </w:r>
                            <w:r>
                              <w:rPr>
                                <w:b/>
                                <w:color w:val="0071BC"/>
                                <w:sz w:val="24"/>
                              </w:rPr>
                              <w:t> </w:t>
                            </w:r>
                            <w:r w:rsidRPr="00B95F50">
                              <w:rPr>
                                <w:b/>
                                <w:color w:val="0071BC"/>
                                <w:sz w:val="24"/>
                              </w:rPr>
                              <w:t xml:space="preserve">inflaci, HDP, obyvatelstvu, průměrných mzdách </w:t>
                            </w:r>
                            <w:r>
                              <w:rPr>
                                <w:b/>
                                <w:color w:val="0071BC"/>
                                <w:sz w:val="24"/>
                              </w:rPr>
                              <w:br/>
                            </w:r>
                            <w:r w:rsidRPr="00B95F50">
                              <w:rPr>
                                <w:b/>
                                <w:color w:val="0071BC"/>
                                <w:sz w:val="24"/>
                              </w:rPr>
                              <w:t>a</w:t>
                            </w:r>
                            <w:r>
                              <w:rPr>
                                <w:b/>
                                <w:color w:val="0071BC"/>
                                <w:sz w:val="24"/>
                              </w:rPr>
                              <w:t> </w:t>
                            </w:r>
                            <w:r w:rsidRPr="00B95F50">
                              <w:rPr>
                                <w:b/>
                                <w:color w:val="0071BC"/>
                                <w:sz w:val="24"/>
                              </w:rPr>
                              <w:t xml:space="preserve">mnohé další? Najdete je na stránkách ČSÚ na internetu: </w:t>
                            </w:r>
                            <w:r>
                              <w:rPr>
                                <w:b/>
                                <w:bCs/>
                                <w:sz w:val="24"/>
                              </w:rPr>
                              <w:t>www.czso.cz</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01D0B83B" id="_x0000_s1032" type="#_x0000_t202" style="position:absolute;left:0;text-align:left;margin-left:56.95pt;margin-top:56.95pt;width:481.85pt;height:43.7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" filled="f" stroked="f">
                <v:textbox style="mso-fit-shape-to-text:t" inset="0,0,0,0">
                  <w:txbxContent>
                    <w:p w14:paraId="26FEE0FA" w14:textId="77777777" w:rsidR="003474B6" w:rsidRPr="009A1902" w:rsidRDefault="003474B6" w:rsidP="000A3A2C">
                      <w:pPr>
                        <w:rPr>
                          <w:b/>
                          <w:bCs/>
                          <w:i/>
                          <w:sz w:val="24"/>
                        </w:rPr>
                      </w:pPr>
                      <w:r w:rsidRPr="00B95F50">
                        <w:rPr>
                          <w:b/>
                          <w:color w:val="0071BC"/>
                          <w:sz w:val="24"/>
                        </w:rPr>
                        <w:t xml:space="preserve">Zajímají </w:t>
                      </w:r>
                      <w:r>
                        <w:rPr>
                          <w:b/>
                          <w:color w:val="0071BC"/>
                          <w:sz w:val="24"/>
                        </w:rPr>
                        <w:t>v</w:t>
                      </w:r>
                      <w:r w:rsidRPr="00B95F50">
                        <w:rPr>
                          <w:b/>
                          <w:color w:val="0071BC"/>
                          <w:sz w:val="24"/>
                        </w:rPr>
                        <w:t>ás nejnovější údaje o</w:t>
                      </w:r>
                      <w:r>
                        <w:rPr>
                          <w:b/>
                          <w:color w:val="0071BC"/>
                          <w:sz w:val="24"/>
                        </w:rPr>
                        <w:t> </w:t>
                      </w:r>
                      <w:r w:rsidRPr="00B95F50">
                        <w:rPr>
                          <w:b/>
                          <w:color w:val="0071BC"/>
                          <w:sz w:val="24"/>
                        </w:rPr>
                        <w:t xml:space="preserve">inflaci, HDP, obyvatelstvu, průměrných mzdách </w:t>
                      </w:r>
                      <w:r>
                        <w:rPr>
                          <w:b/>
                          <w:color w:val="0071BC"/>
                          <w:sz w:val="24"/>
                        </w:rPr>
                        <w:br/>
                      </w:r>
                      <w:r w:rsidRPr="00B95F50">
                        <w:rPr>
                          <w:b/>
                          <w:color w:val="0071BC"/>
                          <w:sz w:val="24"/>
                        </w:rPr>
                        <w:t>a</w:t>
                      </w:r>
                      <w:r>
                        <w:rPr>
                          <w:b/>
                          <w:color w:val="0071BC"/>
                          <w:sz w:val="24"/>
                        </w:rPr>
                        <w:t> </w:t>
                      </w:r>
                      <w:r w:rsidRPr="00B95F50">
                        <w:rPr>
                          <w:b/>
                          <w:color w:val="0071BC"/>
                          <w:sz w:val="24"/>
                        </w:rPr>
                        <w:t xml:space="preserve">mnohé další? Najdete je na stránkách ČSÚ na internetu: </w:t>
                      </w:r>
                      <w:r>
                        <w:rPr>
                          <w:b/>
                          <w:bCs/>
                          <w:sz w:val="24"/>
                        </w:rPr>
                        <w:t>www.czso.cz</w:t>
                      </w:r>
                    </w:p>
                  </w:txbxContent>
                </v:textbox>
                <w10:wrap anchorx="page" anchory="page"/>
                <w10:anchorlock/>
              </v:shape>
            </w:pict>
          </mc:Fallback>
        </mc:AlternateContent>
      </w:r>
    </w:p>
    <w:sdt>
      <w:sdtPr>
        <w:rPr>
          <w:b w:val="0"/>
          <w:color w:val="auto"/>
          <w:sz w:val="20"/>
        </w:rPr>
        <w:id w:val="5357999"/>
        <w:docPartObj>
          <w:docPartGallery w:val="Table of Contents"/>
          <w:docPartUnique/>
        </w:docPartObj>
      </w:sdtPr>
      <w:sdtEndPr/>
      <w:sdtContent>
        <w:p w14:paraId="74D73AA9" w14:textId="77777777" w:rsidR="00867DAB" w:rsidRPr="009110F7" w:rsidRDefault="00867DAB" w:rsidP="00867DAB">
          <w:pPr>
            <w:pStyle w:val="Obsah"/>
          </w:pPr>
          <w:r w:rsidRPr="009110F7">
            <w:t>Obsah</w:t>
          </w:r>
        </w:p>
        <w:p w14:paraId="6BF5A2E6" w14:textId="6D9C4D09" w:rsidR="002320C9" w:rsidRDefault="007D42E5">
          <w:pPr>
            <w:pStyle w:val="Obsah1"/>
            <w:rPr>
              <w:rFonts w:asciiTheme="minorHAnsi" w:eastAsiaTheme="minorEastAsia" w:hAnsiTheme="minorHAnsi" w:cstheme="minorBidi"/>
              <w:noProof/>
              <w:sz w:val="22"/>
              <w:szCs w:val="22"/>
            </w:rPr>
          </w:pPr>
          <w:r w:rsidRPr="009110F7">
            <w:fldChar w:fldCharType="begin"/>
          </w:r>
          <w:r w:rsidR="00867DAB" w:rsidRPr="009110F7">
            <w:instrText xml:space="preserve"> TOC \o "1-3" \h \z \u </w:instrText>
          </w:r>
          <w:r w:rsidRPr="009110F7">
            <w:fldChar w:fldCharType="separate"/>
          </w:r>
          <w:hyperlink w:anchor="_Toc37403640" w:history="1">
            <w:r w:rsidR="002320C9" w:rsidRPr="00B87C51">
              <w:rPr>
                <w:rStyle w:val="Hypertextovodkaz"/>
                <w:noProof/>
              </w:rPr>
              <w:t>1. Shrnutí</w:t>
            </w:r>
            <w:r w:rsidR="002320C9">
              <w:rPr>
                <w:noProof/>
                <w:webHidden/>
              </w:rPr>
              <w:tab/>
            </w:r>
            <w:r w:rsidR="002320C9">
              <w:rPr>
                <w:noProof/>
                <w:webHidden/>
              </w:rPr>
              <w:fldChar w:fldCharType="begin"/>
            </w:r>
            <w:r w:rsidR="002320C9">
              <w:rPr>
                <w:noProof/>
                <w:webHidden/>
              </w:rPr>
              <w:instrText xml:space="preserve"> PAGEREF _Toc37403640 \h </w:instrText>
            </w:r>
            <w:r w:rsidR="002320C9">
              <w:rPr>
                <w:noProof/>
                <w:webHidden/>
              </w:rPr>
            </w:r>
            <w:r w:rsidR="002320C9">
              <w:rPr>
                <w:noProof/>
                <w:webHidden/>
              </w:rPr>
              <w:fldChar w:fldCharType="separate"/>
            </w:r>
            <w:r w:rsidR="002320C9">
              <w:rPr>
                <w:noProof/>
                <w:webHidden/>
              </w:rPr>
              <w:t>4</w:t>
            </w:r>
            <w:r w:rsidR="002320C9">
              <w:rPr>
                <w:noProof/>
                <w:webHidden/>
              </w:rPr>
              <w:fldChar w:fldCharType="end"/>
            </w:r>
          </w:hyperlink>
        </w:p>
        <w:p w14:paraId="49773103" w14:textId="297C6BEE" w:rsidR="002320C9" w:rsidRDefault="002320C9">
          <w:pPr>
            <w:pStyle w:val="Obsah1"/>
            <w:rPr>
              <w:rFonts w:asciiTheme="minorHAnsi" w:eastAsiaTheme="minorEastAsia" w:hAnsiTheme="minorHAnsi" w:cstheme="minorBidi"/>
              <w:noProof/>
              <w:sz w:val="22"/>
              <w:szCs w:val="22"/>
            </w:rPr>
          </w:pPr>
          <w:hyperlink w:anchor="_Toc37403641" w:history="1">
            <w:r w:rsidRPr="00B87C51">
              <w:rPr>
                <w:rStyle w:val="Hypertextovodkaz"/>
                <w:noProof/>
              </w:rPr>
              <w:t>2. Souhrnná výkonnost</w:t>
            </w:r>
            <w:r>
              <w:rPr>
                <w:noProof/>
                <w:webHidden/>
              </w:rPr>
              <w:tab/>
            </w:r>
            <w:r>
              <w:rPr>
                <w:noProof/>
                <w:webHidden/>
              </w:rPr>
              <w:fldChar w:fldCharType="begin"/>
            </w:r>
            <w:r>
              <w:rPr>
                <w:noProof/>
                <w:webHidden/>
              </w:rPr>
              <w:instrText xml:space="preserve"> PAGEREF _Toc37403641 \h </w:instrText>
            </w:r>
            <w:r>
              <w:rPr>
                <w:noProof/>
                <w:webHidden/>
              </w:rPr>
            </w:r>
            <w:r>
              <w:rPr>
                <w:noProof/>
                <w:webHidden/>
              </w:rPr>
              <w:fldChar w:fldCharType="separate"/>
            </w:r>
            <w:r>
              <w:rPr>
                <w:noProof/>
                <w:webHidden/>
              </w:rPr>
              <w:t>5</w:t>
            </w:r>
            <w:r>
              <w:rPr>
                <w:noProof/>
                <w:webHidden/>
              </w:rPr>
              <w:fldChar w:fldCharType="end"/>
            </w:r>
          </w:hyperlink>
        </w:p>
        <w:p w14:paraId="7CA029CF" w14:textId="1FEA26B8" w:rsidR="002320C9" w:rsidRDefault="002320C9">
          <w:pPr>
            <w:pStyle w:val="Obsah1"/>
            <w:rPr>
              <w:rFonts w:asciiTheme="minorHAnsi" w:eastAsiaTheme="minorEastAsia" w:hAnsiTheme="minorHAnsi" w:cstheme="minorBidi"/>
              <w:noProof/>
              <w:sz w:val="22"/>
              <w:szCs w:val="22"/>
            </w:rPr>
          </w:pPr>
          <w:hyperlink w:anchor="_Toc37403642" w:history="1">
            <w:r w:rsidRPr="00B87C51">
              <w:rPr>
                <w:rStyle w:val="Hypertextovodkaz"/>
                <w:noProof/>
              </w:rPr>
              <w:t>3. Výkonnost odvětví</w:t>
            </w:r>
            <w:r>
              <w:rPr>
                <w:noProof/>
                <w:webHidden/>
              </w:rPr>
              <w:tab/>
            </w:r>
            <w:r>
              <w:rPr>
                <w:noProof/>
                <w:webHidden/>
              </w:rPr>
              <w:fldChar w:fldCharType="begin"/>
            </w:r>
            <w:r>
              <w:rPr>
                <w:noProof/>
                <w:webHidden/>
              </w:rPr>
              <w:instrText xml:space="preserve"> PAGEREF _Toc37403642 \h </w:instrText>
            </w:r>
            <w:r>
              <w:rPr>
                <w:noProof/>
                <w:webHidden/>
              </w:rPr>
            </w:r>
            <w:r>
              <w:rPr>
                <w:noProof/>
                <w:webHidden/>
              </w:rPr>
              <w:fldChar w:fldCharType="separate"/>
            </w:r>
            <w:r>
              <w:rPr>
                <w:noProof/>
                <w:webHidden/>
              </w:rPr>
              <w:t>10</w:t>
            </w:r>
            <w:r>
              <w:rPr>
                <w:noProof/>
                <w:webHidden/>
              </w:rPr>
              <w:fldChar w:fldCharType="end"/>
            </w:r>
          </w:hyperlink>
        </w:p>
        <w:p w14:paraId="2770F5B8" w14:textId="43B98AE6" w:rsidR="002320C9" w:rsidRDefault="002320C9">
          <w:pPr>
            <w:pStyle w:val="Obsah1"/>
            <w:rPr>
              <w:rFonts w:asciiTheme="minorHAnsi" w:eastAsiaTheme="minorEastAsia" w:hAnsiTheme="minorHAnsi" w:cstheme="minorBidi"/>
              <w:noProof/>
              <w:sz w:val="22"/>
              <w:szCs w:val="22"/>
            </w:rPr>
          </w:pPr>
          <w:hyperlink w:anchor="_Toc37403643" w:history="1">
            <w:r w:rsidRPr="00B87C51">
              <w:rPr>
                <w:rStyle w:val="Hypertextovodkaz"/>
                <w:noProof/>
              </w:rPr>
              <w:t>4. Vnější vztahy</w:t>
            </w:r>
            <w:r>
              <w:rPr>
                <w:noProof/>
                <w:webHidden/>
              </w:rPr>
              <w:tab/>
            </w:r>
            <w:r>
              <w:rPr>
                <w:noProof/>
                <w:webHidden/>
              </w:rPr>
              <w:fldChar w:fldCharType="begin"/>
            </w:r>
            <w:r>
              <w:rPr>
                <w:noProof/>
                <w:webHidden/>
              </w:rPr>
              <w:instrText xml:space="preserve"> PAGEREF _Toc37403643 \h </w:instrText>
            </w:r>
            <w:r>
              <w:rPr>
                <w:noProof/>
                <w:webHidden/>
              </w:rPr>
            </w:r>
            <w:r>
              <w:rPr>
                <w:noProof/>
                <w:webHidden/>
              </w:rPr>
              <w:fldChar w:fldCharType="separate"/>
            </w:r>
            <w:r>
              <w:rPr>
                <w:noProof/>
                <w:webHidden/>
              </w:rPr>
              <w:t>17</w:t>
            </w:r>
            <w:r>
              <w:rPr>
                <w:noProof/>
                <w:webHidden/>
              </w:rPr>
              <w:fldChar w:fldCharType="end"/>
            </w:r>
          </w:hyperlink>
        </w:p>
        <w:p w14:paraId="338F4FB6" w14:textId="093187A3" w:rsidR="002320C9" w:rsidRDefault="002320C9">
          <w:pPr>
            <w:pStyle w:val="Obsah1"/>
            <w:rPr>
              <w:rFonts w:asciiTheme="minorHAnsi" w:eastAsiaTheme="minorEastAsia" w:hAnsiTheme="minorHAnsi" w:cstheme="minorBidi"/>
              <w:noProof/>
              <w:sz w:val="22"/>
              <w:szCs w:val="22"/>
            </w:rPr>
          </w:pPr>
          <w:hyperlink w:anchor="_Toc37403644" w:history="1">
            <w:r w:rsidRPr="00B87C51">
              <w:rPr>
                <w:rStyle w:val="Hypertextovodkaz"/>
                <w:noProof/>
              </w:rPr>
              <w:t>5. Ceny</w:t>
            </w:r>
            <w:r>
              <w:rPr>
                <w:noProof/>
                <w:webHidden/>
              </w:rPr>
              <w:tab/>
            </w:r>
            <w:r>
              <w:rPr>
                <w:noProof/>
                <w:webHidden/>
              </w:rPr>
              <w:fldChar w:fldCharType="begin"/>
            </w:r>
            <w:r>
              <w:rPr>
                <w:noProof/>
                <w:webHidden/>
              </w:rPr>
              <w:instrText xml:space="preserve"> PAGEREF _Toc37403644 \h </w:instrText>
            </w:r>
            <w:r>
              <w:rPr>
                <w:noProof/>
                <w:webHidden/>
              </w:rPr>
            </w:r>
            <w:r>
              <w:rPr>
                <w:noProof/>
                <w:webHidden/>
              </w:rPr>
              <w:fldChar w:fldCharType="separate"/>
            </w:r>
            <w:r>
              <w:rPr>
                <w:noProof/>
                <w:webHidden/>
              </w:rPr>
              <w:t>21</w:t>
            </w:r>
            <w:r>
              <w:rPr>
                <w:noProof/>
                <w:webHidden/>
              </w:rPr>
              <w:fldChar w:fldCharType="end"/>
            </w:r>
          </w:hyperlink>
        </w:p>
        <w:p w14:paraId="1BF1D7FB" w14:textId="038041EF" w:rsidR="002320C9" w:rsidRDefault="002320C9">
          <w:pPr>
            <w:pStyle w:val="Obsah1"/>
            <w:rPr>
              <w:rFonts w:asciiTheme="minorHAnsi" w:eastAsiaTheme="minorEastAsia" w:hAnsiTheme="minorHAnsi" w:cstheme="minorBidi"/>
              <w:noProof/>
              <w:sz w:val="22"/>
              <w:szCs w:val="22"/>
            </w:rPr>
          </w:pPr>
          <w:hyperlink w:anchor="_Toc37403645" w:history="1">
            <w:r w:rsidRPr="00B87C51">
              <w:rPr>
                <w:rStyle w:val="Hypertextovodkaz"/>
                <w:noProof/>
              </w:rPr>
              <w:t>6. Trh práce</w:t>
            </w:r>
            <w:r>
              <w:rPr>
                <w:noProof/>
                <w:webHidden/>
              </w:rPr>
              <w:tab/>
            </w:r>
            <w:r>
              <w:rPr>
                <w:noProof/>
                <w:webHidden/>
              </w:rPr>
              <w:fldChar w:fldCharType="begin"/>
            </w:r>
            <w:r>
              <w:rPr>
                <w:noProof/>
                <w:webHidden/>
              </w:rPr>
              <w:instrText xml:space="preserve"> PAGEREF _Toc37403645 \h </w:instrText>
            </w:r>
            <w:r>
              <w:rPr>
                <w:noProof/>
                <w:webHidden/>
              </w:rPr>
            </w:r>
            <w:r>
              <w:rPr>
                <w:noProof/>
                <w:webHidden/>
              </w:rPr>
              <w:fldChar w:fldCharType="separate"/>
            </w:r>
            <w:r>
              <w:rPr>
                <w:noProof/>
                <w:webHidden/>
              </w:rPr>
              <w:t>27</w:t>
            </w:r>
            <w:r>
              <w:rPr>
                <w:noProof/>
                <w:webHidden/>
              </w:rPr>
              <w:fldChar w:fldCharType="end"/>
            </w:r>
          </w:hyperlink>
        </w:p>
        <w:p w14:paraId="27F76A03" w14:textId="1828ADAB" w:rsidR="002320C9" w:rsidRDefault="002320C9">
          <w:pPr>
            <w:pStyle w:val="Obsah1"/>
            <w:rPr>
              <w:rFonts w:asciiTheme="minorHAnsi" w:eastAsiaTheme="minorEastAsia" w:hAnsiTheme="minorHAnsi" w:cstheme="minorBidi"/>
              <w:noProof/>
              <w:sz w:val="22"/>
              <w:szCs w:val="22"/>
            </w:rPr>
          </w:pPr>
          <w:hyperlink w:anchor="_Toc37403646" w:history="1">
            <w:r w:rsidRPr="00B87C51">
              <w:rPr>
                <w:rStyle w:val="Hypertextovodkaz"/>
                <w:noProof/>
              </w:rPr>
              <w:t>7. Měnové podmínky</w:t>
            </w:r>
            <w:r>
              <w:rPr>
                <w:noProof/>
                <w:webHidden/>
              </w:rPr>
              <w:tab/>
            </w:r>
            <w:r>
              <w:rPr>
                <w:noProof/>
                <w:webHidden/>
              </w:rPr>
              <w:fldChar w:fldCharType="begin"/>
            </w:r>
            <w:r>
              <w:rPr>
                <w:noProof/>
                <w:webHidden/>
              </w:rPr>
              <w:instrText xml:space="preserve"> PAGEREF _Toc37403646 \h </w:instrText>
            </w:r>
            <w:r>
              <w:rPr>
                <w:noProof/>
                <w:webHidden/>
              </w:rPr>
            </w:r>
            <w:r>
              <w:rPr>
                <w:noProof/>
                <w:webHidden/>
              </w:rPr>
              <w:fldChar w:fldCharType="separate"/>
            </w:r>
            <w:r>
              <w:rPr>
                <w:noProof/>
                <w:webHidden/>
              </w:rPr>
              <w:t>31</w:t>
            </w:r>
            <w:r>
              <w:rPr>
                <w:noProof/>
                <w:webHidden/>
              </w:rPr>
              <w:fldChar w:fldCharType="end"/>
            </w:r>
          </w:hyperlink>
        </w:p>
        <w:p w14:paraId="59AAC6E9" w14:textId="3F04C1B0" w:rsidR="002320C9" w:rsidRDefault="002320C9">
          <w:pPr>
            <w:pStyle w:val="Obsah1"/>
            <w:rPr>
              <w:rFonts w:asciiTheme="minorHAnsi" w:eastAsiaTheme="minorEastAsia" w:hAnsiTheme="minorHAnsi" w:cstheme="minorBidi"/>
              <w:noProof/>
              <w:sz w:val="22"/>
              <w:szCs w:val="22"/>
            </w:rPr>
          </w:pPr>
          <w:hyperlink w:anchor="_Toc37403647" w:history="1">
            <w:r w:rsidRPr="00B87C51">
              <w:rPr>
                <w:rStyle w:val="Hypertextovodkaz"/>
                <w:noProof/>
              </w:rPr>
              <w:t>8. Státní rozpočet</w:t>
            </w:r>
            <w:r>
              <w:rPr>
                <w:noProof/>
                <w:webHidden/>
              </w:rPr>
              <w:tab/>
            </w:r>
            <w:r>
              <w:rPr>
                <w:noProof/>
                <w:webHidden/>
              </w:rPr>
              <w:fldChar w:fldCharType="begin"/>
            </w:r>
            <w:r>
              <w:rPr>
                <w:noProof/>
                <w:webHidden/>
              </w:rPr>
              <w:instrText xml:space="preserve"> PAGEREF _Toc37403647 \h </w:instrText>
            </w:r>
            <w:r>
              <w:rPr>
                <w:noProof/>
                <w:webHidden/>
              </w:rPr>
            </w:r>
            <w:r>
              <w:rPr>
                <w:noProof/>
                <w:webHidden/>
              </w:rPr>
              <w:fldChar w:fldCharType="separate"/>
            </w:r>
            <w:r>
              <w:rPr>
                <w:noProof/>
                <w:webHidden/>
              </w:rPr>
              <w:t>33</w:t>
            </w:r>
            <w:r>
              <w:rPr>
                <w:noProof/>
                <w:webHidden/>
              </w:rPr>
              <w:fldChar w:fldCharType="end"/>
            </w:r>
          </w:hyperlink>
        </w:p>
        <w:p w14:paraId="75243E96" w14:textId="39D5D36A" w:rsidR="00867DAB" w:rsidRPr="009110F7" w:rsidRDefault="007D42E5">
          <w:r w:rsidRPr="009110F7">
            <w:fldChar w:fldCharType="end"/>
          </w:r>
        </w:p>
      </w:sdtContent>
    </w:sdt>
    <w:p w14:paraId="0A820079" w14:textId="77777777" w:rsidR="00003F5C" w:rsidRPr="009110F7" w:rsidRDefault="00003F5C" w:rsidP="00003F5C">
      <w:pPr>
        <w:pStyle w:val="Textpoznpodarou"/>
        <w:jc w:val="both"/>
        <w:rPr>
          <w:rFonts w:cs="Arial"/>
          <w:color w:val="000000"/>
        </w:rPr>
      </w:pPr>
    </w:p>
    <w:p w14:paraId="3858DEBA" w14:textId="77777777" w:rsidR="00003F5C" w:rsidRPr="009110F7" w:rsidRDefault="00003F5C" w:rsidP="00003F5C">
      <w:pPr>
        <w:pStyle w:val="Textpoznpodarou"/>
        <w:jc w:val="both"/>
        <w:rPr>
          <w:rFonts w:cs="Arial"/>
          <w:color w:val="000000"/>
        </w:rPr>
      </w:pPr>
    </w:p>
    <w:p w14:paraId="446544F6" w14:textId="77777777" w:rsidR="00003F5C" w:rsidRPr="009110F7" w:rsidRDefault="00003F5C" w:rsidP="00003F5C">
      <w:pPr>
        <w:pStyle w:val="Textpoznpodarou"/>
        <w:jc w:val="both"/>
        <w:rPr>
          <w:rFonts w:cs="Arial"/>
          <w:color w:val="000000"/>
        </w:rPr>
      </w:pPr>
    </w:p>
    <w:p w14:paraId="7C135E77" w14:textId="77777777" w:rsidR="00003F5C" w:rsidRPr="009110F7" w:rsidRDefault="00003F5C" w:rsidP="00003F5C">
      <w:pPr>
        <w:pStyle w:val="Textpoznpodarou"/>
        <w:jc w:val="both"/>
        <w:rPr>
          <w:rFonts w:cs="Arial"/>
          <w:color w:val="000000"/>
        </w:rPr>
      </w:pPr>
    </w:p>
    <w:p w14:paraId="0E1BF7EA" w14:textId="77777777" w:rsidR="00003F5C" w:rsidRPr="009110F7" w:rsidRDefault="00003F5C" w:rsidP="00003F5C">
      <w:pPr>
        <w:pStyle w:val="Textpoznpodarou"/>
        <w:jc w:val="both"/>
        <w:rPr>
          <w:rFonts w:cs="Arial"/>
          <w:color w:val="000000"/>
        </w:rPr>
      </w:pPr>
    </w:p>
    <w:p w14:paraId="62028913" w14:textId="77777777" w:rsidR="00003F5C" w:rsidRPr="009110F7" w:rsidRDefault="00003F5C" w:rsidP="00003F5C">
      <w:pPr>
        <w:pStyle w:val="Textpoznpodarou"/>
        <w:jc w:val="both"/>
        <w:rPr>
          <w:rFonts w:cs="Arial"/>
          <w:color w:val="000000"/>
        </w:rPr>
      </w:pPr>
    </w:p>
    <w:p w14:paraId="1651792B" w14:textId="77777777" w:rsidR="00003F5C" w:rsidRPr="009110F7" w:rsidRDefault="00003F5C" w:rsidP="00003F5C">
      <w:pPr>
        <w:pStyle w:val="Textpoznpodarou"/>
        <w:jc w:val="both"/>
        <w:rPr>
          <w:rFonts w:cs="Arial"/>
          <w:color w:val="000000"/>
        </w:rPr>
      </w:pPr>
      <w:r w:rsidRPr="009110F7">
        <w:rPr>
          <w:rFonts w:cs="Arial"/>
          <w:color w:val="000000"/>
        </w:rPr>
        <w:t>Zdroje dat v celé analýze: ČSÚ, MF</w:t>
      </w:r>
      <w:r w:rsidR="00A45489" w:rsidRPr="009110F7">
        <w:rPr>
          <w:rFonts w:cs="Arial"/>
          <w:color w:val="000000"/>
        </w:rPr>
        <w:t> </w:t>
      </w:r>
      <w:r w:rsidRPr="009110F7">
        <w:rPr>
          <w:rFonts w:cs="Arial"/>
          <w:color w:val="000000"/>
        </w:rPr>
        <w:t xml:space="preserve">ČR, ČNB, MPSV, ČSSZ, </w:t>
      </w:r>
      <w:proofErr w:type="spellStart"/>
      <w:r w:rsidRPr="009110F7">
        <w:rPr>
          <w:rFonts w:cs="Arial"/>
          <w:color w:val="000000"/>
        </w:rPr>
        <w:t>Eurostat</w:t>
      </w:r>
      <w:proofErr w:type="spellEnd"/>
      <w:r w:rsidRPr="009110F7">
        <w:rPr>
          <w:rFonts w:cs="Arial"/>
          <w:color w:val="000000"/>
        </w:rPr>
        <w:t>, propočty ČSÚ.</w:t>
      </w:r>
    </w:p>
    <w:p w14:paraId="4EA2233D" w14:textId="3F5C671C" w:rsidR="00003F5C" w:rsidRDefault="00003F5C" w:rsidP="00003F5C">
      <w:pPr>
        <w:pStyle w:val="Textpoznpodarou"/>
        <w:jc w:val="both"/>
        <w:rPr>
          <w:rFonts w:cs="Arial"/>
          <w:color w:val="000000"/>
        </w:rPr>
      </w:pPr>
      <w:r w:rsidRPr="009110F7">
        <w:rPr>
          <w:rFonts w:cs="Arial"/>
          <w:color w:val="000000"/>
        </w:rPr>
        <w:t xml:space="preserve">Poslední informace uváděné v této publikaci </w:t>
      </w:r>
      <w:r w:rsidR="00FA6CB6" w:rsidRPr="009110F7">
        <w:rPr>
          <w:rFonts w:cs="Arial"/>
          <w:color w:val="000000"/>
        </w:rPr>
        <w:t xml:space="preserve">pocházejí </w:t>
      </w:r>
      <w:r w:rsidR="00283F7B" w:rsidRPr="009110F7">
        <w:rPr>
          <w:rFonts w:cs="Arial"/>
          <w:color w:val="000000"/>
        </w:rPr>
        <w:t>z</w:t>
      </w:r>
      <w:r w:rsidR="00283F7B">
        <w:rPr>
          <w:rFonts w:cs="Arial"/>
          <w:color w:val="000000"/>
        </w:rPr>
        <w:t> </w:t>
      </w:r>
      <w:r w:rsidR="005C216C">
        <w:rPr>
          <w:rFonts w:cs="Arial"/>
          <w:color w:val="000000"/>
        </w:rPr>
        <w:t>1</w:t>
      </w:r>
      <w:r w:rsidR="00971710">
        <w:rPr>
          <w:rFonts w:cs="Arial"/>
          <w:color w:val="000000"/>
        </w:rPr>
        <w:t>.</w:t>
      </w:r>
      <w:r w:rsidR="003A7373">
        <w:rPr>
          <w:rFonts w:cs="Arial"/>
          <w:color w:val="000000"/>
        </w:rPr>
        <w:t> </w:t>
      </w:r>
      <w:r w:rsidR="005C216C">
        <w:rPr>
          <w:rFonts w:cs="Arial"/>
          <w:color w:val="000000"/>
        </w:rPr>
        <w:t>dubna</w:t>
      </w:r>
      <w:r w:rsidRPr="009110F7">
        <w:rPr>
          <w:rFonts w:cs="Arial"/>
          <w:color w:val="000000"/>
        </w:rPr>
        <w:t xml:space="preserve"> </w:t>
      </w:r>
      <w:r w:rsidR="00F37EDC">
        <w:rPr>
          <w:rFonts w:cs="Arial"/>
          <w:color w:val="000000"/>
        </w:rPr>
        <w:t>20</w:t>
      </w:r>
      <w:r w:rsidR="005C216C">
        <w:rPr>
          <w:rFonts w:cs="Arial"/>
          <w:color w:val="000000"/>
        </w:rPr>
        <w:t>20</w:t>
      </w:r>
      <w:r w:rsidRPr="009110F7">
        <w:rPr>
          <w:rFonts w:cs="Arial"/>
          <w:color w:val="000000"/>
        </w:rPr>
        <w:t>.</w:t>
      </w:r>
    </w:p>
    <w:p w14:paraId="56EC82D9" w14:textId="0A5866B3" w:rsidR="002F1D56" w:rsidRDefault="002F1D56" w:rsidP="00003F5C">
      <w:pPr>
        <w:pStyle w:val="Textpoznpodarou"/>
        <w:jc w:val="both"/>
        <w:rPr>
          <w:rFonts w:cs="Arial"/>
          <w:color w:val="000000"/>
        </w:rPr>
      </w:pPr>
    </w:p>
    <w:p w14:paraId="7C689972" w14:textId="443C9781" w:rsidR="002F1D56" w:rsidRPr="002F1D56" w:rsidRDefault="002F1D56" w:rsidP="00003F5C">
      <w:pPr>
        <w:pStyle w:val="Textpoznpodarou"/>
        <w:jc w:val="both"/>
        <w:rPr>
          <w:rFonts w:cs="Arial"/>
        </w:rPr>
      </w:pPr>
    </w:p>
    <w:p w14:paraId="638CF984" w14:textId="762182FD" w:rsidR="002F1D56" w:rsidRPr="002F1D56" w:rsidRDefault="002F1D56" w:rsidP="00003F5C">
      <w:pPr>
        <w:pStyle w:val="Textpoznpodarou"/>
        <w:jc w:val="both"/>
        <w:rPr>
          <w:rFonts w:cs="Arial"/>
        </w:rPr>
      </w:pPr>
      <w:r w:rsidRPr="002F1D56">
        <w:rPr>
          <w:rStyle w:val="Zdraznn"/>
          <w:rFonts w:cs="Arial"/>
          <w:i w:val="0"/>
        </w:rPr>
        <w:t xml:space="preserve">Agregované údaje za EU použité v tomto textu a spadající do referenčního období </w:t>
      </w:r>
      <w:r w:rsidR="0080559E">
        <w:rPr>
          <w:rStyle w:val="Zdraznn"/>
          <w:rFonts w:cs="Arial"/>
          <w:i w:val="0"/>
        </w:rPr>
        <w:t xml:space="preserve">končícího rokem </w:t>
      </w:r>
      <w:r w:rsidRPr="002F1D56">
        <w:rPr>
          <w:rStyle w:val="Zdraznn"/>
          <w:rFonts w:cs="Arial"/>
          <w:i w:val="0"/>
        </w:rPr>
        <w:t>2019 zahrnují všech 28 států Unie včetně Velké Británie.</w:t>
      </w:r>
    </w:p>
    <w:p w14:paraId="089CA461" w14:textId="77777777" w:rsidR="006E761A" w:rsidRPr="000350C8" w:rsidRDefault="00087F2B" w:rsidP="006E761A">
      <w:pPr>
        <w:pStyle w:val="Nadpis1"/>
      </w:pPr>
      <w:r w:rsidRPr="002F1D56">
        <w:rPr>
          <w:color w:val="auto"/>
        </w:rPr>
        <w:br w:type="page"/>
      </w:r>
      <w:bookmarkStart w:id="0" w:name="_Toc444112494"/>
      <w:bookmarkStart w:id="1" w:name="_Toc511215208"/>
      <w:r w:rsidR="001554C2" w:rsidRPr="009110F7">
        <w:lastRenderedPageBreak/>
        <w:t xml:space="preserve"> </w:t>
      </w:r>
      <w:bookmarkStart w:id="2" w:name="_Toc37403640"/>
      <w:r w:rsidR="006E761A" w:rsidRPr="000350C8">
        <w:t>1</w:t>
      </w:r>
      <w:r w:rsidR="006E761A">
        <w:t>. </w:t>
      </w:r>
      <w:r w:rsidR="006E761A" w:rsidRPr="000350C8">
        <w:t>Shrnutí</w:t>
      </w:r>
      <w:bookmarkEnd w:id="2"/>
    </w:p>
    <w:p w14:paraId="17FC14D1" w14:textId="77777777" w:rsidR="00925615" w:rsidRDefault="00925615" w:rsidP="00925615">
      <w:pPr>
        <w:pStyle w:val="Normalodrka"/>
        <w:numPr>
          <w:ilvl w:val="0"/>
          <w:numId w:val="29"/>
        </w:numPr>
        <w:spacing w:after="100"/>
        <w:ind w:left="357" w:hanging="357"/>
      </w:pPr>
      <w:bookmarkStart w:id="3" w:name="_Toc26865017"/>
      <w:bookmarkEnd w:id="0"/>
      <w:bookmarkEnd w:id="1"/>
      <w:r>
        <w:t>Hrubý domácí produkt (HDP) se v roce 2019 zvýšil o 2,5 %</w:t>
      </w:r>
      <w:r>
        <w:rPr>
          <w:rStyle w:val="Znakapoznpodarou"/>
          <w:spacing w:val="-4"/>
          <w:szCs w:val="20"/>
        </w:rPr>
        <w:footnoteReference w:id="1"/>
      </w:r>
      <w:r>
        <w:t>. Ve 4. čtvrtletí meziroční tempo růstu HDP výrazněji zpomalilo a dostalo se na 2,0 %. Po celý rok růst HDP stabilně a silně podporovala domácí spotřeba, která se ve 4. čtvrtletí meziročně zvýšila o 2,8 %. Naopak bilance zahraničního obchodu, která růst HDP silně podpořila ve 2. a 3. čtvrtletí, v závěru roku zaznamenala propad. Ve 4. čtvrtletí došlo k oživení dynamiky investiční aktivity. Výdaje na tvorbu hrubého fixního kapitálu se meziročně zvýšily o 4,6 % a mezičtvrtletně o 4,1 %.</w:t>
      </w:r>
    </w:p>
    <w:p w14:paraId="3CB749A0" w14:textId="77777777" w:rsidR="00925615" w:rsidRDefault="00925615" w:rsidP="00925615">
      <w:pPr>
        <w:pStyle w:val="Normalodrka"/>
        <w:numPr>
          <w:ilvl w:val="0"/>
          <w:numId w:val="29"/>
        </w:numPr>
        <w:spacing w:after="100"/>
        <w:ind w:left="357" w:hanging="357"/>
        <w:rPr>
          <w:spacing w:val="2"/>
        </w:rPr>
      </w:pPr>
      <w:r>
        <w:t>Hrubá přidaná hodnota (HPH) se v roce 2019 zvýšila o 2,4 %, ve 4. čtvrtletí její meziroční tempo zvolnilo na 1,8 %. Meziroční růst HPH byl loni ze čtyř pětin tažen sektorem služeb, v němž pokračoval dynamický rozvoj informačních a komunikačních činností (7,6 %). Na oživení z roku 2018 navázalo za podpory eurofondů stavebnictví (3,4 %). Naopak oslabená zahraniční poptávka srazila HPH v průmyslu na šestileté minimum (0,7 %). Pozitivní důvěra spotřebitelů se odrazila ve svižném 4,8% růstu maloobchodních tržeb, pátém nejvyšším mezi státy EU.</w:t>
      </w:r>
    </w:p>
    <w:p w14:paraId="5E9065B3" w14:textId="77777777" w:rsidR="00925615" w:rsidRDefault="00925615" w:rsidP="00925615">
      <w:pPr>
        <w:pStyle w:val="Normalodrka"/>
        <w:numPr>
          <w:ilvl w:val="0"/>
          <w:numId w:val="29"/>
        </w:numPr>
        <w:spacing w:after="100"/>
        <w:ind w:left="357" w:hanging="357"/>
        <w:rPr>
          <w:spacing w:val="2"/>
        </w:rPr>
      </w:pPr>
      <w:r>
        <w:rPr>
          <w:spacing w:val="2"/>
        </w:rPr>
        <w:t>Přebytek bilance zahraničního obchodu se zbožím a službami loni dosáhl 345,7 mld. korun</w:t>
      </w:r>
      <w:r>
        <w:rPr>
          <w:rStyle w:val="Znakapoznpodarou"/>
          <w:spacing w:val="2"/>
        </w:rPr>
        <w:footnoteReference w:id="2"/>
      </w:r>
      <w:r>
        <w:rPr>
          <w:spacing w:val="2"/>
        </w:rPr>
        <w:t>. Zvýšil se přebytek obchodu se zbožím, ale propad u služeb vedl k tomu, že bilance zahraničního obchodu loni příliš nepřispěla k celkovému růstu HDP. Příznivý vývoj ve 2. a 3. kvartálu totiž efektivně vynuloval propad v závěru roku. K růstu přebytku obchodu se zbožím přispěla zejména motorová vozidla, kde se kladné saldo zvýšilo. Pozitivně ovlivnilo výsledné saldo i zlepšení existujícího deficitu obchodu s ropou a zemním plynem.</w:t>
      </w:r>
    </w:p>
    <w:p w14:paraId="649A776A" w14:textId="19B6523E" w:rsidR="00925615" w:rsidRDefault="00925615" w:rsidP="00925615">
      <w:pPr>
        <w:pStyle w:val="Normalodrka"/>
        <w:numPr>
          <w:ilvl w:val="0"/>
          <w:numId w:val="29"/>
        </w:numPr>
        <w:spacing w:after="100"/>
        <w:ind w:left="357" w:hanging="357"/>
        <w:rPr>
          <w:spacing w:val="2"/>
        </w:rPr>
      </w:pPr>
      <w:r>
        <w:rPr>
          <w:spacing w:val="2"/>
        </w:rPr>
        <w:t>Cenová hladina</w:t>
      </w:r>
      <w:r w:rsidR="009F4F6A">
        <w:rPr>
          <w:spacing w:val="2"/>
        </w:rPr>
        <w:t xml:space="preserve"> </w:t>
      </w:r>
      <w:r w:rsidR="002C1110">
        <w:rPr>
          <w:spacing w:val="2"/>
        </w:rPr>
        <w:t>podle deflátoru HDP</w:t>
      </w:r>
      <w:r>
        <w:rPr>
          <w:spacing w:val="2"/>
        </w:rPr>
        <w:t xml:space="preserve"> v roce 2019 vzrostla o 3,5 %, zejména pod vlivem cen spotřebních statků. Index spotřebitelských cen se loni zvýšil o 2,8 %, nejvíce za posledních sedm let. Nejvíce k tomu přispěly ceny bydlení a energií, následované potravinami a nealkoholickými nápoji. Ve 4. čtvrtletí meziroční přírůstek spotřebitelských cen činil 3,0 %. Silná zůstala dynamika v případě cen bydlení a energií (5,0 %), ale zrychlil i růst cen potravin (4,3 %). Vývoj v Česku byl v protikladu s průměrným růstem spotřebitelských cen v EU, který se ve 2. pololetí ustálil na mírných 1,3 %. Meziroční růst cen výrobců v průběhu roku zpomaloval a ve 4. čtvrtletí navýšení dosáhlo 1,3 %.</w:t>
      </w:r>
    </w:p>
    <w:p w14:paraId="14E41339" w14:textId="77777777" w:rsidR="00925615" w:rsidRDefault="00925615" w:rsidP="00925615">
      <w:pPr>
        <w:pStyle w:val="Normalodrka"/>
        <w:numPr>
          <w:ilvl w:val="0"/>
          <w:numId w:val="29"/>
        </w:numPr>
        <w:spacing w:after="100"/>
        <w:ind w:left="357" w:hanging="357"/>
      </w:pPr>
      <w:r>
        <w:rPr>
          <w:spacing w:val="-2"/>
        </w:rPr>
        <w:t>Meziroční růst celkové zaměstnanosti</w:t>
      </w:r>
      <w:r>
        <w:rPr>
          <w:rStyle w:val="Znakapoznpodarou"/>
          <w:spacing w:val="-2"/>
        </w:rPr>
        <w:footnoteReference w:id="3"/>
      </w:r>
      <w:r>
        <w:rPr>
          <w:spacing w:val="-2"/>
        </w:rPr>
        <w:t xml:space="preserve"> v roce 2019 dosáhl 0,7 %, ve 4. čtvrtletí ale zejména vlivem exportních oborů již jen stagnoval. V některých odvětvích nedostatek pracovní síly stále představoval významnou bariéru růstu (zejména ve stavebnictví). </w:t>
      </w:r>
      <w:r>
        <w:rPr>
          <w:spacing w:val="-3"/>
        </w:rPr>
        <w:t xml:space="preserve">Obecná míra nezaměstnanosti doznala během loňského roku jen minimálních změn. V prosinci 2019 čítala 1,8 % u mužů a 2,3 % u žen. </w:t>
      </w:r>
      <w:r>
        <w:rPr>
          <w:spacing w:val="-4"/>
        </w:rPr>
        <w:t xml:space="preserve">Průměrná hrubá nominální měsíční mzda loni vzrostla o 7,1 % (na 34 125 korun). Šlo o druhé nejvyšší meziroční tempo za posledních jedenáct let. </w:t>
      </w:r>
      <w:r>
        <w:t>Relativně nejvíce vzrostly, již druhým rokem v řadě, průměrné výdělky ve vzdělávání.</w:t>
      </w:r>
    </w:p>
    <w:p w14:paraId="0CC232E6" w14:textId="77777777" w:rsidR="00925615" w:rsidRDefault="00925615" w:rsidP="00925615">
      <w:pPr>
        <w:pStyle w:val="Normalodrka"/>
        <w:numPr>
          <w:ilvl w:val="0"/>
          <w:numId w:val="29"/>
        </w:numPr>
        <w:spacing w:after="100"/>
        <w:ind w:left="357" w:hanging="357"/>
      </w:pPr>
      <w:r>
        <w:t xml:space="preserve">Nastavení základních </w:t>
      </w:r>
      <w:proofErr w:type="spellStart"/>
      <w:r>
        <w:t>měnověpolitických</w:t>
      </w:r>
      <w:proofErr w:type="spellEnd"/>
      <w:r>
        <w:t xml:space="preserve"> sazeb se loni změnilo jen jednou, a to při květnovém zvýšení. Od ledna do září rostly průměrné úrokové sazby na vkladech s dohodnutou splatností pro domácnosti, ve 4. čtvrtletí ale došlo k mírnému poklesu. Domácnostem však klesaly náklady na úvěry – spotřebitelské i úvěry na bydlení. Růst objemu úvěrů na bydlení ale od začátku roku zpomaloval.</w:t>
      </w:r>
    </w:p>
    <w:p w14:paraId="11275615" w14:textId="77777777" w:rsidR="00925615" w:rsidRDefault="00925615" w:rsidP="00925615">
      <w:pPr>
        <w:pStyle w:val="Normalodrka"/>
        <w:numPr>
          <w:ilvl w:val="0"/>
          <w:numId w:val="29"/>
        </w:numPr>
        <w:spacing w:after="100"/>
        <w:ind w:left="357" w:hanging="357"/>
      </w:pPr>
      <w:r>
        <w:t xml:space="preserve">Deficit státního rozpočtu (SR) za rok 2019 činil 28,5 mld. korun. </w:t>
      </w:r>
      <w:r>
        <w:rPr>
          <w:spacing w:val="-2"/>
        </w:rPr>
        <w:t xml:space="preserve">Za prohloubením salda oproti roku 2018 stály loni především svižný růst běžných i investičních výdajů a dále i mírné zpomalení dynamiky výběru některých váhově významných daní vlivem zvolnění hospodářského růstu. Na meziročním růstu příjmů SR o 8,5 % se loni projevil silnější příliv prostředků z rozpočtu EU, plánovaný jednorázový převod z privatizačního účtu i vyšší příjmy z prodeje emisních povolenek. Třetinou přispěl k vyšším celkovým příjmům i výběr pojistného na sociální zabezpečení, jen nepatrně menší roli měly daňové příjmy. </w:t>
      </w:r>
      <w:r>
        <w:rPr>
          <w:color w:val="0D0D0D" w:themeColor="text1" w:themeTint="F2"/>
          <w:spacing w:val="-4"/>
        </w:rPr>
        <w:t>Běžné výdaje SR posílily loni meziročně o desetinu, zejména kvůli vyšším výdajům na sociální dávky i růstu výdajů na regionální školství a platů na úrovni organizačních složek státu</w:t>
      </w:r>
      <w:r>
        <w:rPr>
          <w:rFonts w:cs="Arial"/>
          <w:color w:val="0D0D0D" w:themeColor="text1" w:themeTint="F2"/>
          <w:spacing w:val="-4"/>
        </w:rPr>
        <w:t>.</w:t>
      </w:r>
      <w:r>
        <w:t xml:space="preserve"> Saldo hospodaření sektoru vládních institucí zůstalo čtvrtým rokem v řadě kladné, výše přebytku se ale loni ztenčila na 0,3 % HDP. Míra zadlužení dosahovala na konci roku 2019 úrovně 30,8 % HDP, meziročně klesla o 1,8 p. b.</w:t>
      </w:r>
    </w:p>
    <w:p w14:paraId="329CBBF4" w14:textId="77777777" w:rsidR="00C715CC" w:rsidRPr="009110F7" w:rsidRDefault="00C715CC" w:rsidP="00C715CC">
      <w:pPr>
        <w:pStyle w:val="Nadpis1"/>
      </w:pPr>
      <w:bookmarkStart w:id="4" w:name="_Toc37403641"/>
      <w:r w:rsidRPr="0077605B">
        <w:lastRenderedPageBreak/>
        <w:t>2</w:t>
      </w:r>
      <w:r>
        <w:t>. </w:t>
      </w:r>
      <w:r w:rsidRPr="0077605B">
        <w:t>Souhrnná výkonnost</w:t>
      </w:r>
      <w:bookmarkEnd w:id="3"/>
      <w:bookmarkEnd w:id="4"/>
    </w:p>
    <w:tbl>
      <w:tblPr>
        <w:tblW w:w="9639" w:type="dxa"/>
        <w:tblInd w:w="-15" w:type="dxa"/>
        <w:tblCellMar>
          <w:left w:w="0" w:type="dxa"/>
          <w:right w:w="0" w:type="dxa"/>
        </w:tblCellMar>
        <w:tblLook w:val="00A0" w:firstRow="1" w:lastRow="0" w:firstColumn="1" w:lastColumn="0" w:noHBand="0" w:noVBand="0"/>
      </w:tblPr>
      <w:tblGrid>
        <w:gridCol w:w="1806"/>
        <w:gridCol w:w="223"/>
        <w:gridCol w:w="7610"/>
      </w:tblGrid>
      <w:tr w:rsidR="00F93F2C" w:rsidRPr="009110F7" w14:paraId="44932B4C" w14:textId="77777777" w:rsidTr="00E44243">
        <w:trPr>
          <w:trHeight w:val="145"/>
        </w:trPr>
        <w:tc>
          <w:tcPr>
            <w:tcW w:w="1806" w:type="dxa"/>
            <w:shd w:val="clear" w:color="auto" w:fill="auto"/>
            <w:tcMar>
              <w:left w:w="0" w:type="dxa"/>
            </w:tcMar>
          </w:tcPr>
          <w:p w14:paraId="41E356A2" w14:textId="2ACD1491" w:rsidR="00F93F2C" w:rsidRDefault="00F93F2C" w:rsidP="00F93F2C">
            <w:pPr>
              <w:pStyle w:val="Marginlie"/>
            </w:pPr>
            <w:r>
              <w:t>Hrubý domácí produkt se v roce 2019 zvýšil o 2,5 %. V závěru roku meziroční dynamika výrazněji zpomalila.</w:t>
            </w:r>
          </w:p>
        </w:tc>
        <w:tc>
          <w:tcPr>
            <w:tcW w:w="223" w:type="dxa"/>
            <w:shd w:val="clear" w:color="auto" w:fill="auto"/>
            <w:tcMar>
              <w:left w:w="0" w:type="dxa"/>
            </w:tcMar>
          </w:tcPr>
          <w:p w14:paraId="497F5A45" w14:textId="77777777" w:rsidR="00F93F2C" w:rsidRDefault="00F93F2C" w:rsidP="00F93F2C">
            <w:pPr>
              <w:pStyle w:val="Textpoznpodarou"/>
              <w:jc w:val="both"/>
              <w:rPr>
                <w:spacing w:val="-4"/>
              </w:rPr>
            </w:pPr>
          </w:p>
        </w:tc>
        <w:tc>
          <w:tcPr>
            <w:tcW w:w="7610" w:type="dxa"/>
            <w:shd w:val="clear" w:color="auto" w:fill="auto"/>
            <w:tcMar>
              <w:left w:w="0" w:type="dxa"/>
            </w:tcMar>
          </w:tcPr>
          <w:p w14:paraId="35B6E59B" w14:textId="040FD88E" w:rsidR="00F93F2C" w:rsidRPr="00B83E07" w:rsidRDefault="00F93F2C" w:rsidP="00F93F2C">
            <w:pPr>
              <w:spacing w:after="220"/>
              <w:rPr>
                <w:spacing w:val="-2"/>
              </w:rPr>
            </w:pPr>
            <w:r>
              <w:rPr>
                <w:spacing w:val="-2"/>
              </w:rPr>
              <w:t>Meziroční růst hrubého domácího produktu (HDP) měl od počátku roku sestupnou tendenci, v 1. až 3. čtvrtletí se ale držel kolem hranice 2,5 % (2,8 %, 2,7 % a 2,5 % v 1., 2. a 3. kvartálu)</w:t>
            </w:r>
            <w:r w:rsidRPr="00B83E07">
              <w:rPr>
                <w:rStyle w:val="Znakapoznpodarou"/>
                <w:rFonts w:cs="Arial"/>
                <w:spacing w:val="-2"/>
              </w:rPr>
              <w:footnoteReference w:id="4"/>
            </w:r>
            <w:r>
              <w:rPr>
                <w:spacing w:val="-2"/>
              </w:rPr>
              <w:t>. Závěr roku přinesl silnější pokles tempa, a meziroční přírůstek HDP tak ve 4. čtvrtletí činil 2,0 % (nejméně od 4. čtvrtletí 2016). Mezičtvrtletní přírůstky v průběhu 1. až 3. čtvrtletí oslabovaly (0,6 %, 0,5 % a 0,4 % v jednotlivých kvartálech), ale ve 4. čtvrtletí HDP vzrostl o 0,5 %. Za celý rok 2019 se HDP reálně zvýšil o 2,5 %. Po celý rok byla klíčovým hybatelem hospodářského růstu domácí spotřeba. Ta k celoročnímu přírůstku HDP přispěla 1,8 p. b.</w:t>
            </w:r>
            <w:r w:rsidRPr="009110F7">
              <w:rPr>
                <w:rStyle w:val="Znakapoznpodarou"/>
              </w:rPr>
              <w:footnoteReference w:id="5"/>
            </w:r>
            <w:r>
              <w:rPr>
                <w:spacing w:val="-2"/>
              </w:rPr>
              <w:t xml:space="preserve"> Výrazně slabší byl vliv tvorby hrubého kapitálu (0,6 p. b.) a bilance zahraničního obchodu (0,1 p. b.). V samotném 4. čtvrtletí na meziroční růst HDP mimořádně silně působila tvorba hrubého kapitálu (2,3 p. b.), doplněná vlivem výdajů na spotřebu (1,7 p. b.). Silně negativní ale byl příspěvek bilance zahraničního obchodu (–1,9 p. b.). Jde o nejhorší příspěvek bilance od 2. čtvrtletí 2009.</w:t>
            </w:r>
          </w:p>
        </w:tc>
      </w:tr>
      <w:tr w:rsidR="00F93F2C" w:rsidRPr="009110F7" w14:paraId="365FCE6B" w14:textId="77777777" w:rsidTr="00E44243">
        <w:trPr>
          <w:trHeight w:val="170"/>
        </w:trPr>
        <w:tc>
          <w:tcPr>
            <w:tcW w:w="1806" w:type="dxa"/>
            <w:vMerge w:val="restart"/>
            <w:shd w:val="clear" w:color="auto" w:fill="auto"/>
            <w:tcMar>
              <w:left w:w="0" w:type="dxa"/>
            </w:tcMar>
          </w:tcPr>
          <w:p w14:paraId="5CF0E118" w14:textId="77777777" w:rsidR="00F93F2C" w:rsidRDefault="00F93F2C" w:rsidP="00F93F2C">
            <w:pPr>
              <w:pStyle w:val="Marginlie"/>
            </w:pPr>
          </w:p>
        </w:tc>
        <w:tc>
          <w:tcPr>
            <w:tcW w:w="223" w:type="dxa"/>
            <w:vMerge w:val="restart"/>
            <w:shd w:val="clear" w:color="auto" w:fill="auto"/>
            <w:tcMar>
              <w:left w:w="0" w:type="dxa"/>
            </w:tcMar>
          </w:tcPr>
          <w:p w14:paraId="1FF8316F" w14:textId="77777777" w:rsidR="00F93F2C" w:rsidRDefault="00F93F2C" w:rsidP="00F93F2C">
            <w:pPr>
              <w:pStyle w:val="Textpoznpodarou"/>
              <w:jc w:val="both"/>
              <w:rPr>
                <w:spacing w:val="-4"/>
              </w:rPr>
            </w:pPr>
          </w:p>
        </w:tc>
        <w:tc>
          <w:tcPr>
            <w:tcW w:w="7610" w:type="dxa"/>
            <w:shd w:val="clear" w:color="auto" w:fill="auto"/>
            <w:tcMar>
              <w:left w:w="0" w:type="dxa"/>
            </w:tcMar>
          </w:tcPr>
          <w:p w14:paraId="0F8D2F64" w14:textId="69358C3D" w:rsidR="00F93F2C" w:rsidRPr="001208E3" w:rsidRDefault="00F93F2C" w:rsidP="00F93F2C">
            <w:pPr>
              <w:spacing w:after="0"/>
              <w:rPr>
                <w:b/>
                <w:szCs w:val="20"/>
              </w:rPr>
            </w:pPr>
            <w:r w:rsidRPr="0041745D">
              <w:rPr>
                <w:rFonts w:cs="Arial"/>
                <w:b/>
                <w:bCs/>
                <w:color w:val="000000"/>
                <w:sz w:val="18"/>
                <w:szCs w:val="18"/>
              </w:rPr>
              <w:t xml:space="preserve">Graf </w:t>
            </w:r>
            <w:r>
              <w:rPr>
                <w:rFonts w:cs="Arial"/>
                <w:b/>
                <w:bCs/>
                <w:color w:val="000000"/>
                <w:sz w:val="18"/>
                <w:szCs w:val="18"/>
              </w:rPr>
              <w:t>č. </w:t>
            </w:r>
            <w:r w:rsidRPr="00663018">
              <w:rPr>
                <w:rFonts w:cs="Arial"/>
                <w:b/>
                <w:bCs/>
                <w:color w:val="000000"/>
                <w:sz w:val="18"/>
                <w:szCs w:val="18"/>
              </w:rPr>
              <w:t>1</w:t>
            </w:r>
            <w:r>
              <w:rPr>
                <w:rFonts w:cs="Arial"/>
                <w:b/>
                <w:bCs/>
                <w:color w:val="000000"/>
                <w:sz w:val="18"/>
                <w:szCs w:val="18"/>
              </w:rPr>
              <w:t xml:space="preserve"> </w:t>
            </w:r>
            <w:r w:rsidRPr="00663018">
              <w:rPr>
                <w:rFonts w:cs="Arial"/>
                <w:b/>
                <w:bCs/>
                <w:color w:val="000000"/>
                <w:sz w:val="18"/>
                <w:szCs w:val="18"/>
              </w:rPr>
              <w:t xml:space="preserve"> </w:t>
            </w:r>
            <w:r w:rsidRPr="00663018">
              <w:rPr>
                <w:rFonts w:cs="Arial"/>
                <w:b/>
                <w:sz w:val="18"/>
                <w:szCs w:val="18"/>
                <w:lang w:eastAsia="en-US"/>
              </w:rPr>
              <w:t>HDP (objemové indexy, očištěno o</w:t>
            </w:r>
            <w:r>
              <w:rPr>
                <w:rFonts w:cs="Arial"/>
                <w:b/>
                <w:sz w:val="18"/>
                <w:szCs w:val="18"/>
                <w:lang w:eastAsia="en-US"/>
              </w:rPr>
              <w:t> </w:t>
            </w:r>
            <w:r w:rsidRPr="00663018">
              <w:rPr>
                <w:rFonts w:cs="Arial"/>
                <w:b/>
                <w:sz w:val="18"/>
                <w:szCs w:val="18"/>
                <w:lang w:eastAsia="en-US"/>
              </w:rPr>
              <w:t>sezónní a kalendářní vlivy, v</w:t>
            </w:r>
            <w:r>
              <w:rPr>
                <w:rFonts w:cs="Arial"/>
                <w:b/>
                <w:sz w:val="18"/>
                <w:szCs w:val="18"/>
                <w:lang w:eastAsia="en-US"/>
              </w:rPr>
              <w:t> %</w:t>
            </w:r>
            <w:r w:rsidRPr="00663018">
              <w:rPr>
                <w:rFonts w:cs="Arial"/>
                <w:b/>
                <w:sz w:val="18"/>
                <w:szCs w:val="18"/>
                <w:lang w:eastAsia="en-US"/>
              </w:rPr>
              <w:t>)</w:t>
            </w:r>
          </w:p>
        </w:tc>
      </w:tr>
      <w:tr w:rsidR="00F93F2C" w:rsidRPr="009110F7" w14:paraId="2005A113" w14:textId="77777777" w:rsidTr="00E44243">
        <w:tblPrEx>
          <w:tblCellMar>
            <w:left w:w="70" w:type="dxa"/>
            <w:right w:w="70" w:type="dxa"/>
          </w:tblCellMar>
        </w:tblPrEx>
        <w:trPr>
          <w:trHeight w:val="170"/>
        </w:trPr>
        <w:tc>
          <w:tcPr>
            <w:tcW w:w="1806" w:type="dxa"/>
            <w:vMerge/>
            <w:shd w:val="clear" w:color="auto" w:fill="auto"/>
          </w:tcPr>
          <w:p w14:paraId="147EB677" w14:textId="77777777" w:rsidR="00F93F2C" w:rsidRPr="009110F7" w:rsidRDefault="00F93F2C" w:rsidP="00F93F2C">
            <w:pPr>
              <w:pStyle w:val="Marginlie"/>
            </w:pPr>
          </w:p>
        </w:tc>
        <w:tc>
          <w:tcPr>
            <w:tcW w:w="223" w:type="dxa"/>
            <w:vMerge/>
            <w:shd w:val="clear" w:color="auto" w:fill="auto"/>
          </w:tcPr>
          <w:p w14:paraId="5C2AB3AB" w14:textId="77777777" w:rsidR="00F93F2C" w:rsidRPr="009110F7" w:rsidRDefault="00F93F2C" w:rsidP="00F93F2C">
            <w:pPr>
              <w:pStyle w:val="Textpoznpodarou"/>
              <w:jc w:val="both"/>
              <w:rPr>
                <w:spacing w:val="-4"/>
              </w:rPr>
            </w:pPr>
          </w:p>
        </w:tc>
        <w:tc>
          <w:tcPr>
            <w:tcW w:w="7610" w:type="dxa"/>
            <w:shd w:val="clear" w:color="auto" w:fill="auto"/>
          </w:tcPr>
          <w:p w14:paraId="6D3B890D" w14:textId="4F586A53" w:rsidR="00F93F2C" w:rsidRPr="009110F7" w:rsidRDefault="00F93F2C" w:rsidP="00F93F2C">
            <w:pPr>
              <w:spacing w:after="0"/>
            </w:pPr>
            <w:r>
              <w:rPr>
                <w:noProof/>
              </w:rPr>
              <w:drawing>
                <wp:inline distT="0" distB="0" distL="0" distR="0" wp14:anchorId="0DF3C972" wp14:editId="5C83E557">
                  <wp:extent cx="4737600" cy="3553200"/>
                  <wp:effectExtent l="0" t="0" r="6350" b="0"/>
                  <wp:docPr id="1" name="Graf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F93F2C" w:rsidRPr="009110F7" w14:paraId="5F17DB0C" w14:textId="77777777" w:rsidTr="00E44243">
        <w:trPr>
          <w:trHeight w:val="170"/>
        </w:trPr>
        <w:tc>
          <w:tcPr>
            <w:tcW w:w="1806" w:type="dxa"/>
            <w:vMerge/>
            <w:shd w:val="clear" w:color="auto" w:fill="auto"/>
            <w:tcMar>
              <w:left w:w="0" w:type="dxa"/>
            </w:tcMar>
          </w:tcPr>
          <w:p w14:paraId="1301185E" w14:textId="77777777" w:rsidR="00F93F2C" w:rsidRPr="009110F7" w:rsidRDefault="00F93F2C" w:rsidP="00F93F2C">
            <w:pPr>
              <w:pStyle w:val="Marginlie"/>
            </w:pPr>
          </w:p>
        </w:tc>
        <w:tc>
          <w:tcPr>
            <w:tcW w:w="223" w:type="dxa"/>
            <w:vMerge/>
            <w:shd w:val="clear" w:color="auto" w:fill="auto"/>
            <w:tcMar>
              <w:left w:w="0" w:type="dxa"/>
            </w:tcMar>
          </w:tcPr>
          <w:p w14:paraId="2C10860C" w14:textId="77777777" w:rsidR="00F93F2C" w:rsidRPr="009110F7" w:rsidRDefault="00F93F2C" w:rsidP="00F93F2C">
            <w:pPr>
              <w:pStyle w:val="Textpoznpodarou"/>
              <w:jc w:val="both"/>
              <w:rPr>
                <w:spacing w:val="-4"/>
              </w:rPr>
            </w:pPr>
          </w:p>
        </w:tc>
        <w:tc>
          <w:tcPr>
            <w:tcW w:w="7610" w:type="dxa"/>
            <w:shd w:val="clear" w:color="auto" w:fill="auto"/>
            <w:tcMar>
              <w:left w:w="0" w:type="dxa"/>
            </w:tcMar>
          </w:tcPr>
          <w:p w14:paraId="10F3412B" w14:textId="2D8600AB" w:rsidR="00F93F2C" w:rsidRPr="009110F7" w:rsidRDefault="00F93F2C" w:rsidP="00F93F2C">
            <w:pPr>
              <w:spacing w:after="220"/>
              <w:rPr>
                <w:sz w:val="14"/>
                <w:szCs w:val="14"/>
              </w:rPr>
            </w:pPr>
            <w:r>
              <w:rPr>
                <w:sz w:val="14"/>
                <w:szCs w:val="14"/>
              </w:rPr>
              <w:t xml:space="preserve">Zdroj: ČSÚ, </w:t>
            </w:r>
            <w:proofErr w:type="spellStart"/>
            <w:r>
              <w:rPr>
                <w:sz w:val="14"/>
                <w:szCs w:val="14"/>
              </w:rPr>
              <w:t>Eurostat</w:t>
            </w:r>
            <w:proofErr w:type="spellEnd"/>
          </w:p>
        </w:tc>
      </w:tr>
      <w:tr w:rsidR="00F93F2C" w:rsidRPr="009110F7" w14:paraId="18A9F9FC" w14:textId="77777777" w:rsidTr="00E44243">
        <w:trPr>
          <w:trHeight w:val="145"/>
        </w:trPr>
        <w:tc>
          <w:tcPr>
            <w:tcW w:w="1806" w:type="dxa"/>
            <w:shd w:val="clear" w:color="auto" w:fill="auto"/>
            <w:tcMar>
              <w:left w:w="0" w:type="dxa"/>
            </w:tcMar>
          </w:tcPr>
          <w:p w14:paraId="313B3FB1" w14:textId="58ED7455" w:rsidR="00F93F2C" w:rsidRDefault="00F93F2C" w:rsidP="00F93F2C">
            <w:pPr>
              <w:pStyle w:val="Marginlie"/>
            </w:pPr>
            <w:r>
              <w:t>Hospodářský růst loni zvolnil napříč celou EU.</w:t>
            </w:r>
          </w:p>
        </w:tc>
        <w:tc>
          <w:tcPr>
            <w:tcW w:w="223" w:type="dxa"/>
            <w:shd w:val="clear" w:color="auto" w:fill="auto"/>
            <w:tcMar>
              <w:left w:w="0" w:type="dxa"/>
            </w:tcMar>
          </w:tcPr>
          <w:p w14:paraId="49072518" w14:textId="77777777" w:rsidR="00F93F2C" w:rsidRDefault="00F93F2C" w:rsidP="00F93F2C">
            <w:pPr>
              <w:pStyle w:val="Textpoznpodarou"/>
              <w:jc w:val="both"/>
              <w:rPr>
                <w:spacing w:val="-4"/>
              </w:rPr>
            </w:pPr>
          </w:p>
        </w:tc>
        <w:tc>
          <w:tcPr>
            <w:tcW w:w="7610" w:type="dxa"/>
            <w:shd w:val="clear" w:color="auto" w:fill="auto"/>
            <w:tcMar>
              <w:left w:w="0" w:type="dxa"/>
            </w:tcMar>
          </w:tcPr>
          <w:p w14:paraId="3226E19C" w14:textId="433EA796" w:rsidR="00F93F2C" w:rsidRDefault="00F93F2C" w:rsidP="00F93F2C">
            <w:r>
              <w:t>Hrubý domácí produkt v Evropské unii se loni reálně zvýšil o 1,5 %. To je nejméně od roku 2013. Mírný zůstal růst spotřeby (1,6 %), poklesla dynamika výdajů na hrubý kapitál (2,6 %) a snížil se přebytek bilance zahraničního obchodu. Dynamika HDP oproti roku 2018 zpomalila ve většině zemí EU. Nejvíce se loni zvýšil HDP v Irsku (5,5 %), Maďarsku (4,9 %) a na Maltě (4,4 %). Přírůstek byl loni kladný ve všech členských zemích, nejméně to bylo v Itálii (0,3 %), Německu (0,6 %) a ve Finsku (1,0 %). Ve 4. čtvrtletí meziroční růst HDP v EU zpomalil na 1,2 % a mezičtvrtletní přírůstek činil jen 0,1 %. Meziročního přírůstku ve 4. čtvrtletí nakonec dosáhly všechny země EU, nejvíce Irsko (6,3 %), Maďarsko (4,6 %) a Malta (4,3 %). Těsně se poklesu vyhnula Itálie (0,1 %), pod 1 % se dostal meziroční přírůstek v Německu (0,5 %), Finsku (0,6 %), Švédsku (0,8 %), Rakousku a Francii (shodně 0,9 %). Ve čtyřech zemích v závěru roku HDP mezičtvrtletně poklesl – v</w:t>
            </w:r>
            <w:r w:rsidR="00C75752">
              <w:t xml:space="preserve"> </w:t>
            </w:r>
            <w:r>
              <w:t>Řecku</w:t>
            </w:r>
            <w:r w:rsidR="00C75752">
              <w:t xml:space="preserve"> (-0,7 %), ve Finsku </w:t>
            </w:r>
            <w:r w:rsidR="00C75752">
              <w:lastRenderedPageBreak/>
              <w:t>(</w:t>
            </w:r>
            <w:r w:rsidR="00C75752">
              <w:noBreakHyphen/>
              <w:t>0,6 %), v</w:t>
            </w:r>
            <w:r>
              <w:t xml:space="preserve"> Itálii (–0,3 %) a Francii (–0,1 %). V Německu a Velké Británii se HDP mezičtvrtletně neměnil.</w:t>
            </w:r>
          </w:p>
        </w:tc>
      </w:tr>
      <w:tr w:rsidR="00F93F2C" w:rsidRPr="009110F7" w14:paraId="7A48D8D2" w14:textId="77777777" w:rsidTr="00E44243">
        <w:trPr>
          <w:trHeight w:val="145"/>
        </w:trPr>
        <w:tc>
          <w:tcPr>
            <w:tcW w:w="1806" w:type="dxa"/>
            <w:shd w:val="clear" w:color="auto" w:fill="auto"/>
            <w:tcMar>
              <w:left w:w="0" w:type="dxa"/>
            </w:tcMar>
          </w:tcPr>
          <w:p w14:paraId="4BE809FE" w14:textId="4C80979C" w:rsidR="00F93F2C" w:rsidRDefault="00F93F2C" w:rsidP="00F93F2C">
            <w:pPr>
              <w:pStyle w:val="Marginlie"/>
            </w:pPr>
            <w:r>
              <w:lastRenderedPageBreak/>
              <w:t>Pokračovalo zpomalování tempa růstu objemu vyplacených mezd a platů.</w:t>
            </w:r>
          </w:p>
        </w:tc>
        <w:tc>
          <w:tcPr>
            <w:tcW w:w="223" w:type="dxa"/>
            <w:shd w:val="clear" w:color="auto" w:fill="auto"/>
            <w:tcMar>
              <w:left w:w="0" w:type="dxa"/>
            </w:tcMar>
          </w:tcPr>
          <w:p w14:paraId="1FD44020" w14:textId="77777777" w:rsidR="00F93F2C" w:rsidRDefault="00F93F2C" w:rsidP="00F93F2C">
            <w:pPr>
              <w:pStyle w:val="Textpoznpodarou"/>
              <w:jc w:val="both"/>
              <w:rPr>
                <w:spacing w:val="-4"/>
              </w:rPr>
            </w:pPr>
          </w:p>
        </w:tc>
        <w:tc>
          <w:tcPr>
            <w:tcW w:w="7610" w:type="dxa"/>
            <w:shd w:val="clear" w:color="auto" w:fill="auto"/>
            <w:tcMar>
              <w:left w:w="0" w:type="dxa"/>
            </w:tcMar>
          </w:tcPr>
          <w:p w14:paraId="2CACBFDA" w14:textId="0290662B" w:rsidR="00F93F2C" w:rsidRDefault="00F93F2C" w:rsidP="00F93F2C">
            <w:r>
              <w:t>Objem vyplacených mezd a platů loni vzrostl o 7,1 %. Jde o nižší přírůstek než v letech 2017 a 2018, stále se ale jedná o velmi silný růst (v období 2009 až 2019 jde o třetí nejvýraznější navýšení). Celková zaměstnanost</w:t>
            </w:r>
            <w:r w:rsidRPr="00B83E07">
              <w:rPr>
                <w:rStyle w:val="Znakapoznpodarou"/>
                <w:spacing w:val="-2"/>
              </w:rPr>
              <w:footnoteReference w:id="6"/>
            </w:r>
            <w:r>
              <w:t xml:space="preserve"> loni vzrostla o 0,7 %, nejméně od roku 2014, takže nárůst mezd a platů se v naprosté většině projevil navýšením úrovně výdělků. Silněji než dříve ale loni působil růst cenové hladiny. Reálně tak mzdy a platy loni vzrostly o 4,1 %</w:t>
            </w:r>
            <w:r w:rsidRPr="00B83E07">
              <w:rPr>
                <w:rStyle w:val="Znakapoznpodarou"/>
                <w:spacing w:val="-2"/>
              </w:rPr>
              <w:footnoteReference w:id="7"/>
            </w:r>
            <w:r>
              <w:t>. Již několik let se vysoké tempo růstu objemu vyplacených náhrad zaměstnancům projevuje na klesající míře zisku nefinančních podniků</w:t>
            </w:r>
            <w:r>
              <w:rPr>
                <w:rStyle w:val="Znakapoznpodarou"/>
              </w:rPr>
              <w:footnoteReference w:id="8"/>
            </w:r>
            <w:r>
              <w:t>. Loni tento ukazatel ještě drobně poklesl na 46,5 %. Z hlediska míry zisku se tak ČR stále drží v evropském nadprůměru. V samotném 4. čtvrtletí meziroční navýšení objemu mezd a platů dosáhlo 6,5 % a pokračovalo tak postupné zpomalování tempa patrné v průběhu celého roku. Zároveň se v závěru roku meziročně nezvýšila celková zaměstnanost. Silný růst cenové hladiny ale vedl k výrazné redukci reálné dynamiky výdělků (3,4 %, nejméně od 3. čtvrtletí 2014).</w:t>
            </w:r>
          </w:p>
        </w:tc>
      </w:tr>
      <w:tr w:rsidR="00F93F2C" w:rsidRPr="009110F7" w14:paraId="5590FF07" w14:textId="77777777" w:rsidTr="00E44243">
        <w:trPr>
          <w:trHeight w:val="145"/>
        </w:trPr>
        <w:tc>
          <w:tcPr>
            <w:tcW w:w="1806" w:type="dxa"/>
            <w:shd w:val="clear" w:color="auto" w:fill="auto"/>
            <w:tcMar>
              <w:left w:w="0" w:type="dxa"/>
            </w:tcMar>
          </w:tcPr>
          <w:p w14:paraId="57B2ED32" w14:textId="1C49B793" w:rsidR="00F93F2C" w:rsidRDefault="00F93F2C" w:rsidP="00F93F2C">
            <w:pPr>
              <w:pStyle w:val="Marginlie"/>
            </w:pPr>
            <w:r>
              <w:t>Růstu mezd a platů dominovala spíše odvětví služeb.</w:t>
            </w:r>
          </w:p>
        </w:tc>
        <w:tc>
          <w:tcPr>
            <w:tcW w:w="223" w:type="dxa"/>
            <w:shd w:val="clear" w:color="auto" w:fill="auto"/>
            <w:tcMar>
              <w:left w:w="0" w:type="dxa"/>
            </w:tcMar>
          </w:tcPr>
          <w:p w14:paraId="06426937" w14:textId="77777777" w:rsidR="00F93F2C" w:rsidRDefault="00F93F2C" w:rsidP="00F93F2C">
            <w:pPr>
              <w:pStyle w:val="Textpoznpodarou"/>
              <w:jc w:val="both"/>
              <w:rPr>
                <w:spacing w:val="-4"/>
              </w:rPr>
            </w:pPr>
          </w:p>
        </w:tc>
        <w:tc>
          <w:tcPr>
            <w:tcW w:w="7610" w:type="dxa"/>
            <w:shd w:val="clear" w:color="auto" w:fill="auto"/>
            <w:tcMar>
              <w:left w:w="0" w:type="dxa"/>
            </w:tcMar>
          </w:tcPr>
          <w:p w14:paraId="3CCB127C" w14:textId="49C58603" w:rsidR="00F93F2C" w:rsidRDefault="00F93F2C" w:rsidP="00F93F2C">
            <w:r>
              <w:t>Nejvíce loni narůstal objem mezd a platů vyplacených u činností v oblasti nemovitostí (11,0 %), v odvětvích s převahou vládního sektoru</w:t>
            </w:r>
            <w:r>
              <w:rPr>
                <w:rStyle w:val="Znakapoznpodarou"/>
                <w:spacing w:val="-2"/>
              </w:rPr>
              <w:footnoteReference w:id="9"/>
            </w:r>
            <w:r>
              <w:t xml:space="preserve"> (10,3 %) a v informačních a komunikačních činnostech (8,3 %, zde objem mezd a platů podpořil přírůstek celkové zaměstnanosti 4,5 %). Nejvyššího meziročního růstu vyplacených mezd a platů (11,3 %) ve 4. čtvrtletí dosáhly činnosti v oblasti nemovitostí, kde se projevil i výrazný přírůstek zaměstnanosti (4,7 %). Vysokou dynamiku měla i odvětví s převahou vládního sektoru (10,7 %, růst zaměstnanosti 2,4 %). Zrychlil přírůstek mezd a platů vyplacených v informačních a komunikačních činnostech (9,4 %, zčásti ovlivněno zrychlením nárůstu zaměstnanosti na 5,2 %). Pod celkovým průměrem byl růst mezd a platů v uskupení obchod, doprava, ubytování a pohostinství (6,1 %), kde také poklesla zaměstnanost o 0,6 %, a dále ve stavebnictví (5,8 % při nárůstu zaměstnanosti o 2,4 %). Meziroční pokles zaměstnanosti se odehrál ve 4. čtvrtletí v zemědělství, lesnictví a rybářství (zaměstnanost klesla meziročně o 3,2 %, mzdový růst dosáhl 5,4 %), u profesních, vědeckých, technických a administrativních činností (pokles zaměstnanosti o 1,9 %, nárůst vyplacených mezd a platů o 5,5 %) a v peněžnictví a pojišťovnictví (–0,2 %, nárůst mezd a platů o 5,2 %). Vývoj objemu mezd a platů ve zpracovatelském průmyslu odrážel zpomalení, ke kterému v odvětví došlo ve 4. čtvrtletí. Zaměstnanost klesla o 1,8 % a objem vyplacených mezd a platů rostl nejméně v celém hospodářství (3,2 %).</w:t>
            </w:r>
          </w:p>
        </w:tc>
      </w:tr>
      <w:tr w:rsidR="00F93F2C" w:rsidRPr="009110F7" w14:paraId="4537D16E" w14:textId="77777777" w:rsidTr="00E44243">
        <w:trPr>
          <w:trHeight w:val="145"/>
        </w:trPr>
        <w:tc>
          <w:tcPr>
            <w:tcW w:w="1806" w:type="dxa"/>
            <w:shd w:val="clear" w:color="auto" w:fill="auto"/>
            <w:tcMar>
              <w:left w:w="0" w:type="dxa"/>
            </w:tcMar>
          </w:tcPr>
          <w:p w14:paraId="3694A388" w14:textId="3B7E6CF0" w:rsidR="00F93F2C" w:rsidRDefault="00F93F2C" w:rsidP="00F93F2C">
            <w:pPr>
              <w:pStyle w:val="Marginlie"/>
            </w:pPr>
            <w:r>
              <w:t>Domácnosti ve 4. čtvrtletí výrazněji zvýšily výdaje na konečnou spotřebu.</w:t>
            </w:r>
          </w:p>
        </w:tc>
        <w:tc>
          <w:tcPr>
            <w:tcW w:w="223" w:type="dxa"/>
            <w:shd w:val="clear" w:color="auto" w:fill="auto"/>
            <w:tcMar>
              <w:left w:w="0" w:type="dxa"/>
            </w:tcMar>
          </w:tcPr>
          <w:p w14:paraId="7F527923" w14:textId="77777777" w:rsidR="00F93F2C" w:rsidRDefault="00F93F2C" w:rsidP="00F93F2C">
            <w:pPr>
              <w:pStyle w:val="Textpoznpodarou"/>
              <w:jc w:val="both"/>
              <w:rPr>
                <w:spacing w:val="-4"/>
              </w:rPr>
            </w:pPr>
          </w:p>
        </w:tc>
        <w:tc>
          <w:tcPr>
            <w:tcW w:w="7610" w:type="dxa"/>
            <w:shd w:val="clear" w:color="auto" w:fill="auto"/>
            <w:tcMar>
              <w:left w:w="0" w:type="dxa"/>
            </w:tcMar>
          </w:tcPr>
          <w:p w14:paraId="19FE20AA" w14:textId="5739A078" w:rsidR="00F93F2C" w:rsidRDefault="00F93F2C" w:rsidP="00F93F2C">
            <w:r>
              <w:t xml:space="preserve">Výdaje na domácí spotřebu se loni zvýšily o 2,9 % a navzdory drobnému zpomalení v porovnání s předchozím rokem zůstaly klíčovou složkou podporující růst HDP. Pod 3% hranici se roční přírůstky domácí spotřeby dostaly po čtyřech letech. Dynamika spotřeby domácností (3,0 %) byla mírně vyšší než u vládních institucí (2,6 %). Ve 4. čtvrtletí spotřeba celkově meziročně vzrostla o 2,8 %. Drobné zpomalení oproti předchozímu kvartálu mělo původ v propadu meziročního tempa spotřeby vládních institucí (1,7 %). Naopak domácnosti se zcela neřídily obavami vyjadřovanými v konjunkturálních průzkumech a meziroční přírůstek jejich spotřeby zrychlil na 3,2 %, nejvíce od 2. čtvrtletí 2018. Mezičtvrtletní navýšení spotřeby ve 4. kvartálu bylo nejslabší od konce roku 2013 (0,3 %). Zatímco u domácností výdaje posílily o 1,0 %, vládní instituce po dvou čtvrtletích mohutných přírůstků spotřebu mezičtvrtletně snížily o 1,3 %. Bližší pohled na strukturu spotřeby ukazuje, že v závěru roku posílila </w:t>
            </w:r>
            <w:r>
              <w:lastRenderedPageBreak/>
              <w:t>meziroční dynamika v případě služeb (3,6 %)</w:t>
            </w:r>
            <w:r>
              <w:rPr>
                <w:rStyle w:val="Znakapoznpodarou"/>
              </w:rPr>
              <w:footnoteReference w:id="10"/>
            </w:r>
            <w:r>
              <w:t>. Oslabil růst spotřeby trvanlivých statků, i když tempo u předmětů dlouhodobé (2,9 %) i střednědobé (3,8 %) spotřeby zůstalo poměrně solidní.</w:t>
            </w:r>
          </w:p>
        </w:tc>
      </w:tr>
      <w:tr w:rsidR="00F93F2C" w:rsidRPr="009110F7" w14:paraId="6F251D58" w14:textId="77777777" w:rsidTr="00E44243">
        <w:trPr>
          <w:trHeight w:val="145"/>
        </w:trPr>
        <w:tc>
          <w:tcPr>
            <w:tcW w:w="1806" w:type="dxa"/>
            <w:shd w:val="clear" w:color="auto" w:fill="auto"/>
            <w:tcMar>
              <w:left w:w="0" w:type="dxa"/>
            </w:tcMar>
          </w:tcPr>
          <w:p w14:paraId="096A413B" w14:textId="42DCCD98" w:rsidR="00F93F2C" w:rsidRDefault="00F93F2C" w:rsidP="00F93F2C">
            <w:pPr>
              <w:pStyle w:val="Marginlie"/>
            </w:pPr>
            <w:r>
              <w:lastRenderedPageBreak/>
              <w:t>Míra úspor domácností se loni výrazně zvýšila.</w:t>
            </w:r>
          </w:p>
        </w:tc>
        <w:tc>
          <w:tcPr>
            <w:tcW w:w="223" w:type="dxa"/>
            <w:shd w:val="clear" w:color="auto" w:fill="auto"/>
            <w:tcMar>
              <w:left w:w="0" w:type="dxa"/>
            </w:tcMar>
          </w:tcPr>
          <w:p w14:paraId="4C5526DC" w14:textId="77777777" w:rsidR="00F93F2C" w:rsidRDefault="00F93F2C" w:rsidP="00F93F2C">
            <w:pPr>
              <w:pStyle w:val="Textpoznpodarou"/>
              <w:jc w:val="both"/>
              <w:rPr>
                <w:spacing w:val="-4"/>
              </w:rPr>
            </w:pPr>
          </w:p>
        </w:tc>
        <w:tc>
          <w:tcPr>
            <w:tcW w:w="7610" w:type="dxa"/>
            <w:shd w:val="clear" w:color="auto" w:fill="auto"/>
            <w:tcMar>
              <w:left w:w="0" w:type="dxa"/>
            </w:tcMar>
          </w:tcPr>
          <w:p w14:paraId="79C0A920" w14:textId="5BEEB108" w:rsidR="00F93F2C" w:rsidRDefault="00F93F2C" w:rsidP="00F93F2C">
            <w:r>
              <w:t>Hrubý disponibilní důchod domácností se loni nominálně navýšil o 244,7 mld. korun, výrazně více než v předchozím roce, takže při relativně stabilním tempu růstu spotřebních výdajů došlo k nárůstu míry úspor</w:t>
            </w:r>
            <w:r>
              <w:rPr>
                <w:rStyle w:val="Znakapoznpodarou"/>
              </w:rPr>
              <w:footnoteReference w:id="11"/>
            </w:r>
            <w:r>
              <w:t xml:space="preserve"> na 13,2 % (+2,3 p. b.), nejvíce od roku 2009. Průměrný měsíční příjem domácností na osobu</w:t>
            </w:r>
            <w:r>
              <w:rPr>
                <w:rStyle w:val="Znakapoznpodarou"/>
              </w:rPr>
              <w:footnoteReference w:id="12"/>
            </w:r>
            <w:r>
              <w:t xml:space="preserve"> loni dosáhl 28 648 korun a meziročně se zvýšil o 2 292 korun, což je nejvýraznější nominální nárůst za celou dostupnou časovou řadu. Důvodem je zmíněný silný nárůst disponibilního důchodu, ale rovněž navýšení naturálních sociálních transferů</w:t>
            </w:r>
            <w:r>
              <w:rPr>
                <w:rStyle w:val="Znakapoznpodarou"/>
              </w:rPr>
              <w:footnoteReference w:id="13"/>
            </w:r>
            <w:r>
              <w:t>, které jsou součástí příjmů domácností. Jejich průměrná měsíční hodnota na obyvatele dosáhla loni 5 171 korun a na celkových příjmech domácností se podílela 18,</w:t>
            </w:r>
            <w:r w:rsidR="00C75752">
              <w:t>1</w:t>
            </w:r>
            <w:r>
              <w:t> %. Růst naturálních sociálních transferů lze mimo jiné vysvětlit výrazným mzdovým nárůstem ve službách, které jsou v nich obsaženy. Reálné navýšení příjmů domácností na obyvatele loni dosáhlo 5,6 %</w:t>
            </w:r>
            <w:r>
              <w:rPr>
                <w:rStyle w:val="Znakapoznpodarou"/>
              </w:rPr>
              <w:footnoteReference w:id="14"/>
            </w:r>
            <w:r>
              <w:t>.</w:t>
            </w:r>
          </w:p>
        </w:tc>
      </w:tr>
      <w:tr w:rsidR="00F93F2C" w:rsidRPr="009110F7" w14:paraId="6F1155CC" w14:textId="77777777" w:rsidTr="00E44243">
        <w:trPr>
          <w:trHeight w:val="170"/>
        </w:trPr>
        <w:tc>
          <w:tcPr>
            <w:tcW w:w="1806" w:type="dxa"/>
            <w:vMerge w:val="restart"/>
            <w:shd w:val="clear" w:color="auto" w:fill="auto"/>
            <w:tcMar>
              <w:left w:w="0" w:type="dxa"/>
            </w:tcMar>
          </w:tcPr>
          <w:p w14:paraId="7DE3A862" w14:textId="77777777" w:rsidR="00F93F2C" w:rsidRDefault="00F93F2C" w:rsidP="00F93F2C">
            <w:pPr>
              <w:pStyle w:val="Marginlie"/>
            </w:pPr>
          </w:p>
        </w:tc>
        <w:tc>
          <w:tcPr>
            <w:tcW w:w="223" w:type="dxa"/>
            <w:vMerge w:val="restart"/>
            <w:shd w:val="clear" w:color="auto" w:fill="auto"/>
            <w:tcMar>
              <w:left w:w="0" w:type="dxa"/>
            </w:tcMar>
          </w:tcPr>
          <w:p w14:paraId="21BFBBB4" w14:textId="77777777" w:rsidR="00F93F2C" w:rsidRDefault="00F93F2C" w:rsidP="00F93F2C">
            <w:pPr>
              <w:pStyle w:val="Textpoznpodarou"/>
              <w:jc w:val="both"/>
              <w:rPr>
                <w:spacing w:val="-4"/>
              </w:rPr>
            </w:pPr>
          </w:p>
        </w:tc>
        <w:tc>
          <w:tcPr>
            <w:tcW w:w="7610" w:type="dxa"/>
            <w:shd w:val="clear" w:color="auto" w:fill="auto"/>
            <w:tcMar>
              <w:left w:w="0" w:type="dxa"/>
            </w:tcMar>
          </w:tcPr>
          <w:p w14:paraId="5390A4DB" w14:textId="5D86E419" w:rsidR="00F93F2C" w:rsidRDefault="00F93F2C" w:rsidP="00F93F2C">
            <w:pPr>
              <w:spacing w:after="0"/>
            </w:pPr>
            <w:r w:rsidRPr="0041745D">
              <w:rPr>
                <w:b/>
                <w:sz w:val="18"/>
                <w:szCs w:val="18"/>
              </w:rPr>
              <w:t xml:space="preserve">Graf </w:t>
            </w:r>
            <w:r>
              <w:rPr>
                <w:b/>
                <w:sz w:val="18"/>
                <w:szCs w:val="18"/>
              </w:rPr>
              <w:t xml:space="preserve">č. 2  </w:t>
            </w:r>
            <w:r w:rsidRPr="00663018">
              <w:rPr>
                <w:rFonts w:cs="Arial"/>
                <w:b/>
                <w:sz w:val="18"/>
                <w:szCs w:val="18"/>
                <w:lang w:eastAsia="en-US"/>
              </w:rPr>
              <w:t>Příspěvky výdajových složek k</w:t>
            </w:r>
            <w:r>
              <w:rPr>
                <w:rFonts w:cs="Arial"/>
                <w:b/>
                <w:sz w:val="18"/>
                <w:szCs w:val="18"/>
                <w:lang w:eastAsia="en-US"/>
              </w:rPr>
              <w:t> </w:t>
            </w:r>
            <w:r w:rsidRPr="00663018">
              <w:rPr>
                <w:rFonts w:cs="Arial"/>
                <w:b/>
                <w:sz w:val="18"/>
                <w:szCs w:val="18"/>
                <w:lang w:eastAsia="en-US"/>
              </w:rPr>
              <w:t>reálné</w:t>
            </w:r>
            <w:r>
              <w:rPr>
                <w:rFonts w:cs="Arial"/>
                <w:b/>
                <w:sz w:val="18"/>
                <w:szCs w:val="18"/>
                <w:lang w:eastAsia="en-US"/>
              </w:rPr>
              <w:t xml:space="preserve"> </w:t>
            </w:r>
            <w:r w:rsidRPr="00663018">
              <w:rPr>
                <w:rFonts w:cs="Arial"/>
                <w:b/>
                <w:sz w:val="18"/>
                <w:szCs w:val="18"/>
                <w:lang w:eastAsia="en-US"/>
              </w:rPr>
              <w:t>změně HDP* (objemové indexy, meziroční růst, příspěvky v p.</w:t>
            </w:r>
            <w:r>
              <w:rPr>
                <w:rFonts w:cs="Arial"/>
                <w:b/>
                <w:sz w:val="18"/>
                <w:szCs w:val="18"/>
                <w:lang w:eastAsia="en-US"/>
              </w:rPr>
              <w:t> </w:t>
            </w:r>
            <w:r w:rsidRPr="00663018">
              <w:rPr>
                <w:rFonts w:cs="Arial"/>
                <w:b/>
                <w:sz w:val="18"/>
                <w:szCs w:val="18"/>
                <w:lang w:eastAsia="en-US"/>
              </w:rPr>
              <w:t>b., HDP v</w:t>
            </w:r>
            <w:r>
              <w:rPr>
                <w:rFonts w:cs="Arial"/>
                <w:b/>
                <w:sz w:val="18"/>
                <w:szCs w:val="18"/>
                <w:lang w:eastAsia="en-US"/>
              </w:rPr>
              <w:t> %</w:t>
            </w:r>
            <w:r w:rsidRPr="00663018">
              <w:rPr>
                <w:rFonts w:cs="Arial"/>
                <w:b/>
                <w:sz w:val="18"/>
                <w:szCs w:val="18"/>
                <w:lang w:eastAsia="en-US"/>
              </w:rPr>
              <w:t>)</w:t>
            </w:r>
          </w:p>
        </w:tc>
      </w:tr>
      <w:tr w:rsidR="00F93F2C" w:rsidRPr="009110F7" w14:paraId="19CD1032" w14:textId="77777777" w:rsidTr="00E44243">
        <w:tblPrEx>
          <w:tblCellMar>
            <w:left w:w="70" w:type="dxa"/>
            <w:right w:w="70" w:type="dxa"/>
          </w:tblCellMar>
        </w:tblPrEx>
        <w:trPr>
          <w:trHeight w:val="170"/>
        </w:trPr>
        <w:tc>
          <w:tcPr>
            <w:tcW w:w="1806" w:type="dxa"/>
            <w:vMerge/>
            <w:shd w:val="clear" w:color="auto" w:fill="auto"/>
          </w:tcPr>
          <w:p w14:paraId="07157710" w14:textId="77777777" w:rsidR="00F93F2C" w:rsidRDefault="00F93F2C" w:rsidP="00F93F2C">
            <w:pPr>
              <w:pStyle w:val="Marginlie"/>
            </w:pPr>
          </w:p>
        </w:tc>
        <w:tc>
          <w:tcPr>
            <w:tcW w:w="223" w:type="dxa"/>
            <w:vMerge/>
            <w:shd w:val="clear" w:color="auto" w:fill="auto"/>
          </w:tcPr>
          <w:p w14:paraId="5D854F57" w14:textId="77777777" w:rsidR="00F93F2C" w:rsidRDefault="00F93F2C" w:rsidP="00F93F2C">
            <w:pPr>
              <w:pStyle w:val="Textpoznpodarou"/>
              <w:jc w:val="both"/>
              <w:rPr>
                <w:spacing w:val="-4"/>
              </w:rPr>
            </w:pPr>
          </w:p>
        </w:tc>
        <w:tc>
          <w:tcPr>
            <w:tcW w:w="7610" w:type="dxa"/>
            <w:shd w:val="clear" w:color="auto" w:fill="auto"/>
          </w:tcPr>
          <w:p w14:paraId="5E41B517" w14:textId="080A2B27" w:rsidR="00F93F2C" w:rsidRDefault="00F93F2C" w:rsidP="00F93F2C">
            <w:pPr>
              <w:spacing w:after="0"/>
            </w:pPr>
            <w:r>
              <w:rPr>
                <w:noProof/>
              </w:rPr>
              <w:drawing>
                <wp:inline distT="0" distB="0" distL="0" distR="0" wp14:anchorId="092621F5" wp14:editId="16F15C9E">
                  <wp:extent cx="4737600" cy="3553200"/>
                  <wp:effectExtent l="0" t="0" r="6350" b="0"/>
                  <wp:docPr id="5" name="Graf 5">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F93F2C" w:rsidRPr="009110F7" w14:paraId="3E1EC271" w14:textId="77777777" w:rsidTr="00E44243">
        <w:trPr>
          <w:trHeight w:val="170"/>
        </w:trPr>
        <w:tc>
          <w:tcPr>
            <w:tcW w:w="1806" w:type="dxa"/>
            <w:vMerge/>
            <w:shd w:val="clear" w:color="auto" w:fill="auto"/>
            <w:tcMar>
              <w:left w:w="0" w:type="dxa"/>
            </w:tcMar>
          </w:tcPr>
          <w:p w14:paraId="6AF303A9" w14:textId="77777777" w:rsidR="00F93F2C" w:rsidRDefault="00F93F2C" w:rsidP="00F93F2C">
            <w:pPr>
              <w:pStyle w:val="Marginlie"/>
            </w:pPr>
          </w:p>
        </w:tc>
        <w:tc>
          <w:tcPr>
            <w:tcW w:w="223" w:type="dxa"/>
            <w:vMerge/>
            <w:shd w:val="clear" w:color="auto" w:fill="auto"/>
            <w:tcMar>
              <w:left w:w="0" w:type="dxa"/>
            </w:tcMar>
          </w:tcPr>
          <w:p w14:paraId="07E05EC3" w14:textId="77777777" w:rsidR="00F93F2C" w:rsidRDefault="00F93F2C" w:rsidP="00F93F2C">
            <w:pPr>
              <w:pStyle w:val="Textpoznpodarou"/>
              <w:jc w:val="both"/>
              <w:rPr>
                <w:spacing w:val="-4"/>
              </w:rPr>
            </w:pPr>
          </w:p>
        </w:tc>
        <w:tc>
          <w:tcPr>
            <w:tcW w:w="7610" w:type="dxa"/>
            <w:shd w:val="clear" w:color="auto" w:fill="auto"/>
            <w:tcMar>
              <w:left w:w="0" w:type="dxa"/>
            </w:tcMar>
          </w:tcPr>
          <w:p w14:paraId="38A7A14D" w14:textId="77777777" w:rsidR="00F93F2C" w:rsidRDefault="00F93F2C" w:rsidP="00F93F2C">
            <w:pPr>
              <w:spacing w:after="0"/>
              <w:rPr>
                <w:sz w:val="14"/>
                <w:szCs w:val="14"/>
              </w:rPr>
            </w:pPr>
            <w:r>
              <w:rPr>
                <w:sz w:val="14"/>
                <w:szCs w:val="14"/>
              </w:rPr>
              <w:t>Zdroj: ČSÚ</w:t>
            </w:r>
          </w:p>
          <w:p w14:paraId="296FB926" w14:textId="11E3EB9B" w:rsidR="00F93F2C" w:rsidRDefault="00F93F2C" w:rsidP="00F93F2C">
            <w:r>
              <w:rPr>
                <w:sz w:val="14"/>
                <w:szCs w:val="14"/>
              </w:rPr>
              <w:t>*po vyloučení dovozu pro konečné užití</w:t>
            </w:r>
          </w:p>
        </w:tc>
      </w:tr>
      <w:tr w:rsidR="00F93F2C" w:rsidRPr="009110F7" w14:paraId="35262943" w14:textId="77777777" w:rsidTr="00E44243">
        <w:trPr>
          <w:trHeight w:val="145"/>
        </w:trPr>
        <w:tc>
          <w:tcPr>
            <w:tcW w:w="1806" w:type="dxa"/>
            <w:shd w:val="clear" w:color="auto" w:fill="auto"/>
            <w:tcMar>
              <w:left w:w="0" w:type="dxa"/>
            </w:tcMar>
          </w:tcPr>
          <w:p w14:paraId="3D164883" w14:textId="71853070" w:rsidR="00F93F2C" w:rsidRDefault="00F93F2C" w:rsidP="00F93F2C">
            <w:pPr>
              <w:pStyle w:val="Marginlie"/>
            </w:pPr>
            <w:r>
              <w:lastRenderedPageBreak/>
              <w:t>Investiční aktivita ve 4. čtvrtletí výrazně mezičtvrtletně i meziročně posílila.</w:t>
            </w:r>
          </w:p>
        </w:tc>
        <w:tc>
          <w:tcPr>
            <w:tcW w:w="223" w:type="dxa"/>
            <w:shd w:val="clear" w:color="auto" w:fill="auto"/>
            <w:tcMar>
              <w:left w:w="0" w:type="dxa"/>
            </w:tcMar>
          </w:tcPr>
          <w:p w14:paraId="1AE88CCE" w14:textId="77777777" w:rsidR="00F93F2C" w:rsidRDefault="00F93F2C" w:rsidP="00F93F2C">
            <w:pPr>
              <w:pStyle w:val="Textpoznpodarou"/>
              <w:jc w:val="both"/>
              <w:rPr>
                <w:spacing w:val="-4"/>
              </w:rPr>
            </w:pPr>
          </w:p>
        </w:tc>
        <w:tc>
          <w:tcPr>
            <w:tcW w:w="7610" w:type="dxa"/>
            <w:shd w:val="clear" w:color="auto" w:fill="auto"/>
            <w:tcMar>
              <w:left w:w="0" w:type="dxa"/>
            </w:tcMar>
          </w:tcPr>
          <w:p w14:paraId="666E6BB0" w14:textId="274E8D98" w:rsidR="00F93F2C" w:rsidRDefault="00F93F2C" w:rsidP="00F93F2C">
            <w:r>
              <w:t>V roce 2019 vzrostly výdaje na tvorbu hrubého kapitálu o 3,3 %. To je méně než v předchozích dvou letech. Výdaje na tvorbu hrubého fixního kapitálu se zvýšily o 2,7 %. Ve 4. čtvrtletí 2019 se tvorba hrubého kapitálu meziročně zvýšila o 9,2 %, nejvíce od 1. čtvrtletí 2018. Výrazný přírůstek byl zčásti způsoben navýšením zásob</w:t>
            </w:r>
            <w:r>
              <w:rPr>
                <w:rStyle w:val="Znakapoznpodarou"/>
              </w:rPr>
              <w:footnoteReference w:id="15"/>
            </w:r>
            <w:r>
              <w:t>. Výdaje na tvorbu hrubého fixního kapitálu se rovněž meziročně zvýšily, a to o 4,6 %. Investiční aktivita tak po slabém 2. a 3. kvartálu ve 4. čtvrtletí opět podpořila růst HDP (tvorba hrubého kapitálu 2,3 p. b., z toho hrubý fixní kapitál 1,0 p. b.). Mezičtvrtletní nárůsty ve 4. kvartálu odpovídaly výraznému zrychlení meziroční dynamiky. Výdaje na tvorbu hrubého kapitálu se oproti 3. čtvrtletí zvýšily o 8,6 % a na tvorbu hrubého fixního kapitálu o 4,1 %. Loňský nominální nárůst výdajů na tvorbu hrubého fixního kapitálu (76,0 mld. korun) téměř z poloviny připadl na sektor nefinančních podniků (36,6 mld., 4,3 %). Nárůst investiční aktivity nefinančních podniků byl loni slabší než v roce 2018, i proto mírně poklesla jejich míra investic</w:t>
            </w:r>
            <w:r>
              <w:rPr>
                <w:rStyle w:val="Znakapoznpodarou"/>
              </w:rPr>
              <w:footnoteReference w:id="16"/>
            </w:r>
            <w:r>
              <w:t>. Ta dosáhla 28,5 % a snížila se o 0,5 p. b. Sektor vládních institucí navýšil investiční aktivitu o 24,2 mld. korun (10,8 %), což bylo rovněž méně než v předchozím roce, který ovlivnil cyklus čerpání evropských dotací. V případě domácností došlo rovněž k výraznému navýšení investic, a to o 18,5 mld. (7,7 %). Míra investic domácností přesto loni drobně poklesla na 8,5 %</w:t>
            </w:r>
            <w:r>
              <w:rPr>
                <w:rStyle w:val="Znakapoznpodarou"/>
              </w:rPr>
              <w:footnoteReference w:id="17"/>
            </w:r>
            <w:r>
              <w:t>. Výdaje na tvorbu hrubého fixního kapitálu finančních institucí poklesly o 3,5 mld. korun (9,5 %), druhý rok v řadě.</w:t>
            </w:r>
          </w:p>
        </w:tc>
      </w:tr>
      <w:tr w:rsidR="00F93F2C" w:rsidRPr="009110F7" w14:paraId="2EFFAF58" w14:textId="77777777" w:rsidTr="00E44243">
        <w:trPr>
          <w:trHeight w:val="145"/>
        </w:trPr>
        <w:tc>
          <w:tcPr>
            <w:tcW w:w="1806" w:type="dxa"/>
            <w:shd w:val="clear" w:color="auto" w:fill="auto"/>
            <w:tcMar>
              <w:left w:w="0" w:type="dxa"/>
            </w:tcMar>
          </w:tcPr>
          <w:p w14:paraId="1409BF84" w14:textId="3BECA1C2" w:rsidR="00F93F2C" w:rsidRDefault="00F93F2C" w:rsidP="00F93F2C">
            <w:pPr>
              <w:pStyle w:val="Marginlie"/>
            </w:pPr>
            <w:r>
              <w:t>Stabilní meziroční růst si držely investice do obydlí.</w:t>
            </w:r>
          </w:p>
        </w:tc>
        <w:tc>
          <w:tcPr>
            <w:tcW w:w="223" w:type="dxa"/>
            <w:shd w:val="clear" w:color="auto" w:fill="auto"/>
            <w:tcMar>
              <w:left w:w="0" w:type="dxa"/>
            </w:tcMar>
          </w:tcPr>
          <w:p w14:paraId="5504EC11" w14:textId="77777777" w:rsidR="00F93F2C" w:rsidRDefault="00F93F2C" w:rsidP="00F93F2C">
            <w:pPr>
              <w:pStyle w:val="Textpoznpodarou"/>
              <w:jc w:val="both"/>
              <w:rPr>
                <w:spacing w:val="-4"/>
              </w:rPr>
            </w:pPr>
          </w:p>
        </w:tc>
        <w:tc>
          <w:tcPr>
            <w:tcW w:w="7610" w:type="dxa"/>
            <w:shd w:val="clear" w:color="auto" w:fill="auto"/>
            <w:tcMar>
              <w:left w:w="0" w:type="dxa"/>
            </w:tcMar>
          </w:tcPr>
          <w:p w14:paraId="38E11C19" w14:textId="11BB11D3" w:rsidR="00F93F2C" w:rsidRDefault="00F93F2C" w:rsidP="00F93F2C">
            <w:pPr>
              <w:rPr>
                <w:rStyle w:val="Znakapoznpodarou"/>
              </w:rPr>
            </w:pPr>
            <w:r>
              <w:t>Podle věcného členění tvorby hrubého fixního kapitálu loni oslabilo meziroční tempo růstu ve všech důležitých investičních kategoriích</w:t>
            </w:r>
            <w:r w:rsidRPr="009110F7">
              <w:rPr>
                <w:rStyle w:val="Znakapoznpodarou"/>
              </w:rPr>
              <w:footnoteReference w:id="18"/>
            </w:r>
            <w:r>
              <w:t>. Navzdory oslabení tempa ve srovnání s rokem 2018 byl nejsilnější přírůstek investic do obydlí (5,5 %). Výrazný byl také přírůstek výdajů na produkty duševního vlastnictví (5,4 %), u kterých stabilně silná dynamika trvá již šest let (kategorie zahrnuje kromě výzkumu a vývoje i výdaje na software a databáze, které v posledních letech nabyly na významu). Po silném roce 2018 se neudržela dynamika výdajů na ostatní budovy a stavby, stále však přírůstek loni dosáhl 4,0 %. Jen mírně se zvýšily investice do ICT a ostatních strojů a zařízení (1,0 %). Loni klesly výdaje na dopravní prostředky a zařízení (–1,9 %, zčásti se projevila i vysoká základna předchozího roku). Ve 4. čtvrtletí se meziročně poměrně výrazně zvýšily výdaje na obydlí (8,6 %) i ostatní budovy a stavby (8,2 %). Růst zrychlil v případě produktů duševního vlastnictví (5,2 %) a po dvou čtvrtletích poklesů se o 2,7 % zvýšily také investice do ICT a ostatních strojů a zařízení. Výrazně ve 4. čtvrtletí meziročně klesly investice do dopravních prostředků a zařízení (–7,1 %).</w:t>
            </w:r>
          </w:p>
        </w:tc>
      </w:tr>
      <w:tr w:rsidR="00F93F2C" w:rsidRPr="009110F7" w14:paraId="25ECBD1A" w14:textId="77777777" w:rsidTr="00E44243">
        <w:trPr>
          <w:trHeight w:val="145"/>
        </w:trPr>
        <w:tc>
          <w:tcPr>
            <w:tcW w:w="1806" w:type="dxa"/>
            <w:shd w:val="clear" w:color="auto" w:fill="auto"/>
            <w:tcMar>
              <w:left w:w="0" w:type="dxa"/>
            </w:tcMar>
          </w:tcPr>
          <w:p w14:paraId="21F688A7" w14:textId="4ED198DA" w:rsidR="00F93F2C" w:rsidRDefault="00F93F2C" w:rsidP="00F93F2C">
            <w:pPr>
              <w:pStyle w:val="Marginlie"/>
            </w:pPr>
            <w:r>
              <w:t>Po silném 2. a 3. kvartálu 2019 se přebytek zahraničního obchodu ve 4. čtvrtletí propadl.</w:t>
            </w:r>
          </w:p>
        </w:tc>
        <w:tc>
          <w:tcPr>
            <w:tcW w:w="223" w:type="dxa"/>
            <w:shd w:val="clear" w:color="auto" w:fill="auto"/>
            <w:tcMar>
              <w:left w:w="0" w:type="dxa"/>
            </w:tcMar>
          </w:tcPr>
          <w:p w14:paraId="09E545AA" w14:textId="77777777" w:rsidR="00F93F2C" w:rsidRDefault="00F93F2C" w:rsidP="00F93F2C">
            <w:pPr>
              <w:pStyle w:val="Textpoznpodarou"/>
              <w:jc w:val="both"/>
              <w:rPr>
                <w:spacing w:val="-4"/>
              </w:rPr>
            </w:pPr>
          </w:p>
        </w:tc>
        <w:tc>
          <w:tcPr>
            <w:tcW w:w="7610" w:type="dxa"/>
            <w:shd w:val="clear" w:color="auto" w:fill="auto"/>
            <w:tcMar>
              <w:left w:w="0" w:type="dxa"/>
            </w:tcMar>
          </w:tcPr>
          <w:p w14:paraId="3BAE39D0" w14:textId="47CCA986" w:rsidR="00F93F2C" w:rsidRDefault="00F93F2C" w:rsidP="00F93F2C">
            <w:r>
              <w:t>Bilance zahraničního obchodu se zbožím a službami loni dosáhla přebytku 345,7 mld. korun</w:t>
            </w:r>
            <w:r w:rsidRPr="009110F7">
              <w:rPr>
                <w:rStyle w:val="Znakapoznpodarou"/>
              </w:rPr>
              <w:footnoteReference w:id="19"/>
            </w:r>
            <w:r>
              <w:t xml:space="preserve">. Kladné saldo se oproti roku 2018 zvýšilo o 3,7 mld. Bilance obchodu se zbožím sice zaznamenala nárůst přebytku o 15,0 mld. korun, v případě služeb ale došlo ke snížení o 11,4 mld. Bilance zahraničního obchodu ve 2. a 3. čtvrtletí výrazně přispívala k meziročnímu růstu HDP (1,3 a 1,0 p. b. ve 2. a 3. kvartálu). Ve 4. čtvrtletí ale přebytek dosáhl 70,8 mld. korun (nejhorší výsledek za 4. čtvrtletí od roku 2014) a meziročně se snížil o 22,8 mld. (největší propad od 3. čtvrtletí 2010). Bilance tak meziroční růst HDP zbrzdila o 1,9 p. b. Zatímco v předchozích kvartálech bylo navýšení přebytku způsobeno mírným růstem importu, který nepřekonával export, ve 4. čtvrtletí došlo k meziročnímu reálnému poklesu vývozu o 1,5 % (dovoz si držel mírné tempo 1,4 %). </w:t>
            </w:r>
            <w:r>
              <w:lastRenderedPageBreak/>
              <w:t>Snížil se tak přebytek obchodu se zbožím (o 7,7 mld. korun), ale zejména kladné saldo obchodu se službami (o 15,0 mld., nejvýraznější pokles od počátku roku 2005).</w:t>
            </w:r>
          </w:p>
        </w:tc>
      </w:tr>
      <w:tr w:rsidR="00F93F2C" w:rsidRPr="009110F7" w14:paraId="6C963712" w14:textId="77777777" w:rsidTr="00E44243">
        <w:trPr>
          <w:trHeight w:val="145"/>
        </w:trPr>
        <w:tc>
          <w:tcPr>
            <w:tcW w:w="1806" w:type="dxa"/>
            <w:shd w:val="clear" w:color="auto" w:fill="auto"/>
            <w:tcMar>
              <w:left w:w="0" w:type="dxa"/>
            </w:tcMar>
          </w:tcPr>
          <w:p w14:paraId="061F4E70" w14:textId="50623313" w:rsidR="00F93F2C" w:rsidRDefault="00F93F2C" w:rsidP="00F93F2C">
            <w:pPr>
              <w:pStyle w:val="Marginlie"/>
            </w:pPr>
            <w:r>
              <w:lastRenderedPageBreak/>
              <w:t>Růst hrubé přidané hodnoty loni nejvíce podporovaly služby.</w:t>
            </w:r>
          </w:p>
        </w:tc>
        <w:tc>
          <w:tcPr>
            <w:tcW w:w="223" w:type="dxa"/>
            <w:shd w:val="clear" w:color="auto" w:fill="auto"/>
            <w:tcMar>
              <w:left w:w="0" w:type="dxa"/>
            </w:tcMar>
          </w:tcPr>
          <w:p w14:paraId="7A10D6CE" w14:textId="77777777" w:rsidR="00F93F2C" w:rsidRDefault="00F93F2C" w:rsidP="00F93F2C">
            <w:pPr>
              <w:pStyle w:val="Textpoznpodarou"/>
              <w:jc w:val="both"/>
              <w:rPr>
                <w:spacing w:val="-4"/>
              </w:rPr>
            </w:pPr>
          </w:p>
        </w:tc>
        <w:tc>
          <w:tcPr>
            <w:tcW w:w="7610" w:type="dxa"/>
            <w:shd w:val="clear" w:color="auto" w:fill="auto"/>
            <w:tcMar>
              <w:left w:w="0" w:type="dxa"/>
            </w:tcMar>
          </w:tcPr>
          <w:p w14:paraId="730D9EE9" w14:textId="70B900C9" w:rsidR="00F93F2C" w:rsidRPr="00F93F2C" w:rsidRDefault="00F93F2C" w:rsidP="00F93F2C">
            <w:r w:rsidRPr="00F93F2C">
              <w:t>Hrubá přidaná hodnota (HPH) ve 4. čtvrtletí 2019 meziročně vzrostla o 1,8 %, méně než HDP. Mírně nižší bylo i navýšení dynamiky za celý rok 2019 (2,4 %). Mezičtvrtletní přírůstek ve 4. čtvrtletí činil 0,4 % a drobně tak zrychlil oproti předchozímu kvartálu. Po celý rok za většinu meziročního růstu HPH odpovídala odvětví služeb (příspěvek 1,9 p. b. k přírůstku v roce 2019). Ze služeb loni vynikal příspěvek váhově významného uskupení obchod, doprava, ubytování a pohostinství (příspěvek 0,5 p. b., přírůstek HPH 2,6 %) a zejména informačních a komunikačních činností (0,4 p. b., 7,6 %), jejichž dynamický vývoj v posledních sedmi letech značně posílil jejich význam pro domácí ekonomiku. Menší vliv pak loni mělo stavebnictví a zpracovatelský průmysl (shodně 0,2 p. b.).</w:t>
            </w:r>
          </w:p>
        </w:tc>
      </w:tr>
      <w:tr w:rsidR="00F93F2C" w:rsidRPr="009110F7" w14:paraId="2AA4F22B" w14:textId="77777777" w:rsidTr="00E44243">
        <w:trPr>
          <w:trHeight w:val="145"/>
        </w:trPr>
        <w:tc>
          <w:tcPr>
            <w:tcW w:w="1806" w:type="dxa"/>
            <w:shd w:val="clear" w:color="auto" w:fill="auto"/>
            <w:tcMar>
              <w:left w:w="0" w:type="dxa"/>
            </w:tcMar>
          </w:tcPr>
          <w:p w14:paraId="59CB9311" w14:textId="72A9ACC5" w:rsidR="00F93F2C" w:rsidRDefault="00F93F2C" w:rsidP="00F93F2C">
            <w:pPr>
              <w:pStyle w:val="Marginlie"/>
            </w:pPr>
            <w:r>
              <w:t>Pokračoval dynamický rozvoj informačních a komunikačních činností.</w:t>
            </w:r>
          </w:p>
        </w:tc>
        <w:tc>
          <w:tcPr>
            <w:tcW w:w="223" w:type="dxa"/>
            <w:shd w:val="clear" w:color="auto" w:fill="auto"/>
            <w:tcMar>
              <w:left w:w="0" w:type="dxa"/>
            </w:tcMar>
          </w:tcPr>
          <w:p w14:paraId="71D5D1CF" w14:textId="77777777" w:rsidR="00F93F2C" w:rsidRDefault="00F93F2C" w:rsidP="00F93F2C">
            <w:pPr>
              <w:pStyle w:val="Textpoznpodarou"/>
              <w:jc w:val="both"/>
              <w:rPr>
                <w:spacing w:val="-4"/>
              </w:rPr>
            </w:pPr>
          </w:p>
        </w:tc>
        <w:tc>
          <w:tcPr>
            <w:tcW w:w="7610" w:type="dxa"/>
            <w:shd w:val="clear" w:color="auto" w:fill="auto"/>
            <w:tcMar>
              <w:left w:w="0" w:type="dxa"/>
            </w:tcMar>
          </w:tcPr>
          <w:p w14:paraId="32DEDBD9" w14:textId="66CB68B1" w:rsidR="00F93F2C" w:rsidRPr="00F93F2C" w:rsidRDefault="00F93F2C" w:rsidP="00F93F2C">
            <w:r w:rsidRPr="00F93F2C">
              <w:t>V samotném 4. kvartálu téměř kompletně k meziročnímu růstu přispívaly služby (1,6 p. b.). Nejvíce veřejná správa a obrana, vzdělávání, zdravotní a sociální péče (0,4 p. b.), kde ke konci roku meziroční dynamika zrychlila na 2,3 %. Shodně 0,3 p. b. k růstu přispěly informační a komunikační činnosti (meziroční přírůstek HPH 6,1 %), činnosti v oblasti nemovitostí (3,6 %) a profesní, vědecké, technické a administrativní činnosti (3,7 %). Naopak oslabil příspěvek uskupení obchod, doprava, ubytování a pohostinství (0,2 p. b., přírůstek HPH 1,1 %). V posledních dvou letech byl poměrně solidní meziroční růst HPH ve stavebnictví (3,1 % ve 4. čtvrtletí 2019), předchozí propady ale vedly ke snížení váhy, a tedy i příspěvku odvětví k celkovému růstu (0,2 p. b.). Ve zpracovatelském průmyslu ve 4. čtvrtletí HPH meziročně klesla o 0,3 % a celkový růst tak zbrzdila o 0,1 p. b.</w:t>
            </w:r>
          </w:p>
        </w:tc>
      </w:tr>
      <w:tr w:rsidR="00F93F2C" w:rsidRPr="009110F7" w14:paraId="05CD0643" w14:textId="77777777" w:rsidTr="00E44243">
        <w:trPr>
          <w:trHeight w:val="170"/>
        </w:trPr>
        <w:tc>
          <w:tcPr>
            <w:tcW w:w="1806" w:type="dxa"/>
            <w:vMerge w:val="restart"/>
            <w:shd w:val="clear" w:color="auto" w:fill="auto"/>
            <w:tcMar>
              <w:left w:w="0" w:type="dxa"/>
            </w:tcMar>
          </w:tcPr>
          <w:p w14:paraId="14EB2966" w14:textId="77777777" w:rsidR="00F93F2C" w:rsidRDefault="00F93F2C" w:rsidP="00F93F2C">
            <w:pPr>
              <w:pStyle w:val="Marginlie"/>
            </w:pPr>
          </w:p>
        </w:tc>
        <w:tc>
          <w:tcPr>
            <w:tcW w:w="223" w:type="dxa"/>
            <w:vMerge w:val="restart"/>
            <w:shd w:val="clear" w:color="auto" w:fill="auto"/>
            <w:tcMar>
              <w:left w:w="0" w:type="dxa"/>
            </w:tcMar>
          </w:tcPr>
          <w:p w14:paraId="1C9FF65D" w14:textId="77777777" w:rsidR="00F93F2C" w:rsidRDefault="00F93F2C" w:rsidP="00F93F2C">
            <w:pPr>
              <w:pStyle w:val="Textpoznpodarou"/>
              <w:jc w:val="both"/>
              <w:rPr>
                <w:spacing w:val="-4"/>
              </w:rPr>
            </w:pPr>
          </w:p>
        </w:tc>
        <w:tc>
          <w:tcPr>
            <w:tcW w:w="7610" w:type="dxa"/>
            <w:shd w:val="clear" w:color="auto" w:fill="auto"/>
            <w:tcMar>
              <w:left w:w="0" w:type="dxa"/>
            </w:tcMar>
          </w:tcPr>
          <w:p w14:paraId="3FBB0C20" w14:textId="4B5EB044" w:rsidR="00F93F2C" w:rsidRPr="001208E3" w:rsidRDefault="00F93F2C" w:rsidP="00F93F2C">
            <w:pPr>
              <w:spacing w:after="0"/>
              <w:rPr>
                <w:szCs w:val="20"/>
              </w:rPr>
            </w:pPr>
            <w:r>
              <w:rPr>
                <w:b/>
                <w:sz w:val="18"/>
                <w:szCs w:val="18"/>
              </w:rPr>
              <w:t xml:space="preserve">Graf č. 3  </w:t>
            </w:r>
            <w:r w:rsidRPr="00663018">
              <w:rPr>
                <w:rFonts w:cs="Arial"/>
                <w:b/>
                <w:sz w:val="18"/>
                <w:szCs w:val="18"/>
                <w:lang w:eastAsia="en-US"/>
              </w:rPr>
              <w:t>Příspěvky odvětví k</w:t>
            </w:r>
            <w:r>
              <w:rPr>
                <w:rFonts w:cs="Arial"/>
                <w:b/>
                <w:sz w:val="18"/>
                <w:szCs w:val="18"/>
                <w:lang w:eastAsia="en-US"/>
              </w:rPr>
              <w:t> </w:t>
            </w:r>
            <w:r w:rsidRPr="00663018">
              <w:rPr>
                <w:rFonts w:cs="Arial"/>
                <w:b/>
                <w:sz w:val="18"/>
                <w:szCs w:val="18"/>
                <w:lang w:eastAsia="en-US"/>
              </w:rPr>
              <w:t>reálné</w:t>
            </w:r>
            <w:r>
              <w:rPr>
                <w:rFonts w:cs="Arial"/>
                <w:b/>
                <w:sz w:val="18"/>
                <w:szCs w:val="18"/>
                <w:lang w:eastAsia="en-US"/>
              </w:rPr>
              <w:t xml:space="preserve"> </w:t>
            </w:r>
            <w:r w:rsidRPr="00663018">
              <w:rPr>
                <w:rFonts w:cs="Arial"/>
                <w:b/>
                <w:sz w:val="18"/>
                <w:szCs w:val="18"/>
                <w:lang w:eastAsia="en-US"/>
              </w:rPr>
              <w:t>změně HPH (objemové indexy, meziroční příspěvky v p.</w:t>
            </w:r>
            <w:r>
              <w:rPr>
                <w:rFonts w:cs="Arial"/>
                <w:b/>
                <w:sz w:val="18"/>
                <w:szCs w:val="18"/>
                <w:lang w:eastAsia="en-US"/>
              </w:rPr>
              <w:t> </w:t>
            </w:r>
            <w:r w:rsidRPr="00663018">
              <w:rPr>
                <w:rFonts w:cs="Arial"/>
                <w:b/>
                <w:sz w:val="18"/>
                <w:szCs w:val="18"/>
                <w:lang w:eastAsia="en-US"/>
              </w:rPr>
              <w:t>b., HPH v</w:t>
            </w:r>
            <w:r>
              <w:rPr>
                <w:rFonts w:cs="Arial"/>
                <w:b/>
                <w:sz w:val="18"/>
                <w:szCs w:val="18"/>
                <w:lang w:eastAsia="en-US"/>
              </w:rPr>
              <w:t> %</w:t>
            </w:r>
            <w:r w:rsidRPr="00663018">
              <w:rPr>
                <w:rFonts w:cs="Arial"/>
                <w:b/>
                <w:sz w:val="18"/>
                <w:szCs w:val="18"/>
                <w:lang w:eastAsia="en-US"/>
              </w:rPr>
              <w:t>)</w:t>
            </w:r>
          </w:p>
        </w:tc>
      </w:tr>
      <w:tr w:rsidR="00F93F2C" w:rsidRPr="009110F7" w14:paraId="12DF3978" w14:textId="77777777" w:rsidTr="00E44243">
        <w:tblPrEx>
          <w:tblCellMar>
            <w:left w:w="70" w:type="dxa"/>
            <w:right w:w="70" w:type="dxa"/>
          </w:tblCellMar>
        </w:tblPrEx>
        <w:trPr>
          <w:trHeight w:val="170"/>
        </w:trPr>
        <w:tc>
          <w:tcPr>
            <w:tcW w:w="1806" w:type="dxa"/>
            <w:vMerge/>
            <w:shd w:val="clear" w:color="auto" w:fill="auto"/>
          </w:tcPr>
          <w:p w14:paraId="2575FBA1" w14:textId="77777777" w:rsidR="00F93F2C" w:rsidRPr="009110F7" w:rsidRDefault="00F93F2C" w:rsidP="00F93F2C">
            <w:pPr>
              <w:pStyle w:val="Marginlie"/>
            </w:pPr>
          </w:p>
        </w:tc>
        <w:tc>
          <w:tcPr>
            <w:tcW w:w="223" w:type="dxa"/>
            <w:vMerge/>
            <w:shd w:val="clear" w:color="auto" w:fill="auto"/>
          </w:tcPr>
          <w:p w14:paraId="3A43074F" w14:textId="77777777" w:rsidR="00F93F2C" w:rsidRPr="009110F7" w:rsidRDefault="00F93F2C" w:rsidP="00F93F2C">
            <w:pPr>
              <w:pStyle w:val="Textpoznpodarou"/>
              <w:jc w:val="both"/>
              <w:rPr>
                <w:spacing w:val="-4"/>
              </w:rPr>
            </w:pPr>
          </w:p>
        </w:tc>
        <w:tc>
          <w:tcPr>
            <w:tcW w:w="7610" w:type="dxa"/>
            <w:shd w:val="clear" w:color="auto" w:fill="auto"/>
          </w:tcPr>
          <w:p w14:paraId="387C47E7" w14:textId="43053B03" w:rsidR="00F93F2C" w:rsidRPr="009110F7" w:rsidRDefault="00F93F2C" w:rsidP="00F93F2C">
            <w:pPr>
              <w:spacing w:after="0"/>
            </w:pPr>
            <w:r>
              <w:rPr>
                <w:noProof/>
              </w:rPr>
              <w:drawing>
                <wp:inline distT="0" distB="0" distL="0" distR="0" wp14:anchorId="3AB5C96B" wp14:editId="6AFCD3DA">
                  <wp:extent cx="4737600" cy="3553200"/>
                  <wp:effectExtent l="0" t="0" r="6350" b="0"/>
                  <wp:docPr id="12" name="Graf 12">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F93F2C" w:rsidRPr="009110F7" w14:paraId="0FCD8B54" w14:textId="77777777" w:rsidTr="00E44243">
        <w:trPr>
          <w:trHeight w:val="170"/>
        </w:trPr>
        <w:tc>
          <w:tcPr>
            <w:tcW w:w="1806" w:type="dxa"/>
            <w:vMerge/>
            <w:shd w:val="clear" w:color="auto" w:fill="auto"/>
            <w:tcMar>
              <w:left w:w="0" w:type="dxa"/>
            </w:tcMar>
          </w:tcPr>
          <w:p w14:paraId="18AC6E30" w14:textId="77777777" w:rsidR="00F93F2C" w:rsidRPr="009110F7" w:rsidRDefault="00F93F2C" w:rsidP="00F93F2C">
            <w:pPr>
              <w:pStyle w:val="Marginlie"/>
            </w:pPr>
          </w:p>
        </w:tc>
        <w:tc>
          <w:tcPr>
            <w:tcW w:w="223" w:type="dxa"/>
            <w:vMerge/>
            <w:shd w:val="clear" w:color="auto" w:fill="auto"/>
            <w:tcMar>
              <w:left w:w="0" w:type="dxa"/>
            </w:tcMar>
          </w:tcPr>
          <w:p w14:paraId="2A0BE6C1" w14:textId="77777777" w:rsidR="00F93F2C" w:rsidRPr="009110F7" w:rsidRDefault="00F93F2C" w:rsidP="00F93F2C">
            <w:pPr>
              <w:pStyle w:val="Textpoznpodarou"/>
              <w:jc w:val="both"/>
              <w:rPr>
                <w:spacing w:val="-4"/>
              </w:rPr>
            </w:pPr>
          </w:p>
        </w:tc>
        <w:tc>
          <w:tcPr>
            <w:tcW w:w="7610" w:type="dxa"/>
            <w:shd w:val="clear" w:color="auto" w:fill="auto"/>
            <w:tcMar>
              <w:left w:w="0" w:type="dxa"/>
            </w:tcMar>
          </w:tcPr>
          <w:p w14:paraId="25A04040" w14:textId="555E3BD2" w:rsidR="00F93F2C" w:rsidRPr="009110F7" w:rsidRDefault="00F93F2C" w:rsidP="00F93F2C">
            <w:pPr>
              <w:rPr>
                <w:sz w:val="14"/>
                <w:szCs w:val="14"/>
              </w:rPr>
            </w:pPr>
            <w:r w:rsidRPr="00A85DE1">
              <w:rPr>
                <w:sz w:val="14"/>
                <w:szCs w:val="14"/>
              </w:rPr>
              <w:t>Zdroj: ČSÚ</w:t>
            </w:r>
          </w:p>
        </w:tc>
      </w:tr>
    </w:tbl>
    <w:p w14:paraId="34D8C071" w14:textId="77777777" w:rsidR="009A24F1" w:rsidRDefault="009A24F1">
      <w:pPr>
        <w:spacing w:after="0" w:line="240" w:lineRule="auto"/>
        <w:jc w:val="left"/>
        <w:rPr>
          <w:rFonts w:eastAsia="MS Gothic"/>
          <w:b/>
          <w:bCs/>
          <w:color w:val="71818C"/>
          <w:sz w:val="32"/>
          <w:szCs w:val="28"/>
        </w:rPr>
      </w:pPr>
      <w:r>
        <w:br w:type="page"/>
      </w:r>
    </w:p>
    <w:p w14:paraId="2D6CDC52" w14:textId="77777777" w:rsidR="00C81070" w:rsidRDefault="00C81070" w:rsidP="00C81070">
      <w:pPr>
        <w:pStyle w:val="Nadpis11"/>
      </w:pPr>
      <w:bookmarkStart w:id="5" w:name="_Toc19090676"/>
      <w:bookmarkStart w:id="6" w:name="_Toc37403642"/>
      <w:r w:rsidRPr="009F2921">
        <w:lastRenderedPageBreak/>
        <w:t>3. </w:t>
      </w:r>
      <w:bookmarkStart w:id="7" w:name="_Toc454185150"/>
      <w:bookmarkStart w:id="8" w:name="_Toc493683635"/>
      <w:r w:rsidRPr="009F2921">
        <w:t>Výkonnost odvětví</w:t>
      </w:r>
      <w:bookmarkEnd w:id="7"/>
      <w:bookmarkEnd w:id="8"/>
      <w:bookmarkEnd w:id="6"/>
    </w:p>
    <w:tbl>
      <w:tblPr>
        <w:tblW w:w="9644" w:type="dxa"/>
        <w:tblInd w:w="-15" w:type="dxa"/>
        <w:tblCellMar>
          <w:left w:w="0" w:type="dxa"/>
          <w:right w:w="0" w:type="dxa"/>
        </w:tblCellMar>
        <w:tblLook w:val="00A0" w:firstRow="1" w:lastRow="0" w:firstColumn="1" w:lastColumn="0" w:noHBand="0" w:noVBand="0"/>
      </w:tblPr>
      <w:tblGrid>
        <w:gridCol w:w="1764"/>
        <w:gridCol w:w="206"/>
        <w:gridCol w:w="7674"/>
      </w:tblGrid>
      <w:tr w:rsidR="00C81070" w:rsidRPr="00DF6A33" w14:paraId="685044B1" w14:textId="77777777" w:rsidTr="00A746C9">
        <w:trPr>
          <w:trHeight w:val="145"/>
        </w:trPr>
        <w:tc>
          <w:tcPr>
            <w:tcW w:w="1764" w:type="dxa"/>
            <w:shd w:val="clear" w:color="auto" w:fill="auto"/>
            <w:tcMar>
              <w:left w:w="0" w:type="dxa"/>
            </w:tcMar>
          </w:tcPr>
          <w:p w14:paraId="444CF328" w14:textId="77777777" w:rsidR="00C81070" w:rsidRDefault="00C81070" w:rsidP="00485E82">
            <w:pPr>
              <w:pStyle w:val="Marginlie"/>
            </w:pPr>
            <w:r>
              <w:t>Dynamika hrubé přidané hodnoty v ekonomice ČR během roku 2019 zvolňovala.</w:t>
            </w:r>
          </w:p>
        </w:tc>
        <w:tc>
          <w:tcPr>
            <w:tcW w:w="206" w:type="dxa"/>
            <w:shd w:val="clear" w:color="auto" w:fill="auto"/>
            <w:tcMar>
              <w:left w:w="0" w:type="dxa"/>
            </w:tcMar>
          </w:tcPr>
          <w:p w14:paraId="5719164E" w14:textId="77777777" w:rsidR="00C81070" w:rsidRDefault="00C81070" w:rsidP="00485E82">
            <w:pPr>
              <w:pStyle w:val="Textpoznpodarou"/>
              <w:jc w:val="both"/>
              <w:rPr>
                <w:spacing w:val="-4"/>
              </w:rPr>
            </w:pPr>
          </w:p>
        </w:tc>
        <w:tc>
          <w:tcPr>
            <w:tcW w:w="7674" w:type="dxa"/>
            <w:shd w:val="clear" w:color="auto" w:fill="auto"/>
            <w:tcMar>
              <w:left w:w="0" w:type="dxa"/>
            </w:tcMar>
          </w:tcPr>
          <w:p w14:paraId="787980D4" w14:textId="19009417" w:rsidR="00C81070" w:rsidRPr="00DB613B" w:rsidRDefault="00C81070" w:rsidP="00485E82">
            <w:pPr>
              <w:spacing w:after="220"/>
            </w:pPr>
            <w:r w:rsidRPr="00DB613B">
              <w:t>Výkon všech odvětví ekonomiky zachycený prostřednictvím jimi vytvořené hrubé přidané hodnoty (HPH)</w:t>
            </w:r>
            <w:r w:rsidRPr="00DB613B">
              <w:rPr>
                <w:rStyle w:val="Znakapoznpodarou"/>
              </w:rPr>
              <w:footnoteReference w:id="20"/>
            </w:r>
            <w:r w:rsidRPr="00DB613B">
              <w:t xml:space="preserve">, vzrostl za celý loňský rok o 2,4 % </w:t>
            </w:r>
            <w:r w:rsidRPr="00DB613B">
              <w:rPr>
                <w:color w:val="000000" w:themeColor="text1"/>
              </w:rPr>
              <w:t>–</w:t>
            </w:r>
            <w:r w:rsidRPr="00DB613B">
              <w:t xml:space="preserve"> tempo oslabovalo druhým rokem v řadě. Loňské zvolnění odráželo především vývoj ve druhé polovině roku, kdy tuzemské hospodářství postupně ztrácelo odolnost vůči přetrvávajícím nepříznivým vnějším faktorům</w:t>
            </w:r>
            <w:r w:rsidRPr="00DB613B">
              <w:rPr>
                <w:rStyle w:val="Znakapoznpodarou"/>
              </w:rPr>
              <w:footnoteReference w:id="21"/>
            </w:r>
            <w:r w:rsidRPr="00DB613B">
              <w:t xml:space="preserve">. Ve 3. čtvrtletí 2019 se </w:t>
            </w:r>
            <w:proofErr w:type="spellStart"/>
            <w:r w:rsidRPr="00DB613B">
              <w:t>mezikvartální</w:t>
            </w:r>
            <w:proofErr w:type="spellEnd"/>
            <w:r w:rsidRPr="00DB613B">
              <w:t xml:space="preserve"> růst HPH zredukoval na 0,3 % (minimum od poloviny roku 2016) a ani závěr roku významnější posun nepřinesl (+0,4</w:t>
            </w:r>
            <w:r w:rsidR="00A746C9">
              <w:t> </w:t>
            </w:r>
            <w:r w:rsidRPr="00DB613B">
              <w:t>%). I tak ale zůstalo tempo v Č</w:t>
            </w:r>
            <w:r w:rsidRPr="00DB613B">
              <w:rPr>
                <w:color w:val="0D0D0D" w:themeColor="text1" w:themeTint="F2"/>
              </w:rPr>
              <w:t xml:space="preserve">esku po většinu roku vyšší než v sousedních </w:t>
            </w:r>
            <w:r w:rsidRPr="00DB613B">
              <w:t>státech (vyjma Polska) i celé EU.</w:t>
            </w:r>
          </w:p>
        </w:tc>
      </w:tr>
      <w:tr w:rsidR="00C81070" w:rsidRPr="00DF6A33" w14:paraId="248E6E35" w14:textId="77777777" w:rsidTr="00A746C9">
        <w:trPr>
          <w:trHeight w:val="145"/>
        </w:trPr>
        <w:tc>
          <w:tcPr>
            <w:tcW w:w="1764" w:type="dxa"/>
            <w:shd w:val="clear" w:color="auto" w:fill="auto"/>
            <w:tcMar>
              <w:left w:w="0" w:type="dxa"/>
            </w:tcMar>
          </w:tcPr>
          <w:p w14:paraId="6A6827EB" w14:textId="77777777" w:rsidR="00C81070" w:rsidRDefault="00C81070" w:rsidP="00485E82">
            <w:pPr>
              <w:pStyle w:val="Marginlie"/>
            </w:pPr>
            <w:r>
              <w:t>Čtyři pětiny růstu přidané hodnoty zajistil loni sektor služeb. Přispěla k tomu všechna jeho hlavní odvětví.</w:t>
            </w:r>
          </w:p>
          <w:p w14:paraId="38D0589C" w14:textId="77777777" w:rsidR="00C81070" w:rsidRDefault="00C81070" w:rsidP="00485E82">
            <w:pPr>
              <w:pStyle w:val="Marginlie"/>
            </w:pPr>
          </w:p>
          <w:p w14:paraId="2BE42447" w14:textId="77777777" w:rsidR="00C81070" w:rsidRDefault="00C81070" w:rsidP="00485E82">
            <w:pPr>
              <w:pStyle w:val="Marginlie"/>
            </w:pPr>
          </w:p>
          <w:p w14:paraId="6A5075D5" w14:textId="77777777" w:rsidR="00C81070" w:rsidRDefault="00C81070" w:rsidP="00485E82">
            <w:pPr>
              <w:pStyle w:val="Marginlie"/>
            </w:pPr>
          </w:p>
          <w:p w14:paraId="2BC55581" w14:textId="77777777" w:rsidR="00C81070" w:rsidRDefault="00C81070" w:rsidP="00485E82">
            <w:pPr>
              <w:pStyle w:val="Marginlie"/>
            </w:pPr>
            <w:r>
              <w:t>Z rozvoje digitalizace profitovaly činnosti v oblasti IT, dařilo se i službám pro podniky.</w:t>
            </w:r>
          </w:p>
          <w:p w14:paraId="4C6E09A2" w14:textId="77777777" w:rsidR="00C81070" w:rsidRDefault="00C81070" w:rsidP="00485E82">
            <w:pPr>
              <w:pStyle w:val="Marginlie"/>
            </w:pPr>
          </w:p>
          <w:p w14:paraId="3474688A" w14:textId="77777777" w:rsidR="00C81070" w:rsidRDefault="00C81070" w:rsidP="00485E82">
            <w:pPr>
              <w:pStyle w:val="Marginlie"/>
            </w:pPr>
          </w:p>
          <w:p w14:paraId="70DB440E" w14:textId="77777777" w:rsidR="00C81070" w:rsidRDefault="00C81070" w:rsidP="00485E82">
            <w:pPr>
              <w:pStyle w:val="Marginlie"/>
            </w:pPr>
          </w:p>
          <w:p w14:paraId="26CEC9B2" w14:textId="44652957" w:rsidR="00C81070" w:rsidRDefault="00C81070" w:rsidP="00485E82">
            <w:pPr>
              <w:pStyle w:val="Marginlie"/>
            </w:pPr>
            <w:r>
              <w:t>K nejméně dynamickým odvětvím terciární sféry z pohledu HPH patří dlouhodobě veřejné služby.</w:t>
            </w:r>
          </w:p>
        </w:tc>
        <w:tc>
          <w:tcPr>
            <w:tcW w:w="206" w:type="dxa"/>
            <w:shd w:val="clear" w:color="auto" w:fill="auto"/>
            <w:tcMar>
              <w:left w:w="0" w:type="dxa"/>
            </w:tcMar>
          </w:tcPr>
          <w:p w14:paraId="661C67D6" w14:textId="77777777" w:rsidR="00C81070" w:rsidRDefault="00C81070" w:rsidP="00485E82">
            <w:pPr>
              <w:pStyle w:val="Textpoznpodarou"/>
              <w:jc w:val="both"/>
              <w:rPr>
                <w:spacing w:val="-4"/>
              </w:rPr>
            </w:pPr>
          </w:p>
        </w:tc>
        <w:tc>
          <w:tcPr>
            <w:tcW w:w="7674" w:type="dxa"/>
            <w:shd w:val="clear" w:color="auto" w:fill="auto"/>
            <w:tcMar>
              <w:left w:w="0" w:type="dxa"/>
            </w:tcMar>
          </w:tcPr>
          <w:p w14:paraId="6AC86318" w14:textId="4F26AEB9" w:rsidR="00C81070" w:rsidRPr="00DB613B" w:rsidRDefault="00C81070" w:rsidP="00485E82">
            <w:pPr>
              <w:spacing w:after="220"/>
            </w:pPr>
            <w:r w:rsidRPr="00DB613B">
              <w:t>K meziročnímu růstu HPH přispělo loni všech jedenáct hlavních odvětvových uskupení. Klíčovým hybatelem tuzemské ekonomiky byl (podobně jako v roce 2018) sektor služeb, neboť zajistil čtyři pětiny celkového růstu HPH. V rámci tohoto sektoru pokračoval dlouhodobý dynamický růst informačních a komunikačních činností (+7,6 %, za posledních šest let od konce recese +54 %), jež profitoval</w:t>
            </w:r>
            <w:r w:rsidR="003017EC" w:rsidRPr="00DB613B">
              <w:t>y</w:t>
            </w:r>
            <w:r w:rsidRPr="00DB613B">
              <w:t xml:space="preserve"> z dynamického rozvoje digitalizace v podnikové sféře i ve veřejném sektoru. Díky rostoucí poptávce po podpůrných činnostech pro podniky (vč. najímání pracovní síly) vykazují dlouhodobější, byť méně dynamický, růst i profesní, </w:t>
            </w:r>
            <w:r w:rsidR="003017EC" w:rsidRPr="00DB613B">
              <w:t>vědecké, technické</w:t>
            </w:r>
            <w:r w:rsidRPr="00DB613B">
              <w:t xml:space="preserve"> a administrativní činnosti (loni 4,0 %). Dařilo se i aktivitám v oblasti nemovitostí, jejichž růst zrychloval druhým rokem v řadě (na 3,3 %). Naopak po dynamickém období let 2015 až 2017 pokračovalo zvolňování růstu HPH ve finančním sektoru (na 2,8 %). Na silný rok 2018 plně nenavázalo váhově významné uskupení obchod, doprava, ubytování a pohostinství (+2,6 %) – neboť tempo HPH zde během loňska zpomalovalo (+4,0 % v 1. čtvrtletí, +1,1</w:t>
            </w:r>
            <w:r w:rsidR="00A746C9">
              <w:t> </w:t>
            </w:r>
            <w:r w:rsidRPr="00DB613B">
              <w:t>% ve 4. čtvrtletí). Projevilo se jak zvolnění dynamiky příjezdového cestovního ruchu i slábnoucí růst spotřeby domácností v Česku (obě v 1. až 3. čtvrtletí), tak i zpomalení v odvětví dopravy ve vazbě na vývoj zbožového zahraničního obchodu i průmyslu (zejména ve 2. polovině roku). Nejslabším tempem v rámci služeb rostla HPH v uskupení veřejná správa a obrana, vzdělávání, zdravotní a sociální péče (o 1,7 %), jehož dynamika se ale nevymykala z trendů předchozích čtyř let.</w:t>
            </w:r>
          </w:p>
        </w:tc>
      </w:tr>
      <w:tr w:rsidR="00C81070" w:rsidRPr="00DF6A33" w14:paraId="5092FB1D" w14:textId="77777777" w:rsidTr="00A746C9">
        <w:trPr>
          <w:trHeight w:val="145"/>
        </w:trPr>
        <w:tc>
          <w:tcPr>
            <w:tcW w:w="1764" w:type="dxa"/>
            <w:shd w:val="clear" w:color="auto" w:fill="auto"/>
            <w:tcMar>
              <w:left w:w="0" w:type="dxa"/>
            </w:tcMar>
          </w:tcPr>
          <w:p w14:paraId="07269CAE" w14:textId="5FF06C88" w:rsidR="00C81070" w:rsidRDefault="00C81070" w:rsidP="00485E82">
            <w:pPr>
              <w:pStyle w:val="Marginlie"/>
            </w:pPr>
            <w:r>
              <w:t xml:space="preserve">Tempo HPH v průmyslu </w:t>
            </w:r>
            <w:r w:rsidR="003017EC">
              <w:t>v průběhu</w:t>
            </w:r>
            <w:r>
              <w:t xml:space="preserve"> roku zpomalovalo a během 4. čtvrtletí dosáhlo minima od konce recese.</w:t>
            </w:r>
          </w:p>
          <w:p w14:paraId="6F55863E" w14:textId="77777777" w:rsidR="00C81070" w:rsidRDefault="00C81070" w:rsidP="00485E82">
            <w:pPr>
              <w:pStyle w:val="Marginlie"/>
            </w:pPr>
          </w:p>
          <w:p w14:paraId="3F0BD9DB" w14:textId="77777777" w:rsidR="00C81070" w:rsidRDefault="00C81070" w:rsidP="00485E82">
            <w:pPr>
              <w:pStyle w:val="Marginlie"/>
            </w:pPr>
          </w:p>
          <w:p w14:paraId="44B17E99" w14:textId="77777777" w:rsidR="00C81070" w:rsidRDefault="00C81070" w:rsidP="00485E82">
            <w:pPr>
              <w:pStyle w:val="Marginlie"/>
            </w:pPr>
          </w:p>
          <w:p w14:paraId="68529DD4" w14:textId="77777777" w:rsidR="00C81070" w:rsidRDefault="00C81070" w:rsidP="00485E82">
            <w:pPr>
              <w:pStyle w:val="Marginlie"/>
            </w:pPr>
            <w:r>
              <w:t>Stavebnictví loni pokračovalo v oživení z roku 2018. Výkony primárního sektoru podpořila vyšší sklizeň obilovin, mírné posílení živočišné produkce a intenzivní těžba dřeva.</w:t>
            </w:r>
          </w:p>
        </w:tc>
        <w:tc>
          <w:tcPr>
            <w:tcW w:w="206" w:type="dxa"/>
            <w:shd w:val="clear" w:color="auto" w:fill="auto"/>
            <w:tcMar>
              <w:left w:w="0" w:type="dxa"/>
            </w:tcMar>
          </w:tcPr>
          <w:p w14:paraId="447DBD95" w14:textId="77777777" w:rsidR="00C81070" w:rsidRDefault="00C81070" w:rsidP="00485E82">
            <w:pPr>
              <w:pStyle w:val="Textpoznpodarou"/>
              <w:jc w:val="both"/>
              <w:rPr>
                <w:spacing w:val="-4"/>
              </w:rPr>
            </w:pPr>
          </w:p>
        </w:tc>
        <w:tc>
          <w:tcPr>
            <w:tcW w:w="7674" w:type="dxa"/>
            <w:shd w:val="clear" w:color="auto" w:fill="auto"/>
            <w:tcMar>
              <w:left w:w="0" w:type="dxa"/>
            </w:tcMar>
          </w:tcPr>
          <w:p w14:paraId="26DEE8BA" w14:textId="076980E5" w:rsidR="00C81070" w:rsidRPr="00DB613B" w:rsidRDefault="00C81070" w:rsidP="00485E82">
            <w:pPr>
              <w:spacing w:after="220"/>
            </w:pPr>
            <w:r w:rsidRPr="00DB613B">
              <w:t xml:space="preserve">Ve vazbě na ekonomický vývoj Německa </w:t>
            </w:r>
            <w:r w:rsidR="003017EC" w:rsidRPr="00DB613B">
              <w:t>i eurozóny</w:t>
            </w:r>
            <w:r w:rsidRPr="00DB613B">
              <w:rPr>
                <w:rStyle w:val="Znakapoznpodarou"/>
              </w:rPr>
              <w:footnoteReference w:id="22"/>
            </w:r>
            <w:r w:rsidRPr="00DB613B">
              <w:t xml:space="preserve"> pokračovalo zpomalování tuzemského průmyslu. Meziroční růst HPH se v něm loni ztenčil na 0,7 % (šestileté minimum). Mezičtvrtletně HPH klesla již ve 2. čtvrtletí 2019 (</w:t>
            </w:r>
            <w:r w:rsidRPr="00DB613B">
              <w:rPr>
                <w:color w:val="000000" w:themeColor="text1"/>
              </w:rPr>
              <w:t>–</w:t>
            </w:r>
            <w:r w:rsidRPr="00DB613B">
              <w:t>0,2 %) a po stagnaci v následujícím kvartálu doznala silnějšího útlumu na konci roku (</w:t>
            </w:r>
            <w:r w:rsidRPr="00DB613B">
              <w:rPr>
                <w:color w:val="000000" w:themeColor="text1"/>
              </w:rPr>
              <w:t>–</w:t>
            </w:r>
            <w:r w:rsidRPr="00DB613B">
              <w:t>0,5 %, nejhlubší</w:t>
            </w:r>
            <w:r w:rsidR="003017EC" w:rsidRPr="00DB613B">
              <w:t xml:space="preserve"> útlum</w:t>
            </w:r>
            <w:r w:rsidRPr="00DB613B">
              <w:t xml:space="preserve"> od konce poslední recese v roce 2013). Výkon nezpracovatelských průmyslových oborů v celoročním pohledu loni stagnoval, hlavně vlivem slabších výsledků v samotném 3. čtvrtletí. Ve stavebnictví vzrostla i díky sílícímu přílivu prostředků z rozpočtu EU přidaná hodnota o 3,4 %, odvětví tak navázalo na výraznější oživení z roku 2018 (+4,0</w:t>
            </w:r>
            <w:r w:rsidR="00A746C9">
              <w:t> </w:t>
            </w:r>
            <w:r w:rsidRPr="00DB613B">
              <w:t xml:space="preserve">%). </w:t>
            </w:r>
            <w:r w:rsidRPr="00DB613B">
              <w:rPr>
                <w:rFonts w:cs="Arial"/>
                <w:color w:val="0D0D0D" w:themeColor="text1" w:themeTint="F2"/>
                <w:szCs w:val="20"/>
              </w:rPr>
              <w:t>I tak ale výkon stavebnictví jako jednoho z mála hlavních odvětví za úrovní svého konjunkturního vrcholu z roku 2007 dále zaostával (o 2 %)</w:t>
            </w:r>
            <w:r w:rsidRPr="00DB613B">
              <w:rPr>
                <w:rStyle w:val="Znakapoznpodarou"/>
              </w:rPr>
              <w:footnoteReference w:id="23"/>
            </w:r>
            <w:r w:rsidRPr="00DB613B">
              <w:rPr>
                <w:rFonts w:cs="Arial"/>
                <w:color w:val="0D0D0D" w:themeColor="text1" w:themeTint="F2"/>
                <w:szCs w:val="20"/>
              </w:rPr>
              <w:t>.</w:t>
            </w:r>
            <w:r w:rsidRPr="00DB613B">
              <w:t xml:space="preserve"> V primárním sektoru se loni HPH zvýšila o 1,5 %. Dařilo </w:t>
            </w:r>
            <w:r w:rsidR="003017EC" w:rsidRPr="00DB613B">
              <w:t>se rostlinné</w:t>
            </w:r>
            <w:r w:rsidRPr="00DB613B">
              <w:t xml:space="preserve"> produkci, kde došlo hlavně vlivem meziročního růstu hektarových výnosů k posunu objemu celkových sklizní na úroveň blízkou desetiletému průměru (především u </w:t>
            </w:r>
            <w:r w:rsidRPr="00DB613B">
              <w:rPr>
                <w:color w:val="0D0D0D" w:themeColor="text1" w:themeTint="F2"/>
              </w:rPr>
              <w:t>obilovin a pícnin, naopak méně příznivá situace byla u technických plodin)</w:t>
            </w:r>
            <w:r w:rsidRPr="00DB613B">
              <w:t xml:space="preserve">. Pozitivně působily i vyšší objem těžby kůrovcového </w:t>
            </w:r>
            <w:r w:rsidRPr="00DB613B">
              <w:lastRenderedPageBreak/>
              <w:t>dříví, mírné posílení výroby masa (+0,8 %) i objemu mléka nakoupeného od tuzemských producentů (+1,3 %).</w:t>
            </w:r>
          </w:p>
        </w:tc>
      </w:tr>
      <w:tr w:rsidR="00C81070" w:rsidRPr="00DF6A33" w14:paraId="1AC3096D" w14:textId="77777777" w:rsidTr="00A746C9">
        <w:trPr>
          <w:trHeight w:val="145"/>
        </w:trPr>
        <w:tc>
          <w:tcPr>
            <w:tcW w:w="1764" w:type="dxa"/>
            <w:shd w:val="clear" w:color="auto" w:fill="auto"/>
            <w:tcMar>
              <w:left w:w="0" w:type="dxa"/>
            </w:tcMar>
          </w:tcPr>
          <w:p w14:paraId="31B875AE" w14:textId="77777777" w:rsidR="00C81070" w:rsidRDefault="00C81070" w:rsidP="00485E82">
            <w:pPr>
              <w:pStyle w:val="Marginlie"/>
            </w:pPr>
            <w:r>
              <w:lastRenderedPageBreak/>
              <w:t xml:space="preserve">Průmyslová produkce loni vlivem nepříznivého vývoje v hlavních exportních teritoriích klesla o 0,4 %. Šlo o nejslabší výsledek od roku 2012. </w:t>
            </w:r>
          </w:p>
        </w:tc>
        <w:tc>
          <w:tcPr>
            <w:tcW w:w="206" w:type="dxa"/>
            <w:shd w:val="clear" w:color="auto" w:fill="auto"/>
            <w:tcMar>
              <w:left w:w="0" w:type="dxa"/>
            </w:tcMar>
          </w:tcPr>
          <w:p w14:paraId="0C876E81" w14:textId="77777777" w:rsidR="00C81070" w:rsidRDefault="00C81070" w:rsidP="00485E82">
            <w:pPr>
              <w:pStyle w:val="Textpoznpodarou"/>
              <w:jc w:val="both"/>
              <w:rPr>
                <w:spacing w:val="-4"/>
              </w:rPr>
            </w:pPr>
          </w:p>
        </w:tc>
        <w:tc>
          <w:tcPr>
            <w:tcW w:w="7674" w:type="dxa"/>
            <w:shd w:val="clear" w:color="auto" w:fill="auto"/>
            <w:tcMar>
              <w:left w:w="0" w:type="dxa"/>
            </w:tcMar>
          </w:tcPr>
          <w:p w14:paraId="42A6F99E" w14:textId="3269696E" w:rsidR="00C81070" w:rsidRPr="00DB613B" w:rsidRDefault="00C81070" w:rsidP="00485E82">
            <w:pPr>
              <w:spacing w:after="220"/>
              <w:rPr>
                <w:color w:val="000000" w:themeColor="text1"/>
              </w:rPr>
            </w:pPr>
            <w:r w:rsidRPr="00DB613B">
              <w:t xml:space="preserve">Citelné ochlazení výkonů tuzemského průmyslu v roce 2019 dokládají i podrobnější údaje z podnikových statistik. Zatímco v roce 2018 </w:t>
            </w:r>
            <w:r w:rsidRPr="00DB613B">
              <w:rPr>
                <w:color w:val="000000" w:themeColor="text1"/>
              </w:rPr>
              <w:t>rostla hodnota průmyslové produkce</w:t>
            </w:r>
            <w:r w:rsidRPr="00DB613B">
              <w:rPr>
                <w:color w:val="000000" w:themeColor="text1"/>
                <w:vertAlign w:val="superscript"/>
              </w:rPr>
              <w:footnoteReference w:id="24"/>
            </w:r>
            <w:r w:rsidRPr="00DB613B">
              <w:rPr>
                <w:color w:val="000000" w:themeColor="text1"/>
              </w:rPr>
              <w:t xml:space="preserve"> o 3,1 %, za loňský rok se o 0,4 % snížila. Poslední meziroční pokles se datuje k roku 2012 (–0,9 %). Přestože se růst průmyslu v mezičtvrtletním srovnání zastavil již na přelomu let 2018 a 2019</w:t>
            </w:r>
            <w:r w:rsidRPr="00DB613B">
              <w:rPr>
                <w:rStyle w:val="Znakapoznpodarou"/>
              </w:rPr>
              <w:footnoteReference w:id="25"/>
            </w:r>
            <w:r w:rsidRPr="00DB613B">
              <w:rPr>
                <w:color w:val="000000" w:themeColor="text1"/>
              </w:rPr>
              <w:t xml:space="preserve">, do technické recese spadl tento odvětvový sektor až </w:t>
            </w:r>
            <w:r w:rsidR="003017EC" w:rsidRPr="00DB613B">
              <w:rPr>
                <w:color w:val="000000" w:themeColor="text1"/>
              </w:rPr>
              <w:t xml:space="preserve">na </w:t>
            </w:r>
            <w:r w:rsidRPr="00DB613B">
              <w:rPr>
                <w:color w:val="000000" w:themeColor="text1"/>
              </w:rPr>
              <w:t>konci loňského roku (za 2. pololetí 2019 produkce klesla o 1,</w:t>
            </w:r>
            <w:r w:rsidR="00EF77D4">
              <w:rPr>
                <w:color w:val="000000" w:themeColor="text1"/>
              </w:rPr>
              <w:t>6</w:t>
            </w:r>
            <w:r w:rsidRPr="00DB613B">
              <w:rPr>
                <w:color w:val="000000" w:themeColor="text1"/>
              </w:rPr>
              <w:t> %). Tuzemští exportéři byli negativně ovlivněni oslabením dynamiky poptávky v asijských zemích i silnější recesí německého průmyslu, jež přesáhla délku (nikoli však intenzitu) útlumu z přelomu let 2008 a 2009</w:t>
            </w:r>
            <w:r w:rsidRPr="00DB613B">
              <w:rPr>
                <w:rStyle w:val="Znakapoznpodarou"/>
              </w:rPr>
              <w:footnoteReference w:id="26"/>
            </w:r>
            <w:r w:rsidRPr="00DB613B">
              <w:rPr>
                <w:color w:val="000000" w:themeColor="text1"/>
              </w:rPr>
              <w:t>. Potíže tuzemského průmyslu se během roku stupňovaly, ve 4. čtvrtletí 2019 se průmyslová produkce snížila o 2,</w:t>
            </w:r>
            <w:r w:rsidR="00EF77D4">
              <w:rPr>
                <w:color w:val="000000" w:themeColor="text1"/>
              </w:rPr>
              <w:t>2</w:t>
            </w:r>
            <w:r w:rsidRPr="00DB613B">
              <w:rPr>
                <w:color w:val="000000" w:themeColor="text1"/>
              </w:rPr>
              <w:t xml:space="preserve"> %, neboť k růstu celého odvětví přestalo přispívat klíčové odvětví výroby dopravních prostředků.</w:t>
            </w:r>
          </w:p>
        </w:tc>
      </w:tr>
      <w:tr w:rsidR="00C81070" w:rsidRPr="0041745D" w14:paraId="19252FEE" w14:textId="77777777" w:rsidTr="00A746C9">
        <w:trPr>
          <w:trHeight w:val="170"/>
        </w:trPr>
        <w:tc>
          <w:tcPr>
            <w:tcW w:w="1764" w:type="dxa"/>
            <w:vMerge w:val="restart"/>
            <w:shd w:val="clear" w:color="auto" w:fill="auto"/>
            <w:tcMar>
              <w:left w:w="0" w:type="dxa"/>
            </w:tcMar>
          </w:tcPr>
          <w:p w14:paraId="13D03CD8" w14:textId="77777777" w:rsidR="00C81070" w:rsidRDefault="00C81070" w:rsidP="00485E82">
            <w:pPr>
              <w:pStyle w:val="Marginlie"/>
            </w:pPr>
          </w:p>
        </w:tc>
        <w:tc>
          <w:tcPr>
            <w:tcW w:w="206" w:type="dxa"/>
            <w:vMerge w:val="restart"/>
            <w:shd w:val="clear" w:color="auto" w:fill="auto"/>
            <w:tcMar>
              <w:left w:w="0" w:type="dxa"/>
            </w:tcMar>
          </w:tcPr>
          <w:p w14:paraId="36BAE357" w14:textId="77777777" w:rsidR="00C81070" w:rsidRDefault="00C81070" w:rsidP="00485E82">
            <w:pPr>
              <w:pStyle w:val="Textpoznpodarou"/>
              <w:jc w:val="both"/>
              <w:rPr>
                <w:spacing w:val="-4"/>
              </w:rPr>
            </w:pPr>
          </w:p>
        </w:tc>
        <w:tc>
          <w:tcPr>
            <w:tcW w:w="7674" w:type="dxa"/>
            <w:shd w:val="clear" w:color="auto" w:fill="auto"/>
            <w:tcMar>
              <w:left w:w="0" w:type="dxa"/>
            </w:tcMar>
          </w:tcPr>
          <w:p w14:paraId="3AB05546" w14:textId="17A4C6DB" w:rsidR="00C81070" w:rsidRPr="00DB613B" w:rsidRDefault="000767F5" w:rsidP="00485E82">
            <w:pPr>
              <w:spacing w:after="0"/>
              <w:rPr>
                <w:b/>
              </w:rPr>
            </w:pPr>
            <w:r w:rsidRPr="00DB613B">
              <w:rPr>
                <w:rFonts w:cs="Arial"/>
                <w:b/>
                <w:bCs/>
                <w:color w:val="000000"/>
                <w:szCs w:val="20"/>
              </w:rPr>
              <w:t>Graf č. 4</w:t>
            </w:r>
            <w:r w:rsidR="00C81070" w:rsidRPr="00DB613B">
              <w:rPr>
                <w:rFonts w:cs="Arial"/>
                <w:b/>
                <w:bCs/>
                <w:color w:val="000000"/>
                <w:szCs w:val="20"/>
              </w:rPr>
              <w:t xml:space="preserve">  </w:t>
            </w:r>
            <w:r w:rsidR="00C81070" w:rsidRPr="00DB613B">
              <w:rPr>
                <w:b/>
              </w:rPr>
              <w:t>Příspěvky dílčích odvětví k meziroční změně průmyslové produkce</w:t>
            </w:r>
          </w:p>
          <w:p w14:paraId="19C44203" w14:textId="77777777" w:rsidR="00C81070" w:rsidRPr="00DB613B" w:rsidRDefault="00C81070" w:rsidP="00485E82">
            <w:pPr>
              <w:spacing w:after="0"/>
              <w:rPr>
                <w:b/>
              </w:rPr>
            </w:pPr>
            <w:r w:rsidRPr="00DB613B">
              <w:t>(v procentních bodech, očištěno o kalendářní vlivy)</w:t>
            </w:r>
          </w:p>
        </w:tc>
      </w:tr>
      <w:tr w:rsidR="00C81070" w14:paraId="592AB2CB" w14:textId="77777777" w:rsidTr="00A746C9">
        <w:tblPrEx>
          <w:tblCellMar>
            <w:left w:w="70" w:type="dxa"/>
            <w:right w:w="70" w:type="dxa"/>
          </w:tblCellMar>
        </w:tblPrEx>
        <w:trPr>
          <w:trHeight w:val="170"/>
        </w:trPr>
        <w:tc>
          <w:tcPr>
            <w:tcW w:w="1764" w:type="dxa"/>
            <w:vMerge/>
            <w:shd w:val="clear" w:color="auto" w:fill="auto"/>
          </w:tcPr>
          <w:p w14:paraId="42AC71D6" w14:textId="77777777" w:rsidR="00C81070" w:rsidRPr="009110F7" w:rsidRDefault="00C81070" w:rsidP="00485E82">
            <w:pPr>
              <w:pStyle w:val="Marginlie"/>
            </w:pPr>
          </w:p>
        </w:tc>
        <w:tc>
          <w:tcPr>
            <w:tcW w:w="206" w:type="dxa"/>
            <w:vMerge/>
            <w:shd w:val="clear" w:color="auto" w:fill="auto"/>
          </w:tcPr>
          <w:p w14:paraId="6C97F74E" w14:textId="77777777" w:rsidR="00C81070" w:rsidRPr="009110F7" w:rsidRDefault="00C81070" w:rsidP="00485E82">
            <w:pPr>
              <w:pStyle w:val="Textpoznpodarou"/>
              <w:jc w:val="both"/>
              <w:rPr>
                <w:spacing w:val="-4"/>
              </w:rPr>
            </w:pPr>
          </w:p>
        </w:tc>
        <w:tc>
          <w:tcPr>
            <w:tcW w:w="7674" w:type="dxa"/>
            <w:shd w:val="clear" w:color="auto" w:fill="auto"/>
          </w:tcPr>
          <w:p w14:paraId="1CF76000" w14:textId="77777777" w:rsidR="00C81070" w:rsidRPr="00DB613B" w:rsidRDefault="00C81070" w:rsidP="00485E82">
            <w:pPr>
              <w:spacing w:after="0"/>
              <w:rPr>
                <w:color w:val="000000" w:themeColor="text1"/>
              </w:rPr>
            </w:pPr>
            <w:r w:rsidRPr="00DB613B">
              <w:rPr>
                <w:noProof/>
              </w:rPr>
              <w:drawing>
                <wp:inline distT="0" distB="0" distL="0" distR="0" wp14:anchorId="1455989D" wp14:editId="32CC768F">
                  <wp:extent cx="4781550" cy="3289110"/>
                  <wp:effectExtent l="0" t="0" r="0" b="6985"/>
                  <wp:docPr id="15" name="Graf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C81070" w14:paraId="7C4C7389" w14:textId="77777777" w:rsidTr="00A746C9">
        <w:trPr>
          <w:trHeight w:val="170"/>
        </w:trPr>
        <w:tc>
          <w:tcPr>
            <w:tcW w:w="1764" w:type="dxa"/>
            <w:vMerge/>
            <w:shd w:val="clear" w:color="auto" w:fill="auto"/>
            <w:tcMar>
              <w:left w:w="0" w:type="dxa"/>
            </w:tcMar>
          </w:tcPr>
          <w:p w14:paraId="561A0AEF" w14:textId="77777777" w:rsidR="00C81070" w:rsidRPr="009110F7" w:rsidRDefault="00C81070" w:rsidP="00485E82">
            <w:pPr>
              <w:pStyle w:val="Marginlie"/>
            </w:pPr>
          </w:p>
        </w:tc>
        <w:tc>
          <w:tcPr>
            <w:tcW w:w="206" w:type="dxa"/>
            <w:vMerge/>
            <w:shd w:val="clear" w:color="auto" w:fill="auto"/>
            <w:tcMar>
              <w:left w:w="0" w:type="dxa"/>
            </w:tcMar>
          </w:tcPr>
          <w:p w14:paraId="40224FF6" w14:textId="77777777" w:rsidR="00C81070" w:rsidRPr="009110F7" w:rsidRDefault="00C81070" w:rsidP="00485E82">
            <w:pPr>
              <w:pStyle w:val="Textpoznpodarou"/>
              <w:jc w:val="both"/>
              <w:rPr>
                <w:spacing w:val="-4"/>
              </w:rPr>
            </w:pPr>
          </w:p>
        </w:tc>
        <w:tc>
          <w:tcPr>
            <w:tcW w:w="7674" w:type="dxa"/>
            <w:shd w:val="clear" w:color="auto" w:fill="auto"/>
            <w:tcMar>
              <w:left w:w="0" w:type="dxa"/>
            </w:tcMar>
          </w:tcPr>
          <w:p w14:paraId="7F6261BC" w14:textId="77777777" w:rsidR="00C81070" w:rsidRPr="00DB613B" w:rsidRDefault="00C81070" w:rsidP="00485E82">
            <w:pPr>
              <w:spacing w:after="120"/>
              <w:rPr>
                <w:color w:val="000000" w:themeColor="text1"/>
              </w:rPr>
            </w:pPr>
            <w:r w:rsidRPr="00DB613B">
              <w:rPr>
                <w:rFonts w:cs="Arial"/>
                <w:sz w:val="14"/>
                <w:szCs w:val="14"/>
              </w:rPr>
              <w:t>Zdroj: ČSÚ</w:t>
            </w:r>
          </w:p>
        </w:tc>
      </w:tr>
      <w:tr w:rsidR="00DB613B" w:rsidRPr="00B01C55" w14:paraId="4CC9CC93" w14:textId="77777777" w:rsidTr="00A746C9">
        <w:trPr>
          <w:trHeight w:val="145"/>
        </w:trPr>
        <w:tc>
          <w:tcPr>
            <w:tcW w:w="1764" w:type="dxa"/>
            <w:shd w:val="clear" w:color="auto" w:fill="auto"/>
            <w:tcMar>
              <w:left w:w="0" w:type="dxa"/>
            </w:tcMar>
          </w:tcPr>
          <w:p w14:paraId="545F3E49" w14:textId="77777777" w:rsidR="00DB613B" w:rsidRDefault="00DB613B" w:rsidP="00DB613B">
            <w:pPr>
              <w:pStyle w:val="Marginlie"/>
            </w:pPr>
            <w:r>
              <w:t>Ve směrů růstu celkové průmyslové produkce loni působily nejvíce elektrotechnika a farmacie.</w:t>
            </w:r>
          </w:p>
          <w:p w14:paraId="64E55E85" w14:textId="77777777" w:rsidR="00DB613B" w:rsidRDefault="00DB613B" w:rsidP="00DB613B">
            <w:pPr>
              <w:pStyle w:val="Marginlie"/>
            </w:pPr>
          </w:p>
          <w:p w14:paraId="4E67F2A7" w14:textId="77777777" w:rsidR="00DB613B" w:rsidRDefault="00DB613B" w:rsidP="00DB613B">
            <w:pPr>
              <w:pStyle w:val="Marginlie"/>
            </w:pPr>
          </w:p>
          <w:p w14:paraId="04D4BE73" w14:textId="77777777" w:rsidR="00DB613B" w:rsidRDefault="00DB613B" w:rsidP="00DB613B">
            <w:pPr>
              <w:pStyle w:val="Marginlie"/>
            </w:pPr>
          </w:p>
          <w:p w14:paraId="709AE3B8" w14:textId="77777777" w:rsidR="00DB613B" w:rsidRDefault="00DB613B" w:rsidP="00DB613B">
            <w:pPr>
              <w:pStyle w:val="Marginlie"/>
            </w:pPr>
            <w:r>
              <w:lastRenderedPageBreak/>
              <w:t xml:space="preserve">Výkony výrobců dopravních prostředků stagnovaly. </w:t>
            </w:r>
          </w:p>
          <w:p w14:paraId="4C433841" w14:textId="77777777" w:rsidR="00DB613B" w:rsidRDefault="00DB613B" w:rsidP="00DB613B">
            <w:pPr>
              <w:pStyle w:val="Marginlie"/>
            </w:pPr>
          </w:p>
        </w:tc>
        <w:tc>
          <w:tcPr>
            <w:tcW w:w="206" w:type="dxa"/>
            <w:shd w:val="clear" w:color="auto" w:fill="auto"/>
            <w:tcMar>
              <w:left w:w="0" w:type="dxa"/>
            </w:tcMar>
          </w:tcPr>
          <w:p w14:paraId="49D1E8DC" w14:textId="77777777" w:rsidR="00DB613B" w:rsidRDefault="00DB613B" w:rsidP="00DB613B">
            <w:pPr>
              <w:pStyle w:val="Textpoznpodarou"/>
              <w:jc w:val="both"/>
              <w:rPr>
                <w:spacing w:val="-4"/>
              </w:rPr>
            </w:pPr>
          </w:p>
        </w:tc>
        <w:tc>
          <w:tcPr>
            <w:tcW w:w="7674" w:type="dxa"/>
            <w:shd w:val="clear" w:color="auto" w:fill="auto"/>
            <w:tcMar>
              <w:left w:w="0" w:type="dxa"/>
            </w:tcMar>
          </w:tcPr>
          <w:p w14:paraId="14DF1232" w14:textId="011EEE8D" w:rsidR="00DB613B" w:rsidRPr="00DB613B" w:rsidRDefault="00DB613B" w:rsidP="00DB613B">
            <w:pPr>
              <w:spacing w:after="200"/>
            </w:pPr>
            <w:r w:rsidRPr="00DB613B">
              <w:t>Ve směru růstu průmyslové produkce působila v roce 2019 nejvíce odvětví výroba elektrických zařízení (příspěvek +0,32 p. b.). Vyšší výkon zde (+4,8 %) byl podpořen především posílením domácí poptávky. Z ostatních odvětví zaznamenala významnější příspěvek jen farmacie (+0,20 p. b.), výkon tohoto váhově okrajového, ale dlouhodobě rostoucího oboru vzrostl o 18 %</w:t>
            </w:r>
            <w:r w:rsidRPr="00DB613B">
              <w:rPr>
                <w:rStyle w:val="Znakapoznpodarou"/>
              </w:rPr>
              <w:footnoteReference w:id="27"/>
            </w:r>
            <w:r w:rsidRPr="00DB613B">
              <w:t xml:space="preserve">. V nosném odvětví – automobilovém průmyslu – </w:t>
            </w:r>
            <w:r w:rsidRPr="00DB613B">
              <w:lastRenderedPageBreak/>
              <w:t>produkce loni jen stagnovala, což dokládají i údaje o fyzické výrobě</w:t>
            </w:r>
            <w:r w:rsidRPr="00DB613B">
              <w:rPr>
                <w:rStyle w:val="Znakapoznpodarou"/>
              </w:rPr>
              <w:footnoteReference w:id="28"/>
            </w:r>
            <w:r w:rsidRPr="00DB613B">
              <w:t xml:space="preserve">. To platilo i o příbuzných oborech – jak gumárenství i </w:t>
            </w:r>
            <w:proofErr w:type="spellStart"/>
            <w:r w:rsidRPr="00DB613B">
              <w:rPr>
                <w:color w:val="000000" w:themeColor="text1"/>
              </w:rPr>
              <w:t>plastikářství</w:t>
            </w:r>
            <w:proofErr w:type="spellEnd"/>
            <w:r w:rsidRPr="00DB613B">
              <w:t>, tak i výrobě ostatních dopravních prostředků (kolejových, ale i letadel či vojenské techniky), kde růstový impulz vyvolaný v roce 2018 zvýšenou tuzemskou poptávkou již vyprchal. Větší odolnost vůči cyklickým výkyvům poptávky potvrdil loni potravinářský průmysl (+1,0 %), který těžil ze stále pozitivní celkové důvěry tuzemských spotřebitelů.</w:t>
            </w:r>
          </w:p>
        </w:tc>
      </w:tr>
      <w:tr w:rsidR="00DB613B" w:rsidRPr="00B01C55" w14:paraId="453B394E" w14:textId="77777777" w:rsidTr="00A746C9">
        <w:trPr>
          <w:trHeight w:val="145"/>
        </w:trPr>
        <w:tc>
          <w:tcPr>
            <w:tcW w:w="1764" w:type="dxa"/>
            <w:shd w:val="clear" w:color="auto" w:fill="auto"/>
            <w:tcMar>
              <w:left w:w="0" w:type="dxa"/>
            </w:tcMar>
          </w:tcPr>
          <w:p w14:paraId="1BF953EB" w14:textId="77777777" w:rsidR="00DB613B" w:rsidRDefault="00DB613B" w:rsidP="00DB613B">
            <w:pPr>
              <w:pStyle w:val="Marginlie"/>
            </w:pPr>
            <w:r>
              <w:lastRenderedPageBreak/>
              <w:t>Ke snížení výkonu průmyslu přispělo  nejvíce odvětví výroby počítačů, elektronických a optických přístrojů. Negativně působily také hutnictví a těžební průmysl.</w:t>
            </w:r>
          </w:p>
          <w:p w14:paraId="47152FAB" w14:textId="77777777" w:rsidR="00DB613B" w:rsidRDefault="00DB613B" w:rsidP="00DB613B">
            <w:pPr>
              <w:pStyle w:val="Marginlie"/>
            </w:pPr>
          </w:p>
          <w:p w14:paraId="12D29009" w14:textId="77777777" w:rsidR="00DB613B" w:rsidRDefault="00DB613B" w:rsidP="00DB613B">
            <w:pPr>
              <w:pStyle w:val="Marginlie"/>
            </w:pPr>
          </w:p>
          <w:p w14:paraId="32EC65BD" w14:textId="77777777" w:rsidR="00DB613B" w:rsidRDefault="00DB613B" w:rsidP="00DB613B">
            <w:pPr>
              <w:pStyle w:val="Marginlie"/>
            </w:pPr>
          </w:p>
          <w:p w14:paraId="3207CD8A" w14:textId="77777777" w:rsidR="00DB613B" w:rsidRDefault="00DB613B" w:rsidP="00DB613B">
            <w:pPr>
              <w:pStyle w:val="Marginlie"/>
            </w:pPr>
          </w:p>
          <w:p w14:paraId="706504B7" w14:textId="77777777" w:rsidR="00DB613B" w:rsidRDefault="00DB613B" w:rsidP="00DB613B">
            <w:pPr>
              <w:pStyle w:val="Marginlie"/>
            </w:pPr>
          </w:p>
          <w:p w14:paraId="6E72DBA9" w14:textId="77777777" w:rsidR="00DB613B" w:rsidRDefault="00DB613B" w:rsidP="00DB613B">
            <w:pPr>
              <w:pStyle w:val="Marginlie"/>
            </w:pPr>
            <w:r>
              <w:t>Díky pokračujícímu růstu tuzemské poptávky klesla produkce kovovýroby i strojírenství jen mírně.</w:t>
            </w:r>
          </w:p>
        </w:tc>
        <w:tc>
          <w:tcPr>
            <w:tcW w:w="206" w:type="dxa"/>
            <w:shd w:val="clear" w:color="auto" w:fill="auto"/>
            <w:tcMar>
              <w:left w:w="0" w:type="dxa"/>
            </w:tcMar>
          </w:tcPr>
          <w:p w14:paraId="4761D3E9" w14:textId="77777777" w:rsidR="00DB613B" w:rsidRDefault="00DB613B" w:rsidP="00DB613B">
            <w:pPr>
              <w:pStyle w:val="Textpoznpodarou"/>
              <w:jc w:val="both"/>
              <w:rPr>
                <w:spacing w:val="-4"/>
              </w:rPr>
            </w:pPr>
          </w:p>
        </w:tc>
        <w:tc>
          <w:tcPr>
            <w:tcW w:w="7674" w:type="dxa"/>
            <w:shd w:val="clear" w:color="auto" w:fill="auto"/>
            <w:tcMar>
              <w:left w:w="0" w:type="dxa"/>
            </w:tcMar>
          </w:tcPr>
          <w:p w14:paraId="0F0B72AE" w14:textId="0B2A79A2" w:rsidR="00DB613B" w:rsidRPr="00DB613B" w:rsidRDefault="00DB613B" w:rsidP="00DB613B">
            <w:pPr>
              <w:spacing w:after="200"/>
            </w:pPr>
            <w:r w:rsidRPr="00DB613B">
              <w:t xml:space="preserve">Průmyslovou produkci táhlo loni dolů nejvíce odvětví výroba počítačů, elektronických a optických přístrojů (pokles odvětví o 7,9 %, příspěvek </w:t>
            </w:r>
            <w:r w:rsidRPr="00DB613B">
              <w:rPr>
                <w:color w:val="000000" w:themeColor="text1"/>
              </w:rPr>
              <w:t>–</w:t>
            </w:r>
            <w:r w:rsidRPr="00DB613B">
              <w:t>0,28 p. b), silný růst zahraniční poptávky z let 2017 i 2018 se zde již neopakoval</w:t>
            </w:r>
            <w:r w:rsidRPr="00DB613B">
              <w:rPr>
                <w:rStyle w:val="Znakapoznpodarou"/>
              </w:rPr>
              <w:footnoteReference w:id="29"/>
            </w:r>
            <w:r w:rsidRPr="00DB613B">
              <w:t>. Redukce zahraniční, ale i domácí poptávky se negativně podepsala na produkci hutnictví (</w:t>
            </w:r>
            <w:r w:rsidRPr="00DB613B">
              <w:rPr>
                <w:color w:val="000000" w:themeColor="text1"/>
              </w:rPr>
              <w:t>–</w:t>
            </w:r>
            <w:r w:rsidRPr="00DB613B">
              <w:t xml:space="preserve">5,8 %, </w:t>
            </w:r>
            <w:r w:rsidRPr="00DB613B">
              <w:rPr>
                <w:color w:val="000000" w:themeColor="text1"/>
              </w:rPr>
              <w:t>–</w:t>
            </w:r>
            <w:r w:rsidRPr="00DB613B">
              <w:t>0,17 p. b), jednoho z mála průmyslových oborů, jehož výkon se loni nacházel pod úrovní poslední recese</w:t>
            </w:r>
            <w:r w:rsidRPr="00DB613B">
              <w:rPr>
                <w:rStyle w:val="Znakapoznpodarou"/>
              </w:rPr>
              <w:footnoteReference w:id="30"/>
            </w:r>
            <w:r w:rsidRPr="00DB613B">
              <w:t>. S vleklými strukturálními problémy se potýkal těžební průmysl (</w:t>
            </w:r>
            <w:r w:rsidRPr="00DB613B">
              <w:rPr>
                <w:color w:val="000000" w:themeColor="text1"/>
              </w:rPr>
              <w:t>–</w:t>
            </w:r>
            <w:r w:rsidRPr="00DB613B">
              <w:t xml:space="preserve">6,2 %, </w:t>
            </w:r>
            <w:r w:rsidRPr="00DB613B">
              <w:rPr>
                <w:color w:val="000000" w:themeColor="text1"/>
              </w:rPr>
              <w:t>–</w:t>
            </w:r>
            <w:r w:rsidRPr="00DB613B">
              <w:t>0,13 p. b.). V</w:t>
            </w:r>
            <w:r w:rsidRPr="00DB613B">
              <w:rPr>
                <w:color w:val="000000" w:themeColor="text1"/>
              </w:rPr>
              <w:t>ýkon váhově dominantní těžby uhlí klesl na šestileté minimum (–8,1 %), souběžně ale posilovala těžba stavebních materiálů (kamene, písků a jílů (+1,8 %, za poslední tři roky +1</w:t>
            </w:r>
            <w:r w:rsidR="00EF77D4">
              <w:rPr>
                <w:color w:val="000000" w:themeColor="text1"/>
              </w:rPr>
              <w:t>7</w:t>
            </w:r>
            <w:r w:rsidRPr="00DB613B">
              <w:rPr>
                <w:color w:val="000000" w:themeColor="text1"/>
              </w:rPr>
              <w:t>,</w:t>
            </w:r>
            <w:r w:rsidR="00EF77D4">
              <w:rPr>
                <w:color w:val="000000" w:themeColor="text1"/>
              </w:rPr>
              <w:t>6</w:t>
            </w:r>
            <w:r w:rsidRPr="00DB613B">
              <w:rPr>
                <w:color w:val="000000" w:themeColor="text1"/>
              </w:rPr>
              <w:t xml:space="preserve"> %).</w:t>
            </w:r>
            <w:r w:rsidRPr="00DB613B">
              <w:t xml:space="preserve"> Slabší produkci vykázaly i některé malé exportně zaměřené obory, např. textilní (</w:t>
            </w:r>
            <w:r w:rsidRPr="00DB613B">
              <w:rPr>
                <w:color w:val="000000" w:themeColor="text1"/>
              </w:rPr>
              <w:t>–</w:t>
            </w:r>
            <w:r w:rsidRPr="00DB613B">
              <w:t>3,5 %) a kožedělný průmysl (</w:t>
            </w:r>
            <w:r w:rsidRPr="00DB613B">
              <w:rPr>
                <w:color w:val="000000" w:themeColor="text1"/>
              </w:rPr>
              <w:t>–</w:t>
            </w:r>
            <w:r w:rsidRPr="00DB613B">
              <w:t>9,8 %). Větší vliv na výkon celého průmyslu měl ovšem vývoj ve významných odvětvích kovovýroby (</w:t>
            </w:r>
            <w:r w:rsidRPr="00DB613B">
              <w:rPr>
                <w:color w:val="000000" w:themeColor="text1"/>
              </w:rPr>
              <w:t>–</w:t>
            </w:r>
            <w:r w:rsidRPr="00DB613B">
              <w:t>0,8 %) a</w:t>
            </w:r>
            <w:r w:rsidRPr="00DB613B">
              <w:rPr>
                <w:color w:val="000000" w:themeColor="text1"/>
              </w:rPr>
              <w:t> </w:t>
            </w:r>
            <w:r w:rsidRPr="00DB613B">
              <w:t>strojírenství (</w:t>
            </w:r>
            <w:r w:rsidRPr="00DB613B">
              <w:rPr>
                <w:color w:val="000000" w:themeColor="text1"/>
              </w:rPr>
              <w:t>–</w:t>
            </w:r>
            <w:r w:rsidRPr="00DB613B">
              <w:t>1,0 %, první pokles od roku 2009). Za pouze mělký pokles vděčí tyto obory pokračujícímu růstu tuzemské poptávky (ve strojírenství přetrvávajícímu i ve 4. čtvrtletí 2019). O</w:t>
            </w:r>
            <w:r w:rsidRPr="00DB613B">
              <w:rPr>
                <w:color w:val="000000" w:themeColor="text1"/>
              </w:rPr>
              <w:t> </w:t>
            </w:r>
            <w:r w:rsidRPr="00DB613B">
              <w:t>necelá 3 % snížil výkon chemický průmysl, podobné tempo signalizovala i výroba</w:t>
            </w:r>
            <w:r w:rsidRPr="00DB613B">
              <w:rPr>
                <w:color w:val="000000" w:themeColor="text1"/>
              </w:rPr>
              <w:t xml:space="preserve"> ostatních nekovových minerálních výrobků</w:t>
            </w:r>
            <w:r w:rsidRPr="00DB613B">
              <w:t xml:space="preserve"> (navzdory stále rostoucí tuzemské poptávce, zejména ve stavebnictví). Po třech předchozích letech růstu produkce energetiky loni klesla o 0,4</w:t>
            </w:r>
            <w:r w:rsidR="00A746C9">
              <w:t> </w:t>
            </w:r>
            <w:r w:rsidRPr="00DB613B">
              <w:t>%, což souznělo s dynamikou tuzemské výroby elektřiny i tepla</w:t>
            </w:r>
            <w:r w:rsidRPr="00DB613B">
              <w:rPr>
                <w:rStyle w:val="Znakapoznpodarou"/>
              </w:rPr>
              <w:footnoteReference w:id="31"/>
            </w:r>
            <w:r w:rsidRPr="00DB613B">
              <w:t>. Proti hlubšímu poklesu energetiky působila meziročně silnější celoroční spotřeba plynu (+4,7 %, navzdory vyšším teplotám v zimním období roku 2019), neboť pokles u domácností (</w:t>
            </w:r>
            <w:r w:rsidR="00A746C9">
              <w:noBreakHyphen/>
            </w:r>
            <w:r w:rsidRPr="00DB613B">
              <w:t>4,5 %) byl kompenzován růstem u podniků.</w:t>
            </w:r>
          </w:p>
        </w:tc>
      </w:tr>
      <w:tr w:rsidR="00DB613B" w:rsidRPr="00B01C55" w14:paraId="60103985" w14:textId="77777777" w:rsidTr="00A746C9">
        <w:trPr>
          <w:trHeight w:val="145"/>
        </w:trPr>
        <w:tc>
          <w:tcPr>
            <w:tcW w:w="1764" w:type="dxa"/>
            <w:shd w:val="clear" w:color="auto" w:fill="auto"/>
            <w:tcMar>
              <w:left w:w="0" w:type="dxa"/>
            </w:tcMar>
          </w:tcPr>
          <w:p w14:paraId="70F2F0E1" w14:textId="4984570A" w:rsidR="00DB613B" w:rsidRDefault="00DB613B" w:rsidP="00DB613B">
            <w:pPr>
              <w:pStyle w:val="Marginlie"/>
            </w:pPr>
            <w:r>
              <w:t>Zatímco v 1. až 3. čtvrtletí tržby průmyslových podniků mírně, ale stabilně rostly, na konci roku byly poznamenány citelnějším útlumem zahraniční poptávky.</w:t>
            </w:r>
          </w:p>
        </w:tc>
        <w:tc>
          <w:tcPr>
            <w:tcW w:w="206" w:type="dxa"/>
            <w:shd w:val="clear" w:color="auto" w:fill="auto"/>
            <w:tcMar>
              <w:left w:w="0" w:type="dxa"/>
            </w:tcMar>
          </w:tcPr>
          <w:p w14:paraId="330FD50F" w14:textId="77777777" w:rsidR="00DB613B" w:rsidRDefault="00DB613B" w:rsidP="00DB613B">
            <w:pPr>
              <w:pStyle w:val="Textpoznpodarou"/>
              <w:jc w:val="both"/>
              <w:rPr>
                <w:spacing w:val="-4"/>
              </w:rPr>
            </w:pPr>
          </w:p>
        </w:tc>
        <w:tc>
          <w:tcPr>
            <w:tcW w:w="7674" w:type="dxa"/>
            <w:shd w:val="clear" w:color="auto" w:fill="auto"/>
            <w:tcMar>
              <w:left w:w="0" w:type="dxa"/>
            </w:tcMar>
          </w:tcPr>
          <w:p w14:paraId="016D7AE4" w14:textId="750BFA03" w:rsidR="00DB613B" w:rsidRPr="00DB613B" w:rsidRDefault="00DB613B" w:rsidP="00DB613B">
            <w:pPr>
              <w:spacing w:after="200"/>
            </w:pPr>
            <w:r w:rsidRPr="00DB613B">
              <w:rPr>
                <w:color w:val="0D0D0D" w:themeColor="text1" w:themeTint="F2"/>
              </w:rPr>
              <w:t>Zásadní změnu poptávky po průmyslových produktech během roku 2019 dokládají i nominální tržby podniků. Zatímco v 1. až 3. čtvrtletí meziročně rostly v pásmu 2 až 3 %, na konci roku se dostavil útlum (</w:t>
            </w:r>
            <w:r w:rsidRPr="00DB613B">
              <w:rPr>
                <w:color w:val="000000" w:themeColor="text1"/>
              </w:rPr>
              <w:t>–</w:t>
            </w:r>
            <w:r w:rsidRPr="00DB613B">
              <w:rPr>
                <w:color w:val="0D0D0D" w:themeColor="text1" w:themeTint="F2"/>
              </w:rPr>
              <w:t>3,6 %), jenž byl zvláště patrný v hutnictví, výrobě počítačů, elektronických a optických přístrojů, v chemickém průmyslu a také těžbě a dobývání (kde šlo ale v posledních letech o častý jev). V pozadí negativního vývoje ve 4. čtvrtletí stály hlavně nižší tržby z přímého vývozu (</w:t>
            </w:r>
            <w:r w:rsidRPr="00DB613B">
              <w:rPr>
                <w:color w:val="000000" w:themeColor="text1"/>
              </w:rPr>
              <w:t>–</w:t>
            </w:r>
            <w:r w:rsidRPr="00DB613B">
              <w:rPr>
                <w:color w:val="0D0D0D" w:themeColor="text1" w:themeTint="F2"/>
              </w:rPr>
              <w:t>5,6 %), oslabení tuzemské poptávky bylo méně markantní (</w:t>
            </w:r>
            <w:r w:rsidRPr="00DB613B">
              <w:rPr>
                <w:color w:val="000000" w:themeColor="text1"/>
              </w:rPr>
              <w:t>–</w:t>
            </w:r>
            <w:r w:rsidRPr="00DB613B">
              <w:rPr>
                <w:color w:val="0D0D0D" w:themeColor="text1" w:themeTint="F2"/>
              </w:rPr>
              <w:t>1,0 %). Za celý rok 2019 inkasovaly podniky na tržbách o 1 % více. Domácí tržby přitom vykazovaly vyšší dynamiku než tržby z přímého vývozu již třetím rokem. Růst tržeb zrcadlil postupný nárůst cen v ekonomice vlivem vyšších cen energií i lidské práce. To bylo loni patrné zejména v energetice (růst tržeb o bezmála 9 %), kožedělném a oděvním průmyslu, výrobě stavebních hmot, potravinářství, strojírenství, opravách strojů a zařízení či výrobě dopravních prostředků. Naopak nižší ceny produkce měly negativní dopad na hospodaření podniků např. v těžbě uhlí, dřevozpracujícím a chemickém průmyslu a hutnictví.</w:t>
            </w:r>
          </w:p>
        </w:tc>
      </w:tr>
      <w:tr w:rsidR="00DB613B" w:rsidRPr="00B01C55" w14:paraId="56FC77D6" w14:textId="77777777" w:rsidTr="00A746C9">
        <w:trPr>
          <w:trHeight w:val="145"/>
        </w:trPr>
        <w:tc>
          <w:tcPr>
            <w:tcW w:w="1764" w:type="dxa"/>
            <w:shd w:val="clear" w:color="auto" w:fill="auto"/>
            <w:tcMar>
              <w:left w:w="0" w:type="dxa"/>
            </w:tcMar>
          </w:tcPr>
          <w:p w14:paraId="1CA3067A" w14:textId="77777777" w:rsidR="00DB613B" w:rsidRDefault="00DB613B" w:rsidP="00DB613B">
            <w:pPr>
              <w:pStyle w:val="Marginlie"/>
            </w:pPr>
            <w:r>
              <w:t xml:space="preserve">Hodnota nových průmyslových zakázek </w:t>
            </w:r>
            <w:r>
              <w:lastRenderedPageBreak/>
              <w:t>ze zahraničí i tuzemska ve 4. čtvrtletí klesla.</w:t>
            </w:r>
          </w:p>
          <w:p w14:paraId="353C3197" w14:textId="77777777" w:rsidR="00DB613B" w:rsidRDefault="00DB613B" w:rsidP="00DB613B">
            <w:pPr>
              <w:pStyle w:val="Marginlie"/>
            </w:pPr>
          </w:p>
          <w:p w14:paraId="61473B54" w14:textId="77777777" w:rsidR="00DB613B" w:rsidRDefault="00DB613B" w:rsidP="00DB613B">
            <w:pPr>
              <w:pStyle w:val="Marginlie"/>
            </w:pPr>
          </w:p>
          <w:p w14:paraId="04BBFEAE" w14:textId="77777777" w:rsidR="00DB613B" w:rsidRDefault="00DB613B" w:rsidP="00DB613B">
            <w:pPr>
              <w:pStyle w:val="Marginlie"/>
            </w:pPr>
          </w:p>
          <w:p w14:paraId="3B2601AC" w14:textId="77777777" w:rsidR="00DB613B" w:rsidRDefault="00DB613B" w:rsidP="00DB613B">
            <w:pPr>
              <w:pStyle w:val="Marginlie"/>
            </w:pPr>
          </w:p>
          <w:p w14:paraId="3C1B009F" w14:textId="77777777" w:rsidR="00DB613B" w:rsidRDefault="00DB613B" w:rsidP="00DB613B">
            <w:pPr>
              <w:pStyle w:val="Marginlie"/>
            </w:pPr>
          </w:p>
          <w:p w14:paraId="72F3A522" w14:textId="77777777" w:rsidR="00DB613B" w:rsidRDefault="00DB613B" w:rsidP="00DB613B">
            <w:pPr>
              <w:pStyle w:val="Marginlie"/>
            </w:pPr>
            <w:r>
              <w:t>Důvěra podnikatelů v průmyslu během roku slábla a v listopadu sestoupila na nejnižší úroveň po srpnu 2013.</w:t>
            </w:r>
          </w:p>
          <w:p w14:paraId="50547B10" w14:textId="77777777" w:rsidR="00DB613B" w:rsidRDefault="00DB613B" w:rsidP="00DB613B">
            <w:pPr>
              <w:pStyle w:val="Marginlie"/>
            </w:pPr>
          </w:p>
        </w:tc>
        <w:tc>
          <w:tcPr>
            <w:tcW w:w="206" w:type="dxa"/>
            <w:shd w:val="clear" w:color="auto" w:fill="auto"/>
            <w:tcMar>
              <w:left w:w="0" w:type="dxa"/>
            </w:tcMar>
          </w:tcPr>
          <w:p w14:paraId="5401ECB4" w14:textId="77777777" w:rsidR="00DB613B" w:rsidRDefault="00DB613B" w:rsidP="00DB613B">
            <w:pPr>
              <w:pStyle w:val="Textpoznpodarou"/>
              <w:jc w:val="both"/>
              <w:rPr>
                <w:spacing w:val="-4"/>
              </w:rPr>
            </w:pPr>
          </w:p>
        </w:tc>
        <w:tc>
          <w:tcPr>
            <w:tcW w:w="7674" w:type="dxa"/>
            <w:shd w:val="clear" w:color="auto" w:fill="auto"/>
            <w:tcMar>
              <w:left w:w="0" w:type="dxa"/>
            </w:tcMar>
          </w:tcPr>
          <w:p w14:paraId="68E291B3" w14:textId="0812ED3C" w:rsidR="00DB613B" w:rsidRPr="00DB613B" w:rsidRDefault="00DB613B" w:rsidP="00DB613B">
            <w:pPr>
              <w:spacing w:after="200"/>
              <w:rPr>
                <w:color w:val="0D0D0D" w:themeColor="text1" w:themeTint="F2"/>
              </w:rPr>
            </w:pPr>
            <w:r w:rsidRPr="00DB613B">
              <w:rPr>
                <w:color w:val="0D0D0D" w:themeColor="text1" w:themeTint="F2"/>
              </w:rPr>
              <w:t>Hodnota průmyslových zakázek</w:t>
            </w:r>
            <w:r w:rsidRPr="00DB613B">
              <w:rPr>
                <w:rStyle w:val="Znakapoznpodarou"/>
              </w:rPr>
              <w:footnoteReference w:id="32"/>
            </w:r>
            <w:r w:rsidRPr="00DB613B">
              <w:rPr>
                <w:color w:val="0D0D0D" w:themeColor="text1" w:themeTint="F2"/>
              </w:rPr>
              <w:t xml:space="preserve"> ze zahraničí ve 4. čtvrtletí meziročně klesla o 5,7 %, z tuzemska se snížila o 2,8 %. Růst celkových zakázek signalizovaly ze sledovaných </w:t>
            </w:r>
            <w:r w:rsidRPr="00DB613B">
              <w:rPr>
                <w:color w:val="0D0D0D" w:themeColor="text1" w:themeTint="F2"/>
              </w:rPr>
              <w:lastRenderedPageBreak/>
              <w:t xml:space="preserve">odvětví jen elektrotechnický, farmaceutický a oděvní průmysl. Slabší poptávka se odrazila v mírném poklesu využití výrobních kapacit v celém průmyslu (za 2. pololetí o 2 p. b.), přesto zůstala i na konci roku vysoká (84 %, po sezónním očištění), hlavně zásluhou automobilového (93 %), chemického, dřevozpracujícího a papírenského průmyslu. Sezónně očištěné saldo </w:t>
            </w:r>
            <w:r w:rsidRPr="00DB613B">
              <w:rPr>
                <w:rFonts w:cs="Arial"/>
                <w:color w:val="0D0D0D" w:themeColor="text1" w:themeTint="F2"/>
              </w:rPr>
              <w:t>indikátoru důvěry v průmyslu sestoupilo v březnu 2019 po více než pěti letech do záporného pásma a</w:t>
            </w:r>
            <w:r w:rsidRPr="00DB613B">
              <w:t> </w:t>
            </w:r>
            <w:r w:rsidRPr="00DB613B">
              <w:rPr>
                <w:rFonts w:cs="Arial"/>
                <w:color w:val="0D0D0D" w:themeColor="text1" w:themeTint="F2"/>
              </w:rPr>
              <w:t xml:space="preserve">na počátku 4. čtvrtletí se lehký pesimismus dále prohloubil (na </w:t>
            </w:r>
            <w:r w:rsidRPr="00DB613B">
              <w:rPr>
                <w:color w:val="0D0D0D" w:themeColor="text1" w:themeTint="F2"/>
              </w:rPr>
              <w:t>–6,7 p. b. v listopadu, minimum po srpnu 2013)</w:t>
            </w:r>
            <w:r w:rsidRPr="00DB613B">
              <w:rPr>
                <w:rFonts w:cs="Arial"/>
                <w:color w:val="0D0D0D" w:themeColor="text1" w:themeTint="F2"/>
              </w:rPr>
              <w:t xml:space="preserve">. Nejvýznamnější bariérou růstu průmyslových podniků se stala od poloviny roku 2019 opět nedostatečná poptávka </w:t>
            </w:r>
            <w:r w:rsidRPr="00DB613B">
              <w:rPr>
                <w:color w:val="000000" w:themeColor="text1"/>
              </w:rPr>
              <w:t xml:space="preserve">– </w:t>
            </w:r>
            <w:r w:rsidRPr="00DB613B">
              <w:rPr>
                <w:rFonts w:cs="Arial"/>
                <w:color w:val="0D0D0D" w:themeColor="text1" w:themeTint="F2"/>
              </w:rPr>
              <w:t xml:space="preserve">na počátku 1. čtvrtletí 2020 ji naznačovalo 50 % podniků, nejvíce od půle roku 2014. Naopak role nedostatku pracovní síly klesla meziročně ze 39 % na 28 % </w:t>
            </w:r>
            <w:r w:rsidRPr="00DB613B">
              <w:rPr>
                <w:color w:val="000000" w:themeColor="text1"/>
              </w:rPr>
              <w:t xml:space="preserve">– </w:t>
            </w:r>
            <w:r w:rsidRPr="00DB613B">
              <w:rPr>
                <w:rFonts w:cs="Arial"/>
                <w:color w:val="0D0D0D" w:themeColor="text1" w:themeTint="F2"/>
              </w:rPr>
              <w:t>na nejnižší úroveň za poslední tři a půl roku. Očekávání podniků ohledně krátkodobého vývoje zaměstnanosti zůstala na přelomu let 2019 a 2020 mírně negativní</w:t>
            </w:r>
            <w:r w:rsidRPr="00DB613B">
              <w:rPr>
                <w:rStyle w:val="Znakapoznpodarou"/>
              </w:rPr>
              <w:footnoteReference w:id="33"/>
            </w:r>
            <w:r w:rsidRPr="00DB613B">
              <w:rPr>
                <w:rFonts w:cs="Arial"/>
                <w:color w:val="0D0D0D" w:themeColor="text1" w:themeTint="F2"/>
              </w:rPr>
              <w:t xml:space="preserve">. </w:t>
            </w:r>
          </w:p>
        </w:tc>
      </w:tr>
      <w:tr w:rsidR="00DB613B" w:rsidRPr="0041745D" w14:paraId="3A79562F" w14:textId="77777777" w:rsidTr="00A746C9">
        <w:trPr>
          <w:trHeight w:val="170"/>
        </w:trPr>
        <w:tc>
          <w:tcPr>
            <w:tcW w:w="1764" w:type="dxa"/>
            <w:vMerge w:val="restart"/>
            <w:shd w:val="clear" w:color="auto" w:fill="auto"/>
            <w:tcMar>
              <w:left w:w="0" w:type="dxa"/>
            </w:tcMar>
          </w:tcPr>
          <w:p w14:paraId="0C1232BE" w14:textId="77777777" w:rsidR="00DB613B" w:rsidRDefault="00DB613B" w:rsidP="00DB613B">
            <w:pPr>
              <w:pStyle w:val="Marginlie"/>
            </w:pPr>
          </w:p>
        </w:tc>
        <w:tc>
          <w:tcPr>
            <w:tcW w:w="206" w:type="dxa"/>
            <w:vMerge w:val="restart"/>
            <w:shd w:val="clear" w:color="auto" w:fill="auto"/>
            <w:tcMar>
              <w:left w:w="0" w:type="dxa"/>
            </w:tcMar>
          </w:tcPr>
          <w:p w14:paraId="3131487D" w14:textId="77777777" w:rsidR="00DB613B" w:rsidRDefault="00DB613B" w:rsidP="00DB613B">
            <w:pPr>
              <w:pStyle w:val="Textpoznpodarou"/>
              <w:jc w:val="both"/>
              <w:rPr>
                <w:spacing w:val="-4"/>
              </w:rPr>
            </w:pPr>
          </w:p>
        </w:tc>
        <w:tc>
          <w:tcPr>
            <w:tcW w:w="7674" w:type="dxa"/>
            <w:shd w:val="clear" w:color="auto" w:fill="auto"/>
            <w:tcMar>
              <w:left w:w="0" w:type="dxa"/>
            </w:tcMar>
          </w:tcPr>
          <w:p w14:paraId="4AB6B65B" w14:textId="5D9388CD" w:rsidR="00DB613B" w:rsidRPr="00DB613B" w:rsidRDefault="00DB613B" w:rsidP="00DB613B">
            <w:pPr>
              <w:pStyle w:val="Textpoznpodarou"/>
              <w:spacing w:line="276" w:lineRule="auto"/>
              <w:rPr>
                <w:b/>
              </w:rPr>
            </w:pPr>
            <w:r w:rsidRPr="00DB613B">
              <w:rPr>
                <w:b/>
              </w:rPr>
              <w:t>Graf č. 5  Nové zakázky v automobilovém průmyslu, v průmyslu celkem</w:t>
            </w:r>
          </w:p>
          <w:p w14:paraId="5E7E9DD1" w14:textId="77777777" w:rsidR="00DB613B" w:rsidRPr="00DB613B" w:rsidRDefault="00DB613B" w:rsidP="00DB613B">
            <w:pPr>
              <w:spacing w:after="0"/>
              <w:rPr>
                <w:b/>
                <w:sz w:val="18"/>
                <w:szCs w:val="18"/>
              </w:rPr>
            </w:pPr>
            <w:r w:rsidRPr="00DB613B">
              <w:rPr>
                <w:bCs/>
              </w:rPr>
              <w:t xml:space="preserve">(v běžných cenách, </w:t>
            </w:r>
            <w:r w:rsidRPr="00DB613B">
              <w:t>meziročně</w:t>
            </w:r>
            <w:r w:rsidRPr="00DB613B">
              <w:rPr>
                <w:bCs/>
              </w:rPr>
              <w:t xml:space="preserve"> v %)</w:t>
            </w:r>
            <w:r w:rsidRPr="00DB613B">
              <w:rPr>
                <w:b/>
              </w:rPr>
              <w:t xml:space="preserve">, saldo indikátoru důvěry v průmyslu* </w:t>
            </w:r>
            <w:r w:rsidRPr="00DB613B">
              <w:t xml:space="preserve">(v p. b.) </w:t>
            </w:r>
            <w:r w:rsidRPr="00DB613B">
              <w:rPr>
                <w:b/>
              </w:rPr>
              <w:t>a využití výrobních kapacit v průmyslu*</w:t>
            </w:r>
            <w:r w:rsidRPr="00DB613B">
              <w:t xml:space="preserve"> (v %, pravá osa)</w:t>
            </w:r>
          </w:p>
        </w:tc>
      </w:tr>
      <w:tr w:rsidR="00DB613B" w:rsidRPr="00970E6F" w14:paraId="083A754A" w14:textId="77777777" w:rsidTr="008D1E0A">
        <w:tblPrEx>
          <w:tblCellMar>
            <w:left w:w="70" w:type="dxa"/>
            <w:right w:w="70" w:type="dxa"/>
          </w:tblCellMar>
        </w:tblPrEx>
        <w:trPr>
          <w:trHeight w:val="170"/>
        </w:trPr>
        <w:tc>
          <w:tcPr>
            <w:tcW w:w="1764" w:type="dxa"/>
            <w:vMerge/>
            <w:shd w:val="clear" w:color="auto" w:fill="auto"/>
          </w:tcPr>
          <w:p w14:paraId="5BEC1B32" w14:textId="77777777" w:rsidR="00DB613B" w:rsidRPr="009110F7" w:rsidRDefault="00DB613B" w:rsidP="00DB613B">
            <w:pPr>
              <w:pStyle w:val="Marginlie"/>
            </w:pPr>
          </w:p>
        </w:tc>
        <w:tc>
          <w:tcPr>
            <w:tcW w:w="206" w:type="dxa"/>
            <w:vMerge/>
            <w:shd w:val="clear" w:color="auto" w:fill="auto"/>
          </w:tcPr>
          <w:p w14:paraId="0BDC2A01" w14:textId="77777777" w:rsidR="00DB613B" w:rsidRPr="009110F7" w:rsidRDefault="00DB613B" w:rsidP="00DB613B">
            <w:pPr>
              <w:pStyle w:val="Textpoznpodarou"/>
              <w:jc w:val="both"/>
              <w:rPr>
                <w:spacing w:val="-4"/>
              </w:rPr>
            </w:pPr>
          </w:p>
        </w:tc>
        <w:tc>
          <w:tcPr>
            <w:tcW w:w="7674" w:type="dxa"/>
            <w:shd w:val="clear" w:color="auto" w:fill="auto"/>
          </w:tcPr>
          <w:p w14:paraId="18441DDD" w14:textId="4AD3CCCA" w:rsidR="00DB613B" w:rsidRPr="00DB613B" w:rsidRDefault="008D1E0A" w:rsidP="00DB613B">
            <w:pPr>
              <w:spacing w:after="0" w:line="240" w:lineRule="auto"/>
              <w:rPr>
                <w:szCs w:val="20"/>
              </w:rPr>
            </w:pPr>
            <w:r>
              <w:rPr>
                <w:noProof/>
              </w:rPr>
              <w:drawing>
                <wp:inline distT="0" distB="0" distL="0" distR="0" wp14:anchorId="3A6431A2" wp14:editId="526B989C">
                  <wp:extent cx="4759549" cy="3553200"/>
                  <wp:effectExtent l="0" t="0" r="3175" b="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DB613B" w:rsidRPr="00DE6706" w14:paraId="7EC6AD85" w14:textId="77777777" w:rsidTr="00A746C9">
        <w:trPr>
          <w:trHeight w:val="170"/>
        </w:trPr>
        <w:tc>
          <w:tcPr>
            <w:tcW w:w="1764" w:type="dxa"/>
            <w:vMerge/>
            <w:shd w:val="clear" w:color="auto" w:fill="auto"/>
            <w:tcMar>
              <w:left w:w="0" w:type="dxa"/>
            </w:tcMar>
          </w:tcPr>
          <w:p w14:paraId="45B24EBB" w14:textId="77777777" w:rsidR="00DB613B" w:rsidRPr="009110F7" w:rsidRDefault="00DB613B" w:rsidP="00DB613B">
            <w:pPr>
              <w:pStyle w:val="Marginlie"/>
            </w:pPr>
          </w:p>
        </w:tc>
        <w:tc>
          <w:tcPr>
            <w:tcW w:w="206" w:type="dxa"/>
            <w:vMerge/>
            <w:shd w:val="clear" w:color="auto" w:fill="auto"/>
            <w:tcMar>
              <w:left w:w="0" w:type="dxa"/>
            </w:tcMar>
          </w:tcPr>
          <w:p w14:paraId="64833446" w14:textId="77777777" w:rsidR="00DB613B" w:rsidRPr="009110F7" w:rsidRDefault="00DB613B" w:rsidP="00DB613B">
            <w:pPr>
              <w:pStyle w:val="Textpoznpodarou"/>
              <w:jc w:val="both"/>
              <w:rPr>
                <w:spacing w:val="-4"/>
              </w:rPr>
            </w:pPr>
          </w:p>
        </w:tc>
        <w:tc>
          <w:tcPr>
            <w:tcW w:w="7674" w:type="dxa"/>
            <w:shd w:val="clear" w:color="auto" w:fill="auto"/>
            <w:tcMar>
              <w:left w:w="0" w:type="dxa"/>
            </w:tcMar>
          </w:tcPr>
          <w:p w14:paraId="3EC24A16" w14:textId="01918F79" w:rsidR="008D1E0A" w:rsidRDefault="00DB613B" w:rsidP="008D1E0A">
            <w:pPr>
              <w:spacing w:after="0"/>
              <w:rPr>
                <w:rFonts w:cs="Arial"/>
                <w:sz w:val="14"/>
                <w:szCs w:val="14"/>
              </w:rPr>
            </w:pPr>
            <w:r w:rsidRPr="00DB613B">
              <w:rPr>
                <w:rFonts w:cs="Arial"/>
                <w:sz w:val="14"/>
                <w:szCs w:val="14"/>
              </w:rPr>
              <w:t>*Údaje jsou sezónně očišt</w:t>
            </w:r>
            <w:r w:rsidR="008D1E0A">
              <w:rPr>
                <w:rFonts w:cs="Arial"/>
                <w:sz w:val="14"/>
                <w:szCs w:val="14"/>
              </w:rPr>
              <w:t>ěny.</w:t>
            </w:r>
          </w:p>
          <w:p w14:paraId="18794131" w14:textId="5C0B7632" w:rsidR="00DB613B" w:rsidRPr="00DB613B" w:rsidRDefault="00DB613B" w:rsidP="00DB613B">
            <w:pPr>
              <w:spacing w:after="200"/>
              <w:rPr>
                <w:rFonts w:cs="Arial"/>
                <w:sz w:val="14"/>
                <w:szCs w:val="14"/>
              </w:rPr>
            </w:pPr>
            <w:r w:rsidRPr="00DB613B">
              <w:rPr>
                <w:rFonts w:cs="Arial"/>
                <w:sz w:val="14"/>
                <w:szCs w:val="14"/>
              </w:rPr>
              <w:t>Zdroj: ČSÚ</w:t>
            </w:r>
          </w:p>
        </w:tc>
      </w:tr>
      <w:tr w:rsidR="00DB613B" w14:paraId="3293257E" w14:textId="77777777" w:rsidTr="00A746C9">
        <w:trPr>
          <w:trHeight w:val="145"/>
        </w:trPr>
        <w:tc>
          <w:tcPr>
            <w:tcW w:w="1764" w:type="dxa"/>
            <w:shd w:val="clear" w:color="auto" w:fill="auto"/>
            <w:tcMar>
              <w:left w:w="0" w:type="dxa"/>
            </w:tcMar>
          </w:tcPr>
          <w:p w14:paraId="26FBB46A" w14:textId="724390D1" w:rsidR="00DB613B" w:rsidRDefault="00DB613B" w:rsidP="00DB613B">
            <w:pPr>
              <w:pStyle w:val="Marginlie"/>
            </w:pPr>
            <w:r>
              <w:t xml:space="preserve">Růst stavební produkce pokračoval již třetím rokem. Táhlo ho především pozemní stavitelství. </w:t>
            </w:r>
          </w:p>
        </w:tc>
        <w:tc>
          <w:tcPr>
            <w:tcW w:w="206" w:type="dxa"/>
            <w:shd w:val="clear" w:color="auto" w:fill="auto"/>
            <w:tcMar>
              <w:left w:w="0" w:type="dxa"/>
            </w:tcMar>
          </w:tcPr>
          <w:p w14:paraId="21450BF8" w14:textId="77777777" w:rsidR="00DB613B" w:rsidRPr="002A4B98" w:rsidRDefault="00DB613B" w:rsidP="00DB613B">
            <w:pPr>
              <w:pStyle w:val="Textpoznpodarou"/>
              <w:jc w:val="both"/>
              <w:rPr>
                <w:spacing w:val="-3"/>
              </w:rPr>
            </w:pPr>
          </w:p>
        </w:tc>
        <w:tc>
          <w:tcPr>
            <w:tcW w:w="7674" w:type="dxa"/>
            <w:shd w:val="clear" w:color="auto" w:fill="auto"/>
            <w:tcMar>
              <w:left w:w="0" w:type="dxa"/>
            </w:tcMar>
          </w:tcPr>
          <w:p w14:paraId="70E8EB2E" w14:textId="251796BE" w:rsidR="00DB613B" w:rsidRPr="00DB613B" w:rsidRDefault="00DB613B" w:rsidP="00DB613B">
            <w:pPr>
              <w:pStyle w:val="Textpoznpodarou"/>
              <w:spacing w:after="200" w:line="276" w:lineRule="auto"/>
              <w:jc w:val="both"/>
              <w:rPr>
                <w:color w:val="0D0D0D" w:themeColor="text1" w:themeTint="F2"/>
              </w:rPr>
            </w:pPr>
            <w:r w:rsidRPr="00DB613B">
              <w:rPr>
                <w:color w:val="0D0D0D" w:themeColor="text1" w:themeTint="F2"/>
              </w:rPr>
              <w:t>S</w:t>
            </w:r>
            <w:r w:rsidRPr="00DB613B">
              <w:t>tavební produkce</w:t>
            </w:r>
            <w:r w:rsidRPr="00DB613B">
              <w:rPr>
                <w:rStyle w:val="Znakapoznpodarou"/>
              </w:rPr>
              <w:footnoteReference w:id="34"/>
            </w:r>
            <w:r w:rsidRPr="00DB613B">
              <w:t xml:space="preserve"> vzrostla loni meziročně o 2,6 %</w:t>
            </w:r>
            <w:r w:rsidRPr="00DB613B">
              <w:rPr>
                <w:rStyle w:val="Znakapoznpodarou"/>
              </w:rPr>
              <w:footnoteReference w:id="35"/>
            </w:r>
            <w:r w:rsidRPr="00DB613B">
              <w:t xml:space="preserve">, posilovala třetím rokem v řadě. Ve srovnání s tempem z roku 2018 (+9,1 %) šlo ale o citelné zvolnění. Tehdy bylo celé odvětví podpořeno výrazným zrychlením čerpání eurofondů, tento faktor se loni projevoval v menší míře. Na rozdíl od průmyslu byla situace ve stavebnictví po celý rok 2019 stabilní – jak z pohledu výkonu, tak i očekávané poptávky. Inženýrské stavitelství rostlo o 4,0 %, celé odvětví bylo ale taženo, stejně jako v roce 2018, hlavně pozemním stavitelstvím (+2,1 %, příspěvek +1,5 p. b.). </w:t>
            </w:r>
          </w:p>
        </w:tc>
      </w:tr>
      <w:tr w:rsidR="00DB613B" w:rsidRPr="001A21A7" w14:paraId="34A4BCC7" w14:textId="77777777" w:rsidTr="00A746C9">
        <w:trPr>
          <w:trHeight w:val="170"/>
        </w:trPr>
        <w:tc>
          <w:tcPr>
            <w:tcW w:w="1764" w:type="dxa"/>
            <w:vMerge w:val="restart"/>
            <w:shd w:val="clear" w:color="auto" w:fill="auto"/>
            <w:tcMar>
              <w:left w:w="0" w:type="dxa"/>
            </w:tcMar>
          </w:tcPr>
          <w:p w14:paraId="20D59A19" w14:textId="77777777" w:rsidR="00DB613B" w:rsidRDefault="00DB613B" w:rsidP="00DB613B">
            <w:pPr>
              <w:pStyle w:val="Marginlie"/>
            </w:pPr>
          </w:p>
        </w:tc>
        <w:tc>
          <w:tcPr>
            <w:tcW w:w="206" w:type="dxa"/>
            <w:vMerge w:val="restart"/>
            <w:shd w:val="clear" w:color="auto" w:fill="auto"/>
            <w:tcMar>
              <w:left w:w="0" w:type="dxa"/>
            </w:tcMar>
          </w:tcPr>
          <w:p w14:paraId="3D8583A7" w14:textId="77777777" w:rsidR="00DB613B" w:rsidRDefault="00DB613B" w:rsidP="00DB613B">
            <w:pPr>
              <w:pStyle w:val="Textpoznpodarou"/>
              <w:jc w:val="both"/>
              <w:rPr>
                <w:spacing w:val="-4"/>
              </w:rPr>
            </w:pPr>
          </w:p>
        </w:tc>
        <w:tc>
          <w:tcPr>
            <w:tcW w:w="7674" w:type="dxa"/>
            <w:shd w:val="clear" w:color="auto" w:fill="auto"/>
            <w:tcMar>
              <w:left w:w="0" w:type="dxa"/>
            </w:tcMar>
          </w:tcPr>
          <w:p w14:paraId="5B948561" w14:textId="77777777" w:rsidR="008D1E0A" w:rsidRDefault="00DB613B" w:rsidP="00DB613B">
            <w:pPr>
              <w:spacing w:after="0"/>
              <w:jc w:val="left"/>
              <w:rPr>
                <w:b/>
                <w:bCs/>
              </w:rPr>
            </w:pPr>
            <w:r w:rsidRPr="00DB613B">
              <w:rPr>
                <w:b/>
              </w:rPr>
              <w:t xml:space="preserve">Graf č. 6  Příspěvky odvětví k meziroční změně stavební produkce </w:t>
            </w:r>
            <w:r w:rsidRPr="00DB613B">
              <w:t>(v p. b.)</w:t>
            </w:r>
            <w:r w:rsidRPr="00DB613B">
              <w:rPr>
                <w:b/>
                <w:bCs/>
              </w:rPr>
              <w:t xml:space="preserve">, </w:t>
            </w:r>
          </w:p>
          <w:p w14:paraId="46187DF3" w14:textId="1121DFD4" w:rsidR="00DB613B" w:rsidRPr="00DB613B" w:rsidRDefault="00DB613B" w:rsidP="00DB613B">
            <w:pPr>
              <w:spacing w:after="0"/>
              <w:jc w:val="left"/>
              <w:rPr>
                <w:b/>
              </w:rPr>
            </w:pPr>
            <w:r w:rsidRPr="00DB613B">
              <w:rPr>
                <w:b/>
              </w:rPr>
              <w:t xml:space="preserve">nové </w:t>
            </w:r>
            <w:r w:rsidR="008D1E0A">
              <w:rPr>
                <w:b/>
              </w:rPr>
              <w:t xml:space="preserve">stavební </w:t>
            </w:r>
            <w:r w:rsidRPr="00DB613B">
              <w:rPr>
                <w:b/>
              </w:rPr>
              <w:t xml:space="preserve">zakázky </w:t>
            </w:r>
            <w:r w:rsidRPr="00DB613B">
              <w:rPr>
                <w:bCs/>
              </w:rPr>
              <w:t>(</w:t>
            </w:r>
            <w:r w:rsidRPr="00DB613B">
              <w:t>meziročně</w:t>
            </w:r>
            <w:r w:rsidRPr="00DB613B">
              <w:rPr>
                <w:bCs/>
              </w:rPr>
              <w:t xml:space="preserve"> v %</w:t>
            </w:r>
            <w:r w:rsidR="008D1E0A" w:rsidRPr="00DB613B">
              <w:t>, pravá osa</w:t>
            </w:r>
            <w:r w:rsidRPr="00DB613B">
              <w:rPr>
                <w:bCs/>
              </w:rPr>
              <w:t>)</w:t>
            </w:r>
            <w:r w:rsidRPr="00DB613B">
              <w:rPr>
                <w:b/>
              </w:rPr>
              <w:t>, saldo indikátoru důvěry ve stavebnictví*</w:t>
            </w:r>
            <w:r w:rsidRPr="00DB613B">
              <w:t xml:space="preserve"> (v p. b., pravá osa) </w:t>
            </w:r>
            <w:r w:rsidRPr="00DB613B">
              <w:rPr>
                <w:b/>
              </w:rPr>
              <w:t>a vybrané bariéry růstu</w:t>
            </w:r>
            <w:r w:rsidRPr="00DB613B">
              <w:t>* (v %, pravá osa)</w:t>
            </w:r>
          </w:p>
        </w:tc>
      </w:tr>
      <w:tr w:rsidR="00DB613B" w:rsidRPr="00B4411A" w14:paraId="487C8A4F" w14:textId="77777777" w:rsidTr="008D1E0A">
        <w:tblPrEx>
          <w:tblCellMar>
            <w:left w:w="70" w:type="dxa"/>
            <w:right w:w="70" w:type="dxa"/>
          </w:tblCellMar>
        </w:tblPrEx>
        <w:trPr>
          <w:trHeight w:val="170"/>
        </w:trPr>
        <w:tc>
          <w:tcPr>
            <w:tcW w:w="1764" w:type="dxa"/>
            <w:vMerge/>
            <w:shd w:val="clear" w:color="auto" w:fill="auto"/>
          </w:tcPr>
          <w:p w14:paraId="2EEAEE8B" w14:textId="77777777" w:rsidR="00DB613B" w:rsidRPr="009110F7" w:rsidRDefault="00DB613B" w:rsidP="00DB613B">
            <w:pPr>
              <w:pStyle w:val="Marginlie"/>
            </w:pPr>
          </w:p>
        </w:tc>
        <w:tc>
          <w:tcPr>
            <w:tcW w:w="206" w:type="dxa"/>
            <w:vMerge/>
            <w:shd w:val="clear" w:color="auto" w:fill="auto"/>
          </w:tcPr>
          <w:p w14:paraId="05CE1295" w14:textId="77777777" w:rsidR="00DB613B" w:rsidRPr="009110F7" w:rsidRDefault="00DB613B" w:rsidP="00DB613B">
            <w:pPr>
              <w:pStyle w:val="Textpoznpodarou"/>
              <w:jc w:val="both"/>
              <w:rPr>
                <w:spacing w:val="-4"/>
              </w:rPr>
            </w:pPr>
          </w:p>
        </w:tc>
        <w:tc>
          <w:tcPr>
            <w:tcW w:w="7674" w:type="dxa"/>
            <w:shd w:val="clear" w:color="auto" w:fill="auto"/>
          </w:tcPr>
          <w:p w14:paraId="4DAB8790" w14:textId="4A513ABD" w:rsidR="00DB613B" w:rsidRPr="00DB613B" w:rsidRDefault="008D1E0A" w:rsidP="00DB613B">
            <w:pPr>
              <w:spacing w:after="0"/>
            </w:pPr>
            <w:r>
              <w:rPr>
                <w:noProof/>
              </w:rPr>
              <w:drawing>
                <wp:inline distT="0" distB="0" distL="0" distR="0" wp14:anchorId="29474F49" wp14:editId="5FD74BA2">
                  <wp:extent cx="4749121" cy="3623323"/>
                  <wp:effectExtent l="0" t="0" r="0" b="0"/>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DB613B" w:rsidRPr="004621FE" w14:paraId="411C4F56" w14:textId="77777777" w:rsidTr="00A746C9">
        <w:trPr>
          <w:trHeight w:val="170"/>
        </w:trPr>
        <w:tc>
          <w:tcPr>
            <w:tcW w:w="1764" w:type="dxa"/>
            <w:vMerge/>
            <w:shd w:val="clear" w:color="auto" w:fill="auto"/>
            <w:tcMar>
              <w:left w:w="0" w:type="dxa"/>
            </w:tcMar>
          </w:tcPr>
          <w:p w14:paraId="6CD2E139" w14:textId="77777777" w:rsidR="00DB613B" w:rsidRPr="009110F7" w:rsidRDefault="00DB613B" w:rsidP="00DB613B">
            <w:pPr>
              <w:pStyle w:val="Marginlie"/>
            </w:pPr>
          </w:p>
        </w:tc>
        <w:tc>
          <w:tcPr>
            <w:tcW w:w="206" w:type="dxa"/>
            <w:vMerge/>
            <w:shd w:val="clear" w:color="auto" w:fill="auto"/>
            <w:tcMar>
              <w:left w:w="0" w:type="dxa"/>
            </w:tcMar>
          </w:tcPr>
          <w:p w14:paraId="71173074" w14:textId="77777777" w:rsidR="00DB613B" w:rsidRPr="009110F7" w:rsidRDefault="00DB613B" w:rsidP="00DB613B">
            <w:pPr>
              <w:pStyle w:val="Textpoznpodarou"/>
              <w:jc w:val="both"/>
              <w:rPr>
                <w:spacing w:val="-4"/>
              </w:rPr>
            </w:pPr>
          </w:p>
        </w:tc>
        <w:tc>
          <w:tcPr>
            <w:tcW w:w="7674" w:type="dxa"/>
            <w:shd w:val="clear" w:color="auto" w:fill="auto"/>
            <w:tcMar>
              <w:left w:w="0" w:type="dxa"/>
            </w:tcMar>
          </w:tcPr>
          <w:p w14:paraId="21AACFF3" w14:textId="77777777" w:rsidR="00DB613B" w:rsidRPr="00DB613B" w:rsidRDefault="00DB613B" w:rsidP="00DB613B">
            <w:pPr>
              <w:spacing w:after="0"/>
              <w:rPr>
                <w:rFonts w:cs="Arial"/>
                <w:sz w:val="14"/>
                <w:szCs w:val="14"/>
              </w:rPr>
            </w:pPr>
            <w:r w:rsidRPr="00DB613B">
              <w:rPr>
                <w:rFonts w:cs="Arial"/>
                <w:sz w:val="14"/>
                <w:szCs w:val="14"/>
              </w:rPr>
              <w:t>Údaje o stavební produkci jsou očištěny o kalendářní vlivy.</w:t>
            </w:r>
          </w:p>
          <w:p w14:paraId="6B8B40B8" w14:textId="717BD401" w:rsidR="008D1E0A" w:rsidRDefault="00DB613B" w:rsidP="008D1E0A">
            <w:pPr>
              <w:spacing w:after="0"/>
              <w:rPr>
                <w:rFonts w:cs="Arial"/>
                <w:sz w:val="14"/>
                <w:szCs w:val="14"/>
              </w:rPr>
            </w:pPr>
            <w:r w:rsidRPr="00DB613B">
              <w:rPr>
                <w:rFonts w:cs="Arial"/>
                <w:sz w:val="14"/>
                <w:szCs w:val="14"/>
              </w:rPr>
              <w:t>*Údaje j</w:t>
            </w:r>
            <w:r w:rsidR="008D1E0A">
              <w:rPr>
                <w:rFonts w:cs="Arial"/>
                <w:sz w:val="14"/>
                <w:szCs w:val="14"/>
              </w:rPr>
              <w:t>sou sezónně očištěny.</w:t>
            </w:r>
          </w:p>
          <w:p w14:paraId="30F84FDB" w14:textId="158A0916" w:rsidR="00DB613B" w:rsidRPr="00DB613B" w:rsidRDefault="00DB613B" w:rsidP="00DB613B">
            <w:pPr>
              <w:spacing w:after="200"/>
              <w:rPr>
                <w:rFonts w:cs="Arial"/>
                <w:sz w:val="14"/>
                <w:szCs w:val="14"/>
              </w:rPr>
            </w:pPr>
            <w:r w:rsidRPr="00DB613B">
              <w:rPr>
                <w:rFonts w:cs="Arial"/>
                <w:sz w:val="14"/>
                <w:szCs w:val="14"/>
              </w:rPr>
              <w:t>Zdroj: ČSÚ</w:t>
            </w:r>
          </w:p>
        </w:tc>
      </w:tr>
      <w:tr w:rsidR="00DB613B" w14:paraId="3A5370EC" w14:textId="77777777" w:rsidTr="00A746C9">
        <w:trPr>
          <w:trHeight w:val="145"/>
        </w:trPr>
        <w:tc>
          <w:tcPr>
            <w:tcW w:w="1764" w:type="dxa"/>
            <w:shd w:val="clear" w:color="auto" w:fill="auto"/>
            <w:tcMar>
              <w:left w:w="0" w:type="dxa"/>
            </w:tcMar>
          </w:tcPr>
          <w:p w14:paraId="30FBB93E" w14:textId="77777777" w:rsidR="00DB613B" w:rsidRDefault="00DB613B" w:rsidP="00DB613B">
            <w:pPr>
              <w:pStyle w:val="Marginlie"/>
            </w:pPr>
            <w:r>
              <w:t>K akceleraci bytové výstavby přispěly loni téměř výhradně byty v bytových domech.</w:t>
            </w:r>
          </w:p>
          <w:p w14:paraId="43FE4129" w14:textId="77777777" w:rsidR="00DB613B" w:rsidRDefault="00DB613B" w:rsidP="00DB613B">
            <w:pPr>
              <w:pStyle w:val="Marginlie"/>
            </w:pPr>
          </w:p>
        </w:tc>
        <w:tc>
          <w:tcPr>
            <w:tcW w:w="206" w:type="dxa"/>
            <w:shd w:val="clear" w:color="auto" w:fill="auto"/>
            <w:tcMar>
              <w:left w:w="0" w:type="dxa"/>
            </w:tcMar>
          </w:tcPr>
          <w:p w14:paraId="0C16A03C" w14:textId="77777777" w:rsidR="00DB613B" w:rsidRPr="009110F7" w:rsidRDefault="00DB613B" w:rsidP="00DB613B">
            <w:pPr>
              <w:pStyle w:val="Textpoznpodarou"/>
              <w:jc w:val="both"/>
              <w:rPr>
                <w:spacing w:val="-4"/>
              </w:rPr>
            </w:pPr>
          </w:p>
        </w:tc>
        <w:tc>
          <w:tcPr>
            <w:tcW w:w="7674" w:type="dxa"/>
            <w:shd w:val="clear" w:color="auto" w:fill="auto"/>
            <w:tcMar>
              <w:left w:w="0" w:type="dxa"/>
            </w:tcMar>
          </w:tcPr>
          <w:p w14:paraId="5B0DC535" w14:textId="77777777" w:rsidR="00DB613B" w:rsidRPr="00DB613B" w:rsidRDefault="00DB613B" w:rsidP="00DB613B">
            <w:pPr>
              <w:spacing w:after="200"/>
              <w:rPr>
                <w:color w:val="0D0D0D" w:themeColor="text1" w:themeTint="F2"/>
                <w:szCs w:val="20"/>
              </w:rPr>
            </w:pPr>
            <w:r w:rsidRPr="00DB613B">
              <w:rPr>
                <w:color w:val="0D0D0D" w:themeColor="text1" w:themeTint="F2"/>
              </w:rPr>
              <w:t>Ve výkonech pozemního stavitelství se odrážel pokračující rozvoj bytové výstavby. V roce 2019 bylo zahájeno 38,7 tis. bytů, růst výstavby přetrvával již šestým rokem (roční nabídka nových bytů se za toto období zvýšila o 75 %, proti vrcholu konjunktury byla ale stále o osminu nižší). Z drtivé většiny to bylo zásluhou vyššího počtu bytů v bytových domech (+5,2 tis.), jejichž výstavba v roce 2018 stagnovala. Více se loni prosazovaly i „administrativně méně náročné“ formy výstavby – stavební úpravou nebytových prostor bylo zahájeno nejvíce bytů po roce 2005 (1154). Naproti tomu v domovech pro seniory takto vzniklo nejméně bytů v novodobé historii (301). Na růstu všech zahájených bytů v roce 2019 se nejvíce podílela Praha</w:t>
            </w:r>
            <w:r w:rsidRPr="00DB613B">
              <w:rPr>
                <w:rStyle w:val="Znakapoznpodarou"/>
              </w:rPr>
              <w:footnoteReference w:id="36"/>
            </w:r>
            <w:r w:rsidRPr="00DB613B">
              <w:rPr>
                <w:color w:val="0D0D0D" w:themeColor="text1" w:themeTint="F2"/>
              </w:rPr>
              <w:t xml:space="preserve"> (ze dvou pětin), významněji přispěly i Liberecký a Moravskoslezský kraj.</w:t>
            </w:r>
          </w:p>
        </w:tc>
      </w:tr>
      <w:tr w:rsidR="00DB613B" w14:paraId="51418063" w14:textId="77777777" w:rsidTr="00A746C9">
        <w:trPr>
          <w:trHeight w:val="145"/>
        </w:trPr>
        <w:tc>
          <w:tcPr>
            <w:tcW w:w="1764" w:type="dxa"/>
            <w:shd w:val="clear" w:color="auto" w:fill="auto"/>
            <w:tcMar>
              <w:left w:w="0" w:type="dxa"/>
            </w:tcMar>
          </w:tcPr>
          <w:p w14:paraId="2E1FF270" w14:textId="77777777" w:rsidR="00DB613B" w:rsidRPr="00190B89" w:rsidRDefault="00DB613B" w:rsidP="00DB613B">
            <w:pPr>
              <w:pStyle w:val="Marginlie"/>
              <w:rPr>
                <w:spacing w:val="-6"/>
              </w:rPr>
            </w:pPr>
            <w:r w:rsidRPr="00190B89">
              <w:rPr>
                <w:spacing w:val="-6"/>
              </w:rPr>
              <w:t>Hodnota nových zakázek</w:t>
            </w:r>
          </w:p>
          <w:p w14:paraId="1AA49153" w14:textId="77777777" w:rsidR="00DB613B" w:rsidRPr="00190B89" w:rsidRDefault="00DB613B" w:rsidP="00DB613B">
            <w:pPr>
              <w:pStyle w:val="Marginlie"/>
              <w:rPr>
                <w:spacing w:val="-6"/>
              </w:rPr>
            </w:pPr>
            <w:r w:rsidRPr="00190B89">
              <w:rPr>
                <w:spacing w:val="-6"/>
              </w:rPr>
              <w:t>v pozemním i inženýrském stavitelství rostla. Pokračoval trend růstu váhy větších projektů.</w:t>
            </w:r>
          </w:p>
          <w:p w14:paraId="3667E070" w14:textId="77777777" w:rsidR="00DB613B" w:rsidRDefault="00DB613B" w:rsidP="00DB613B">
            <w:pPr>
              <w:pStyle w:val="Marginlie"/>
            </w:pPr>
          </w:p>
          <w:p w14:paraId="63867F36" w14:textId="03827170" w:rsidR="00DB613B" w:rsidRDefault="00DB613B" w:rsidP="00DB613B">
            <w:pPr>
              <w:pStyle w:val="Marginlie"/>
            </w:pPr>
          </w:p>
          <w:p w14:paraId="39CB3187" w14:textId="77777777" w:rsidR="00DB613B" w:rsidRPr="00190B89" w:rsidRDefault="00DB613B" w:rsidP="00DB613B">
            <w:pPr>
              <w:pStyle w:val="Marginlie"/>
              <w:rPr>
                <w:spacing w:val="-4"/>
              </w:rPr>
            </w:pPr>
            <w:r w:rsidRPr="00190B89">
              <w:rPr>
                <w:spacing w:val="-4"/>
              </w:rPr>
              <w:t>Saldo důvěry ve stavebnictví zůstávalo po většinu roku mírně pozitivní. Nedostatek pracovníků sužoval pol</w:t>
            </w:r>
            <w:r>
              <w:rPr>
                <w:spacing w:val="-4"/>
              </w:rPr>
              <w:t>ovinu podniků</w:t>
            </w:r>
            <w:r w:rsidRPr="00190B89">
              <w:rPr>
                <w:spacing w:val="-4"/>
              </w:rPr>
              <w:t>.</w:t>
            </w:r>
          </w:p>
          <w:p w14:paraId="4337EBFF" w14:textId="77777777" w:rsidR="00DB613B" w:rsidRDefault="00DB613B" w:rsidP="00DB613B">
            <w:pPr>
              <w:pStyle w:val="Marginlie"/>
            </w:pPr>
          </w:p>
        </w:tc>
        <w:tc>
          <w:tcPr>
            <w:tcW w:w="206" w:type="dxa"/>
            <w:shd w:val="clear" w:color="auto" w:fill="auto"/>
            <w:tcMar>
              <w:left w:w="0" w:type="dxa"/>
            </w:tcMar>
          </w:tcPr>
          <w:p w14:paraId="53657B50" w14:textId="77777777" w:rsidR="00DB613B" w:rsidRPr="009110F7" w:rsidRDefault="00DB613B" w:rsidP="00DB613B">
            <w:pPr>
              <w:pStyle w:val="Textpoznpodarou"/>
              <w:jc w:val="both"/>
              <w:rPr>
                <w:spacing w:val="-4"/>
              </w:rPr>
            </w:pPr>
          </w:p>
        </w:tc>
        <w:tc>
          <w:tcPr>
            <w:tcW w:w="7674" w:type="dxa"/>
            <w:shd w:val="clear" w:color="auto" w:fill="auto"/>
            <w:tcMar>
              <w:left w:w="0" w:type="dxa"/>
            </w:tcMar>
          </w:tcPr>
          <w:p w14:paraId="7738988E" w14:textId="5BF872D4" w:rsidR="00DB613B" w:rsidRPr="00DB613B" w:rsidRDefault="00DB613B" w:rsidP="00DB613B">
            <w:pPr>
              <w:pStyle w:val="Textpoznpodarou"/>
              <w:spacing w:after="200" w:line="276" w:lineRule="auto"/>
              <w:jc w:val="both"/>
              <w:rPr>
                <w:rFonts w:cs="Arial"/>
              </w:rPr>
            </w:pPr>
            <w:r w:rsidRPr="00DB613B">
              <w:t>Hodnota nových tuzemských zakázek (</w:t>
            </w:r>
            <w:r w:rsidRPr="00DB613B">
              <w:rPr>
                <w:rFonts w:cs="Arial"/>
              </w:rPr>
              <w:t>u podniků s více než 50 zaměstnanci) byla ve 4.</w:t>
            </w:r>
            <w:r w:rsidR="00A746C9">
              <w:rPr>
                <w:rFonts w:cs="Arial"/>
              </w:rPr>
              <w:t> </w:t>
            </w:r>
            <w:r w:rsidRPr="00DB613B">
              <w:rPr>
                <w:rFonts w:cs="Arial"/>
              </w:rPr>
              <w:t>čtvrtletí meziročně o 5,8 %vyšší. Podobným tempem rostla poptávka v pozemním i inženýrském stavitelství. Díky rozvoji náročnějších infrastrukturálních projektů i vlivem svižného růstu cen stavebních prací rostla průměrná velikost nově uzavřených zakázek (za celý rok 2019 čítala 4,0 mil. korun, o tři roky dříve 3,0 mil.). Tento trend potvrzovala i statistika stavebních povolení</w:t>
            </w:r>
            <w:r w:rsidRPr="00DB613B">
              <w:rPr>
                <w:rStyle w:val="Znakapoznpodarou"/>
              </w:rPr>
              <w:footnoteReference w:id="37"/>
            </w:r>
            <w:r w:rsidRPr="00DB613B">
              <w:rPr>
                <w:rFonts w:cs="Arial"/>
              </w:rPr>
              <w:t xml:space="preserve">. </w:t>
            </w:r>
            <w:r w:rsidRPr="00DB613B">
              <w:rPr>
                <w:color w:val="0D0D0D" w:themeColor="text1" w:themeTint="F2"/>
              </w:rPr>
              <w:t xml:space="preserve">Celková zásoba práce (ve formě dosud nerealizovaných stavebních zakázek) čítala na konci 4. čtvrtletí 171 mld. korun a meziročně posílila o 11,5 % – primárně vlivem růstu tuzemských veřejných zakázek (zvýšení o pětinu), významně posílily i soukromé zakázky v ČR (o desetinu). Indikátor důvěry manažerů stavebních podniků zůstával po většinu roku 2019 mírně pozitivní, maxima dosáhl v lednu (+5,5 bodu), kdy překonal dosud rekordní optimismus z roku </w:t>
            </w:r>
            <w:r w:rsidRPr="00DB613B">
              <w:rPr>
                <w:color w:val="0D0D0D" w:themeColor="text1" w:themeTint="F2"/>
              </w:rPr>
              <w:lastRenderedPageBreak/>
              <w:t>2005. Hlavní růstovou bariérou stavebnictví zůstával již pět čtvrtletí nedostatek pracovní síly. Ten se na počátku roku 2020 týkal 48 % podniků (v srpnu 2019 dosud rekordních 55 %). Nedostatečná poptávka sužovala 29 % firem, její váha během loňského roku ale rostla jen mírně.</w:t>
            </w:r>
          </w:p>
        </w:tc>
      </w:tr>
      <w:tr w:rsidR="00DB613B" w14:paraId="394D26C8" w14:textId="77777777" w:rsidTr="00A746C9">
        <w:trPr>
          <w:trHeight w:val="145"/>
        </w:trPr>
        <w:tc>
          <w:tcPr>
            <w:tcW w:w="1764" w:type="dxa"/>
            <w:shd w:val="clear" w:color="auto" w:fill="auto"/>
            <w:tcMar>
              <w:left w:w="0" w:type="dxa"/>
            </w:tcMar>
          </w:tcPr>
          <w:p w14:paraId="58E73918" w14:textId="778901C2" w:rsidR="00DB613B" w:rsidRDefault="00DB613B" w:rsidP="00DB613B">
            <w:pPr>
              <w:pStyle w:val="Marginlie"/>
            </w:pPr>
            <w:r>
              <w:lastRenderedPageBreak/>
              <w:t xml:space="preserve">Meziroční tempo tržeb ve službách zvolnilo na </w:t>
            </w:r>
            <w:r w:rsidR="00EF77D4">
              <w:t>tříleté</w:t>
            </w:r>
            <w:r>
              <w:t xml:space="preserve"> minimum. V kladných hodnotách se loni udrželo jen díky odvětví ICT.</w:t>
            </w:r>
          </w:p>
          <w:p w14:paraId="39863379" w14:textId="77777777" w:rsidR="00DB613B" w:rsidRDefault="00DB613B" w:rsidP="00DB613B">
            <w:pPr>
              <w:pStyle w:val="Marginlie"/>
            </w:pPr>
          </w:p>
          <w:p w14:paraId="6C71760E" w14:textId="173D7376" w:rsidR="00DB613B" w:rsidRDefault="00DB613B" w:rsidP="00DB613B">
            <w:pPr>
              <w:pStyle w:val="Marginlie"/>
            </w:pPr>
          </w:p>
          <w:p w14:paraId="2B832500" w14:textId="612F2E24" w:rsidR="00DB613B" w:rsidRDefault="00DB613B" w:rsidP="00DB613B">
            <w:pPr>
              <w:pStyle w:val="Marginlie"/>
            </w:pPr>
          </w:p>
          <w:p w14:paraId="6A09FD4F" w14:textId="1C479E90" w:rsidR="00DB613B" w:rsidRDefault="00DB613B" w:rsidP="00DB613B">
            <w:pPr>
              <w:pStyle w:val="Marginlie"/>
            </w:pPr>
          </w:p>
          <w:p w14:paraId="353E08E2" w14:textId="77777777" w:rsidR="00DB613B" w:rsidRDefault="00DB613B" w:rsidP="00DB613B">
            <w:pPr>
              <w:pStyle w:val="Marginlie"/>
            </w:pPr>
          </w:p>
          <w:p w14:paraId="57CAF3C4" w14:textId="77777777" w:rsidR="00DB613B" w:rsidRDefault="00DB613B" w:rsidP="00DB613B">
            <w:pPr>
              <w:pStyle w:val="Marginlie"/>
            </w:pPr>
          </w:p>
          <w:p w14:paraId="1FF689A3" w14:textId="77777777" w:rsidR="00DB613B" w:rsidRDefault="00DB613B" w:rsidP="00DB613B">
            <w:pPr>
              <w:pStyle w:val="Marginlie"/>
            </w:pPr>
            <w:r>
              <w:t>Tržby vydavatelů rostly o rekordních 10 %.</w:t>
            </w:r>
          </w:p>
          <w:p w14:paraId="500AE71D" w14:textId="77777777" w:rsidR="00DB613B" w:rsidRDefault="00DB613B" w:rsidP="00DB613B">
            <w:pPr>
              <w:pStyle w:val="Marginlie"/>
            </w:pPr>
          </w:p>
          <w:p w14:paraId="4D512684" w14:textId="77777777" w:rsidR="00DB613B" w:rsidRDefault="00DB613B" w:rsidP="00DB613B">
            <w:pPr>
              <w:pStyle w:val="Marginlie"/>
            </w:pPr>
          </w:p>
          <w:p w14:paraId="3D3F6DC5" w14:textId="77777777" w:rsidR="00DB613B" w:rsidRDefault="00DB613B" w:rsidP="00DB613B">
            <w:pPr>
              <w:pStyle w:val="Marginlie"/>
            </w:pPr>
          </w:p>
          <w:p w14:paraId="5346457B" w14:textId="77777777" w:rsidR="00DB613B" w:rsidRDefault="00DB613B" w:rsidP="00DB613B">
            <w:pPr>
              <w:pStyle w:val="Marginlie"/>
            </w:pPr>
          </w:p>
        </w:tc>
        <w:tc>
          <w:tcPr>
            <w:tcW w:w="206" w:type="dxa"/>
            <w:shd w:val="clear" w:color="auto" w:fill="auto"/>
            <w:tcMar>
              <w:left w:w="0" w:type="dxa"/>
            </w:tcMar>
          </w:tcPr>
          <w:p w14:paraId="49E468CF" w14:textId="77777777" w:rsidR="00DB613B" w:rsidRPr="009110F7" w:rsidRDefault="00DB613B" w:rsidP="00DB613B">
            <w:pPr>
              <w:pStyle w:val="Textpoznpodarou"/>
              <w:jc w:val="both"/>
              <w:rPr>
                <w:spacing w:val="-4"/>
              </w:rPr>
            </w:pPr>
          </w:p>
        </w:tc>
        <w:tc>
          <w:tcPr>
            <w:tcW w:w="7674" w:type="dxa"/>
            <w:shd w:val="clear" w:color="auto" w:fill="auto"/>
            <w:tcMar>
              <w:left w:w="0" w:type="dxa"/>
            </w:tcMar>
          </w:tcPr>
          <w:p w14:paraId="5A95A0F8" w14:textId="2FAF86C9" w:rsidR="00DB613B" w:rsidRPr="00DB613B" w:rsidRDefault="00DB613B" w:rsidP="00DB613B">
            <w:pPr>
              <w:spacing w:after="200"/>
              <w:rPr>
                <w:color w:val="0D0D0D" w:themeColor="text1" w:themeTint="F2"/>
              </w:rPr>
            </w:pPr>
            <w:r w:rsidRPr="00DB613B">
              <w:t xml:space="preserve">Tržby </w:t>
            </w:r>
            <w:r w:rsidRPr="00DB613B">
              <w:rPr>
                <w:color w:val="0D0D0D" w:themeColor="text1" w:themeTint="F2"/>
              </w:rPr>
              <w:t>ve vybraných službách</w:t>
            </w:r>
            <w:r w:rsidRPr="00DB613B">
              <w:rPr>
                <w:color w:val="0D0D0D" w:themeColor="text1" w:themeTint="F2"/>
                <w:vertAlign w:val="superscript"/>
              </w:rPr>
              <w:footnoteReference w:id="38"/>
            </w:r>
            <w:r w:rsidRPr="00DB613B">
              <w:rPr>
                <w:color w:val="0D0D0D" w:themeColor="text1" w:themeTint="F2"/>
              </w:rPr>
              <w:t xml:space="preserve"> po svižném růstu v letech 2017 i 2018 loni posílily jen o 1,1 %. Jednalo se o nejslabší meziroční růst za posledních </w:t>
            </w:r>
            <w:r w:rsidR="00EF77D4">
              <w:rPr>
                <w:color w:val="0D0D0D" w:themeColor="text1" w:themeTint="F2"/>
              </w:rPr>
              <w:t>tři</w:t>
            </w:r>
            <w:r w:rsidRPr="00DB613B">
              <w:rPr>
                <w:color w:val="0D0D0D" w:themeColor="text1" w:themeTint="F2"/>
              </w:rPr>
              <w:t xml:space="preserve"> </w:t>
            </w:r>
            <w:r w:rsidR="00EF77D4">
              <w:rPr>
                <w:color w:val="0D0D0D" w:themeColor="text1" w:themeTint="F2"/>
              </w:rPr>
              <w:t>roky</w:t>
            </w:r>
            <w:r w:rsidRPr="00DB613B">
              <w:rPr>
                <w:color w:val="0D0D0D" w:themeColor="text1" w:themeTint="F2"/>
              </w:rPr>
              <w:t>. Výkon služeb v průběhu loňského roku slábl – zatímco v 1. čtvrtletí byl zaznamenán 3,</w:t>
            </w:r>
            <w:r w:rsidR="00EF77D4">
              <w:rPr>
                <w:color w:val="0D0D0D" w:themeColor="text1" w:themeTint="F2"/>
              </w:rPr>
              <w:t>7</w:t>
            </w:r>
            <w:r w:rsidRPr="00DB613B">
              <w:rPr>
                <w:color w:val="0D0D0D" w:themeColor="text1" w:themeTint="F2"/>
              </w:rPr>
              <w:t>% růst, ve 3.</w:t>
            </w:r>
            <w:r w:rsidR="00A746C9">
              <w:rPr>
                <w:color w:val="0D0D0D" w:themeColor="text1" w:themeTint="F2"/>
              </w:rPr>
              <w:t> </w:t>
            </w:r>
            <w:r w:rsidRPr="00DB613B">
              <w:rPr>
                <w:color w:val="0D0D0D" w:themeColor="text1" w:themeTint="F2"/>
              </w:rPr>
              <w:t xml:space="preserve">čtvrtletí se tempo snížilo na –0,8 % a v mírném poklesu zakončily služby i konec roku. Vývoj v dlouhodobě dynamické sekci informační a komunikační činnosti (ICT) ostře kontrastoval s ostatními segmenty služeb. V ICT nebyl během loňska </w:t>
            </w:r>
            <w:r w:rsidR="00EF77D4">
              <w:rPr>
                <w:color w:val="0D0D0D" w:themeColor="text1" w:themeTint="F2"/>
              </w:rPr>
              <w:t xml:space="preserve">klesající </w:t>
            </w:r>
            <w:r w:rsidRPr="00DB613B">
              <w:rPr>
                <w:color w:val="0D0D0D" w:themeColor="text1" w:themeTint="F2"/>
              </w:rPr>
              <w:t xml:space="preserve">trend zaznamenán. Bez sekce ICT by tržby ve službách loni pouze stagnovaly. Tržby </w:t>
            </w:r>
            <w:r w:rsidRPr="00DB613B">
              <w:rPr>
                <w:color w:val="0D0D0D" w:themeColor="text1" w:themeTint="F2"/>
                <w:szCs w:val="20"/>
              </w:rPr>
              <w:t xml:space="preserve">v sekci ICT vzrostly v roce 2019 o 5,9 %, primárně zásluhou činností v oblasti informačních technologií (zahrnující programování, správu počítačového vybavení či poradenství v oblasti IT). Dařilo se </w:t>
            </w:r>
            <w:r w:rsidR="00EF77D4">
              <w:rPr>
                <w:color w:val="0D0D0D" w:themeColor="text1" w:themeTint="F2"/>
                <w:szCs w:val="20"/>
              </w:rPr>
              <w:t>rovněž</w:t>
            </w:r>
            <w:r w:rsidRPr="00DB613B">
              <w:rPr>
                <w:color w:val="0D0D0D" w:themeColor="text1" w:themeTint="F2"/>
                <w:szCs w:val="20"/>
              </w:rPr>
              <w:t xml:space="preserve"> informačním činnostem, telekomunikacím a zejména vydavatelským činnostem, jejichž tempo tržeb akcelerovalo na rekordních +</w:t>
            </w:r>
            <w:r w:rsidR="00EF77D4">
              <w:rPr>
                <w:color w:val="0D0D0D" w:themeColor="text1" w:themeTint="F2"/>
                <w:szCs w:val="20"/>
              </w:rPr>
              <w:t>10</w:t>
            </w:r>
            <w:r w:rsidRPr="00DB613B">
              <w:rPr>
                <w:color w:val="0D0D0D" w:themeColor="text1" w:themeTint="F2"/>
                <w:szCs w:val="20"/>
              </w:rPr>
              <w:t>,</w:t>
            </w:r>
            <w:r w:rsidR="00EF77D4">
              <w:rPr>
                <w:color w:val="0D0D0D" w:themeColor="text1" w:themeTint="F2"/>
                <w:szCs w:val="20"/>
              </w:rPr>
              <w:t>0</w:t>
            </w:r>
            <w:r w:rsidR="00A746C9">
              <w:rPr>
                <w:color w:val="0D0D0D" w:themeColor="text1" w:themeTint="F2"/>
                <w:szCs w:val="20"/>
              </w:rPr>
              <w:t> </w:t>
            </w:r>
            <w:r w:rsidRPr="00DB613B">
              <w:rPr>
                <w:color w:val="0D0D0D" w:themeColor="text1" w:themeTint="F2"/>
                <w:szCs w:val="20"/>
              </w:rPr>
              <w:t>% (díky prodeji softwaru, jenž kompenzoval pokles tržeb vydavatelů novin a časopisů). Pokles zaznamenal jen t</w:t>
            </w:r>
            <w:r w:rsidRPr="00DB613B">
              <w:rPr>
                <w:color w:val="0D0D0D" w:themeColor="text1" w:themeTint="F2"/>
              </w:rPr>
              <w:t>zv. filmový a hudební průmysl (o 1,6 %) vlivem nepříznivého vývoje na konci roku</w:t>
            </w:r>
            <w:r w:rsidRPr="00DB613B">
              <w:rPr>
                <w:rStyle w:val="Znakapoznpodarou"/>
              </w:rPr>
              <w:footnoteReference w:id="39"/>
            </w:r>
            <w:r w:rsidRPr="00DB613B">
              <w:rPr>
                <w:color w:val="0D0D0D" w:themeColor="text1" w:themeTint="F2"/>
              </w:rPr>
              <w:t>.</w:t>
            </w:r>
            <w:r w:rsidRPr="00DB613B">
              <w:rPr>
                <w:color w:val="0D0D0D" w:themeColor="text1" w:themeTint="F2"/>
                <w:szCs w:val="20"/>
              </w:rPr>
              <w:t xml:space="preserve"> V sekci doprava a skladování tržby loni klesly o 0,5 %, poprvé po krizovém roce 2009. </w:t>
            </w:r>
          </w:p>
        </w:tc>
      </w:tr>
      <w:tr w:rsidR="00DB613B" w:rsidRPr="00A16220" w14:paraId="4B03C5D7" w14:textId="77777777" w:rsidTr="00A746C9">
        <w:trPr>
          <w:trHeight w:val="170"/>
        </w:trPr>
        <w:tc>
          <w:tcPr>
            <w:tcW w:w="1764" w:type="dxa"/>
            <w:vMerge w:val="restart"/>
            <w:shd w:val="clear" w:color="auto" w:fill="auto"/>
            <w:tcMar>
              <w:left w:w="0" w:type="dxa"/>
            </w:tcMar>
          </w:tcPr>
          <w:p w14:paraId="5FD59494" w14:textId="77777777" w:rsidR="00DB613B" w:rsidRDefault="00DB613B" w:rsidP="00DB613B">
            <w:pPr>
              <w:pStyle w:val="Marginlie"/>
            </w:pPr>
          </w:p>
        </w:tc>
        <w:tc>
          <w:tcPr>
            <w:tcW w:w="206" w:type="dxa"/>
            <w:vMerge w:val="restart"/>
            <w:shd w:val="clear" w:color="auto" w:fill="auto"/>
            <w:tcMar>
              <w:left w:w="0" w:type="dxa"/>
            </w:tcMar>
          </w:tcPr>
          <w:p w14:paraId="1FB1EE60" w14:textId="77777777" w:rsidR="00DB613B" w:rsidRDefault="00DB613B" w:rsidP="00DB613B">
            <w:pPr>
              <w:pStyle w:val="Textpoznpodarou"/>
              <w:jc w:val="both"/>
              <w:rPr>
                <w:spacing w:val="-4"/>
              </w:rPr>
            </w:pPr>
          </w:p>
        </w:tc>
        <w:tc>
          <w:tcPr>
            <w:tcW w:w="7674" w:type="dxa"/>
            <w:shd w:val="clear" w:color="auto" w:fill="auto"/>
            <w:tcMar>
              <w:left w:w="0" w:type="dxa"/>
            </w:tcMar>
          </w:tcPr>
          <w:p w14:paraId="08128EFA" w14:textId="1F7AC598" w:rsidR="00DB613B" w:rsidRPr="00DB613B" w:rsidRDefault="00DB613B" w:rsidP="00DB613B">
            <w:pPr>
              <w:pStyle w:val="Textpoznpodarou"/>
              <w:spacing w:line="276" w:lineRule="auto"/>
              <w:rPr>
                <w:b/>
              </w:rPr>
            </w:pPr>
            <w:r w:rsidRPr="00DB613B">
              <w:rPr>
                <w:b/>
              </w:rPr>
              <w:t xml:space="preserve">Graf č. 7  Příspěvky odvětví k meziroční změně tržeb ve službách* </w:t>
            </w:r>
            <w:r w:rsidRPr="00DB613B">
              <w:t xml:space="preserve">(v p. b., očištěno o kalendářní vlivy), </w:t>
            </w:r>
            <w:r w:rsidRPr="00DB613B">
              <w:rPr>
                <w:b/>
              </w:rPr>
              <w:t xml:space="preserve">a saldo indikátoru důvěry ve službách** </w:t>
            </w:r>
            <w:r w:rsidRPr="00DB613B">
              <w:t>(v p. b., pravá osa)</w:t>
            </w:r>
            <w:r w:rsidRPr="00DB613B">
              <w:rPr>
                <w:b/>
              </w:rPr>
              <w:t xml:space="preserve"> a vybrané bariéry růstu*</w:t>
            </w:r>
            <w:r w:rsidRPr="00DB613B">
              <w:t>* (v %, pravá osa)</w:t>
            </w:r>
          </w:p>
        </w:tc>
      </w:tr>
      <w:tr w:rsidR="00DB613B" w:rsidRPr="00535F78" w14:paraId="1AC401EC" w14:textId="77777777" w:rsidTr="008D1E0A">
        <w:tblPrEx>
          <w:tblCellMar>
            <w:left w:w="70" w:type="dxa"/>
            <w:right w:w="70" w:type="dxa"/>
          </w:tblCellMar>
        </w:tblPrEx>
        <w:trPr>
          <w:trHeight w:val="170"/>
        </w:trPr>
        <w:tc>
          <w:tcPr>
            <w:tcW w:w="1764" w:type="dxa"/>
            <w:vMerge/>
            <w:shd w:val="clear" w:color="auto" w:fill="auto"/>
          </w:tcPr>
          <w:p w14:paraId="6AC9ABB5" w14:textId="77777777" w:rsidR="00DB613B" w:rsidRPr="009110F7" w:rsidRDefault="00DB613B" w:rsidP="00DB613B">
            <w:pPr>
              <w:pStyle w:val="Marginlie"/>
            </w:pPr>
          </w:p>
        </w:tc>
        <w:tc>
          <w:tcPr>
            <w:tcW w:w="206" w:type="dxa"/>
            <w:vMerge/>
            <w:shd w:val="clear" w:color="auto" w:fill="auto"/>
          </w:tcPr>
          <w:p w14:paraId="55CD4074" w14:textId="77777777" w:rsidR="00DB613B" w:rsidRPr="009110F7" w:rsidRDefault="00DB613B" w:rsidP="00DB613B">
            <w:pPr>
              <w:pStyle w:val="Textpoznpodarou"/>
              <w:jc w:val="both"/>
              <w:rPr>
                <w:spacing w:val="-4"/>
              </w:rPr>
            </w:pPr>
          </w:p>
        </w:tc>
        <w:tc>
          <w:tcPr>
            <w:tcW w:w="7674" w:type="dxa"/>
            <w:shd w:val="clear" w:color="auto" w:fill="auto"/>
          </w:tcPr>
          <w:p w14:paraId="3E2E8C2A" w14:textId="48700577" w:rsidR="00DB613B" w:rsidRPr="00DB613B" w:rsidRDefault="008D1E0A" w:rsidP="00DB613B">
            <w:pPr>
              <w:spacing w:after="0"/>
              <w:rPr>
                <w:rFonts w:cs="Arial"/>
                <w:sz w:val="14"/>
                <w:szCs w:val="14"/>
              </w:rPr>
            </w:pPr>
            <w:r>
              <w:rPr>
                <w:noProof/>
              </w:rPr>
              <w:drawing>
                <wp:inline distT="0" distB="0" distL="0" distR="0" wp14:anchorId="0C8E79C7" wp14:editId="7F3C2253">
                  <wp:extent cx="4777153" cy="3590193"/>
                  <wp:effectExtent l="0" t="0" r="4445" b="0"/>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DB613B" w:rsidRPr="00535F78" w14:paraId="4A02351F" w14:textId="77777777" w:rsidTr="00A746C9">
        <w:trPr>
          <w:trHeight w:val="170"/>
        </w:trPr>
        <w:tc>
          <w:tcPr>
            <w:tcW w:w="1764" w:type="dxa"/>
            <w:vMerge/>
            <w:shd w:val="clear" w:color="auto" w:fill="auto"/>
            <w:tcMar>
              <w:left w:w="0" w:type="dxa"/>
            </w:tcMar>
          </w:tcPr>
          <w:p w14:paraId="6C8A8C54" w14:textId="77777777" w:rsidR="00DB613B" w:rsidRPr="009110F7" w:rsidRDefault="00DB613B" w:rsidP="00DB613B">
            <w:pPr>
              <w:pStyle w:val="Marginlie"/>
            </w:pPr>
          </w:p>
        </w:tc>
        <w:tc>
          <w:tcPr>
            <w:tcW w:w="206" w:type="dxa"/>
            <w:vMerge/>
            <w:shd w:val="clear" w:color="auto" w:fill="auto"/>
            <w:tcMar>
              <w:left w:w="0" w:type="dxa"/>
            </w:tcMar>
          </w:tcPr>
          <w:p w14:paraId="1A366B4D" w14:textId="77777777" w:rsidR="00DB613B" w:rsidRPr="009110F7" w:rsidRDefault="00DB613B" w:rsidP="00DB613B">
            <w:pPr>
              <w:pStyle w:val="Textpoznpodarou"/>
              <w:jc w:val="both"/>
              <w:rPr>
                <w:spacing w:val="-4"/>
              </w:rPr>
            </w:pPr>
          </w:p>
        </w:tc>
        <w:tc>
          <w:tcPr>
            <w:tcW w:w="7674" w:type="dxa"/>
            <w:shd w:val="clear" w:color="auto" w:fill="auto"/>
            <w:tcMar>
              <w:left w:w="0" w:type="dxa"/>
            </w:tcMar>
          </w:tcPr>
          <w:p w14:paraId="34BF3B52" w14:textId="77777777" w:rsidR="00DB613B" w:rsidRPr="00DB613B" w:rsidRDefault="00DB613B" w:rsidP="00DB613B">
            <w:pPr>
              <w:spacing w:after="0"/>
              <w:rPr>
                <w:rFonts w:cs="Arial"/>
                <w:sz w:val="14"/>
                <w:szCs w:val="14"/>
              </w:rPr>
            </w:pPr>
            <w:r w:rsidRPr="00DB613B">
              <w:rPr>
                <w:rFonts w:cs="Arial"/>
                <w:sz w:val="14"/>
                <w:szCs w:val="14"/>
              </w:rPr>
              <w:t>*</w:t>
            </w:r>
            <w:r w:rsidRPr="00DB613B">
              <w:rPr>
                <w:color w:val="0D0D0D" w:themeColor="text1" w:themeTint="F2"/>
                <w:sz w:val="14"/>
                <w:szCs w:val="14"/>
              </w:rPr>
              <w:t xml:space="preserve"> Bez odvětví obchodu, peněžnictví, pojišťovnictví, vědy, výzkumu a veřejných služeb.</w:t>
            </w:r>
          </w:p>
          <w:p w14:paraId="13BE53A8" w14:textId="5EE560D4" w:rsidR="008D1E0A" w:rsidRDefault="00DB613B" w:rsidP="008D1E0A">
            <w:pPr>
              <w:spacing w:after="0"/>
              <w:rPr>
                <w:rFonts w:cs="Arial"/>
                <w:sz w:val="14"/>
                <w:szCs w:val="14"/>
              </w:rPr>
            </w:pPr>
            <w:r w:rsidRPr="00DB613B">
              <w:rPr>
                <w:rFonts w:cs="Arial"/>
                <w:sz w:val="14"/>
                <w:szCs w:val="14"/>
              </w:rPr>
              <w:t>**Údaje jsou sezónně očištěny, zahrn</w:t>
            </w:r>
            <w:r w:rsidR="008D1E0A">
              <w:rPr>
                <w:rFonts w:cs="Arial"/>
                <w:sz w:val="14"/>
                <w:szCs w:val="14"/>
              </w:rPr>
              <w:t>uje i finanční sektor.</w:t>
            </w:r>
          </w:p>
          <w:p w14:paraId="2753842B" w14:textId="5EC702AB" w:rsidR="00DB613B" w:rsidRPr="00DB613B" w:rsidRDefault="00DB613B" w:rsidP="00DB613B">
            <w:pPr>
              <w:spacing w:after="180"/>
              <w:rPr>
                <w:rFonts w:cs="Arial"/>
                <w:sz w:val="14"/>
                <w:szCs w:val="14"/>
              </w:rPr>
            </w:pPr>
            <w:r w:rsidRPr="00DB613B">
              <w:rPr>
                <w:rFonts w:cs="Arial"/>
                <w:sz w:val="14"/>
                <w:szCs w:val="14"/>
              </w:rPr>
              <w:t>Zdroj: ČSÚ</w:t>
            </w:r>
          </w:p>
        </w:tc>
      </w:tr>
      <w:tr w:rsidR="00A746C9" w:rsidRPr="000E298B" w14:paraId="5CD738AD" w14:textId="77777777" w:rsidTr="00A746C9">
        <w:trPr>
          <w:trHeight w:val="80"/>
        </w:trPr>
        <w:tc>
          <w:tcPr>
            <w:tcW w:w="1764" w:type="dxa"/>
            <w:shd w:val="clear" w:color="auto" w:fill="auto"/>
            <w:tcMar>
              <w:left w:w="0" w:type="dxa"/>
            </w:tcMar>
          </w:tcPr>
          <w:p w14:paraId="0E45697D" w14:textId="77777777" w:rsidR="00A746C9" w:rsidRDefault="00A746C9" w:rsidP="00A746C9">
            <w:pPr>
              <w:pStyle w:val="Marginlie"/>
            </w:pPr>
            <w:r>
              <w:lastRenderedPageBreak/>
              <w:t>Oslabení průmyslu se odrazilo v nižších tržbách pozemní dopravy i skladování. Naopak na vlně svižného růstu internetového obchodu se nesly poštovní a kurýrní činnosti.</w:t>
            </w:r>
          </w:p>
          <w:p w14:paraId="17EC9337" w14:textId="77777777" w:rsidR="00A746C9" w:rsidRDefault="00A746C9" w:rsidP="00A746C9">
            <w:pPr>
              <w:pStyle w:val="Marginlie"/>
            </w:pPr>
          </w:p>
          <w:p w14:paraId="69D85E4C" w14:textId="77777777" w:rsidR="00A746C9" w:rsidRDefault="00A746C9" w:rsidP="00A746C9">
            <w:pPr>
              <w:pStyle w:val="Marginlie"/>
            </w:pPr>
          </w:p>
          <w:p w14:paraId="2CA68817" w14:textId="77777777" w:rsidR="00A746C9" w:rsidRDefault="00A746C9" w:rsidP="00A746C9">
            <w:pPr>
              <w:pStyle w:val="Marginlie"/>
            </w:pPr>
            <w:r>
              <w:t>Růst příjezdového cestovního ruchu loni zvolnil.</w:t>
            </w:r>
          </w:p>
          <w:p w14:paraId="0BBFA536" w14:textId="77777777" w:rsidR="00A746C9" w:rsidRDefault="00A746C9" w:rsidP="00A746C9">
            <w:pPr>
              <w:pStyle w:val="Marginlie"/>
            </w:pPr>
          </w:p>
          <w:p w14:paraId="5231CDB3" w14:textId="77777777" w:rsidR="00A746C9" w:rsidRDefault="00A746C9" w:rsidP="00A746C9">
            <w:pPr>
              <w:pStyle w:val="Marginlie"/>
            </w:pPr>
          </w:p>
          <w:p w14:paraId="5BAD37FF" w14:textId="77777777" w:rsidR="00A746C9" w:rsidRDefault="00A746C9" w:rsidP="00A746C9">
            <w:pPr>
              <w:pStyle w:val="Marginlie"/>
            </w:pPr>
            <w:r>
              <w:t>Klesla poptávka po pronájmu strojů a zařízení, nižší byly také výkony pracovních agentur.</w:t>
            </w:r>
          </w:p>
          <w:p w14:paraId="50E31D4B" w14:textId="77777777" w:rsidR="00A746C9" w:rsidRDefault="00A746C9" w:rsidP="00A746C9">
            <w:pPr>
              <w:pStyle w:val="Marginlie"/>
              <w:rPr>
                <w:color w:val="0D0D0D" w:themeColor="text1" w:themeTint="F2"/>
                <w:spacing w:val="-4"/>
              </w:rPr>
            </w:pPr>
          </w:p>
        </w:tc>
        <w:tc>
          <w:tcPr>
            <w:tcW w:w="206" w:type="dxa"/>
            <w:shd w:val="clear" w:color="auto" w:fill="auto"/>
            <w:tcMar>
              <w:left w:w="0" w:type="dxa"/>
            </w:tcMar>
          </w:tcPr>
          <w:p w14:paraId="33E79A3E" w14:textId="77777777" w:rsidR="00A746C9" w:rsidRPr="009110F7" w:rsidRDefault="00A746C9" w:rsidP="00A746C9">
            <w:pPr>
              <w:pStyle w:val="Textpoznpodarou"/>
              <w:jc w:val="both"/>
              <w:rPr>
                <w:spacing w:val="-4"/>
              </w:rPr>
            </w:pPr>
          </w:p>
        </w:tc>
        <w:tc>
          <w:tcPr>
            <w:tcW w:w="7674" w:type="dxa"/>
            <w:shd w:val="clear" w:color="auto" w:fill="auto"/>
            <w:tcMar>
              <w:left w:w="0" w:type="dxa"/>
            </w:tcMar>
          </w:tcPr>
          <w:p w14:paraId="571507C0" w14:textId="5BB41374" w:rsidR="00A746C9" w:rsidRPr="00DB613B" w:rsidRDefault="00A746C9" w:rsidP="00A746C9">
            <w:pPr>
              <w:rPr>
                <w:rFonts w:cs="Arial"/>
                <w:szCs w:val="20"/>
              </w:rPr>
            </w:pPr>
            <w:r w:rsidRPr="00DB613B">
              <w:rPr>
                <w:color w:val="0D0D0D" w:themeColor="text1" w:themeTint="F2"/>
                <w:szCs w:val="20"/>
              </w:rPr>
              <w:t>Zejména na tempech ve 2. polovině roku se projevil pokles výkonu v průmyslu doprovázený klesající dynamikou objemu zahraničního obchodu. K poklesu celé sekce nejvíce přispěly nižší tržby ve skladování (i vlivem velmi vysoké srovnávací základny roku 2018). Dařilo se naopak poštovním a kurýrním činnostem (profitujícím z rychlého rozvoje internetového obchodu) a již druhým rokem i vodní dopravě (vlivem růstu výkonů tuzemských provozovatelů v zahraničí). V sekci ubytování, stravování a pohostinství vzrostly tržby, podobně jako v roce 2018, jen okolo 1 %. Nižší tempo souviselo s oslabující dynamikou příjezdového cestovního ruchu</w:t>
            </w:r>
            <w:r w:rsidRPr="00DB613B">
              <w:rPr>
                <w:color w:val="0D0D0D" w:themeColor="text1" w:themeTint="F2"/>
                <w:vertAlign w:val="superscript"/>
              </w:rPr>
              <w:footnoteReference w:id="40"/>
            </w:r>
            <w:r w:rsidRPr="00DB613B">
              <w:rPr>
                <w:color w:val="0D0D0D" w:themeColor="text1" w:themeTint="F2"/>
                <w:szCs w:val="20"/>
              </w:rPr>
              <w:t>. V sekci profesní, vědecké a technické činnosti se loni tržby mírně snížily (</w:t>
            </w:r>
            <w:r w:rsidRPr="00DB613B">
              <w:rPr>
                <w:color w:val="0D0D0D" w:themeColor="text1" w:themeTint="F2"/>
              </w:rPr>
              <w:t>–</w:t>
            </w:r>
            <w:r w:rsidRPr="00DB613B">
              <w:rPr>
                <w:color w:val="0D0D0D" w:themeColor="text1" w:themeTint="F2"/>
                <w:szCs w:val="20"/>
              </w:rPr>
              <w:t>0,</w:t>
            </w:r>
            <w:r w:rsidR="00CC66F9">
              <w:rPr>
                <w:color w:val="0D0D0D" w:themeColor="text1" w:themeTint="F2"/>
                <w:szCs w:val="20"/>
              </w:rPr>
              <w:t>2</w:t>
            </w:r>
            <w:r w:rsidRPr="00DB613B">
              <w:rPr>
                <w:color w:val="0D0D0D" w:themeColor="text1" w:themeTint="F2"/>
                <w:szCs w:val="20"/>
              </w:rPr>
              <w:t xml:space="preserve"> %), podobně jako v oblasti nemovitostí. Lépe se vedlo </w:t>
            </w:r>
            <w:r w:rsidRPr="00DB613B">
              <w:rPr>
                <w:color w:val="0D0D0D" w:themeColor="text1" w:themeTint="F2"/>
              </w:rPr>
              <w:t>administrativním a podpůrným činnostem, byť vykázaly nejslabší růst za posledních devět let (+0,5 %). Rychle rostla poptávka po administrativních i</w:t>
            </w:r>
            <w:r w:rsidRPr="00DB613B">
              <w:rPr>
                <w:color w:val="0D0D0D" w:themeColor="text1" w:themeTint="F2"/>
                <w:szCs w:val="20"/>
              </w:rPr>
              <w:t xml:space="preserve"> </w:t>
            </w:r>
            <w:r w:rsidRPr="00DB613B">
              <w:rPr>
                <w:color w:val="0D0D0D" w:themeColor="text1" w:themeTint="F2"/>
              </w:rPr>
              <w:t>kancelářských činnostech (zprostředkování po telefonu, pořádání výstav a konferencí). Naopak růst v oblasti pronájmu a operativního leasingu zmírnil na šestileté minimum (+1,6 %) vlivem snížení poptávky u strojů, zařízení a nákladních automobilů. Se zvolněním průmyslu souvisel také celoroční pokles tržeb pracovních agentur (–5,3 %), jenž nastal poprvé po roce 2009.</w:t>
            </w:r>
          </w:p>
        </w:tc>
      </w:tr>
      <w:tr w:rsidR="00A746C9" w:rsidRPr="000E298B" w14:paraId="402E5963" w14:textId="77777777" w:rsidTr="00A746C9">
        <w:trPr>
          <w:trHeight w:val="80"/>
        </w:trPr>
        <w:tc>
          <w:tcPr>
            <w:tcW w:w="1764" w:type="dxa"/>
            <w:shd w:val="clear" w:color="auto" w:fill="auto"/>
            <w:tcMar>
              <w:left w:w="0" w:type="dxa"/>
            </w:tcMar>
          </w:tcPr>
          <w:p w14:paraId="51BCB563" w14:textId="77777777" w:rsidR="00A746C9" w:rsidRDefault="00A746C9" w:rsidP="00A746C9">
            <w:pPr>
              <w:pStyle w:val="Marginlie"/>
              <w:rPr>
                <w:color w:val="0D0D0D" w:themeColor="text1" w:themeTint="F2"/>
                <w:spacing w:val="-4"/>
              </w:rPr>
            </w:pPr>
            <w:r>
              <w:rPr>
                <w:color w:val="0D0D0D" w:themeColor="text1" w:themeTint="F2"/>
                <w:spacing w:val="-4"/>
              </w:rPr>
              <w:t>Tempo růstu maloobchodních tržeb ve shodě s důvěrou spotřebitelů během roku mírně sláblo.</w:t>
            </w:r>
          </w:p>
          <w:p w14:paraId="4F87699C" w14:textId="77777777" w:rsidR="00A746C9" w:rsidRDefault="00A746C9" w:rsidP="00A746C9">
            <w:pPr>
              <w:pStyle w:val="Marginlie"/>
              <w:rPr>
                <w:color w:val="0D0D0D" w:themeColor="text1" w:themeTint="F2"/>
                <w:spacing w:val="-4"/>
              </w:rPr>
            </w:pPr>
          </w:p>
          <w:p w14:paraId="18EB6CED" w14:textId="77777777" w:rsidR="00A746C9" w:rsidRDefault="00A746C9" w:rsidP="00A746C9">
            <w:pPr>
              <w:pStyle w:val="Marginlie"/>
              <w:rPr>
                <w:color w:val="0D0D0D" w:themeColor="text1" w:themeTint="F2"/>
                <w:spacing w:val="-4"/>
              </w:rPr>
            </w:pPr>
          </w:p>
          <w:p w14:paraId="1ABE7F1D" w14:textId="77777777" w:rsidR="00A746C9" w:rsidRDefault="00A746C9" w:rsidP="00A746C9">
            <w:pPr>
              <w:pStyle w:val="Marginlie"/>
              <w:rPr>
                <w:color w:val="0D0D0D" w:themeColor="text1" w:themeTint="F2"/>
                <w:spacing w:val="-4"/>
              </w:rPr>
            </w:pPr>
          </w:p>
          <w:p w14:paraId="191F4C29" w14:textId="77777777" w:rsidR="00A746C9" w:rsidRDefault="00A746C9" w:rsidP="00A746C9">
            <w:pPr>
              <w:pStyle w:val="Marginlie"/>
              <w:rPr>
                <w:color w:val="0D0D0D" w:themeColor="text1" w:themeTint="F2"/>
                <w:spacing w:val="-4"/>
              </w:rPr>
            </w:pPr>
          </w:p>
          <w:p w14:paraId="60B98574" w14:textId="77777777" w:rsidR="00A746C9" w:rsidRDefault="00A746C9" w:rsidP="00A746C9">
            <w:pPr>
              <w:pStyle w:val="Marginlie"/>
              <w:rPr>
                <w:color w:val="0D0D0D" w:themeColor="text1" w:themeTint="F2"/>
                <w:spacing w:val="-4"/>
              </w:rPr>
            </w:pPr>
            <w:r>
              <w:rPr>
                <w:color w:val="0D0D0D" w:themeColor="text1" w:themeTint="F2"/>
                <w:spacing w:val="-4"/>
              </w:rPr>
              <w:t>Růst tržeb za potraviny či pohonné hmoty se ztenčil na pětileté minimum. Prudký rozvoj internetového prodeje pokračoval.</w:t>
            </w:r>
          </w:p>
          <w:p w14:paraId="484194B2" w14:textId="77777777" w:rsidR="00A746C9" w:rsidRDefault="00A746C9" w:rsidP="00A746C9">
            <w:pPr>
              <w:pStyle w:val="Marginlie"/>
            </w:pPr>
            <w:r>
              <w:t>.</w:t>
            </w:r>
          </w:p>
        </w:tc>
        <w:tc>
          <w:tcPr>
            <w:tcW w:w="206" w:type="dxa"/>
            <w:shd w:val="clear" w:color="auto" w:fill="auto"/>
            <w:tcMar>
              <w:left w:w="0" w:type="dxa"/>
            </w:tcMar>
          </w:tcPr>
          <w:p w14:paraId="16F25D8A" w14:textId="77777777" w:rsidR="00A746C9" w:rsidRPr="009110F7" w:rsidRDefault="00A746C9" w:rsidP="00A746C9">
            <w:pPr>
              <w:pStyle w:val="Textpoznpodarou"/>
              <w:jc w:val="both"/>
              <w:rPr>
                <w:spacing w:val="-4"/>
              </w:rPr>
            </w:pPr>
          </w:p>
        </w:tc>
        <w:tc>
          <w:tcPr>
            <w:tcW w:w="7674" w:type="dxa"/>
            <w:shd w:val="clear" w:color="auto" w:fill="auto"/>
            <w:tcMar>
              <w:left w:w="0" w:type="dxa"/>
            </w:tcMar>
          </w:tcPr>
          <w:p w14:paraId="6AFB27AF" w14:textId="0AD2FC17" w:rsidR="00A746C9" w:rsidRPr="00DB613B" w:rsidRDefault="00A746C9" w:rsidP="00A746C9">
            <w:pPr>
              <w:spacing w:after="0"/>
              <w:rPr>
                <w:color w:val="0D0D0D" w:themeColor="text1" w:themeTint="F2"/>
              </w:rPr>
            </w:pPr>
            <w:r w:rsidRPr="00DB613B">
              <w:rPr>
                <w:rFonts w:cs="Arial"/>
                <w:szCs w:val="20"/>
              </w:rPr>
              <w:t>Maloobchodních tržby</w:t>
            </w:r>
            <w:r w:rsidRPr="00DB613B">
              <w:rPr>
                <w:rStyle w:val="Znakapoznpodarou"/>
              </w:rPr>
              <w:footnoteReference w:id="41"/>
            </w:r>
            <w:r w:rsidRPr="00DB613B">
              <w:rPr>
                <w:rFonts w:cs="Arial"/>
                <w:szCs w:val="20"/>
              </w:rPr>
              <w:t xml:space="preserve"> vzrostly v roce 2019 o 4,8 %. Přestože jejich tempo mírně zvolňovalo druhým rokem v řadě, bylo loni ve srovnání s EU téměř dvojnásobné (+2,6</w:t>
            </w:r>
            <w:r>
              <w:rPr>
                <w:rFonts w:cs="Arial"/>
                <w:szCs w:val="20"/>
              </w:rPr>
              <w:t> </w:t>
            </w:r>
            <w:r w:rsidRPr="00DB613B">
              <w:rPr>
                <w:rFonts w:cs="Arial"/>
                <w:szCs w:val="20"/>
              </w:rPr>
              <w:t xml:space="preserve">%) a zároveň mezi členskými státy páté nejvyšší. Během roku dynamika tržeb oslabovala (ve 4. čtvrtletí +4,2 %), což odpovídalo vývoji spotřebitelské důvěry. Zatímco růst maloobchodu s potravinami zvolnil na pětileté minimum (+2,0 %), váhově dominantní maloobchod s nepotravinářským zbožím si vysoké tempo z roku 2018 loni udržel (+7,6 %). Pomohl k tomu </w:t>
            </w:r>
            <w:r w:rsidRPr="00DB613B">
              <w:rPr>
                <w:color w:val="0D0D0D" w:themeColor="text1" w:themeTint="F2"/>
              </w:rPr>
              <w:t>internetový a zásilkový prodej (+18,1 %, proti roku 2012 se tržby zčtyřnásobily). Mezi specializovanými prodejnami se i díky slevovým akcím již třetím rokem dařilo nejvíce těm s počítačovým a komunikačním zařízením (+8,5 %). V těsném závěsu následovaly prodejny s výrobky pro kulturu a rekreaci. Mezi specializovanými prodejnami vykázaly slabší tempa jen tržby za pohonné hmoty (+2,</w:t>
            </w:r>
            <w:r w:rsidR="00CC66F9">
              <w:rPr>
                <w:color w:val="0D0D0D" w:themeColor="text1" w:themeTint="F2"/>
              </w:rPr>
              <w:t>3</w:t>
            </w:r>
            <w:r>
              <w:rPr>
                <w:color w:val="0D0D0D" w:themeColor="text1" w:themeTint="F2"/>
              </w:rPr>
              <w:t> </w:t>
            </w:r>
            <w:r w:rsidRPr="00DB613B">
              <w:rPr>
                <w:color w:val="0D0D0D" w:themeColor="text1" w:themeTint="F2"/>
              </w:rPr>
              <w:t>%, pětileté minimum) a za potraviny (–1,3 %, první pokles po roce 2014). Tržby v</w:t>
            </w:r>
            <w:r w:rsidR="00CC66F9" w:rsidRPr="00DB613B">
              <w:rPr>
                <w:color w:val="0D0D0D" w:themeColor="text1" w:themeTint="F2"/>
                <w:szCs w:val="20"/>
              </w:rPr>
              <w:t> </w:t>
            </w:r>
            <w:r w:rsidRPr="00DB613B">
              <w:rPr>
                <w:color w:val="0D0D0D" w:themeColor="text1" w:themeTint="F2"/>
              </w:rPr>
              <w:t>motoristickém segmentu obchodu po mírném útlumu v roce 2018 loni lehce ožily (+1,</w:t>
            </w:r>
            <w:r w:rsidR="00CC66F9">
              <w:rPr>
                <w:color w:val="0D0D0D" w:themeColor="text1" w:themeTint="F2"/>
              </w:rPr>
              <w:t>2</w:t>
            </w:r>
            <w:r>
              <w:rPr>
                <w:color w:val="0D0D0D" w:themeColor="text1" w:themeTint="F2"/>
              </w:rPr>
              <w:t> </w:t>
            </w:r>
            <w:r w:rsidRPr="00DB613B">
              <w:rPr>
                <w:color w:val="0D0D0D" w:themeColor="text1" w:themeTint="F2"/>
              </w:rPr>
              <w:t>%), k čemuž přispěly vyšší výkony prodejců vozidel. Pokles tržeb za opravy a</w:t>
            </w:r>
            <w:r w:rsidR="00CC66F9" w:rsidRPr="00DB613B">
              <w:rPr>
                <w:color w:val="0D0D0D" w:themeColor="text1" w:themeTint="F2"/>
                <w:szCs w:val="20"/>
              </w:rPr>
              <w:t> </w:t>
            </w:r>
            <w:r w:rsidRPr="00DB613B">
              <w:rPr>
                <w:color w:val="0D0D0D" w:themeColor="text1" w:themeTint="F2"/>
              </w:rPr>
              <w:t>údržbu vozů naopak pokračoval.</w:t>
            </w:r>
          </w:p>
        </w:tc>
      </w:tr>
    </w:tbl>
    <w:p w14:paraId="4D280BB2" w14:textId="77777777" w:rsidR="00C81070" w:rsidRPr="007202F2" w:rsidRDefault="00C81070" w:rsidP="00C81070">
      <w:pPr>
        <w:pStyle w:val="Nadpis11"/>
        <w:spacing w:after="0"/>
        <w:rPr>
          <w:b w:val="0"/>
          <w:sz w:val="2"/>
          <w:szCs w:val="2"/>
        </w:rPr>
      </w:pPr>
    </w:p>
    <w:p w14:paraId="74F2F8DA" w14:textId="77777777" w:rsidR="006E761A" w:rsidRPr="009110F7" w:rsidRDefault="006E761A" w:rsidP="006E761A">
      <w:pPr>
        <w:pStyle w:val="Nadpis11"/>
        <w:rPr>
          <w:sz w:val="2"/>
          <w:szCs w:val="2"/>
        </w:rPr>
      </w:pPr>
    </w:p>
    <w:bookmarkEnd w:id="5"/>
    <w:p w14:paraId="1C649B4E" w14:textId="77777777" w:rsidR="00AA4790" w:rsidRPr="009110F7" w:rsidRDefault="00AA4790" w:rsidP="00AA4790">
      <w:pPr>
        <w:pStyle w:val="Nadpis11"/>
        <w:rPr>
          <w:sz w:val="2"/>
          <w:szCs w:val="2"/>
        </w:rPr>
      </w:pPr>
    </w:p>
    <w:p w14:paraId="61B82263" w14:textId="77777777" w:rsidR="00A746C9" w:rsidRDefault="00A746C9">
      <w:pPr>
        <w:spacing w:after="0" w:line="240" w:lineRule="auto"/>
        <w:jc w:val="left"/>
        <w:rPr>
          <w:rFonts w:eastAsia="MS Gothic"/>
          <w:b/>
          <w:bCs/>
          <w:color w:val="71818C"/>
          <w:sz w:val="32"/>
          <w:szCs w:val="28"/>
        </w:rPr>
      </w:pPr>
      <w:bookmarkStart w:id="9" w:name="_Toc532558284"/>
      <w:bookmarkStart w:id="10" w:name="_Toc26539341"/>
      <w:r>
        <w:br w:type="page"/>
      </w:r>
    </w:p>
    <w:p w14:paraId="35010B3B" w14:textId="22423A02" w:rsidR="00C715CC" w:rsidRPr="009110F7" w:rsidRDefault="00C715CC" w:rsidP="00C715CC">
      <w:pPr>
        <w:pStyle w:val="Nadpis11"/>
      </w:pPr>
      <w:bookmarkStart w:id="11" w:name="_Toc37403643"/>
      <w:r w:rsidRPr="009110F7">
        <w:lastRenderedPageBreak/>
        <w:t>4. Vnější vztahy</w:t>
      </w:r>
      <w:bookmarkEnd w:id="9"/>
      <w:bookmarkEnd w:id="11"/>
    </w:p>
    <w:tbl>
      <w:tblPr>
        <w:tblW w:w="9639" w:type="dxa"/>
        <w:tblInd w:w="-15" w:type="dxa"/>
        <w:tblCellMar>
          <w:left w:w="0" w:type="dxa"/>
          <w:right w:w="0" w:type="dxa"/>
        </w:tblCellMar>
        <w:tblLook w:val="00A0" w:firstRow="1" w:lastRow="0" w:firstColumn="1" w:lastColumn="0" w:noHBand="0" w:noVBand="0"/>
      </w:tblPr>
      <w:tblGrid>
        <w:gridCol w:w="1763"/>
        <w:gridCol w:w="222"/>
        <w:gridCol w:w="7654"/>
      </w:tblGrid>
      <w:tr w:rsidR="0080346B" w:rsidRPr="009110F7" w14:paraId="4C34FE21" w14:textId="77777777" w:rsidTr="00CA5EAD">
        <w:trPr>
          <w:trHeight w:val="145"/>
        </w:trPr>
        <w:tc>
          <w:tcPr>
            <w:tcW w:w="1763" w:type="dxa"/>
            <w:shd w:val="clear" w:color="auto" w:fill="auto"/>
            <w:tcMar>
              <w:left w:w="0" w:type="dxa"/>
            </w:tcMar>
          </w:tcPr>
          <w:p w14:paraId="04189EF8" w14:textId="71419717" w:rsidR="0080346B" w:rsidRDefault="0080346B" w:rsidP="0080346B">
            <w:pPr>
              <w:pStyle w:val="Marginlie"/>
            </w:pPr>
            <w:r>
              <w:t>V roce 2019 se hodnota vývozu zboží celkově zvýšila. Ve 4. čtvrtletí ale došlo k propadu.</w:t>
            </w:r>
          </w:p>
        </w:tc>
        <w:tc>
          <w:tcPr>
            <w:tcW w:w="222" w:type="dxa"/>
            <w:shd w:val="clear" w:color="auto" w:fill="auto"/>
            <w:tcMar>
              <w:left w:w="0" w:type="dxa"/>
            </w:tcMar>
          </w:tcPr>
          <w:p w14:paraId="3F973CFA" w14:textId="77777777" w:rsidR="0080346B" w:rsidRDefault="0080346B" w:rsidP="0080346B">
            <w:pPr>
              <w:pStyle w:val="Textpoznpodarou"/>
              <w:jc w:val="both"/>
              <w:rPr>
                <w:spacing w:val="-4"/>
              </w:rPr>
            </w:pPr>
          </w:p>
        </w:tc>
        <w:tc>
          <w:tcPr>
            <w:tcW w:w="7654" w:type="dxa"/>
            <w:shd w:val="clear" w:color="auto" w:fill="auto"/>
            <w:tcMar>
              <w:left w:w="0" w:type="dxa"/>
            </w:tcMar>
          </w:tcPr>
          <w:p w14:paraId="280B1518" w14:textId="153AE4FE" w:rsidR="0080346B" w:rsidRPr="00DB613B" w:rsidRDefault="0080346B" w:rsidP="0080346B">
            <w:pPr>
              <w:spacing w:after="200"/>
            </w:pPr>
            <w:r w:rsidRPr="00DB613B">
              <w:t>Hodnota vývozu zboží v roce 2019 dosáhla 3 687,5 mld. korun</w:t>
            </w:r>
            <w:r w:rsidRPr="00DB613B">
              <w:rPr>
                <w:rStyle w:val="Znakapoznpodarou"/>
              </w:rPr>
              <w:footnoteReference w:id="42"/>
            </w:r>
            <w:r w:rsidRPr="00DB613B">
              <w:t>. Export zboží roste nepřetržitě již deset let a loni tomu nezabránilo ani ekonomické zpomalení u významných obchodních partnerů. Navýšení hodnoty vývozu loni činilo 71,3 mld. korun (2,0 %), nejméně od roku 2016. Celoroční výsledek zhoršilo zejména 4. čtvrtletí, kdy export dosáhl hodnoty 912,2 mld. korun a meziročně se propadl o 34,8 mld. (</w:t>
            </w:r>
            <w:r w:rsidR="00495145">
              <w:noBreakHyphen/>
            </w:r>
            <w:r w:rsidRPr="00DB613B">
              <w:t>3,7 %). K meziročnímu poklesu došlo poprvé od 1. kvartálu 2018, zčásti ale šlo o důsledek vysoké srovnávací základny</w:t>
            </w:r>
            <w:r w:rsidRPr="00DB613B">
              <w:rPr>
                <w:rStyle w:val="Znakapoznpodarou"/>
              </w:rPr>
              <w:footnoteReference w:id="43"/>
            </w:r>
            <w:r w:rsidRPr="00DB613B">
              <w:t>. Loňské 4. čtvrtletí mělo také o jeden pracovní den méně oproti roku 2018.</w:t>
            </w:r>
          </w:p>
        </w:tc>
      </w:tr>
      <w:tr w:rsidR="0080346B" w:rsidRPr="009110F7" w14:paraId="6C3733E9" w14:textId="77777777" w:rsidTr="00CA5EAD">
        <w:trPr>
          <w:trHeight w:val="145"/>
        </w:trPr>
        <w:tc>
          <w:tcPr>
            <w:tcW w:w="1763" w:type="dxa"/>
            <w:shd w:val="clear" w:color="auto" w:fill="auto"/>
            <w:tcMar>
              <w:left w:w="0" w:type="dxa"/>
            </w:tcMar>
          </w:tcPr>
          <w:p w14:paraId="28060B9C" w14:textId="07E570C1" w:rsidR="0080346B" w:rsidRDefault="0080346B" w:rsidP="0080346B">
            <w:pPr>
              <w:pStyle w:val="Marginlie"/>
            </w:pPr>
            <w:r>
              <w:t>Vývoz do EU rostl pomaleji než mimo Unii.</w:t>
            </w:r>
          </w:p>
        </w:tc>
        <w:tc>
          <w:tcPr>
            <w:tcW w:w="222" w:type="dxa"/>
            <w:shd w:val="clear" w:color="auto" w:fill="auto"/>
            <w:tcMar>
              <w:left w:w="0" w:type="dxa"/>
            </w:tcMar>
          </w:tcPr>
          <w:p w14:paraId="0AF82E6D" w14:textId="77777777" w:rsidR="0080346B" w:rsidRDefault="0080346B" w:rsidP="0080346B">
            <w:pPr>
              <w:pStyle w:val="Textpoznpodarou"/>
              <w:jc w:val="both"/>
              <w:rPr>
                <w:spacing w:val="-4"/>
              </w:rPr>
            </w:pPr>
          </w:p>
        </w:tc>
        <w:tc>
          <w:tcPr>
            <w:tcW w:w="7654" w:type="dxa"/>
            <w:shd w:val="clear" w:color="auto" w:fill="auto"/>
            <w:tcMar>
              <w:left w:w="0" w:type="dxa"/>
            </w:tcMar>
          </w:tcPr>
          <w:p w14:paraId="6E19BB66" w14:textId="7201568B" w:rsidR="0080346B" w:rsidRPr="00DB613B" w:rsidRDefault="0080346B" w:rsidP="0080346B">
            <w:pPr>
              <w:spacing w:after="200"/>
            </w:pPr>
            <w:r w:rsidRPr="00DB613B">
              <w:t>Zvolnění ekonomického růstu v Evropské unii se loni mírně projevilo i na struktuře výsledků českého exportu. Hodnota exportu mířícího do EU</w:t>
            </w:r>
            <w:r w:rsidRPr="00DB613B">
              <w:rPr>
                <w:rStyle w:val="Znakapoznpodarou"/>
              </w:rPr>
              <w:footnoteReference w:id="44"/>
            </w:r>
            <w:r w:rsidRPr="00DB613B">
              <w:t xml:space="preserve"> i mimo ni se zvýšila, nárůst exportu do EU byl ale mírnější (1,4 %, 41,8 mld. korun). U vývozu mimo Unii došlo k nárůstu o 5,1 % (29,5 mld.). Slabý přírůstek měl loni vývoz do Německa (1,1 %, 12,0 mld. korun), Nizozemska (1,1 %, 1,4 mld.) a Polska (1,3 %, 2,9 mld.). Zatímco v případě Nizozemska byly předchozí dva roky z hlediska českého exportu mimořádně úspěšné (přírůstky o 34,0 a 12,7 mld. korun v letech 2017 a 2018), export do Německa měl slabý přírůstek už v roce 2018. Loni poklesla hodnota vývozu do Švédska </w:t>
            </w:r>
            <w:r w:rsidR="00495145">
              <w:t>(-</w:t>
            </w:r>
            <w:r w:rsidRPr="00DB613B">
              <w:t>5,9 %,</w:t>
            </w:r>
            <w:r w:rsidR="00495145">
              <w:t xml:space="preserve"> -</w:t>
            </w:r>
            <w:r w:rsidRPr="00DB613B">
              <w:t>3,7 mld.</w:t>
            </w:r>
            <w:r w:rsidR="00495145">
              <w:t xml:space="preserve"> </w:t>
            </w:r>
            <w:r w:rsidRPr="00DB613B">
              <w:t>korun),</w:t>
            </w:r>
            <w:r w:rsidR="00495145">
              <w:t xml:space="preserve"> </w:t>
            </w:r>
            <w:r w:rsidRPr="00DB613B">
              <w:t>Itálie</w:t>
            </w:r>
            <w:r w:rsidR="00495145">
              <w:t xml:space="preserve"> </w:t>
            </w:r>
            <w:r w:rsidRPr="00DB613B">
              <w:t>(</w:t>
            </w:r>
            <w:r w:rsidR="00495145">
              <w:t>-</w:t>
            </w:r>
            <w:r w:rsidRPr="00DB613B">
              <w:t>3,6 %,</w:t>
            </w:r>
            <w:r w:rsidR="00495145">
              <w:t xml:space="preserve"> </w:t>
            </w:r>
            <w:r w:rsidRPr="00DB613B">
              <w:t>–4,9 mld.),</w:t>
            </w:r>
            <w:r w:rsidR="00495145">
              <w:t xml:space="preserve"> </w:t>
            </w:r>
            <w:r w:rsidRPr="00DB613B">
              <w:t>Velké Británie</w:t>
            </w:r>
            <w:r w:rsidR="00495145">
              <w:t xml:space="preserve"> </w:t>
            </w:r>
            <w:r w:rsidRPr="00DB613B">
              <w:t>(</w:t>
            </w:r>
            <w:r w:rsidR="00495145">
              <w:t>-</w:t>
            </w:r>
            <w:r w:rsidRPr="00DB613B">
              <w:t>2,1 %,</w:t>
            </w:r>
            <w:r w:rsidR="00495145">
              <w:t xml:space="preserve"> -</w:t>
            </w:r>
            <w:r w:rsidRPr="00DB613B">
              <w:t>3,4 mld.)</w:t>
            </w:r>
            <w:r w:rsidR="00495145">
              <w:t xml:space="preserve"> </w:t>
            </w:r>
            <w:r w:rsidRPr="00DB613B">
              <w:t>nebo</w:t>
            </w:r>
            <w:r w:rsidR="00495145">
              <w:t xml:space="preserve"> </w:t>
            </w:r>
            <w:r w:rsidRPr="00DB613B">
              <w:t>Rakouska</w:t>
            </w:r>
            <w:r w:rsidR="00495145">
              <w:t xml:space="preserve"> </w:t>
            </w:r>
            <w:r w:rsidRPr="00DB613B">
              <w:t>(</w:t>
            </w:r>
            <w:r w:rsidR="00495145">
              <w:noBreakHyphen/>
            </w:r>
            <w:r w:rsidRPr="00DB613B">
              <w:t>1,2 %,</w:t>
            </w:r>
            <w:r w:rsidR="00495145">
              <w:t xml:space="preserve"> </w:t>
            </w:r>
            <w:r w:rsidR="00495145">
              <w:noBreakHyphen/>
            </w:r>
            <w:r w:rsidRPr="00DB613B">
              <w:t>1,9 mld.). Naopak výrazně se zvýšil export do Maďarska (10,4 %, 11,5 mld. korun) a solidní zůstala tempa růstu vývozu do Rumunska (6,3 %, 3,5 mld.), Španělska (4,4 %, 5,2 mld.), na Slovensko (3,9 %, 12,6 mld.) a do Francie (3,3 %, 5,9 mld.). O 10,5 % (přes 8,0 mld. korun) vzrostla hodnota vývozu do Ruska i Spojených států. Přírůstek ve výši 8,7 % (4,2 mld.) zaznamenal export do Švýcarska. Poměrně výrazný byl nárůst vývozu do Japonska (11,4 %, 1,5 mld.). V samotném 4. čtvrtletí došlo k meziročnímu poklesu vývozu do zemí EU o 5,0 % (</w:t>
            </w:r>
            <w:r w:rsidR="00495145">
              <w:t>-</w:t>
            </w:r>
            <w:r w:rsidRPr="00DB613B">
              <w:t xml:space="preserve">39,8 mld. korun), zatímco růst exportu do </w:t>
            </w:r>
            <w:proofErr w:type="spellStart"/>
            <w:r w:rsidRPr="00DB613B">
              <w:t>mimounijních</w:t>
            </w:r>
            <w:proofErr w:type="spellEnd"/>
            <w:r w:rsidRPr="00DB613B">
              <w:t xml:space="preserve"> zemí se udržel na 3,2 % (5,0 mld.). Meziročně klesl v tomto čtvrtletí vývoz do většiny zemí EU, se kterými má ČR významné obchodní vztahy. Výjimkou bylo Maďarsko (+9,8 %) a Rumunsko (+7,0 %). Ve 4. čtvrtletí se udržel silný růst vývozu do Ruska (9,3 %).</w:t>
            </w:r>
          </w:p>
        </w:tc>
      </w:tr>
      <w:tr w:rsidR="0080346B" w:rsidRPr="009110F7" w14:paraId="7B6DB945" w14:textId="77777777" w:rsidTr="00CA5EAD">
        <w:trPr>
          <w:trHeight w:val="170"/>
        </w:trPr>
        <w:tc>
          <w:tcPr>
            <w:tcW w:w="1763" w:type="dxa"/>
            <w:shd w:val="clear" w:color="auto" w:fill="auto"/>
            <w:tcMar>
              <w:left w:w="0" w:type="dxa"/>
            </w:tcMar>
          </w:tcPr>
          <w:p w14:paraId="1CCF553A" w14:textId="6B72DE57" w:rsidR="0080346B" w:rsidRDefault="0080346B" w:rsidP="0080346B">
            <w:pPr>
              <w:pStyle w:val="Marginlie"/>
            </w:pPr>
            <w:r>
              <w:t>Export motorových vozidel k celkovému přírůstku přispěl nejvíce. Vývoz ostatních výrobků rostl pomaleji.</w:t>
            </w:r>
          </w:p>
        </w:tc>
        <w:tc>
          <w:tcPr>
            <w:tcW w:w="222" w:type="dxa"/>
            <w:shd w:val="clear" w:color="auto" w:fill="auto"/>
            <w:tcMar>
              <w:left w:w="0" w:type="dxa"/>
            </w:tcMar>
          </w:tcPr>
          <w:p w14:paraId="590554FB" w14:textId="77777777" w:rsidR="0080346B" w:rsidRDefault="0080346B" w:rsidP="0080346B">
            <w:pPr>
              <w:pStyle w:val="Textpoznpodarou"/>
              <w:jc w:val="both"/>
              <w:rPr>
                <w:spacing w:val="-4"/>
              </w:rPr>
            </w:pPr>
          </w:p>
        </w:tc>
        <w:tc>
          <w:tcPr>
            <w:tcW w:w="7654" w:type="dxa"/>
            <w:shd w:val="clear" w:color="auto" w:fill="auto"/>
            <w:tcMar>
              <w:left w:w="0" w:type="dxa"/>
            </w:tcMar>
          </w:tcPr>
          <w:p w14:paraId="3C9A02E4" w14:textId="26D8D01C" w:rsidR="0080346B" w:rsidRPr="00DB613B" w:rsidRDefault="0080346B" w:rsidP="0080346B">
            <w:pPr>
              <w:spacing w:after="200"/>
            </w:pPr>
            <w:r w:rsidRPr="00DB613B">
              <w:t>Růst hodnoty exportu loni nejvíce podpořila motorová vozidla (+38,3 mld. korun, 3,9 %, poprvé hodnota jejich vývozu překonala 1 bilion korun). Silný byl také přírůstek vývozu ostatních dopravních prostředků (+6,8 mld., 13,1 %), potravinářských výrobků (+6,6 mld., 6,1 %, zčásti kvůli silnému růstu cen) a základních farmaceutických výrobků (4,8 mld., 10,3 %). Kalamitní kůrovcová situace vedla také k prudkému nárůstu vývozu produktů lesnictví a těžby dřeva (+4,4 mld., 32,0 %). Solidní bylo navýšení exportu chemických látek a přípravků (+5,2 mld., 3,1 %). Z menších odvětví se dařilo například vývozu oděvů (+2,9 mld. korun, 10,8 %) nebo papíru a výrobků z něj (+3,9 mld., 6,8 %). Oslabení nastalo u některých významných vývozních artiklů. Vývoz strojů a zařízení se loni zvýšil o 8,6 mld. korun (2,1 %), což je nejméně od poklesu v roce 2013. Jen o 2,3 mld. (0,7 %) rostl export elektrických zařízení a o 2,1 mld. (0,9 %) se navýšil vývoz kovodělných výrobků. Silný pokles zaznamenal export základních kovů (–11,3 mld. korun, –7,6 %). Po mimořádně silném navýšení v letech 2017 a 2018 poklesl o 2,5 mld. (–0,6 %) vývoz počítačů, elektronických a optických přístrojů</w:t>
            </w:r>
            <w:r w:rsidRPr="00DB613B">
              <w:rPr>
                <w:rStyle w:val="Znakapoznpodarou"/>
              </w:rPr>
              <w:footnoteReference w:id="45"/>
            </w:r>
            <w:r w:rsidRPr="00DB613B">
              <w:t xml:space="preserve">. Výrazně klesla také hodnota exportu elektřiny, plynu, páry a klimatizovaného vzduchu (–2,9 mld. korun, </w:t>
            </w:r>
            <w:r w:rsidR="00495145">
              <w:noBreakHyphen/>
            </w:r>
            <w:r w:rsidRPr="00DB613B">
              <w:t xml:space="preserve">8,7 %), černého a hnědého uhlí a lignitu (–1,9 mld., –24,3 %) a dřeva </w:t>
            </w:r>
            <w:r w:rsidRPr="00DB613B">
              <w:lastRenderedPageBreak/>
              <w:t>a dřevěných výrobků (–1,6 mld., –3,9 %, první pokles od roku 2009). Ve 4. čtvrtletí k celkovému meziročnímu poklesu nejvýrazněji přispěly počítače, elektronické a optické</w:t>
            </w:r>
            <w:r w:rsidR="00495145">
              <w:t xml:space="preserve"> </w:t>
            </w:r>
            <w:r w:rsidRPr="00DB613B">
              <w:t>přístroje</w:t>
            </w:r>
            <w:r w:rsidR="00495145">
              <w:t xml:space="preserve"> </w:t>
            </w:r>
            <w:r w:rsidRPr="00DB613B">
              <w:t>(–9,2 mld.</w:t>
            </w:r>
            <w:r w:rsidR="00495145">
              <w:t xml:space="preserve"> </w:t>
            </w:r>
            <w:r w:rsidRPr="00DB613B">
              <w:t>korun,</w:t>
            </w:r>
            <w:r w:rsidR="00495145">
              <w:t xml:space="preserve"> </w:t>
            </w:r>
            <w:r w:rsidRPr="00DB613B">
              <w:t>–8,3 %),</w:t>
            </w:r>
            <w:r w:rsidR="00495145">
              <w:t xml:space="preserve"> </w:t>
            </w:r>
            <w:r w:rsidRPr="00DB613B">
              <w:t>dále</w:t>
            </w:r>
            <w:r w:rsidR="00495145">
              <w:t xml:space="preserve"> </w:t>
            </w:r>
            <w:r w:rsidRPr="00DB613B">
              <w:t>motorová</w:t>
            </w:r>
            <w:r w:rsidR="00495145">
              <w:t xml:space="preserve"> </w:t>
            </w:r>
            <w:r w:rsidRPr="00DB613B">
              <w:t>vozidla</w:t>
            </w:r>
            <w:r w:rsidR="00495145">
              <w:t xml:space="preserve"> </w:t>
            </w:r>
            <w:r w:rsidRPr="00DB613B">
              <w:t>(–7,1 mld., –2,8 %), základní</w:t>
            </w:r>
            <w:r w:rsidR="00495145">
              <w:t xml:space="preserve"> </w:t>
            </w:r>
            <w:r w:rsidRPr="00DB613B">
              <w:t>kovy</w:t>
            </w:r>
            <w:r w:rsidR="00495145">
              <w:t xml:space="preserve"> </w:t>
            </w:r>
            <w:r w:rsidRPr="00DB613B">
              <w:t>(–5,6 mld.,</w:t>
            </w:r>
            <w:r w:rsidR="00495145">
              <w:t xml:space="preserve"> </w:t>
            </w:r>
            <w:r w:rsidRPr="00DB613B">
              <w:t>–16,0 %</w:t>
            </w:r>
            <w:r w:rsidR="00495145" w:rsidRPr="00DB613B">
              <w:t>), stroje</w:t>
            </w:r>
            <w:r w:rsidR="00495145">
              <w:t xml:space="preserve"> </w:t>
            </w:r>
            <w:r w:rsidRPr="00DB613B">
              <w:t>a zařízení</w:t>
            </w:r>
            <w:r w:rsidR="00495145">
              <w:t xml:space="preserve"> </w:t>
            </w:r>
            <w:r w:rsidRPr="00DB613B">
              <w:t>(–3,1 mld.,</w:t>
            </w:r>
            <w:r w:rsidR="00495145">
              <w:t xml:space="preserve"> </w:t>
            </w:r>
            <w:r w:rsidRPr="00DB613B">
              <w:t>–3,0 %) a elektřina, plyn, pára a klimatizovaný vzduch (–3,0 mld., –27,3 %).</w:t>
            </w:r>
          </w:p>
        </w:tc>
      </w:tr>
      <w:tr w:rsidR="0080346B" w:rsidRPr="009110F7" w14:paraId="3ED40684" w14:textId="77777777" w:rsidTr="00CA5EAD">
        <w:trPr>
          <w:trHeight w:val="145"/>
        </w:trPr>
        <w:tc>
          <w:tcPr>
            <w:tcW w:w="1763" w:type="dxa"/>
            <w:shd w:val="clear" w:color="auto" w:fill="auto"/>
            <w:tcMar>
              <w:left w:w="0" w:type="dxa"/>
            </w:tcMar>
          </w:tcPr>
          <w:p w14:paraId="3B69811B" w14:textId="7A7CBB1F" w:rsidR="0080346B" w:rsidRDefault="0080346B" w:rsidP="0080346B">
            <w:pPr>
              <w:pStyle w:val="Marginlie"/>
            </w:pPr>
            <w:r>
              <w:lastRenderedPageBreak/>
              <w:t>Dovoz loni rostl pomaleji než vývoz a v závěru roku byl jeho propad rovněž výraznější.</w:t>
            </w:r>
          </w:p>
        </w:tc>
        <w:tc>
          <w:tcPr>
            <w:tcW w:w="222" w:type="dxa"/>
            <w:shd w:val="clear" w:color="auto" w:fill="auto"/>
            <w:tcMar>
              <w:left w:w="0" w:type="dxa"/>
            </w:tcMar>
          </w:tcPr>
          <w:p w14:paraId="598AB828" w14:textId="77777777" w:rsidR="0080346B" w:rsidRDefault="0080346B" w:rsidP="0080346B">
            <w:pPr>
              <w:pStyle w:val="Textpoznpodarou"/>
              <w:jc w:val="both"/>
              <w:rPr>
                <w:spacing w:val="-4"/>
              </w:rPr>
            </w:pPr>
          </w:p>
        </w:tc>
        <w:tc>
          <w:tcPr>
            <w:tcW w:w="7654" w:type="dxa"/>
            <w:shd w:val="clear" w:color="auto" w:fill="auto"/>
            <w:tcMar>
              <w:left w:w="0" w:type="dxa"/>
            </w:tcMar>
          </w:tcPr>
          <w:p w14:paraId="39C7BE15" w14:textId="150649A3" w:rsidR="0080346B" w:rsidRPr="00DB613B" w:rsidRDefault="0080346B" w:rsidP="0080346B">
            <w:r w:rsidRPr="00DB613B">
              <w:t>Dovoz v roce 2019 celkově dosáhl hodnoty 3 542,0 mld. korun. Vzhledem k úzkým vazbám importu na výrobu v domácí ekonomice jsou charakteristiky vývoje dovozu i vývozu podobné. Meziroční navýšení hodnoty importu dosáhlo loni celkem 24,2 mld. korun (0,7 %), opět nejméně od roku 2016. Podobně jako u vývozu došlo ve 4. čtvrtletí k výraznému meziročnímu propadu hodnoty importu (–34,3 mld. korun, –3,7 %), a dovoz tak dosáhl hodnoty 900,9 mld. korun. V roce 2019 meziročně klesla hodnota dovozu</w:t>
            </w:r>
            <w:r w:rsidR="00495145">
              <w:t xml:space="preserve"> </w:t>
            </w:r>
            <w:r w:rsidRPr="00DB613B">
              <w:t>z</w:t>
            </w:r>
            <w:r w:rsidR="00495145">
              <w:t xml:space="preserve"> </w:t>
            </w:r>
            <w:r w:rsidRPr="00DB613B">
              <w:t>EU</w:t>
            </w:r>
            <w:r w:rsidR="00495145">
              <w:t xml:space="preserve"> </w:t>
            </w:r>
            <w:r w:rsidRPr="00DB613B">
              <w:t>(–0,8 %, –18,3 mld. korun) a rostl import z ostatních destinací (3,4 %, 38,5 mld.), ovšem slaběji než v předchozím roce. Za snížením dovozu z EU stojí zejména</w:t>
            </w:r>
            <w:r w:rsidR="00495145">
              <w:t xml:space="preserve"> </w:t>
            </w:r>
            <w:r w:rsidRPr="00DB613B">
              <w:t>Slovensko</w:t>
            </w:r>
            <w:r w:rsidR="00495145">
              <w:t xml:space="preserve"> </w:t>
            </w:r>
            <w:r w:rsidRPr="00DB613B">
              <w:t>(–9,0 %,</w:t>
            </w:r>
            <w:r w:rsidR="00495145">
              <w:t xml:space="preserve"> </w:t>
            </w:r>
            <w:r w:rsidRPr="00DB613B">
              <w:t>–17,3 mld. korun), nezanedbatelný byl také pokles u Velké Británie (–7,4 %, –4,5 mld., dovoz klesal třetím rokem) a Německa (–0,4 %, –3,9 mld., první propad od roku 2009). Výrazně se propadl dovoz z Ruska (–10,5 %, –13,4 mld. korun). Významně však narostla hodnota importu z Číny (5,2 %, 19,0 mld.), ze Spojených států (5,6 %, 5,1 mld.) nebo Japonska (4,9 %, 3,0 mld.). Samotné 4. čtvrtletí přineslo propad dovozu z většiny zemí významných obchodních partnerů s výjimkou Spojených států (+10,2 %), Španělska (+2,8 %), Nizozemska (+2,5 %) a Japonska (+1,8 %).</w:t>
            </w:r>
          </w:p>
        </w:tc>
      </w:tr>
      <w:tr w:rsidR="0080346B" w:rsidRPr="009110F7" w14:paraId="416BD4D5" w14:textId="77777777" w:rsidTr="00CA5EAD">
        <w:trPr>
          <w:trHeight w:val="145"/>
        </w:trPr>
        <w:tc>
          <w:tcPr>
            <w:tcW w:w="1763" w:type="dxa"/>
            <w:shd w:val="clear" w:color="auto" w:fill="auto"/>
            <w:tcMar>
              <w:left w:w="0" w:type="dxa"/>
            </w:tcMar>
          </w:tcPr>
          <w:p w14:paraId="670ADC74" w14:textId="78679A73" w:rsidR="0080346B" w:rsidRDefault="0080346B" w:rsidP="0080346B">
            <w:pPr>
              <w:pStyle w:val="Marginlie"/>
            </w:pPr>
            <w:r>
              <w:t>Nárůst cen posílil hodnotu dovozu potravinářských výrobků.</w:t>
            </w:r>
          </w:p>
        </w:tc>
        <w:tc>
          <w:tcPr>
            <w:tcW w:w="222" w:type="dxa"/>
            <w:shd w:val="clear" w:color="auto" w:fill="auto"/>
            <w:tcMar>
              <w:left w:w="0" w:type="dxa"/>
            </w:tcMar>
          </w:tcPr>
          <w:p w14:paraId="26B83A90" w14:textId="77777777" w:rsidR="0080346B" w:rsidRDefault="0080346B" w:rsidP="0080346B">
            <w:pPr>
              <w:pStyle w:val="Textpoznpodarou"/>
              <w:jc w:val="both"/>
              <w:rPr>
                <w:spacing w:val="-4"/>
              </w:rPr>
            </w:pPr>
          </w:p>
        </w:tc>
        <w:tc>
          <w:tcPr>
            <w:tcW w:w="7654" w:type="dxa"/>
            <w:shd w:val="clear" w:color="auto" w:fill="auto"/>
            <w:tcMar>
              <w:left w:w="0" w:type="dxa"/>
            </w:tcMar>
          </w:tcPr>
          <w:p w14:paraId="04AB79C9" w14:textId="5A5C3192" w:rsidR="0080346B" w:rsidRPr="00DB613B" w:rsidRDefault="0080346B" w:rsidP="0080346B">
            <w:r w:rsidRPr="00DB613B">
              <w:t xml:space="preserve">K poměrně nízkému přírůstku hodnoty dovozu loni nejvíce pozitivně přispěla motorová vozidla (+13,1 mld. korun, 2,4 %), potravinářské výrobky (+11,4 mld., 7,8 %, zčásti kvůli cenovému nárůstu) a základní farmaceutické výrobky (+8,5 mld., 8,8 %). Celkem výrazné bylo rovněž navýšení u oděvů (5,9 mld. korun, 10,3 %). Prudce se zmírnil růst dovozu některých významných položek – strojů a zařízení (5,6 mld., 1,6 %), počítačů, elektronických a optických přístrojů (4,1 mld., 1,0 %) nebo chemických látek a přípravků (0,2 mld., 0,1 %). Silné poklesy byly zaznamenány u základních kovů (–16,5 mld. korun, </w:t>
            </w:r>
            <w:r w:rsidRPr="00DB613B">
              <w:br/>
              <w:t xml:space="preserve">–5,9 %), elektřiny, plynu, páry a klimatizovaného vzduchu (–9,1 mld. –33,1 %), koksu a rafinovaných ropných výrobků (–7,9 mld., –11,5 %), ropy a zemního plynu (–5,9 mld., </w:t>
            </w:r>
            <w:r w:rsidRPr="00DB613B">
              <w:br/>
              <w:t xml:space="preserve">–4,4 %) nebo ostatních dopravních prostředků (–5,4 mld., –11,5 %). K silnému meziročnímu propadu hodnoty importu, který se odehrál ve 4. čtvrtletí, přispěly nejvíce základní kovy (–8,4 mld. korun, –12,3 %), ropa a zemní plyn (–7,0 mld., –17,2 %), stroje a zařízení (–6,9 mld., –7,5 %) a elektřina, plyn, pára a klimatizovaný vzduch (–4,1 mld., </w:t>
            </w:r>
            <w:r w:rsidRPr="00DB613B">
              <w:br/>
              <w:t>–49,8 %). Nejvíce se meziročně v posledním čtvrtletí zvýšil dovoz potravinářských výrobků (3,2 mld., 8,0 %) a základních farmaceutických výrobků (1,9 mld., 7,6 %).</w:t>
            </w:r>
          </w:p>
        </w:tc>
      </w:tr>
      <w:tr w:rsidR="0080346B" w:rsidRPr="009110F7" w14:paraId="19CC0611" w14:textId="77777777" w:rsidTr="00CA5EAD">
        <w:trPr>
          <w:trHeight w:val="145"/>
        </w:trPr>
        <w:tc>
          <w:tcPr>
            <w:tcW w:w="1763" w:type="dxa"/>
            <w:shd w:val="clear" w:color="auto" w:fill="auto"/>
            <w:tcMar>
              <w:left w:w="0" w:type="dxa"/>
            </w:tcMar>
          </w:tcPr>
          <w:p w14:paraId="60D0CDC9" w14:textId="3455C21A" w:rsidR="0080346B" w:rsidRPr="000B78B7" w:rsidRDefault="0080346B" w:rsidP="0080346B">
            <w:pPr>
              <w:pStyle w:val="Marginlie"/>
            </w:pPr>
            <w:r>
              <w:t>Tradiční přebytek obchodu se zbožím se loni zvýšil nejvíce od roku 2012.</w:t>
            </w:r>
          </w:p>
        </w:tc>
        <w:tc>
          <w:tcPr>
            <w:tcW w:w="222" w:type="dxa"/>
            <w:shd w:val="clear" w:color="auto" w:fill="auto"/>
            <w:tcMar>
              <w:left w:w="0" w:type="dxa"/>
            </w:tcMar>
          </w:tcPr>
          <w:p w14:paraId="45739320" w14:textId="77777777" w:rsidR="0080346B" w:rsidRDefault="0080346B" w:rsidP="0080346B">
            <w:pPr>
              <w:pStyle w:val="Textpoznpodarou"/>
              <w:jc w:val="both"/>
              <w:rPr>
                <w:spacing w:val="-4"/>
              </w:rPr>
            </w:pPr>
          </w:p>
        </w:tc>
        <w:tc>
          <w:tcPr>
            <w:tcW w:w="7654" w:type="dxa"/>
            <w:shd w:val="clear" w:color="auto" w:fill="auto"/>
            <w:tcMar>
              <w:left w:w="0" w:type="dxa"/>
            </w:tcMar>
          </w:tcPr>
          <w:p w14:paraId="7DE01D2B" w14:textId="1740E896" w:rsidR="0080346B" w:rsidRPr="00DB613B" w:rsidRDefault="0080346B" w:rsidP="0080346B">
            <w:r w:rsidRPr="00DB613B">
              <w:t>Bilance zahraničního obchodu se zbožím loni dosáhla přebytku 145,6 mld. korun. Kladné saldo se zároveň meziročně navýšilo o 47,1 mld. korun, nejvíce od roku 2012 (ovlivněného intervencí ČNB a oslabením směnného kurzu). Výsledek ovlivnilo především oslabení dovozu. Popsaný nárůst přebytku vznikl zejména ve 2.</w:t>
            </w:r>
            <w:r w:rsidR="00495145">
              <w:t> </w:t>
            </w:r>
            <w:r w:rsidRPr="00DB613B">
              <w:t xml:space="preserve">a 3. kvartálu. Ve 4. čtvrtletí přebytek dosáhl 11,3 mld. korun a meziročně klesl o 0,5 mld. korun. Na loňském nárůstu přebytku se podílelo výhradně kladné saldo obchodu s EU (+60,1 mld. korun), naopak existující deficit se zbytkem světa se prohloubil o 9,0 mld. Zlepšila se zejména bilance se Slovenskem (+30,0 mld. korun), Německem (+15,9 mld.) a Maďarskem (+13,0 mld.). Výrazného zmírnění deficitu (o 21,5 mld. korun) dosáhl obchod s Ruskem. Ve směru deficitu obchodu se zbožím loni působila především Čína (–18,0 mld. korun). Ve 4. čtvrtletí byla situace opačná oproti kumulaci za celý rok. Přebytek obchodu s EU se meziročně propadl o 12,5 mld. korun a naopak deficit se zeměmi mimo EU se zmírnil o 12,3 mld. Bilanci obchodu s EU v posledním čtvrtletí negativně ovlivnil hlavně propad přebytku u Německa (–7,7 mld.), </w:t>
            </w:r>
            <w:r w:rsidRPr="00DB613B">
              <w:lastRenderedPageBreak/>
              <w:t>Nizozemska (–4,0 mld.), Španělska (–2,8 mld.) a Rakouska (–2,9 mld.). V závěru roku se zlepšila bilance obchodu s Ruskem (+7,2 mld.).</w:t>
            </w:r>
          </w:p>
        </w:tc>
      </w:tr>
      <w:tr w:rsidR="0080346B" w:rsidRPr="009110F7" w14:paraId="33317B83" w14:textId="77777777" w:rsidTr="00CA5EAD">
        <w:trPr>
          <w:trHeight w:val="145"/>
        </w:trPr>
        <w:tc>
          <w:tcPr>
            <w:tcW w:w="1763" w:type="dxa"/>
            <w:shd w:val="clear" w:color="auto" w:fill="auto"/>
            <w:tcMar>
              <w:left w:w="0" w:type="dxa"/>
            </w:tcMar>
          </w:tcPr>
          <w:p w14:paraId="43116F00" w14:textId="56E2A6E9" w:rsidR="0080346B" w:rsidRDefault="0080346B" w:rsidP="0080346B">
            <w:pPr>
              <w:pStyle w:val="Marginlie"/>
            </w:pPr>
            <w:r>
              <w:lastRenderedPageBreak/>
              <w:t>Motorová vozidla podpořila zlepšení bilance nejvíce.</w:t>
            </w:r>
          </w:p>
        </w:tc>
        <w:tc>
          <w:tcPr>
            <w:tcW w:w="222" w:type="dxa"/>
            <w:shd w:val="clear" w:color="auto" w:fill="auto"/>
            <w:tcMar>
              <w:left w:w="0" w:type="dxa"/>
            </w:tcMar>
          </w:tcPr>
          <w:p w14:paraId="0EDC2F04" w14:textId="77777777" w:rsidR="0080346B" w:rsidRDefault="0080346B" w:rsidP="0080346B">
            <w:pPr>
              <w:pStyle w:val="Textpoznpodarou"/>
              <w:jc w:val="both"/>
              <w:rPr>
                <w:spacing w:val="-4"/>
              </w:rPr>
            </w:pPr>
          </w:p>
        </w:tc>
        <w:tc>
          <w:tcPr>
            <w:tcW w:w="7654" w:type="dxa"/>
            <w:shd w:val="clear" w:color="auto" w:fill="auto"/>
            <w:tcMar>
              <w:left w:w="0" w:type="dxa"/>
            </w:tcMar>
          </w:tcPr>
          <w:p w14:paraId="30046207" w14:textId="508B207C" w:rsidR="0080346B" w:rsidRPr="00DB613B" w:rsidRDefault="0080346B" w:rsidP="00495145">
            <w:r w:rsidRPr="00DB613B">
              <w:t>K loňskému přebytku nejvýrazněji přispěl v meziročním srovnání obchod s motorovými vozidly (+25,2 mld. korun) a ostatními dopravními prostředky (+12,2 mld.). Významné bylo rovněž zlepšení bilance u koksu a rafinovaných ropných výrobků (+7,4 mld. korun), elektřiny, plynu, páry a klimatizovaného vzduchu (+6,1 mld.), ropy a zemního plynu (+5,0 mld.) a chemických látek a přípravků (+4,9 mld.). Přebytek se silně navýšil u obchodu s produkty lesnictví a těžby dřeva (+4,8 mld. korun) a díky zlepšení o 4,8 mld. se z deficitu do přebytku poprvé v dostupné časové řadě dostal obchod s papírem a výrobky z něj. Loni se výrazněji zhoršila bilance obchodu s počítači, elektronickými</w:t>
            </w:r>
            <w:r w:rsidR="00495145">
              <w:t xml:space="preserve"> </w:t>
            </w:r>
            <w:r w:rsidRPr="00DB613B">
              <w:t>a optickými</w:t>
            </w:r>
            <w:r w:rsidR="00495145">
              <w:t xml:space="preserve"> </w:t>
            </w:r>
            <w:r w:rsidRPr="00DB613B">
              <w:t>přístroji</w:t>
            </w:r>
            <w:r w:rsidR="00495145">
              <w:t xml:space="preserve"> </w:t>
            </w:r>
            <w:r w:rsidRPr="00DB613B">
              <w:t>(–6,6 mld. korun) a základními farmaceutickými výrobky (–3,7 mld.). V samotném 4. čtvrtletí nejvíce přispíval ve směru přebytku obchod s ropou a zemním plynem (+6,2 mld. korun), stroji a zařízením (+3,8 mld.), základními kovy (+2,8 mld.) a chemickými látkami a přípravky (+2,6 mld.). Deficitně působily zejména</w:t>
            </w:r>
            <w:r w:rsidR="00495145">
              <w:t xml:space="preserve"> </w:t>
            </w:r>
            <w:r w:rsidRPr="00DB613B">
              <w:t>počítače, elektronické</w:t>
            </w:r>
            <w:r w:rsidR="00495145">
              <w:t xml:space="preserve"> </w:t>
            </w:r>
            <w:r w:rsidRPr="00DB613B">
              <w:t>a optické</w:t>
            </w:r>
            <w:r w:rsidR="00495145">
              <w:t xml:space="preserve"> </w:t>
            </w:r>
            <w:r w:rsidRPr="00DB613B">
              <w:t>přístroje</w:t>
            </w:r>
            <w:r w:rsidR="00495145">
              <w:t xml:space="preserve"> </w:t>
            </w:r>
            <w:r w:rsidRPr="00DB613B">
              <w:t>(–8,3 mld.), motorová vozidla (</w:t>
            </w:r>
            <w:r w:rsidR="00495145">
              <w:noBreakHyphen/>
            </w:r>
            <w:r w:rsidRPr="00DB613B">
              <w:t>7,1 mld. korun) a potravinářské výrobky (–1,9 mld.).</w:t>
            </w:r>
          </w:p>
        </w:tc>
      </w:tr>
      <w:tr w:rsidR="0080346B" w:rsidRPr="009110F7" w14:paraId="2D19373E" w14:textId="77777777" w:rsidTr="00CA5EAD">
        <w:trPr>
          <w:trHeight w:val="170"/>
        </w:trPr>
        <w:tc>
          <w:tcPr>
            <w:tcW w:w="1763" w:type="dxa"/>
            <w:vMerge w:val="restart"/>
            <w:shd w:val="clear" w:color="auto" w:fill="auto"/>
            <w:tcMar>
              <w:left w:w="0" w:type="dxa"/>
            </w:tcMar>
          </w:tcPr>
          <w:p w14:paraId="38496118" w14:textId="77777777" w:rsidR="0080346B" w:rsidRDefault="0080346B" w:rsidP="0080346B">
            <w:pPr>
              <w:pStyle w:val="Marginlie"/>
            </w:pPr>
          </w:p>
        </w:tc>
        <w:tc>
          <w:tcPr>
            <w:tcW w:w="222" w:type="dxa"/>
            <w:vMerge w:val="restart"/>
            <w:shd w:val="clear" w:color="auto" w:fill="auto"/>
            <w:tcMar>
              <w:left w:w="0" w:type="dxa"/>
            </w:tcMar>
          </w:tcPr>
          <w:p w14:paraId="721EAB6F" w14:textId="77777777" w:rsidR="0080346B" w:rsidRDefault="0080346B" w:rsidP="0080346B">
            <w:pPr>
              <w:pStyle w:val="Textpoznpodarou"/>
              <w:jc w:val="both"/>
              <w:rPr>
                <w:spacing w:val="-4"/>
              </w:rPr>
            </w:pPr>
          </w:p>
        </w:tc>
        <w:tc>
          <w:tcPr>
            <w:tcW w:w="7654" w:type="dxa"/>
            <w:shd w:val="clear" w:color="auto" w:fill="auto"/>
            <w:tcMar>
              <w:left w:w="0" w:type="dxa"/>
            </w:tcMar>
          </w:tcPr>
          <w:p w14:paraId="1DA3B9BD" w14:textId="795FA2EB" w:rsidR="0080346B" w:rsidRPr="00DB613B" w:rsidRDefault="000767F5" w:rsidP="0080346B">
            <w:pPr>
              <w:spacing w:after="0"/>
            </w:pPr>
            <w:r w:rsidRPr="00DB613B">
              <w:rPr>
                <w:rFonts w:cs="Arial"/>
                <w:b/>
                <w:bCs/>
                <w:color w:val="000000"/>
                <w:sz w:val="18"/>
                <w:szCs w:val="18"/>
              </w:rPr>
              <w:t>Graf č. 8</w:t>
            </w:r>
            <w:r w:rsidR="0080346B" w:rsidRPr="00DB613B">
              <w:rPr>
                <w:rFonts w:cs="Arial"/>
                <w:b/>
                <w:bCs/>
                <w:color w:val="000000"/>
                <w:sz w:val="18"/>
                <w:szCs w:val="18"/>
              </w:rPr>
              <w:t xml:space="preserve">  </w:t>
            </w:r>
            <w:r w:rsidR="0080346B" w:rsidRPr="00DB613B">
              <w:rPr>
                <w:b/>
                <w:sz w:val="18"/>
                <w:szCs w:val="18"/>
              </w:rPr>
              <w:t>Bilance zahraničního obchodu ve statistice zahraničního obchodu (kumulace celého roku, v mld. korun, vybrané oddíly klasifikace CPA)</w:t>
            </w:r>
          </w:p>
        </w:tc>
      </w:tr>
      <w:tr w:rsidR="0080346B" w:rsidRPr="009110F7" w14:paraId="43987404" w14:textId="77777777" w:rsidTr="00CA5EAD">
        <w:trPr>
          <w:trHeight w:val="170"/>
        </w:trPr>
        <w:tc>
          <w:tcPr>
            <w:tcW w:w="1763" w:type="dxa"/>
            <w:vMerge/>
            <w:shd w:val="clear" w:color="auto" w:fill="auto"/>
            <w:tcMar>
              <w:left w:w="0" w:type="dxa"/>
            </w:tcMar>
          </w:tcPr>
          <w:p w14:paraId="7DECEC15" w14:textId="77777777" w:rsidR="0080346B" w:rsidRDefault="0080346B" w:rsidP="0080346B">
            <w:pPr>
              <w:pStyle w:val="Marginlie"/>
            </w:pPr>
          </w:p>
        </w:tc>
        <w:tc>
          <w:tcPr>
            <w:tcW w:w="222" w:type="dxa"/>
            <w:vMerge/>
            <w:shd w:val="clear" w:color="auto" w:fill="auto"/>
            <w:tcMar>
              <w:left w:w="0" w:type="dxa"/>
            </w:tcMar>
          </w:tcPr>
          <w:p w14:paraId="0529D147" w14:textId="77777777" w:rsidR="0080346B" w:rsidRDefault="0080346B" w:rsidP="0080346B">
            <w:pPr>
              <w:pStyle w:val="Textpoznpodarou"/>
              <w:jc w:val="both"/>
              <w:rPr>
                <w:spacing w:val="-4"/>
              </w:rPr>
            </w:pPr>
          </w:p>
        </w:tc>
        <w:tc>
          <w:tcPr>
            <w:tcW w:w="7654" w:type="dxa"/>
            <w:shd w:val="clear" w:color="auto" w:fill="auto"/>
            <w:tcMar>
              <w:left w:w="0" w:type="dxa"/>
            </w:tcMar>
          </w:tcPr>
          <w:p w14:paraId="304E36C8" w14:textId="4283EA70" w:rsidR="0080346B" w:rsidRPr="00DB613B" w:rsidRDefault="0080346B" w:rsidP="0080346B">
            <w:pPr>
              <w:spacing w:after="0"/>
            </w:pPr>
            <w:r w:rsidRPr="00DB613B">
              <w:rPr>
                <w:noProof/>
              </w:rPr>
              <w:drawing>
                <wp:inline distT="0" distB="0" distL="0" distR="0" wp14:anchorId="59C5A427" wp14:editId="0E37415D">
                  <wp:extent cx="4771467" cy="3553200"/>
                  <wp:effectExtent l="0" t="0" r="0" b="0"/>
                  <wp:docPr id="25" name="Graf 25">
                    <a:extLst xmlns:a="http://schemas.openxmlformats.org/drawingml/2006/main">
                      <a:ext uri="{FF2B5EF4-FFF2-40B4-BE49-F238E27FC236}">
                        <a16:creationId xmlns:a16="http://schemas.microsoft.com/office/drawing/2014/main" id="{00000000-0008-0000-0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80346B" w:rsidRPr="009110F7" w14:paraId="13F2C9BA" w14:textId="77777777" w:rsidTr="00CA5EAD">
        <w:trPr>
          <w:trHeight w:val="170"/>
        </w:trPr>
        <w:tc>
          <w:tcPr>
            <w:tcW w:w="1763" w:type="dxa"/>
            <w:vMerge/>
            <w:shd w:val="clear" w:color="auto" w:fill="auto"/>
            <w:tcMar>
              <w:left w:w="0" w:type="dxa"/>
            </w:tcMar>
          </w:tcPr>
          <w:p w14:paraId="4AA7A3BB" w14:textId="77777777" w:rsidR="0080346B" w:rsidRDefault="0080346B" w:rsidP="0080346B">
            <w:pPr>
              <w:pStyle w:val="Marginlie"/>
            </w:pPr>
          </w:p>
        </w:tc>
        <w:tc>
          <w:tcPr>
            <w:tcW w:w="222" w:type="dxa"/>
            <w:vMerge/>
            <w:shd w:val="clear" w:color="auto" w:fill="auto"/>
            <w:tcMar>
              <w:left w:w="0" w:type="dxa"/>
            </w:tcMar>
          </w:tcPr>
          <w:p w14:paraId="1C411474" w14:textId="77777777" w:rsidR="0080346B" w:rsidRDefault="0080346B" w:rsidP="0080346B">
            <w:pPr>
              <w:pStyle w:val="Textpoznpodarou"/>
              <w:jc w:val="both"/>
              <w:rPr>
                <w:spacing w:val="-4"/>
              </w:rPr>
            </w:pPr>
          </w:p>
        </w:tc>
        <w:tc>
          <w:tcPr>
            <w:tcW w:w="7654" w:type="dxa"/>
            <w:shd w:val="clear" w:color="auto" w:fill="auto"/>
            <w:tcMar>
              <w:left w:w="0" w:type="dxa"/>
            </w:tcMar>
          </w:tcPr>
          <w:p w14:paraId="07BA5F9D" w14:textId="5E5A5939" w:rsidR="0080346B" w:rsidRPr="00DB613B" w:rsidRDefault="0080346B" w:rsidP="0080346B">
            <w:r w:rsidRPr="00DB613B">
              <w:rPr>
                <w:sz w:val="14"/>
                <w:szCs w:val="14"/>
              </w:rPr>
              <w:t>Zdroj: ČSÚ</w:t>
            </w:r>
          </w:p>
        </w:tc>
      </w:tr>
      <w:tr w:rsidR="0080346B" w:rsidRPr="009110F7" w14:paraId="58E343BD" w14:textId="77777777" w:rsidTr="00CA5EAD">
        <w:trPr>
          <w:trHeight w:val="145"/>
        </w:trPr>
        <w:tc>
          <w:tcPr>
            <w:tcW w:w="1763" w:type="dxa"/>
            <w:shd w:val="clear" w:color="auto" w:fill="auto"/>
            <w:tcMar>
              <w:left w:w="0" w:type="dxa"/>
            </w:tcMar>
          </w:tcPr>
          <w:p w14:paraId="33C7C8B3" w14:textId="4EEDFB53" w:rsidR="0080346B" w:rsidRDefault="0080346B" w:rsidP="0080346B">
            <w:pPr>
              <w:pStyle w:val="Marginlie"/>
            </w:pPr>
            <w:r>
              <w:t>Přebytek zahraničního obchodu se službami se loni výrazně snížil.</w:t>
            </w:r>
          </w:p>
        </w:tc>
        <w:tc>
          <w:tcPr>
            <w:tcW w:w="222" w:type="dxa"/>
            <w:shd w:val="clear" w:color="auto" w:fill="auto"/>
            <w:tcMar>
              <w:left w:w="0" w:type="dxa"/>
            </w:tcMar>
          </w:tcPr>
          <w:p w14:paraId="126B5060" w14:textId="77777777" w:rsidR="0080346B" w:rsidRDefault="0080346B" w:rsidP="0080346B">
            <w:pPr>
              <w:pStyle w:val="Textpoznpodarou"/>
              <w:jc w:val="both"/>
              <w:rPr>
                <w:spacing w:val="-4"/>
              </w:rPr>
            </w:pPr>
          </w:p>
        </w:tc>
        <w:tc>
          <w:tcPr>
            <w:tcW w:w="7654" w:type="dxa"/>
            <w:shd w:val="clear" w:color="auto" w:fill="auto"/>
            <w:tcMar>
              <w:left w:w="0" w:type="dxa"/>
            </w:tcMar>
          </w:tcPr>
          <w:p w14:paraId="39F72215" w14:textId="236A4512" w:rsidR="0080346B" w:rsidRPr="00DB613B" w:rsidRDefault="0080346B" w:rsidP="0080346B">
            <w:r w:rsidRPr="00DB613B">
              <w:t>Podle údajů ČNB o platební bilanci se přebytek obchodu se službami loni meziročně snížil o 18,3 mld. korun a dosáhl 103,7 mld. Podrobnější údaje ukazují na výrazné prohloubení deficitu u ostatních podnikatelských služeb</w:t>
            </w:r>
            <w:r w:rsidRPr="00DB613B">
              <w:rPr>
                <w:rStyle w:val="Znakapoznpodarou"/>
              </w:rPr>
              <w:footnoteReference w:id="46"/>
            </w:r>
            <w:r w:rsidRPr="00DB613B">
              <w:t xml:space="preserve"> (o 16,7 mld. korun). Deficit se zde prohloubil kvůli prudkému navýšení dovozu. Propad přebytku nastal také u služeb v dopravě (pokles o 12,5 mld. korun na 22,3 mld.). Souběžně zde loni poklesla hodnota vývozu a narostl jejich dovoz. Naopak příznivě na bilanci služeb působil obchod s telekomunikačními službami a službami v oblasti počítačů a informačních služeb (nárůst přebytku o 10,5 mld. korun na 50,3 mld.). Loni se výrazně zvýšila hodnota jejich </w:t>
            </w:r>
            <w:r w:rsidRPr="00DB613B">
              <w:lastRenderedPageBreak/>
              <w:t>vývozu a tyto služby tvořily také největší část z celkového přebytku. Prakticky nezměněn zůstal přebytek obchodu s výrobními službami u cizích fyzických vstupů</w:t>
            </w:r>
            <w:r w:rsidRPr="00DB613B">
              <w:rPr>
                <w:rStyle w:val="Znakapoznpodarou"/>
              </w:rPr>
              <w:footnoteReference w:id="47"/>
            </w:r>
            <w:r w:rsidRPr="00DB613B">
              <w:t xml:space="preserve"> (42,0 mld. korun) a cestovního ruchu (32,7 mld.).</w:t>
            </w:r>
          </w:p>
        </w:tc>
      </w:tr>
      <w:tr w:rsidR="0080346B" w:rsidRPr="009110F7" w14:paraId="675855E2" w14:textId="77777777" w:rsidTr="00CA5EAD">
        <w:trPr>
          <w:trHeight w:val="170"/>
        </w:trPr>
        <w:tc>
          <w:tcPr>
            <w:tcW w:w="1763" w:type="dxa"/>
            <w:shd w:val="clear" w:color="auto" w:fill="auto"/>
            <w:tcMar>
              <w:left w:w="0" w:type="dxa"/>
            </w:tcMar>
          </w:tcPr>
          <w:p w14:paraId="48A8069F" w14:textId="74930645" w:rsidR="0080346B" w:rsidRPr="00127BC2" w:rsidRDefault="0080346B" w:rsidP="0080346B">
            <w:pPr>
              <w:pStyle w:val="Marginlie"/>
            </w:pPr>
            <w:r w:rsidRPr="00127BC2">
              <w:lastRenderedPageBreak/>
              <w:t>Deficit prvotních důchodů se loni zmírnil o</w:t>
            </w:r>
            <w:r>
              <w:t> </w:t>
            </w:r>
            <w:r w:rsidRPr="00127BC2">
              <w:t>37,6</w:t>
            </w:r>
            <w:r>
              <w:t> mld.</w:t>
            </w:r>
            <w:r w:rsidRPr="00127BC2">
              <w:t xml:space="preserve"> korun.</w:t>
            </w:r>
          </w:p>
        </w:tc>
        <w:tc>
          <w:tcPr>
            <w:tcW w:w="222" w:type="dxa"/>
            <w:shd w:val="clear" w:color="auto" w:fill="auto"/>
            <w:tcMar>
              <w:left w:w="0" w:type="dxa"/>
            </w:tcMar>
          </w:tcPr>
          <w:p w14:paraId="7112E5DD" w14:textId="77777777" w:rsidR="0080346B" w:rsidRPr="00A601E7" w:rsidRDefault="0080346B" w:rsidP="0080346B">
            <w:pPr>
              <w:pStyle w:val="Textpoznpodarou"/>
              <w:jc w:val="both"/>
              <w:rPr>
                <w:spacing w:val="-4"/>
              </w:rPr>
            </w:pPr>
          </w:p>
        </w:tc>
        <w:tc>
          <w:tcPr>
            <w:tcW w:w="7654" w:type="dxa"/>
            <w:shd w:val="clear" w:color="auto" w:fill="auto"/>
            <w:tcMar>
              <w:left w:w="0" w:type="dxa"/>
            </w:tcMar>
          </w:tcPr>
          <w:p w14:paraId="7D0942E5" w14:textId="774DCEBE" w:rsidR="0080346B" w:rsidRPr="00DB613B" w:rsidRDefault="0080346B" w:rsidP="0080346B">
            <w:r w:rsidRPr="00DB613B">
              <w:t>Saldo toků prvotních důchodů mezi rezidenty a nerezidenty loni dosáhlo –254,0 mld. korun. Tradiční deficit se loni zmírnil o 37,6 mld. Hlavním zdrojem deficitu bylo záporné saldo důchodů z vlastnictví, které loni činilo –293,1 mld. korun. Jeho zlepšení o 50,1 mld. vzniklo zejména navýšením důchodů z vlastnictví rezidentů v zahraničí o 40,7 mld. korun (prakticky celý nárůst připadl na reinvestované zisky rezidentů z přímých zahraničních investic, které vzrostly na 91,7 mld.). Důchody z vlastnictví nerezidentů v domácí ekonomice činily loni 485,9 mld. korun, z toho téměř 401 mld. (7,1 % HDP) představovaly zisky z přímých investic. Z toho reinvestováno bylo 82,0 mld. korun (o 52,4 mld. méně než v roce 2018) a 321,2 mld. odešlo do zahraničí ve formě rozdělovaných důchodů společností (meziročně o 15,7 mld. více). Protiváhou k deficitu důchodů z vlastnictví je kladné saldo náhrad zaměstnancům, které loni dosáhlo 17,4 mld. korun a meziročně se snížilo o 13,3 mld. Jen mírný nárůst prostředků, které si připsali rezidenti ve formě náhrad od nerezidentů (68,1 mld. korun, +1,4 mld.), byl doprovázen nárůstem náhrad vyplacených nerezidentům o 14,7 mld. na 50,8 mld.</w:t>
            </w:r>
          </w:p>
        </w:tc>
      </w:tr>
      <w:tr w:rsidR="0080346B" w:rsidRPr="009110F7" w14:paraId="645A31E9" w14:textId="77777777" w:rsidTr="00CA5EAD">
        <w:trPr>
          <w:trHeight w:val="170"/>
        </w:trPr>
        <w:tc>
          <w:tcPr>
            <w:tcW w:w="1763" w:type="dxa"/>
            <w:shd w:val="clear" w:color="auto" w:fill="auto"/>
            <w:tcMar>
              <w:left w:w="0" w:type="dxa"/>
            </w:tcMar>
          </w:tcPr>
          <w:p w14:paraId="013942CA" w14:textId="6F775F55" w:rsidR="0080346B" w:rsidRPr="00127BC2" w:rsidRDefault="0080346B" w:rsidP="0080346B">
            <w:pPr>
              <w:pStyle w:val="Marginlie"/>
            </w:pPr>
            <w:r w:rsidRPr="00127BC2">
              <w:t>Objem investičních dotací ze zahraničí loni dosáhl 61,3</w:t>
            </w:r>
            <w:r>
              <w:t> mld.</w:t>
            </w:r>
            <w:r w:rsidRPr="00127BC2">
              <w:t xml:space="preserve"> korun.</w:t>
            </w:r>
          </w:p>
        </w:tc>
        <w:tc>
          <w:tcPr>
            <w:tcW w:w="222" w:type="dxa"/>
            <w:shd w:val="clear" w:color="auto" w:fill="auto"/>
            <w:tcMar>
              <w:left w:w="0" w:type="dxa"/>
            </w:tcMar>
          </w:tcPr>
          <w:p w14:paraId="0CC3FD47" w14:textId="77777777" w:rsidR="0080346B" w:rsidRPr="00974782" w:rsidRDefault="0080346B" w:rsidP="0080346B">
            <w:pPr>
              <w:pStyle w:val="Textpoznpodarou"/>
              <w:jc w:val="both"/>
              <w:rPr>
                <w:spacing w:val="-4"/>
                <w:highlight w:val="yellow"/>
              </w:rPr>
            </w:pPr>
          </w:p>
        </w:tc>
        <w:tc>
          <w:tcPr>
            <w:tcW w:w="7654" w:type="dxa"/>
            <w:shd w:val="clear" w:color="auto" w:fill="auto"/>
            <w:tcMar>
              <w:left w:w="0" w:type="dxa"/>
            </w:tcMar>
          </w:tcPr>
          <w:p w14:paraId="55D8419E" w14:textId="47B3ECA8" w:rsidR="0080346B" w:rsidRPr="00DB613B" w:rsidRDefault="0080346B" w:rsidP="0080346B">
            <w:r w:rsidRPr="00DB613B">
              <w:t>Prostřednictvím ostatních transferů</w:t>
            </w:r>
            <w:r w:rsidRPr="00DB613B">
              <w:rPr>
                <w:rStyle w:val="Znakapoznpodarou"/>
              </w:rPr>
              <w:footnoteReference w:id="48"/>
            </w:r>
            <w:r w:rsidRPr="00DB613B">
              <w:t xml:space="preserve"> si nerezidenti připsali 138,6 mld. korun, v opačném směru to bylo 89,2 mld. Výsledné saldo se tak zmírnilo o 6,3 mld. korun na 49,4 mld. Společně s deficitem prvotních důchodů to působilo ve směru deficitu běžných transakcí rezidentů s nerezidenty, přebytek zahraničního obchodu byl ale dostatečně vysoký, aby konečné saldo bylo kladné a dosáhlo 40,8 mld. korun (zlepšení o 48,0 mld.). Přebytek bilance kapitálových transferů loni činil 53,9 mld. korun, zejména díky výraznému přílivu prostředků ze zahraničí (63,3 mld. korun, z toho 61,3 mld. ve formě investičních dotací). Čisté výpůjčky</w:t>
            </w:r>
            <w:r w:rsidRPr="00DB613B">
              <w:rPr>
                <w:rStyle w:val="Znakapoznpodarou"/>
              </w:rPr>
              <w:footnoteReference w:id="49"/>
            </w:r>
            <w:r w:rsidRPr="00DB613B">
              <w:t xml:space="preserve"> se tak loni zvýšily o 20,7 mld. korun a dosáhly 62,1 mld.</w:t>
            </w:r>
          </w:p>
        </w:tc>
      </w:tr>
    </w:tbl>
    <w:p w14:paraId="71F71560" w14:textId="77777777" w:rsidR="00C715CC" w:rsidRPr="009110F7" w:rsidRDefault="00C715CC" w:rsidP="00C715CC">
      <w:pPr>
        <w:pStyle w:val="Nadpis11"/>
        <w:rPr>
          <w:sz w:val="2"/>
          <w:szCs w:val="2"/>
        </w:rPr>
      </w:pPr>
      <w:bookmarkStart w:id="12" w:name="_Toc511215218"/>
      <w:bookmarkEnd w:id="12"/>
    </w:p>
    <w:p w14:paraId="33954BD7" w14:textId="77777777" w:rsidR="00CA5EAD" w:rsidRDefault="00CA5EAD">
      <w:pPr>
        <w:spacing w:after="0" w:line="240" w:lineRule="auto"/>
        <w:jc w:val="left"/>
        <w:rPr>
          <w:rFonts w:eastAsia="MS Gothic"/>
          <w:b/>
          <w:bCs/>
          <w:color w:val="71818C"/>
          <w:sz w:val="32"/>
          <w:szCs w:val="28"/>
        </w:rPr>
      </w:pPr>
      <w:bookmarkStart w:id="13" w:name="_Toc19090678"/>
      <w:bookmarkStart w:id="14" w:name="_Toc26539342"/>
      <w:bookmarkEnd w:id="10"/>
      <w:r>
        <w:br w:type="page"/>
      </w:r>
    </w:p>
    <w:p w14:paraId="28747BFF" w14:textId="5F50A34B" w:rsidR="00C715CC" w:rsidRPr="009110F7" w:rsidRDefault="00C715CC" w:rsidP="00C715CC">
      <w:pPr>
        <w:pStyle w:val="Nadpis11"/>
      </w:pPr>
      <w:bookmarkStart w:id="15" w:name="_Toc37403644"/>
      <w:r w:rsidRPr="009110F7">
        <w:lastRenderedPageBreak/>
        <w:t>5</w:t>
      </w:r>
      <w:r>
        <w:t>. </w:t>
      </w:r>
      <w:r w:rsidRPr="009110F7">
        <w:t>Ceny</w:t>
      </w:r>
      <w:bookmarkEnd w:id="13"/>
      <w:bookmarkEnd w:id="15"/>
    </w:p>
    <w:tbl>
      <w:tblPr>
        <w:tblW w:w="9639" w:type="dxa"/>
        <w:tblInd w:w="-15" w:type="dxa"/>
        <w:tblCellMar>
          <w:left w:w="0" w:type="dxa"/>
          <w:right w:w="0" w:type="dxa"/>
        </w:tblCellMar>
        <w:tblLook w:val="00A0" w:firstRow="1" w:lastRow="0" w:firstColumn="1" w:lastColumn="0" w:noHBand="0" w:noVBand="0"/>
      </w:tblPr>
      <w:tblGrid>
        <w:gridCol w:w="1805"/>
        <w:gridCol w:w="224"/>
        <w:gridCol w:w="7610"/>
      </w:tblGrid>
      <w:tr w:rsidR="009005E4" w:rsidRPr="009110F7" w14:paraId="51396A1B" w14:textId="77777777" w:rsidTr="00C715CC">
        <w:trPr>
          <w:trHeight w:val="145"/>
        </w:trPr>
        <w:tc>
          <w:tcPr>
            <w:tcW w:w="1805" w:type="dxa"/>
            <w:shd w:val="clear" w:color="auto" w:fill="auto"/>
            <w:tcMar>
              <w:left w:w="0" w:type="dxa"/>
            </w:tcMar>
          </w:tcPr>
          <w:p w14:paraId="17C5A255" w14:textId="68944926" w:rsidR="009005E4" w:rsidRPr="00793D78" w:rsidRDefault="009005E4" w:rsidP="009005E4">
            <w:pPr>
              <w:pStyle w:val="Marginlie"/>
              <w:rPr>
                <w:spacing w:val="0"/>
              </w:rPr>
            </w:pPr>
            <w:r>
              <w:rPr>
                <w:spacing w:val="0"/>
              </w:rPr>
              <w:t>Loni rostla cenová hladina nejvíce od roku 2004.</w:t>
            </w:r>
          </w:p>
        </w:tc>
        <w:tc>
          <w:tcPr>
            <w:tcW w:w="224" w:type="dxa"/>
            <w:shd w:val="clear" w:color="auto" w:fill="auto"/>
            <w:tcMar>
              <w:left w:w="0" w:type="dxa"/>
            </w:tcMar>
          </w:tcPr>
          <w:p w14:paraId="13F14F4E" w14:textId="77777777" w:rsidR="009005E4" w:rsidRPr="00793D78" w:rsidRDefault="009005E4" w:rsidP="009005E4">
            <w:pPr>
              <w:pStyle w:val="Textpoznpodarou1"/>
              <w:jc w:val="both"/>
            </w:pPr>
          </w:p>
        </w:tc>
        <w:tc>
          <w:tcPr>
            <w:tcW w:w="7610" w:type="dxa"/>
            <w:shd w:val="clear" w:color="auto" w:fill="auto"/>
            <w:tcMar>
              <w:left w:w="0" w:type="dxa"/>
            </w:tcMar>
          </w:tcPr>
          <w:p w14:paraId="2B7C0E32" w14:textId="30E40C71" w:rsidR="009005E4" w:rsidRPr="00793D78" w:rsidRDefault="009005E4" w:rsidP="009005E4">
            <w:pPr>
              <w:rPr>
                <w:szCs w:val="20"/>
              </w:rPr>
            </w:pPr>
            <w:r>
              <w:rPr>
                <w:szCs w:val="20"/>
              </w:rPr>
              <w:t>Cenová hladina se v roce 2019 celkově zvýšila o 3,5 %</w:t>
            </w:r>
            <w:r>
              <w:rPr>
                <w:rStyle w:val="Znakapoznpodarou"/>
                <w:szCs w:val="20"/>
              </w:rPr>
              <w:footnoteReference w:id="50"/>
            </w:r>
            <w:r>
              <w:rPr>
                <w:szCs w:val="20"/>
              </w:rPr>
              <w:t xml:space="preserve">. To je nejvíce od roku 2004 (v roce 2007 byl přírůstek stejně vysoký). Nejvíce rostly ceny spotřebních statků (3,7 %), u těch pořízených domácnostmi o 2,9 %, vládní instituce se již druhým rokem potýkaly s více než 5% nárůstem (5,4 % v roce 2019, spotřeba vládních institucí ve větší míře sestává ze služeb, jejichž ceny jsou více ovlivněny růstem mezd). Kapitálové statky loni zdražily o 2,6 %. Směnné relace byly loni kladné (100,4 %), a to u zboží (100,2 %) i služeb (101,4 %). Ceny vývozu služeb rostly nejvíce za posledních pět let. Ve 4. čtvrtletí cenová hladina meziročně vzrostla o 3,7 %, z toho o 3,7 % u výdajů na spotřebu – u domácností o 3,0 %, pro vládní instituce se cenová hladina zvýšila o 5,5 %. </w:t>
            </w:r>
            <w:r w:rsidR="005A0A03">
              <w:rPr>
                <w:szCs w:val="20"/>
              </w:rPr>
              <w:t>R</w:t>
            </w:r>
            <w:r>
              <w:rPr>
                <w:szCs w:val="20"/>
              </w:rPr>
              <w:t xml:space="preserve">ůst cen kapitálových statků </w:t>
            </w:r>
            <w:r w:rsidR="005A0A03">
              <w:rPr>
                <w:szCs w:val="20"/>
              </w:rPr>
              <w:t>dosáhl 2,3</w:t>
            </w:r>
            <w:r>
              <w:rPr>
                <w:szCs w:val="20"/>
              </w:rPr>
              <w:t> %. Směnné relace byly kladné (100,8 %).</w:t>
            </w:r>
          </w:p>
        </w:tc>
      </w:tr>
      <w:tr w:rsidR="009005E4" w:rsidRPr="009110F7" w14:paraId="0B6DC554" w14:textId="77777777" w:rsidTr="00C715CC">
        <w:trPr>
          <w:trHeight w:val="145"/>
        </w:trPr>
        <w:tc>
          <w:tcPr>
            <w:tcW w:w="1805" w:type="dxa"/>
            <w:shd w:val="clear" w:color="auto" w:fill="auto"/>
            <w:tcMar>
              <w:left w:w="0" w:type="dxa"/>
            </w:tcMar>
          </w:tcPr>
          <w:p w14:paraId="22A874C3" w14:textId="363B2C7B" w:rsidR="009005E4" w:rsidRPr="00793D78" w:rsidRDefault="009005E4" w:rsidP="009005E4">
            <w:pPr>
              <w:pStyle w:val="Marginlie"/>
              <w:rPr>
                <w:spacing w:val="0"/>
              </w:rPr>
            </w:pPr>
            <w:r>
              <w:rPr>
                <w:spacing w:val="0"/>
              </w:rPr>
              <w:t>Meziroční dynamika spotřebitelských cen v závěru roku zrychlovala.</w:t>
            </w:r>
          </w:p>
        </w:tc>
        <w:tc>
          <w:tcPr>
            <w:tcW w:w="224" w:type="dxa"/>
            <w:shd w:val="clear" w:color="auto" w:fill="auto"/>
            <w:tcMar>
              <w:left w:w="0" w:type="dxa"/>
            </w:tcMar>
          </w:tcPr>
          <w:p w14:paraId="33942658" w14:textId="77777777" w:rsidR="009005E4" w:rsidRPr="00793D78" w:rsidRDefault="009005E4" w:rsidP="009005E4">
            <w:pPr>
              <w:pStyle w:val="Textpoznpodarou1"/>
              <w:jc w:val="both"/>
              <w:rPr>
                <w:highlight w:val="yellow"/>
              </w:rPr>
            </w:pPr>
          </w:p>
        </w:tc>
        <w:tc>
          <w:tcPr>
            <w:tcW w:w="7610" w:type="dxa"/>
            <w:shd w:val="clear" w:color="auto" w:fill="auto"/>
            <w:tcMar>
              <w:left w:w="0" w:type="dxa"/>
            </w:tcMar>
          </w:tcPr>
          <w:p w14:paraId="558FDF13" w14:textId="01C0813B" w:rsidR="009005E4" w:rsidRPr="00793D78" w:rsidRDefault="009005E4" w:rsidP="009005E4">
            <w:pPr>
              <w:rPr>
                <w:highlight w:val="yellow"/>
              </w:rPr>
            </w:pPr>
            <w:r w:rsidRPr="00777959">
              <w:t xml:space="preserve">Závěr roku přinesl </w:t>
            </w:r>
            <w:r>
              <w:t>zrychlení meziroční</w:t>
            </w:r>
            <w:r w:rsidRPr="00777959">
              <w:t xml:space="preserve"> dynamiky</w:t>
            </w:r>
            <w:r>
              <w:t xml:space="preserve"> spotřebitelských cen</w:t>
            </w:r>
            <w:r w:rsidRPr="00777959">
              <w:t>.</w:t>
            </w:r>
            <w:r>
              <w:t xml:space="preserve"> Ty se ve 4. čtvrtletí zvýšily o 3,0 %, což byl nejvyšší přírůstek od 3. čtvrtletí 2012. K posílení celkového tempa nejvýrazněji přispěly ceny potravin. Projevilo se také zastavení propadu cen dopravy. I ve 4. kvartálu v meziročním růstu cen spotřebitelů přetrvával klíčový vliv bydlení a energií. Meziroční dynamika spotřebitelských cen sílila v průběhu celého roku a výsledný přírůstek za rok 2019 činil 2,8 %, což byla nejvyšší hodnota za posledních sedm let. Přibližně polovina z loňského nárůstu padla na vrub cen bydlení a energií. Po slabém příspěvku v roce 2018 opět posílil vliv potravin a nealkoholických nápojů. Třetí nejvyšší příspěvek k růstu měl oddíl ostatní zboží a služby. Blízko k 3% hranici dynamiku posunuly i drobnější příspěvky cen alkoholických nápojů a tabáku, stravování a ubytování, rekreace a kultury, zdraví, bytového vybavení a zařízení domácnosti. Protiinflačně působily ceny </w:t>
            </w:r>
            <w:r w:rsidR="005A0A03">
              <w:t>odívání a obuvi</w:t>
            </w:r>
            <w:r>
              <w:t>.</w:t>
            </w:r>
          </w:p>
        </w:tc>
      </w:tr>
      <w:tr w:rsidR="009005E4" w:rsidRPr="009110F7" w14:paraId="62741D90" w14:textId="77777777" w:rsidTr="00C715CC">
        <w:trPr>
          <w:trHeight w:val="145"/>
        </w:trPr>
        <w:tc>
          <w:tcPr>
            <w:tcW w:w="1805" w:type="dxa"/>
            <w:shd w:val="clear" w:color="auto" w:fill="auto"/>
            <w:tcMar>
              <w:left w:w="0" w:type="dxa"/>
            </w:tcMar>
          </w:tcPr>
          <w:p w14:paraId="0D37F0CD" w14:textId="48E7D74E" w:rsidR="009005E4" w:rsidRPr="00793D78" w:rsidRDefault="009005E4" w:rsidP="009005E4">
            <w:pPr>
              <w:pStyle w:val="Marginlie"/>
              <w:rPr>
                <w:spacing w:val="0"/>
              </w:rPr>
            </w:pPr>
            <w:r>
              <w:rPr>
                <w:spacing w:val="0"/>
              </w:rPr>
              <w:t>Bydlení zůstalo hlavním hybatelem meziročního růstu cen.</w:t>
            </w:r>
          </w:p>
        </w:tc>
        <w:tc>
          <w:tcPr>
            <w:tcW w:w="224" w:type="dxa"/>
            <w:shd w:val="clear" w:color="auto" w:fill="auto"/>
            <w:tcMar>
              <w:left w:w="0" w:type="dxa"/>
            </w:tcMar>
          </w:tcPr>
          <w:p w14:paraId="361D8E50" w14:textId="77777777" w:rsidR="009005E4" w:rsidRPr="00793D78" w:rsidRDefault="009005E4" w:rsidP="009005E4">
            <w:pPr>
              <w:pStyle w:val="Textpoznpodarou1"/>
              <w:jc w:val="both"/>
              <w:rPr>
                <w:highlight w:val="yellow"/>
              </w:rPr>
            </w:pPr>
          </w:p>
        </w:tc>
        <w:tc>
          <w:tcPr>
            <w:tcW w:w="7610" w:type="dxa"/>
            <w:shd w:val="clear" w:color="auto" w:fill="auto"/>
            <w:tcMar>
              <w:left w:w="0" w:type="dxa"/>
            </w:tcMar>
          </w:tcPr>
          <w:p w14:paraId="26E9627D" w14:textId="68BAFB54" w:rsidR="009005E4" w:rsidRDefault="009005E4" w:rsidP="009005E4">
            <w:r>
              <w:t>Meziroční růst cen bydlení a energií ve 4. čtvrtletí drobně oslabil na 5,0 %. Přes mírné zvolnění přetrvával poměrně vysoký růst cen nájemného (3,8 %) a imputovaného nájemného (4,0 %). Ceny elektrické a tepelné energie, plynu a vody vzrostly o 7,2 %. Jednotlivá čtvrtletí se od sebe z hlediska vývoje cen bydlení a energií příliš nelišila a docházelo jen k drobným korekcím. Celkově se loni ceny bydlení a energií zvýšily o 5,3 %. Nejvýrazněji rostla právě složka energií – ceny elektrické a tepelné energie, plynu a vody narostly o 7,0 % a jejich zrychlení bylo hlavním impulzem, který způsobil posílení celkové dynamiky. Nájemné z bytu se zvýšilo o 3,7 % a imputované nájemné o 5,1 %. Dynamika obou položek ale byla poměrně silná již v roce 2018, takže náklady na samotné bydlení se za poslední dva roky pro domácnosti citelně zvýšily. Ceny běžné údržby a drobných oprav se rovněž silně zvyšovaly (4,9 %). Mírnější bylo navýšení cen ostatních služeb (2,0 %).</w:t>
            </w:r>
          </w:p>
        </w:tc>
      </w:tr>
      <w:tr w:rsidR="009005E4" w:rsidRPr="009110F7" w14:paraId="2BEB16DE" w14:textId="77777777" w:rsidTr="00C715CC">
        <w:trPr>
          <w:trHeight w:val="145"/>
        </w:trPr>
        <w:tc>
          <w:tcPr>
            <w:tcW w:w="1805" w:type="dxa"/>
            <w:shd w:val="clear" w:color="auto" w:fill="auto"/>
            <w:tcMar>
              <w:left w:w="0" w:type="dxa"/>
            </w:tcMar>
          </w:tcPr>
          <w:p w14:paraId="1B9F1A72" w14:textId="469771DD" w:rsidR="009005E4" w:rsidRDefault="009005E4" w:rsidP="009005E4">
            <w:pPr>
              <w:pStyle w:val="Marginlie"/>
              <w:rPr>
                <w:spacing w:val="0"/>
              </w:rPr>
            </w:pPr>
            <w:r>
              <w:rPr>
                <w:spacing w:val="0"/>
              </w:rPr>
              <w:t>Ke konci roku zrychlil růst cen potravin, hlavně kvůli cenám masa.</w:t>
            </w:r>
          </w:p>
        </w:tc>
        <w:tc>
          <w:tcPr>
            <w:tcW w:w="224" w:type="dxa"/>
            <w:shd w:val="clear" w:color="auto" w:fill="auto"/>
            <w:tcMar>
              <w:left w:w="0" w:type="dxa"/>
            </w:tcMar>
          </w:tcPr>
          <w:p w14:paraId="41C647ED" w14:textId="77777777" w:rsidR="009005E4" w:rsidRPr="00793D78" w:rsidRDefault="009005E4" w:rsidP="009005E4">
            <w:pPr>
              <w:pStyle w:val="Textpoznpodarou1"/>
              <w:jc w:val="both"/>
              <w:rPr>
                <w:highlight w:val="yellow"/>
              </w:rPr>
            </w:pPr>
          </w:p>
        </w:tc>
        <w:tc>
          <w:tcPr>
            <w:tcW w:w="7610" w:type="dxa"/>
            <w:shd w:val="clear" w:color="auto" w:fill="auto"/>
            <w:tcMar>
              <w:left w:w="0" w:type="dxa"/>
            </w:tcMar>
          </w:tcPr>
          <w:p w14:paraId="6EC237FF" w14:textId="5A1FB4D2" w:rsidR="009005E4" w:rsidRDefault="009005E4" w:rsidP="009005E4">
            <w:r>
              <w:t xml:space="preserve">Závěr roku přinesl zrychlení meziročního růstu cen potravin a nealkoholických nápojů. Ty se ve 4. čtvrtletí zvýšily o 4,3 %, zejména kvůli posílení meziročního přírůstku cen masa (7,6 %) a ovoce (10,7 %). Naopak ve 4. čtvrtletí oslabil do té doby velmi silný růst cen zeleniny (z 26,1 % ve 3. kvartálu na 6,0 %), především kvůli vysoké srovnávací základně. V průběhu roku meziroční růst cen potravin a nealkoholických nápojů postupně zrychloval. Celkový přírůstek loni dosáhl 2,8 %. Nejsilněji se zvýšily ceny zeleniny (19,6 %), </w:t>
            </w:r>
            <w:r w:rsidRPr="002C1110">
              <w:t>masa</w:t>
            </w:r>
            <w:r>
              <w:t xml:space="preserve"> (3,6 %) a pekárenských výrobků a obilovin (3,5 %). Tyto tři položky také nejsilněji ovlivňovaly vývoj cen celého oddílu. Pokles zaznamenaly oleje a tuky (3,2 %) a ovoce (3,9 %).</w:t>
            </w:r>
          </w:p>
        </w:tc>
      </w:tr>
      <w:tr w:rsidR="009005E4" w:rsidRPr="009110F7" w14:paraId="1BE8B355" w14:textId="77777777" w:rsidTr="00C715CC">
        <w:trPr>
          <w:trHeight w:val="145"/>
        </w:trPr>
        <w:tc>
          <w:tcPr>
            <w:tcW w:w="1805" w:type="dxa"/>
            <w:shd w:val="clear" w:color="auto" w:fill="auto"/>
            <w:tcMar>
              <w:left w:w="0" w:type="dxa"/>
            </w:tcMar>
          </w:tcPr>
          <w:p w14:paraId="74D90568" w14:textId="04200D2D" w:rsidR="009005E4" w:rsidRDefault="009005E4" w:rsidP="009005E4">
            <w:pPr>
              <w:pStyle w:val="Marginlie"/>
              <w:rPr>
                <w:spacing w:val="0"/>
              </w:rPr>
            </w:pPr>
            <w:r>
              <w:rPr>
                <w:spacing w:val="0"/>
              </w:rPr>
              <w:t>Ve 4. čtvrtletí vyprchal vliv srovnávací základny u cen dopravních služeb.</w:t>
            </w:r>
          </w:p>
        </w:tc>
        <w:tc>
          <w:tcPr>
            <w:tcW w:w="224" w:type="dxa"/>
            <w:shd w:val="clear" w:color="auto" w:fill="auto"/>
            <w:tcMar>
              <w:left w:w="0" w:type="dxa"/>
            </w:tcMar>
          </w:tcPr>
          <w:p w14:paraId="44B160EA" w14:textId="77777777" w:rsidR="009005E4" w:rsidRPr="00793D78" w:rsidRDefault="009005E4" w:rsidP="009005E4">
            <w:pPr>
              <w:pStyle w:val="Textpoznpodarou1"/>
              <w:jc w:val="both"/>
              <w:rPr>
                <w:highlight w:val="yellow"/>
              </w:rPr>
            </w:pPr>
          </w:p>
        </w:tc>
        <w:tc>
          <w:tcPr>
            <w:tcW w:w="7610" w:type="dxa"/>
            <w:shd w:val="clear" w:color="auto" w:fill="auto"/>
            <w:tcMar>
              <w:left w:w="0" w:type="dxa"/>
            </w:tcMar>
          </w:tcPr>
          <w:p w14:paraId="63DFCDD8" w14:textId="623D4EB0" w:rsidR="009005E4" w:rsidRDefault="009005E4" w:rsidP="009005E4">
            <w:r>
              <w:t xml:space="preserve">Po celý rok 2019 byl meziroční růst cen dopravy jen velmi mírný (ve 3. čtvrtletí dokonce klesly o 0,2 %). Ve 4. kvartálu dosáhl přírůstek 0,5 %, zejména kvůli vyprchání vlivu </w:t>
            </w:r>
            <w:r>
              <w:lastRenderedPageBreak/>
              <w:t>nízké srovnávací základny cen dopravních služeb, která na ceny dopravy negativně působila od podzimu 2018. V průběhu roku oslabovala dynamika cen nákupu automobilů, motocyklů a jízdních kol a zejména ve 2. pololetí stagnovaly i náklady na provoz dopravních prostředků. Za celý rok 2019 vzrostly ceny dopravy o 0,4 %, z toho ceny nákupu dopravních prostředků o 0,9 %, provozu dopravních prostředků o 1,5 % a ceny dopravních služeb klesly o 4,7 %. Velmi výrazná byla po celý rok meziroční dynamika cen stravování a ubytování (celkový přírůstek dosáhl loni 4,2 %) a ostatního zboží a služeb (3,8 %). Obecně loni mnohem více rostly ceny služeb (3,7 %) než zboží (2,</w:t>
            </w:r>
            <w:r w:rsidR="005A0A03">
              <w:t>3</w:t>
            </w:r>
            <w:r>
              <w:t> %), což souvisí s pokračující nadprůměrnou mzdovou dynamikou. Mírné posílení růstu cen zboží přišlo až ve 4. čtvrtletí (2,7 % zboží, 3,7 % služby).</w:t>
            </w:r>
          </w:p>
        </w:tc>
      </w:tr>
      <w:tr w:rsidR="009005E4" w:rsidRPr="00D75AC1" w14:paraId="74FA9028" w14:textId="77777777" w:rsidTr="00C715CC">
        <w:trPr>
          <w:trHeight w:val="170"/>
        </w:trPr>
        <w:tc>
          <w:tcPr>
            <w:tcW w:w="1805" w:type="dxa"/>
            <w:vMerge w:val="restart"/>
            <w:shd w:val="clear" w:color="auto" w:fill="auto"/>
            <w:tcMar>
              <w:left w:w="0" w:type="dxa"/>
            </w:tcMar>
          </w:tcPr>
          <w:p w14:paraId="493491E1" w14:textId="77777777" w:rsidR="009005E4" w:rsidRDefault="009005E4" w:rsidP="009005E4">
            <w:pPr>
              <w:pStyle w:val="Marginlie"/>
              <w:rPr>
                <w:spacing w:val="0"/>
              </w:rPr>
            </w:pPr>
          </w:p>
        </w:tc>
        <w:tc>
          <w:tcPr>
            <w:tcW w:w="224" w:type="dxa"/>
            <w:vMerge w:val="restart"/>
            <w:shd w:val="clear" w:color="auto" w:fill="auto"/>
            <w:tcMar>
              <w:left w:w="0" w:type="dxa"/>
            </w:tcMar>
          </w:tcPr>
          <w:p w14:paraId="00CD41F4" w14:textId="77777777" w:rsidR="009005E4" w:rsidRPr="00793D78" w:rsidRDefault="009005E4" w:rsidP="009005E4">
            <w:pPr>
              <w:pStyle w:val="Textpoznpodarou1"/>
              <w:jc w:val="both"/>
              <w:rPr>
                <w:highlight w:val="yellow"/>
              </w:rPr>
            </w:pPr>
          </w:p>
        </w:tc>
        <w:tc>
          <w:tcPr>
            <w:tcW w:w="7610" w:type="dxa"/>
            <w:shd w:val="clear" w:color="auto" w:fill="auto"/>
            <w:tcMar>
              <w:left w:w="0" w:type="dxa"/>
            </w:tcMar>
          </w:tcPr>
          <w:p w14:paraId="5D67DF9E" w14:textId="603A8B22" w:rsidR="009005E4" w:rsidRPr="00D75AC1" w:rsidRDefault="009005E4" w:rsidP="009005E4">
            <w:pPr>
              <w:spacing w:after="0"/>
              <w:rPr>
                <w:b/>
                <w:szCs w:val="20"/>
              </w:rPr>
            </w:pPr>
            <w:r w:rsidRPr="00793D78">
              <w:rPr>
                <w:rFonts w:cs="Arial"/>
                <w:b/>
                <w:bCs/>
                <w:color w:val="000000"/>
                <w:sz w:val="18"/>
                <w:szCs w:val="18"/>
              </w:rPr>
              <w:t xml:space="preserve">Graf </w:t>
            </w:r>
            <w:r>
              <w:rPr>
                <w:rFonts w:cs="Arial"/>
                <w:b/>
                <w:bCs/>
                <w:color w:val="000000"/>
                <w:sz w:val="18"/>
                <w:szCs w:val="18"/>
              </w:rPr>
              <w:t>č. </w:t>
            </w:r>
            <w:r w:rsidR="000767F5">
              <w:rPr>
                <w:rFonts w:cs="Arial"/>
                <w:b/>
                <w:bCs/>
                <w:color w:val="000000"/>
                <w:sz w:val="18"/>
                <w:szCs w:val="18"/>
              </w:rPr>
              <w:t>9</w:t>
            </w:r>
            <w:r w:rsidRPr="00793D78">
              <w:rPr>
                <w:rFonts w:cs="Arial"/>
                <w:b/>
                <w:bCs/>
                <w:color w:val="000000"/>
                <w:sz w:val="18"/>
                <w:szCs w:val="18"/>
              </w:rPr>
              <w:t xml:space="preserve">  Ceny ve vybraných oddílech indexu spotřebitelských cen</w:t>
            </w:r>
            <w:r w:rsidRPr="00793D78">
              <w:rPr>
                <w:rFonts w:cs="Arial"/>
                <w:b/>
                <w:color w:val="000000"/>
                <w:sz w:val="18"/>
                <w:szCs w:val="18"/>
              </w:rPr>
              <w:t xml:space="preserve"> </w:t>
            </w:r>
            <w:r w:rsidRPr="009067EA">
              <w:rPr>
                <w:rFonts w:cs="Arial"/>
                <w:color w:val="000000"/>
                <w:sz w:val="18"/>
                <w:szCs w:val="18"/>
              </w:rPr>
              <w:t>(meziročně v %)</w:t>
            </w:r>
          </w:p>
        </w:tc>
      </w:tr>
      <w:tr w:rsidR="009005E4" w:rsidRPr="009110F7" w14:paraId="6D68EE74" w14:textId="77777777" w:rsidTr="00C715CC">
        <w:tblPrEx>
          <w:tblCellMar>
            <w:left w:w="70" w:type="dxa"/>
            <w:right w:w="70" w:type="dxa"/>
          </w:tblCellMar>
        </w:tblPrEx>
        <w:trPr>
          <w:trHeight w:val="170"/>
        </w:trPr>
        <w:tc>
          <w:tcPr>
            <w:tcW w:w="1805" w:type="dxa"/>
            <w:vMerge/>
            <w:shd w:val="clear" w:color="auto" w:fill="auto"/>
          </w:tcPr>
          <w:p w14:paraId="4B793914" w14:textId="77777777" w:rsidR="009005E4" w:rsidRPr="00793D78" w:rsidRDefault="009005E4" w:rsidP="009005E4">
            <w:pPr>
              <w:pStyle w:val="Marginlie"/>
              <w:rPr>
                <w:spacing w:val="0"/>
              </w:rPr>
            </w:pPr>
          </w:p>
        </w:tc>
        <w:tc>
          <w:tcPr>
            <w:tcW w:w="224" w:type="dxa"/>
            <w:vMerge/>
            <w:shd w:val="clear" w:color="auto" w:fill="auto"/>
          </w:tcPr>
          <w:p w14:paraId="048F997F" w14:textId="77777777" w:rsidR="009005E4" w:rsidRPr="00793D78" w:rsidRDefault="009005E4" w:rsidP="009005E4">
            <w:pPr>
              <w:pStyle w:val="Textpoznpodarou"/>
              <w:jc w:val="both"/>
            </w:pPr>
          </w:p>
        </w:tc>
        <w:tc>
          <w:tcPr>
            <w:tcW w:w="7610" w:type="dxa"/>
            <w:shd w:val="clear" w:color="auto" w:fill="auto"/>
          </w:tcPr>
          <w:p w14:paraId="14005FD3" w14:textId="615502BC" w:rsidR="009005E4" w:rsidRPr="00793D78" w:rsidRDefault="009005E4" w:rsidP="009005E4">
            <w:pPr>
              <w:spacing w:after="0"/>
            </w:pPr>
            <w:r>
              <w:rPr>
                <w:noProof/>
              </w:rPr>
              <w:drawing>
                <wp:inline distT="0" distB="0" distL="0" distR="0" wp14:anchorId="1556E394" wp14:editId="41657337">
                  <wp:extent cx="4737600" cy="3553200"/>
                  <wp:effectExtent l="0" t="0" r="6350" b="0"/>
                  <wp:docPr id="26" name="Graf 26">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9005E4" w:rsidRPr="009110F7" w14:paraId="2DA9D03B" w14:textId="77777777" w:rsidTr="00C715CC">
        <w:trPr>
          <w:trHeight w:val="170"/>
        </w:trPr>
        <w:tc>
          <w:tcPr>
            <w:tcW w:w="1805" w:type="dxa"/>
            <w:vMerge/>
            <w:shd w:val="clear" w:color="auto" w:fill="auto"/>
            <w:tcMar>
              <w:left w:w="0" w:type="dxa"/>
            </w:tcMar>
          </w:tcPr>
          <w:p w14:paraId="6D90B8F2" w14:textId="77777777" w:rsidR="009005E4" w:rsidRPr="00793D78" w:rsidRDefault="009005E4" w:rsidP="009005E4">
            <w:pPr>
              <w:pStyle w:val="Marginlie"/>
              <w:rPr>
                <w:spacing w:val="0"/>
              </w:rPr>
            </w:pPr>
          </w:p>
        </w:tc>
        <w:tc>
          <w:tcPr>
            <w:tcW w:w="224" w:type="dxa"/>
            <w:vMerge/>
            <w:shd w:val="clear" w:color="auto" w:fill="auto"/>
            <w:tcMar>
              <w:left w:w="0" w:type="dxa"/>
            </w:tcMar>
          </w:tcPr>
          <w:p w14:paraId="64140FD4" w14:textId="77777777" w:rsidR="009005E4" w:rsidRPr="00793D78" w:rsidRDefault="009005E4" w:rsidP="009005E4">
            <w:pPr>
              <w:pStyle w:val="Textpoznpodarou"/>
              <w:jc w:val="both"/>
            </w:pPr>
          </w:p>
        </w:tc>
        <w:tc>
          <w:tcPr>
            <w:tcW w:w="7610" w:type="dxa"/>
            <w:shd w:val="clear" w:color="auto" w:fill="auto"/>
            <w:tcMar>
              <w:left w:w="0" w:type="dxa"/>
            </w:tcMar>
          </w:tcPr>
          <w:p w14:paraId="70B011DA" w14:textId="1FD38432" w:rsidR="009005E4" w:rsidRPr="00793D78" w:rsidRDefault="009005E4" w:rsidP="009005E4">
            <w:pPr>
              <w:rPr>
                <w:sz w:val="14"/>
                <w:szCs w:val="14"/>
              </w:rPr>
            </w:pPr>
            <w:r w:rsidRPr="00793D78">
              <w:rPr>
                <w:sz w:val="14"/>
                <w:szCs w:val="14"/>
              </w:rPr>
              <w:t>Zdroj: ČSÚ</w:t>
            </w:r>
          </w:p>
        </w:tc>
      </w:tr>
      <w:tr w:rsidR="009005E4" w:rsidRPr="009110F7" w14:paraId="41EBF128" w14:textId="77777777" w:rsidTr="00C715CC">
        <w:trPr>
          <w:trHeight w:val="145"/>
        </w:trPr>
        <w:tc>
          <w:tcPr>
            <w:tcW w:w="1805" w:type="dxa"/>
            <w:shd w:val="clear" w:color="auto" w:fill="auto"/>
            <w:tcMar>
              <w:left w:w="0" w:type="dxa"/>
            </w:tcMar>
          </w:tcPr>
          <w:p w14:paraId="66A640F9" w14:textId="13840807" w:rsidR="009005E4" w:rsidRDefault="009005E4" w:rsidP="009005E4">
            <w:pPr>
              <w:pStyle w:val="Marginlie"/>
              <w:rPr>
                <w:spacing w:val="0"/>
              </w:rPr>
            </w:pPr>
            <w:r>
              <w:rPr>
                <w:spacing w:val="0"/>
              </w:rPr>
              <w:t>Meziroční růst spotřebitelských cen v EU ve 4. čtvrtletí zůstal mírný.</w:t>
            </w:r>
          </w:p>
        </w:tc>
        <w:tc>
          <w:tcPr>
            <w:tcW w:w="224" w:type="dxa"/>
            <w:shd w:val="clear" w:color="auto" w:fill="auto"/>
            <w:tcMar>
              <w:left w:w="0" w:type="dxa"/>
            </w:tcMar>
          </w:tcPr>
          <w:p w14:paraId="13176C9F" w14:textId="77777777" w:rsidR="009005E4" w:rsidRPr="00793D78" w:rsidRDefault="009005E4" w:rsidP="009005E4">
            <w:pPr>
              <w:pStyle w:val="Textpoznpodarou1"/>
              <w:jc w:val="both"/>
            </w:pPr>
          </w:p>
        </w:tc>
        <w:tc>
          <w:tcPr>
            <w:tcW w:w="7610" w:type="dxa"/>
            <w:shd w:val="clear" w:color="auto" w:fill="auto"/>
            <w:tcMar>
              <w:left w:w="0" w:type="dxa"/>
            </w:tcMar>
          </w:tcPr>
          <w:p w14:paraId="04AED347" w14:textId="3F1B8E1C" w:rsidR="009005E4" w:rsidRDefault="009005E4" w:rsidP="009005E4">
            <w:r>
              <w:t>Meziroční růst spotřebitelských cen mezi 2. a 3. čtvrtletím 2019 oslabil ve většině zemí EU. Ve 4. kvartálu pak v některých státech dále pokračovalo zpomalování. Celkem se loni spotřebitelské ceny v EU zvýšily o 1,5 % a ve 4. čtvrtletí přírůstek dosáhl 1,3 %. Nejvíce se ceny v roce 2019 zvýšily v Rumunsku (3,9 %), Maďarsku (3,4 %) a na Slovensku (2,8 %). Společným faktorem, který tlačil dynamiku cen vzhůru, byly potraviny a nealkoholické nápoje. V Rumunsku a Maďarsku silně působil také alkohol a tabák. Slovensko se podobně jako Česko potýkalo s výrazným růstem cen bydlení a energií (loni se ceny bydlení a energií v Česku zvýšily nejvíce v celé EU, Slovensko bylo třetí). Spotřebitelské ceny loni vzrostly ve všech zemích Unie, v osmi případech o méně než 1 %. Nejnižší přírůstek měly Portugalsko (0,3 %), Řecko (0,5 %) a Kypr (0,5 %). Ve 4. čtvrtletí bylo pořadí zemí, kde ceny meziročně rostly nejvýrazněji, stejné jako u celoročních výsledků – Rumunsko (3,7 %), Maďarsko (3,5 %), Slovensko (3,1 %). Česko se se 3,0% přírůstkem umístilo hned za nimi. Na jihu Evropy ceny v závěru roku meziročně stagnovaly – v Portugalsku a na Kypru růst dosáhl jen 0,2 %, v Itálii stejně jako v předchozím kvartálu 0,3 %. V Řecku růst dosáhl 0,4 % a ve Španělsku 0,5 %.</w:t>
            </w:r>
          </w:p>
        </w:tc>
      </w:tr>
      <w:tr w:rsidR="009005E4" w:rsidRPr="009110F7" w14:paraId="40796E88" w14:textId="77777777" w:rsidTr="00C715CC">
        <w:trPr>
          <w:trHeight w:val="145"/>
        </w:trPr>
        <w:tc>
          <w:tcPr>
            <w:tcW w:w="1805" w:type="dxa"/>
            <w:shd w:val="clear" w:color="auto" w:fill="auto"/>
            <w:tcMar>
              <w:left w:w="0" w:type="dxa"/>
            </w:tcMar>
          </w:tcPr>
          <w:p w14:paraId="138F6560" w14:textId="4BD2FD8A" w:rsidR="009005E4" w:rsidRDefault="009005E4" w:rsidP="009005E4">
            <w:pPr>
              <w:pStyle w:val="Marginlie"/>
              <w:rPr>
                <w:spacing w:val="0"/>
              </w:rPr>
            </w:pPr>
            <w:r>
              <w:rPr>
                <w:spacing w:val="0"/>
              </w:rPr>
              <w:t>Nabídkové ceny bytů loni rostly výrazněji mimo hlavní město.</w:t>
            </w:r>
          </w:p>
        </w:tc>
        <w:tc>
          <w:tcPr>
            <w:tcW w:w="224" w:type="dxa"/>
            <w:shd w:val="clear" w:color="auto" w:fill="auto"/>
            <w:tcMar>
              <w:left w:w="0" w:type="dxa"/>
            </w:tcMar>
          </w:tcPr>
          <w:p w14:paraId="7F30BF2E" w14:textId="77777777" w:rsidR="009005E4" w:rsidRPr="00793D78" w:rsidRDefault="009005E4" w:rsidP="009005E4">
            <w:pPr>
              <w:pStyle w:val="Textpoznpodarou1"/>
              <w:jc w:val="both"/>
            </w:pPr>
          </w:p>
        </w:tc>
        <w:tc>
          <w:tcPr>
            <w:tcW w:w="7610" w:type="dxa"/>
            <w:shd w:val="clear" w:color="auto" w:fill="auto"/>
            <w:tcMar>
              <w:left w:w="0" w:type="dxa"/>
            </w:tcMar>
          </w:tcPr>
          <w:p w14:paraId="0C234778" w14:textId="040C2D68" w:rsidR="009005E4" w:rsidRDefault="009005E4" w:rsidP="009005E4">
            <w:r>
              <w:t xml:space="preserve">Meziroční růst nabídkových cen bytů loni oslabil v porovnání s předchozími třemi lety. Celkem se nabídkové ceny bytů v ČR zvýšily o 5,9 %, z toho v Praze o 4,8 %. Vyšší </w:t>
            </w:r>
            <w:r>
              <w:lastRenderedPageBreak/>
              <w:t xml:space="preserve">tempo růstu mimo Prahu lze vysvětlit jednak zahrnutím jiných velkých měst (zejména Brna, Ostravy atd.), ale rovněž přelivem poptávky mimo oblast hlavního města. Ve 4. čtvrtletí se nabídkové ceny bytů meziročně zvýšily o 5,5 %, z toho v Praze o 3,0 %. Mimo Prahu zrychlil růst na 8,9 %. Realizované ceny starších bytů se loni zvýšily o 10,1 %, a ačkoli jejich meziroční dynamika během roku zpomalovala, ve 4. čtvrtletí přírůstek dosáhl 9,4 %. Ceny tak rostly více než v roce 2018, kdy výrazně zvolnilo do té doby závratné meziroční tempo. Dynamika realizovaných cen starších bytů v Praze se loni držela pod celorepublikovým průměrem (7,9 % za celý rok, 7,2 % ve 4. čtvrtletí). </w:t>
            </w:r>
          </w:p>
        </w:tc>
      </w:tr>
      <w:tr w:rsidR="009005E4" w:rsidRPr="009110F7" w14:paraId="221CA692" w14:textId="77777777" w:rsidTr="00C715CC">
        <w:trPr>
          <w:trHeight w:val="170"/>
        </w:trPr>
        <w:tc>
          <w:tcPr>
            <w:tcW w:w="1805" w:type="dxa"/>
            <w:vMerge w:val="restart"/>
            <w:shd w:val="clear" w:color="auto" w:fill="auto"/>
            <w:tcMar>
              <w:left w:w="0" w:type="dxa"/>
            </w:tcMar>
          </w:tcPr>
          <w:p w14:paraId="0D922A21" w14:textId="77777777" w:rsidR="009005E4" w:rsidRDefault="009005E4" w:rsidP="009005E4">
            <w:pPr>
              <w:pStyle w:val="Marginlie"/>
              <w:rPr>
                <w:spacing w:val="0"/>
              </w:rPr>
            </w:pPr>
          </w:p>
        </w:tc>
        <w:tc>
          <w:tcPr>
            <w:tcW w:w="224" w:type="dxa"/>
            <w:vMerge w:val="restart"/>
            <w:shd w:val="clear" w:color="auto" w:fill="auto"/>
            <w:tcMar>
              <w:left w:w="0" w:type="dxa"/>
            </w:tcMar>
          </w:tcPr>
          <w:p w14:paraId="3B66FBD8" w14:textId="77777777" w:rsidR="009005E4" w:rsidRPr="00793D78" w:rsidRDefault="009005E4" w:rsidP="009005E4">
            <w:pPr>
              <w:pStyle w:val="Textpoznpodarou1"/>
              <w:jc w:val="both"/>
            </w:pPr>
          </w:p>
        </w:tc>
        <w:tc>
          <w:tcPr>
            <w:tcW w:w="7610" w:type="dxa"/>
            <w:shd w:val="clear" w:color="auto" w:fill="auto"/>
            <w:tcMar>
              <w:left w:w="0" w:type="dxa"/>
            </w:tcMar>
          </w:tcPr>
          <w:p w14:paraId="78D86EB9" w14:textId="130D21E4" w:rsidR="009005E4" w:rsidRDefault="000767F5" w:rsidP="009005E4">
            <w:pPr>
              <w:spacing w:after="0"/>
            </w:pPr>
            <w:r>
              <w:rPr>
                <w:b/>
                <w:sz w:val="18"/>
                <w:szCs w:val="18"/>
                <w:lang w:eastAsia="en-US"/>
              </w:rPr>
              <w:t>Graf č. 10</w:t>
            </w:r>
            <w:r w:rsidR="009005E4" w:rsidRPr="00793D78">
              <w:rPr>
                <w:b/>
                <w:sz w:val="18"/>
                <w:szCs w:val="18"/>
                <w:lang w:eastAsia="en-US"/>
              </w:rPr>
              <w:t xml:space="preserve">  Ceny nemovitostí </w:t>
            </w:r>
            <w:r w:rsidR="009005E4" w:rsidRPr="009067EA">
              <w:rPr>
                <w:sz w:val="18"/>
                <w:szCs w:val="18"/>
                <w:lang w:eastAsia="en-US"/>
              </w:rPr>
              <w:t>(meziroční změna, v %)</w:t>
            </w:r>
          </w:p>
        </w:tc>
      </w:tr>
      <w:tr w:rsidR="009005E4" w:rsidRPr="009110F7" w14:paraId="731BCD14" w14:textId="77777777" w:rsidTr="00E5539A">
        <w:tblPrEx>
          <w:tblCellMar>
            <w:left w:w="70" w:type="dxa"/>
            <w:right w:w="70" w:type="dxa"/>
          </w:tblCellMar>
        </w:tblPrEx>
        <w:trPr>
          <w:trHeight w:val="170"/>
        </w:trPr>
        <w:tc>
          <w:tcPr>
            <w:tcW w:w="1805" w:type="dxa"/>
            <w:vMerge/>
            <w:shd w:val="clear" w:color="auto" w:fill="auto"/>
          </w:tcPr>
          <w:p w14:paraId="402EF027" w14:textId="77777777" w:rsidR="009005E4" w:rsidRDefault="009005E4" w:rsidP="009005E4">
            <w:pPr>
              <w:pStyle w:val="Marginlie"/>
              <w:rPr>
                <w:spacing w:val="0"/>
              </w:rPr>
            </w:pPr>
          </w:p>
        </w:tc>
        <w:tc>
          <w:tcPr>
            <w:tcW w:w="224" w:type="dxa"/>
            <w:vMerge/>
            <w:shd w:val="clear" w:color="auto" w:fill="auto"/>
          </w:tcPr>
          <w:p w14:paraId="63BFDC16" w14:textId="77777777" w:rsidR="009005E4" w:rsidRPr="00793D78" w:rsidRDefault="009005E4" w:rsidP="009005E4">
            <w:pPr>
              <w:pStyle w:val="Textpoznpodarou1"/>
              <w:jc w:val="both"/>
            </w:pPr>
          </w:p>
        </w:tc>
        <w:tc>
          <w:tcPr>
            <w:tcW w:w="7610" w:type="dxa"/>
            <w:shd w:val="clear" w:color="auto" w:fill="auto"/>
          </w:tcPr>
          <w:p w14:paraId="526B229D" w14:textId="5DB5415B" w:rsidR="009005E4" w:rsidRDefault="009005E4" w:rsidP="009005E4">
            <w:r>
              <w:rPr>
                <w:noProof/>
              </w:rPr>
              <w:drawing>
                <wp:inline distT="0" distB="0" distL="0" distR="0" wp14:anchorId="0D993B2B" wp14:editId="4A7FA4CE">
                  <wp:extent cx="4737600" cy="3553200"/>
                  <wp:effectExtent l="0" t="0" r="6350" b="0"/>
                  <wp:docPr id="4" name="Graf 4">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9005E4" w:rsidRPr="009110F7" w14:paraId="471AD821" w14:textId="77777777" w:rsidTr="00C715CC">
        <w:trPr>
          <w:trHeight w:val="170"/>
        </w:trPr>
        <w:tc>
          <w:tcPr>
            <w:tcW w:w="1805" w:type="dxa"/>
            <w:vMerge/>
            <w:shd w:val="clear" w:color="auto" w:fill="auto"/>
            <w:tcMar>
              <w:left w:w="0" w:type="dxa"/>
            </w:tcMar>
          </w:tcPr>
          <w:p w14:paraId="0C9775A0" w14:textId="77777777" w:rsidR="009005E4" w:rsidRDefault="009005E4" w:rsidP="009005E4">
            <w:pPr>
              <w:pStyle w:val="Marginlie"/>
              <w:rPr>
                <w:spacing w:val="0"/>
              </w:rPr>
            </w:pPr>
          </w:p>
        </w:tc>
        <w:tc>
          <w:tcPr>
            <w:tcW w:w="224" w:type="dxa"/>
            <w:vMerge/>
            <w:shd w:val="clear" w:color="auto" w:fill="auto"/>
            <w:tcMar>
              <w:left w:w="0" w:type="dxa"/>
            </w:tcMar>
          </w:tcPr>
          <w:p w14:paraId="29882A42" w14:textId="77777777" w:rsidR="009005E4" w:rsidRPr="00793D78" w:rsidRDefault="009005E4" w:rsidP="009005E4">
            <w:pPr>
              <w:pStyle w:val="Textpoznpodarou1"/>
              <w:jc w:val="both"/>
            </w:pPr>
          </w:p>
        </w:tc>
        <w:tc>
          <w:tcPr>
            <w:tcW w:w="7610" w:type="dxa"/>
            <w:shd w:val="clear" w:color="auto" w:fill="auto"/>
            <w:tcMar>
              <w:left w:w="0" w:type="dxa"/>
            </w:tcMar>
          </w:tcPr>
          <w:p w14:paraId="67C9E31E" w14:textId="0F538720" w:rsidR="009005E4" w:rsidRDefault="009005E4" w:rsidP="009005E4">
            <w:r w:rsidRPr="00793D78">
              <w:rPr>
                <w:sz w:val="14"/>
                <w:szCs w:val="14"/>
              </w:rPr>
              <w:t>Zdroj: ČSÚ</w:t>
            </w:r>
          </w:p>
        </w:tc>
      </w:tr>
      <w:tr w:rsidR="009005E4" w:rsidRPr="009110F7" w14:paraId="6B4E0C32" w14:textId="77777777" w:rsidTr="00C715CC">
        <w:trPr>
          <w:trHeight w:val="145"/>
        </w:trPr>
        <w:tc>
          <w:tcPr>
            <w:tcW w:w="1805" w:type="dxa"/>
            <w:shd w:val="clear" w:color="auto" w:fill="auto"/>
            <w:tcMar>
              <w:left w:w="0" w:type="dxa"/>
            </w:tcMar>
          </w:tcPr>
          <w:p w14:paraId="6BE248D8" w14:textId="74CDE164" w:rsidR="009005E4" w:rsidRPr="00793D78" w:rsidRDefault="009005E4" w:rsidP="009005E4">
            <w:pPr>
              <w:pStyle w:val="Marginlie"/>
              <w:rPr>
                <w:spacing w:val="0"/>
              </w:rPr>
            </w:pPr>
            <w:r>
              <w:rPr>
                <w:spacing w:val="0"/>
              </w:rPr>
              <w:t>Ceny průmyslových výrobců ve 4. čtvrtletí rostly nižším tempem než ve zbytku roku.</w:t>
            </w:r>
          </w:p>
        </w:tc>
        <w:tc>
          <w:tcPr>
            <w:tcW w:w="224" w:type="dxa"/>
            <w:shd w:val="clear" w:color="auto" w:fill="auto"/>
            <w:tcMar>
              <w:left w:w="0" w:type="dxa"/>
            </w:tcMar>
          </w:tcPr>
          <w:p w14:paraId="63118505" w14:textId="77777777" w:rsidR="009005E4" w:rsidRPr="00793D78" w:rsidRDefault="009005E4" w:rsidP="009005E4">
            <w:pPr>
              <w:pStyle w:val="Textpoznpodarou1"/>
              <w:jc w:val="both"/>
            </w:pPr>
          </w:p>
        </w:tc>
        <w:tc>
          <w:tcPr>
            <w:tcW w:w="7610" w:type="dxa"/>
            <w:shd w:val="clear" w:color="auto" w:fill="auto"/>
            <w:tcMar>
              <w:left w:w="0" w:type="dxa"/>
            </w:tcMar>
          </w:tcPr>
          <w:p w14:paraId="32290914" w14:textId="2EAD3135" w:rsidR="009005E4" w:rsidRDefault="009005E4" w:rsidP="009005E4">
            <w:r>
              <w:t>Ceny průmyslových výrobců ve 4. čtvrtletí meziročně vzrostly o 1,3 %. To je výrazně méně než v předchozím kvartálu (2,0 %) a 1. pololetí roku 2019 (3,5 %). Důvodem propadu meziročního tempa byl mimo jiné meziroční pokles cen zpracovatelského průmyslu (–0,1 %), které zejména v 1. pololetí tvořily základ růstu celého indexu. Nejvýrazněji ve směru poklesu působily ceny koksu a rafinovaných ropných výrobků</w:t>
            </w:r>
            <w:r>
              <w:rPr>
                <w:rStyle w:val="Znakapoznpodarou"/>
              </w:rPr>
              <w:footnoteReference w:id="51"/>
            </w:r>
            <w:r>
              <w:t xml:space="preserve">, dále chemické látky a výrobky (pokles o 6,0 %), obecné kovy a kovodělné výrobky </w:t>
            </w:r>
            <w:r>
              <w:br/>
              <w:t xml:space="preserve">(–1,6 %) a dopravní prostředky (–1,0 %). Naopak silně </w:t>
            </w:r>
            <w:proofErr w:type="spellStart"/>
            <w:r>
              <w:t>prorůstově</w:t>
            </w:r>
            <w:proofErr w:type="spellEnd"/>
            <w:r>
              <w:t xml:space="preserve"> působily potravinářské výrobky, nápoje a tabák (meziroční přírůstek 3,7 %) a dále nábytek a ostatní výrobky zpracovatelského průmyslu (4,6 %). Poměrně silný byl i růst cen textilu, oděvů a usní (3,4 %). Meziroční přírůstek cen těžby a dobývání ve 4. čtvrtletí také zvolnil (na 3,7 %). Naopak posílila dynamika cen elektřiny, plynu, páry a klimatizovaného vzduchu (8,3 %).</w:t>
            </w:r>
          </w:p>
        </w:tc>
      </w:tr>
      <w:tr w:rsidR="009005E4" w:rsidRPr="009110F7" w14:paraId="40351871" w14:textId="77777777" w:rsidTr="00C715CC">
        <w:trPr>
          <w:trHeight w:val="145"/>
        </w:trPr>
        <w:tc>
          <w:tcPr>
            <w:tcW w:w="1805" w:type="dxa"/>
            <w:shd w:val="clear" w:color="auto" w:fill="auto"/>
            <w:tcMar>
              <w:left w:w="0" w:type="dxa"/>
            </w:tcMar>
          </w:tcPr>
          <w:p w14:paraId="2C36C264" w14:textId="0EEEEB1B" w:rsidR="009005E4" w:rsidRPr="00793D78" w:rsidRDefault="009005E4" w:rsidP="009005E4">
            <w:pPr>
              <w:pStyle w:val="Marginlie"/>
              <w:rPr>
                <w:spacing w:val="0"/>
              </w:rPr>
            </w:pPr>
            <w:r>
              <w:rPr>
                <w:spacing w:val="0"/>
              </w:rPr>
              <w:t>Ceny průmyslových výrobců byly ovlivněny rostoucími cenami elektřiny.</w:t>
            </w:r>
          </w:p>
        </w:tc>
        <w:tc>
          <w:tcPr>
            <w:tcW w:w="224" w:type="dxa"/>
            <w:shd w:val="clear" w:color="auto" w:fill="auto"/>
            <w:tcMar>
              <w:left w:w="0" w:type="dxa"/>
            </w:tcMar>
          </w:tcPr>
          <w:p w14:paraId="4BCC4347" w14:textId="77777777" w:rsidR="009005E4" w:rsidRPr="00793D78" w:rsidRDefault="009005E4" w:rsidP="009005E4">
            <w:pPr>
              <w:pStyle w:val="Textpoznpodarou1"/>
              <w:jc w:val="both"/>
            </w:pPr>
          </w:p>
        </w:tc>
        <w:tc>
          <w:tcPr>
            <w:tcW w:w="7610" w:type="dxa"/>
            <w:shd w:val="clear" w:color="auto" w:fill="auto"/>
            <w:tcMar>
              <w:left w:w="0" w:type="dxa"/>
            </w:tcMar>
          </w:tcPr>
          <w:p w14:paraId="763DE989" w14:textId="5F715E9F" w:rsidR="009005E4" w:rsidRDefault="009005E4" w:rsidP="009005E4">
            <w:r>
              <w:t xml:space="preserve">V roce 2019 dosáhl přírůstek cen průmyslových výrobců 2,6 %. Šlo o nejvyšší hodnotu od roku 2011. K růstu stejnou měrou přispěly dvě sekce. Tou první byly výrobky a služby zpracovatelského průmyslu, které tvoří výraznou většinu domácí výroby. Jejich ceny se loni zvýšily o 1,5 %. Dalším výrazným hybatelem vývoje indexu cen výrobců byly ceny elektřiny, plynu, páry a klimatizovaného vzduchu, které nižší váhu </w:t>
            </w:r>
            <w:r>
              <w:lastRenderedPageBreak/>
              <w:t>v českém průmyslu nahrazovaly velmi vysokým růstem (8,0 %). Ceny těžby a dobývání loni vzrostly o 6,4 %, hlavně pod vlivem černého a hnědého uhlí a lignitu (8,5 %), ale také kamene, písku a jílu (5,1 %). Ceny elektřiny, plynu, páry a klimatizovaného vzduchu byly zcela ovlivněny prudkým růstem u elektřiny (22,7 %), přitom náklady na samotný přenos a rozvod elektřiny mírně klesly (–1,1 %). O 2,9 % se zvýšily ceny zásobování vodou a služeb souvisejících s odpadními vodami.</w:t>
            </w:r>
          </w:p>
        </w:tc>
      </w:tr>
      <w:tr w:rsidR="009005E4" w:rsidRPr="009110F7" w14:paraId="4F9C0215" w14:textId="77777777" w:rsidTr="00C715CC">
        <w:trPr>
          <w:trHeight w:val="145"/>
        </w:trPr>
        <w:tc>
          <w:tcPr>
            <w:tcW w:w="1805" w:type="dxa"/>
            <w:shd w:val="clear" w:color="auto" w:fill="auto"/>
            <w:tcMar>
              <w:left w:w="0" w:type="dxa"/>
            </w:tcMar>
          </w:tcPr>
          <w:p w14:paraId="4FF781A3" w14:textId="2DC70A08" w:rsidR="009005E4" w:rsidRPr="00793D78" w:rsidRDefault="009005E4" w:rsidP="009005E4">
            <w:pPr>
              <w:pStyle w:val="Marginlie"/>
              <w:rPr>
                <w:spacing w:val="0"/>
              </w:rPr>
            </w:pPr>
            <w:r>
              <w:rPr>
                <w:spacing w:val="0"/>
              </w:rPr>
              <w:lastRenderedPageBreak/>
              <w:t>Potravinářské výrobky byly jednou ze skupin, u kterých ceny rostly nejrychleji.</w:t>
            </w:r>
          </w:p>
        </w:tc>
        <w:tc>
          <w:tcPr>
            <w:tcW w:w="224" w:type="dxa"/>
            <w:shd w:val="clear" w:color="auto" w:fill="auto"/>
            <w:tcMar>
              <w:left w:w="0" w:type="dxa"/>
            </w:tcMar>
          </w:tcPr>
          <w:p w14:paraId="65353B34" w14:textId="77777777" w:rsidR="009005E4" w:rsidRPr="00793D78" w:rsidRDefault="009005E4" w:rsidP="009005E4">
            <w:pPr>
              <w:pStyle w:val="Textpoznpodarou1"/>
              <w:jc w:val="both"/>
            </w:pPr>
          </w:p>
        </w:tc>
        <w:tc>
          <w:tcPr>
            <w:tcW w:w="7610" w:type="dxa"/>
            <w:shd w:val="clear" w:color="auto" w:fill="auto"/>
            <w:tcMar>
              <w:left w:w="0" w:type="dxa"/>
            </w:tcMar>
          </w:tcPr>
          <w:p w14:paraId="462D36CC" w14:textId="5DC8F1A9" w:rsidR="009005E4" w:rsidRDefault="009005E4" w:rsidP="009005E4">
            <w:r>
              <w:t>Mezi výrobky zpracovatelského průmyslu po celý rok výrazně rostly ceny potravinářských výrobků, nápojů a tabáku (celkem o 3,5 %), zejména zpracované a konzervované maso a výrobky z masa (7,0 %), mlýnské a škrobárenské výrobky (6,4 %) a pekařské, cukrářské a jiné moučné výrobky (5,1 %). Poměrně silně se zvýšily ceny textilu, oděvů a usní (3,7 %), a to zejména kvůli oděvům (6,5 %). Dřevo, papír a tisk zdražily jen o 0,7 %. Stagnovaly ceny dřeva a výrobků z něj (0,4 %), klesly ceny papíru a papírových výrobků (–0,4 %). Růst ale zaznamenaly tiskařské a nahrávací služby (2,8 %). Pod vlivem klesajících cen ropy došlo ke snížení u chemických látek a výrobků (o 1,6 %). Ceny základních farmaceutických výrobků se zvýšily o 2,1 %. Pryžové a plastové výrobky a ostatní nekovové materiály zdražily o 2,9 %, přitom však u samotných pryžových a plastových výrobků byl zaznamenán pokles o 0,2 %. Rostly zejména ceny ostatních nekovových minerálních výrobků (6,7 %), především výrobků používaných ve stavebnictví</w:t>
            </w:r>
            <w:r>
              <w:rPr>
                <w:rStyle w:val="Znakapoznpodarou"/>
              </w:rPr>
              <w:footnoteReference w:id="52"/>
            </w:r>
            <w:r>
              <w:t>. Jen mírně rostly ceny obecných kovů a kovodělných výrobků (0,8 %), počítačů, elektronických a optických přístrojů (1,9 %) a stagnovaly ceny elektrických zařízení (0,2 %). Ceny strojů a zařízení se zvýšily o 2,0 %. Jen drobné zvýšení ale zaznamenaly dopravní prostředky (0,2 %). Nábytek a ostatní výrobky zpracovatelského průmyslu celkem zdražily o 4,3 %. Ceny nábytku vzrostly o 1,7 %, ale opravy, údržba a instalace strojů a zařízení o 4,9 %.</w:t>
            </w:r>
          </w:p>
        </w:tc>
      </w:tr>
      <w:tr w:rsidR="009005E4" w:rsidRPr="009110F7" w14:paraId="2EA0DD6B" w14:textId="77777777" w:rsidTr="00C715CC">
        <w:trPr>
          <w:trHeight w:val="170"/>
        </w:trPr>
        <w:tc>
          <w:tcPr>
            <w:tcW w:w="1805" w:type="dxa"/>
            <w:vMerge w:val="restart"/>
            <w:shd w:val="clear" w:color="auto" w:fill="auto"/>
            <w:tcMar>
              <w:left w:w="0" w:type="dxa"/>
            </w:tcMar>
          </w:tcPr>
          <w:p w14:paraId="2F08AE88" w14:textId="77777777" w:rsidR="009005E4" w:rsidRDefault="009005E4" w:rsidP="009005E4">
            <w:pPr>
              <w:pStyle w:val="Marginlie"/>
              <w:rPr>
                <w:spacing w:val="0"/>
              </w:rPr>
            </w:pPr>
          </w:p>
        </w:tc>
        <w:tc>
          <w:tcPr>
            <w:tcW w:w="224" w:type="dxa"/>
            <w:vMerge w:val="restart"/>
            <w:shd w:val="clear" w:color="auto" w:fill="auto"/>
            <w:tcMar>
              <w:left w:w="0" w:type="dxa"/>
            </w:tcMar>
          </w:tcPr>
          <w:p w14:paraId="7B1C5525" w14:textId="77777777" w:rsidR="009005E4" w:rsidRPr="00793D78" w:rsidRDefault="009005E4" w:rsidP="009005E4">
            <w:pPr>
              <w:pStyle w:val="Textpoznpodarou1"/>
              <w:jc w:val="both"/>
              <w:rPr>
                <w:highlight w:val="yellow"/>
              </w:rPr>
            </w:pPr>
          </w:p>
        </w:tc>
        <w:tc>
          <w:tcPr>
            <w:tcW w:w="7610" w:type="dxa"/>
            <w:shd w:val="clear" w:color="auto" w:fill="auto"/>
            <w:tcMar>
              <w:left w:w="0" w:type="dxa"/>
            </w:tcMar>
          </w:tcPr>
          <w:p w14:paraId="08FB600F" w14:textId="07DC349B" w:rsidR="009005E4" w:rsidRPr="00D75AC1" w:rsidRDefault="000767F5" w:rsidP="009005E4">
            <w:pPr>
              <w:spacing w:after="0"/>
              <w:rPr>
                <w:b/>
                <w:szCs w:val="20"/>
              </w:rPr>
            </w:pPr>
            <w:r>
              <w:rPr>
                <w:b/>
                <w:sz w:val="18"/>
                <w:szCs w:val="18"/>
              </w:rPr>
              <w:t>Graf č. 11</w:t>
            </w:r>
            <w:r w:rsidR="009005E4" w:rsidRPr="00793D78">
              <w:rPr>
                <w:b/>
                <w:sz w:val="18"/>
                <w:szCs w:val="18"/>
              </w:rPr>
              <w:t xml:space="preserve">  </w:t>
            </w:r>
            <w:r w:rsidR="009005E4" w:rsidRPr="00793D78">
              <w:rPr>
                <w:b/>
                <w:sz w:val="18"/>
                <w:szCs w:val="18"/>
                <w:lang w:eastAsia="en-US"/>
              </w:rPr>
              <w:t xml:space="preserve">Ceny hlavních skupin průmyslových výrobců </w:t>
            </w:r>
            <w:r w:rsidR="009005E4" w:rsidRPr="009067EA">
              <w:rPr>
                <w:sz w:val="18"/>
                <w:szCs w:val="18"/>
                <w:lang w:eastAsia="en-US"/>
              </w:rPr>
              <w:t>(meziroční změna, v %, podle klasifikace CPA)</w:t>
            </w:r>
          </w:p>
        </w:tc>
      </w:tr>
      <w:tr w:rsidR="009005E4" w:rsidRPr="009110F7" w14:paraId="129684CB" w14:textId="77777777" w:rsidTr="00C715CC">
        <w:tblPrEx>
          <w:tblCellMar>
            <w:left w:w="70" w:type="dxa"/>
            <w:right w:w="70" w:type="dxa"/>
          </w:tblCellMar>
        </w:tblPrEx>
        <w:trPr>
          <w:trHeight w:val="170"/>
        </w:trPr>
        <w:tc>
          <w:tcPr>
            <w:tcW w:w="1805" w:type="dxa"/>
            <w:vMerge/>
            <w:shd w:val="clear" w:color="auto" w:fill="auto"/>
          </w:tcPr>
          <w:p w14:paraId="6C5B0DA9" w14:textId="77777777" w:rsidR="009005E4" w:rsidRPr="00793D78" w:rsidRDefault="009005E4" w:rsidP="009005E4">
            <w:pPr>
              <w:pStyle w:val="Marginlie"/>
              <w:rPr>
                <w:spacing w:val="0"/>
              </w:rPr>
            </w:pPr>
          </w:p>
        </w:tc>
        <w:tc>
          <w:tcPr>
            <w:tcW w:w="224" w:type="dxa"/>
            <w:vMerge/>
            <w:shd w:val="clear" w:color="auto" w:fill="auto"/>
          </w:tcPr>
          <w:p w14:paraId="7C280AA5" w14:textId="77777777" w:rsidR="009005E4" w:rsidRPr="00793D78" w:rsidRDefault="009005E4" w:rsidP="009005E4">
            <w:pPr>
              <w:pStyle w:val="Textpoznpodarou1"/>
              <w:jc w:val="both"/>
            </w:pPr>
          </w:p>
        </w:tc>
        <w:tc>
          <w:tcPr>
            <w:tcW w:w="7610" w:type="dxa"/>
            <w:shd w:val="clear" w:color="auto" w:fill="auto"/>
          </w:tcPr>
          <w:p w14:paraId="272D5EB1" w14:textId="504A4843" w:rsidR="009005E4" w:rsidRPr="00793D78" w:rsidRDefault="009005E4" w:rsidP="009005E4">
            <w:pPr>
              <w:spacing w:after="0"/>
            </w:pPr>
            <w:r>
              <w:rPr>
                <w:noProof/>
              </w:rPr>
              <w:drawing>
                <wp:inline distT="0" distB="0" distL="0" distR="0" wp14:anchorId="4CC30D4D" wp14:editId="71E23071">
                  <wp:extent cx="4737600" cy="3553200"/>
                  <wp:effectExtent l="0" t="0" r="6350" b="0"/>
                  <wp:docPr id="34" name="Graf 34">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9005E4" w:rsidRPr="009110F7" w14:paraId="1C612973" w14:textId="77777777" w:rsidTr="00C715CC">
        <w:trPr>
          <w:trHeight w:val="170"/>
        </w:trPr>
        <w:tc>
          <w:tcPr>
            <w:tcW w:w="1805" w:type="dxa"/>
            <w:vMerge/>
            <w:shd w:val="clear" w:color="auto" w:fill="auto"/>
            <w:tcMar>
              <w:left w:w="0" w:type="dxa"/>
            </w:tcMar>
          </w:tcPr>
          <w:p w14:paraId="33712714" w14:textId="77777777" w:rsidR="009005E4" w:rsidRPr="00793D78" w:rsidRDefault="009005E4" w:rsidP="009005E4">
            <w:pPr>
              <w:pStyle w:val="Marginlie"/>
              <w:rPr>
                <w:spacing w:val="0"/>
              </w:rPr>
            </w:pPr>
          </w:p>
        </w:tc>
        <w:tc>
          <w:tcPr>
            <w:tcW w:w="224" w:type="dxa"/>
            <w:vMerge/>
            <w:shd w:val="clear" w:color="auto" w:fill="auto"/>
            <w:tcMar>
              <w:left w:w="0" w:type="dxa"/>
            </w:tcMar>
          </w:tcPr>
          <w:p w14:paraId="16F5011C" w14:textId="77777777" w:rsidR="009005E4" w:rsidRPr="00793D78" w:rsidRDefault="009005E4" w:rsidP="009005E4">
            <w:pPr>
              <w:pStyle w:val="Textpoznpodarou1"/>
              <w:jc w:val="both"/>
            </w:pPr>
          </w:p>
        </w:tc>
        <w:tc>
          <w:tcPr>
            <w:tcW w:w="7610" w:type="dxa"/>
            <w:shd w:val="clear" w:color="auto" w:fill="auto"/>
            <w:tcMar>
              <w:left w:w="0" w:type="dxa"/>
            </w:tcMar>
          </w:tcPr>
          <w:p w14:paraId="503856A7" w14:textId="1AE31B8B" w:rsidR="009005E4" w:rsidRPr="00793D78" w:rsidRDefault="009005E4" w:rsidP="009005E4">
            <w:r w:rsidRPr="00793D78">
              <w:rPr>
                <w:sz w:val="14"/>
                <w:szCs w:val="14"/>
              </w:rPr>
              <w:t>Zdroj: ČSÚ</w:t>
            </w:r>
          </w:p>
        </w:tc>
      </w:tr>
      <w:tr w:rsidR="009005E4" w:rsidRPr="009110F7" w14:paraId="67DF58B4" w14:textId="77777777" w:rsidTr="00C715CC">
        <w:trPr>
          <w:trHeight w:val="145"/>
        </w:trPr>
        <w:tc>
          <w:tcPr>
            <w:tcW w:w="1805" w:type="dxa"/>
            <w:shd w:val="clear" w:color="auto" w:fill="auto"/>
            <w:tcMar>
              <w:left w:w="0" w:type="dxa"/>
            </w:tcMar>
          </w:tcPr>
          <w:p w14:paraId="567FE004" w14:textId="5E21EF30" w:rsidR="009005E4" w:rsidRDefault="009005E4" w:rsidP="009005E4">
            <w:pPr>
              <w:pStyle w:val="Marginlie"/>
              <w:rPr>
                <w:spacing w:val="0"/>
              </w:rPr>
            </w:pPr>
            <w:r>
              <w:rPr>
                <w:spacing w:val="0"/>
              </w:rPr>
              <w:lastRenderedPageBreak/>
              <w:t>Ceny ropy negativně ovlivňovaly vývoj cen výrobců v EU.</w:t>
            </w:r>
          </w:p>
        </w:tc>
        <w:tc>
          <w:tcPr>
            <w:tcW w:w="224" w:type="dxa"/>
            <w:shd w:val="clear" w:color="auto" w:fill="auto"/>
            <w:tcMar>
              <w:left w:w="0" w:type="dxa"/>
            </w:tcMar>
          </w:tcPr>
          <w:p w14:paraId="02C1DEFC" w14:textId="77777777" w:rsidR="009005E4" w:rsidRPr="00793D78" w:rsidRDefault="009005E4" w:rsidP="009005E4">
            <w:pPr>
              <w:pStyle w:val="Textpoznpodarou1"/>
              <w:jc w:val="both"/>
            </w:pPr>
          </w:p>
        </w:tc>
        <w:tc>
          <w:tcPr>
            <w:tcW w:w="7610" w:type="dxa"/>
            <w:shd w:val="clear" w:color="auto" w:fill="auto"/>
            <w:tcMar>
              <w:left w:w="0" w:type="dxa"/>
            </w:tcMar>
          </w:tcPr>
          <w:p w14:paraId="629421BE" w14:textId="319D8107" w:rsidR="009005E4" w:rsidRDefault="009005E4" w:rsidP="009005E4">
            <w:r>
              <w:t>Ceny průmyslových výrobců v EU se v roce 2019 zvýšily o 0,9 %. Poměrně nízký přírůstek byl způsoben meziročním propadem cen ve 2. pololetí roku, zejména pod vlivem cen ropy, které byly v uvedeném období výrazně pod úrovní předchozího roku. Projevilo se to na loňském propadu cen těžby a dobývání o 2,8 % a dále na cenách ve zpracovatelském průmyslu, které se zvýšily jen o 0,9 %, hlavně kvůli stagnaci ve 2. pololetí. O 2,4 % se loni zvýšily ceny elektřiny, plynu, páry a klimatizovaného vzduchu. Po silných meziročních nárůstech v 1. pololetí se dynamika neudržela a ceny v této sekci se propadaly (na rozdíl od Česka, kde se udržoval velmi silný růst). Ceny výrobců loni nejvýrazněji vzrostly v Rumunsku (5,0 %), Maďarsku (3,9 %) a Bulharsku (3,8 %). Pokles nastal u cen výrobců v Portugalsku (–0,9 %), v Dánsku (–0,6 %) a Španělsku (–0,5 %).</w:t>
            </w:r>
          </w:p>
        </w:tc>
      </w:tr>
      <w:tr w:rsidR="009005E4" w:rsidRPr="009110F7" w14:paraId="6B93A0A8" w14:textId="77777777" w:rsidTr="00C715CC">
        <w:trPr>
          <w:trHeight w:val="145"/>
        </w:trPr>
        <w:tc>
          <w:tcPr>
            <w:tcW w:w="1805" w:type="dxa"/>
            <w:shd w:val="clear" w:color="auto" w:fill="auto"/>
            <w:tcMar>
              <w:left w:w="0" w:type="dxa"/>
            </w:tcMar>
          </w:tcPr>
          <w:p w14:paraId="7E5AEAB2" w14:textId="78F19244" w:rsidR="009005E4" w:rsidRPr="00793D78" w:rsidRDefault="009005E4" w:rsidP="009005E4">
            <w:pPr>
              <w:pStyle w:val="Marginlie"/>
              <w:rPr>
                <w:spacing w:val="0"/>
              </w:rPr>
            </w:pPr>
            <w:r>
              <w:rPr>
                <w:spacing w:val="0"/>
              </w:rPr>
              <w:t>Ceny tržních služeb ovlivňovala vysoká dynamika mzdových nákladů.</w:t>
            </w:r>
          </w:p>
        </w:tc>
        <w:tc>
          <w:tcPr>
            <w:tcW w:w="224" w:type="dxa"/>
            <w:shd w:val="clear" w:color="auto" w:fill="auto"/>
            <w:tcMar>
              <w:left w:w="0" w:type="dxa"/>
            </w:tcMar>
          </w:tcPr>
          <w:p w14:paraId="00EAB1CB" w14:textId="77777777" w:rsidR="009005E4" w:rsidRPr="00793D78" w:rsidRDefault="009005E4" w:rsidP="009005E4">
            <w:pPr>
              <w:pStyle w:val="Textpoznpodarou1"/>
              <w:jc w:val="both"/>
            </w:pPr>
          </w:p>
        </w:tc>
        <w:tc>
          <w:tcPr>
            <w:tcW w:w="7610" w:type="dxa"/>
            <w:shd w:val="clear" w:color="auto" w:fill="auto"/>
            <w:tcMar>
              <w:left w:w="0" w:type="dxa"/>
            </w:tcMar>
          </w:tcPr>
          <w:p w14:paraId="46B3676D" w14:textId="1DC7BAD7" w:rsidR="009005E4" w:rsidRPr="00793D78" w:rsidRDefault="009005E4" w:rsidP="009005E4">
            <w:r>
              <w:t xml:space="preserve">Ceny tržních služeb se ve 4. čtvrtletí meziročně zvýšily o 2,3 %. Jejich dynamika tak mírně zvolnila v porovnání s 1. až 3. čtvrtletím roku. Nejvíce k růstu přispěly ceny služeb v oblasti programování a poradenství (meziroční růst o 4,9 %), dále pozemní a potrubní doprava (2,2 %) a pojištění, zajištění a penzijní financování (5,6 %). Zpomalení celkového růstu bylo způsobeno redukcí tempa u některých důležitých služeb – například cen reklamních služeb a průzkumu trhu (z 5,5 % ve 3. čtvrtletí na 3,6 % ve 4. čtvrtletí) nebo architektonických a inženýrských služeb (z 1,6 % na </w:t>
            </w:r>
            <w:r>
              <w:br/>
              <w:t>–0,2 %). Za celý rok 2019 se ceny tržních služeb zvýšily o 2,6 %, nejvíce od roku 2008. Zrychlení dynamiky bylo spojeno zejména se stále silně rostoucími mzdovými náklady, které se do cen služeb promítaly napříč celou ekonomikou. To je přímo vidět na službách v oblasti zaměstnání, jejichž ceny se loni zvýšily o 9,2 % (zpomalení oproti roku 2018 bylo jen drobné). Nejvíce k celkovému růstu loni přispěly ceny pozemní a potrubní dopravy (vzrostly o 2,4 %, hlavně kvůli cenám železniční nákladní dopravy), dále služby v oblasti programování (4,2 %), pojištění, zajištění a penzijní financování (6,5 %). Výrazný příspěvek měly rovněž reklamní služby a průzkum trhu (4,5 %). Pokles cen se odehrál jen u skladování a podpůrných služeb v dopravě (–1,5 %).</w:t>
            </w:r>
          </w:p>
        </w:tc>
      </w:tr>
      <w:tr w:rsidR="009005E4" w:rsidRPr="009110F7" w14:paraId="58470AB7" w14:textId="77777777" w:rsidTr="00C715CC">
        <w:trPr>
          <w:trHeight w:val="145"/>
        </w:trPr>
        <w:tc>
          <w:tcPr>
            <w:tcW w:w="1805" w:type="dxa"/>
            <w:shd w:val="clear" w:color="auto" w:fill="auto"/>
            <w:tcMar>
              <w:left w:w="0" w:type="dxa"/>
            </w:tcMar>
          </w:tcPr>
          <w:p w14:paraId="19872D18" w14:textId="41A4ACDC" w:rsidR="009005E4" w:rsidRPr="00793D78" w:rsidRDefault="009005E4" w:rsidP="009005E4">
            <w:pPr>
              <w:pStyle w:val="Marginlie"/>
              <w:rPr>
                <w:spacing w:val="0"/>
              </w:rPr>
            </w:pPr>
            <w:r>
              <w:rPr>
                <w:spacing w:val="0"/>
              </w:rPr>
              <w:t>Ceny zemědělských výrobců ve 4. čtvrtletí klesly. Zrychlil růst cen prasat.</w:t>
            </w:r>
          </w:p>
        </w:tc>
        <w:tc>
          <w:tcPr>
            <w:tcW w:w="224" w:type="dxa"/>
            <w:shd w:val="clear" w:color="auto" w:fill="auto"/>
            <w:tcMar>
              <w:left w:w="0" w:type="dxa"/>
            </w:tcMar>
          </w:tcPr>
          <w:p w14:paraId="71D9A019" w14:textId="77777777" w:rsidR="009005E4" w:rsidRPr="00793D78" w:rsidRDefault="009005E4" w:rsidP="009005E4">
            <w:pPr>
              <w:pStyle w:val="Textpoznpodarou1"/>
              <w:jc w:val="both"/>
            </w:pPr>
          </w:p>
        </w:tc>
        <w:tc>
          <w:tcPr>
            <w:tcW w:w="7610" w:type="dxa"/>
            <w:shd w:val="clear" w:color="auto" w:fill="auto"/>
            <w:tcMar>
              <w:left w:w="0" w:type="dxa"/>
            </w:tcMar>
          </w:tcPr>
          <w:p w14:paraId="44DFC9A1" w14:textId="3B46CA8D" w:rsidR="009005E4" w:rsidRPr="00CB64E1" w:rsidRDefault="009005E4" w:rsidP="009005E4">
            <w:pPr>
              <w:rPr>
                <w:spacing w:val="-2"/>
              </w:rPr>
            </w:pPr>
            <w:r>
              <w:rPr>
                <w:spacing w:val="-2"/>
              </w:rPr>
              <w:t>Ceny zemědělských výrobců ve 4. čtvrtletí 2019 meziročně poklesly o 1,6 %. Ceny rostlinné výroby klesly o 5,6 %. Propad nastal u obilovin (–9,5 %), a to napříč všemi druhy (pšenice –10,9 %, ječmen –6,0 %, kukuřice na zrno –9,5 %). Zčásti za to může vysoká srovnávací základna roku 2018, loňská lepší úroda vedla i k poklesu cen na nižší úroveň. Poklesly i ceny průmyslových plodin (–8,7 %), z toho olejnin o 4,5 % (kvůli máku, který zlevnil o 30,9 %) a cukrové řepy o 18,5 %. Růst cen brambor zvolnil na 9,4 %. Po propadu v sezóně 2018 opět zdražilo ovoce (48,3 %), zejména jablka (49,3 %) a hrušky (43,6 %). Ceny živočišné výroby ve 4. čtvrtletí meziročně vzrostly o 5,6 %, zejména kvůli zrychlující dynamice cen prasat (30,9 % ve 4. čtvrtletí). Stagnovaly ceny mléka (0,1 %) a mírně rostly ceny vajec (3,4 %). Za celý rok 2019 se ceny zemědělské výroby zvýšily o 4,9 %. Přírůstku dosáhla rostlinná (5,9 %) i živočišná výroba (3,9 %). U rostlinné výroby dozníval vliv výsledků úrody z roku 2018, které byly horší ve srovnání s předchozími lety. Zdražila většina skupin plodin – obiloviny o 6,4 %, průmyslové plodiny o 1,7 %, krmné plodiny o 2,0 %, zelenina a zahradnické produkty o 6,8 %. Nejmarkantnější nárůst prodělaly ceny brambor (37,3 %), z toho konzumní brambory zdražily o 51,8 % a sadba o 16,5 %. Cenami živočišné výroby hýbala zejména veterinární situace</w:t>
            </w:r>
            <w:r>
              <w:rPr>
                <w:rStyle w:val="Znakapoznpodarou"/>
                <w:spacing w:val="-2"/>
              </w:rPr>
              <w:footnoteReference w:id="53"/>
            </w:r>
            <w:r>
              <w:rPr>
                <w:spacing w:val="-2"/>
              </w:rPr>
              <w:t>, která se promítala do cen prasat a selat (nárůst o 16,2 %). Ceny mléka se zvýšily o 2,7 % a ceny vajec klesly o 6,6 %.</w:t>
            </w:r>
          </w:p>
        </w:tc>
      </w:tr>
      <w:tr w:rsidR="009005E4" w:rsidRPr="009110F7" w14:paraId="27056E5D" w14:textId="77777777" w:rsidTr="00C715CC">
        <w:trPr>
          <w:trHeight w:val="145"/>
        </w:trPr>
        <w:tc>
          <w:tcPr>
            <w:tcW w:w="1805" w:type="dxa"/>
            <w:shd w:val="clear" w:color="auto" w:fill="auto"/>
            <w:tcMar>
              <w:left w:w="0" w:type="dxa"/>
            </w:tcMar>
          </w:tcPr>
          <w:p w14:paraId="3872F788" w14:textId="3D079E1D" w:rsidR="009005E4" w:rsidRPr="00793D78" w:rsidRDefault="009005E4" w:rsidP="009005E4">
            <w:pPr>
              <w:pStyle w:val="Marginlie"/>
              <w:rPr>
                <w:spacing w:val="0"/>
              </w:rPr>
            </w:pPr>
            <w:r>
              <w:rPr>
                <w:spacing w:val="0"/>
              </w:rPr>
              <w:t>Meziroční růst cen vývozu během roku postupně zpomaloval.</w:t>
            </w:r>
          </w:p>
        </w:tc>
        <w:tc>
          <w:tcPr>
            <w:tcW w:w="224" w:type="dxa"/>
            <w:shd w:val="clear" w:color="auto" w:fill="auto"/>
            <w:tcMar>
              <w:left w:w="0" w:type="dxa"/>
            </w:tcMar>
          </w:tcPr>
          <w:p w14:paraId="2D8EE936" w14:textId="77777777" w:rsidR="009005E4" w:rsidRPr="00793D78" w:rsidRDefault="009005E4" w:rsidP="009005E4">
            <w:pPr>
              <w:pStyle w:val="Textpoznpodarou1"/>
              <w:jc w:val="both"/>
            </w:pPr>
          </w:p>
        </w:tc>
        <w:tc>
          <w:tcPr>
            <w:tcW w:w="7610" w:type="dxa"/>
            <w:shd w:val="clear" w:color="auto" w:fill="auto"/>
            <w:tcMar>
              <w:left w:w="0" w:type="dxa"/>
            </w:tcMar>
          </w:tcPr>
          <w:p w14:paraId="5E95770F" w14:textId="6A44EE19" w:rsidR="009005E4" w:rsidRPr="00793D78" w:rsidRDefault="009005E4" w:rsidP="009005E4">
            <w:r>
              <w:t xml:space="preserve">Ceny vývozu loni vzrostly o 0,9 %. Meziroční dynamika ale v průběhu roku postupně zpomalovala a ve 4. čtvrtletí došlo k propadu o 1,4 %. V roce 2019 vzrostly ceny vývozu průmyslového spotřebního zboží (3,4 %), nápojů a tabáku (2,1 %), potravin </w:t>
            </w:r>
            <w:r>
              <w:lastRenderedPageBreak/>
              <w:t>a živých zvířat (1,7 %), strojů a dopravních prostředků (1,2 %) a polotovarů</w:t>
            </w:r>
            <w:r>
              <w:rPr>
                <w:rStyle w:val="Znakapoznpodarou"/>
              </w:rPr>
              <w:footnoteReference w:id="54"/>
            </w:r>
            <w:r>
              <w:t xml:space="preserve"> (0,4 %). Klesly ceny surovin – minerálních paliv (–2,0 %) i ostatních surovin</w:t>
            </w:r>
            <w:r>
              <w:rPr>
                <w:rStyle w:val="Znakapoznpodarou"/>
              </w:rPr>
              <w:footnoteReference w:id="55"/>
            </w:r>
            <w:r>
              <w:t xml:space="preserve"> (–5,6 %) a také chemikálií a příbuzných výrobků (–1,0 %). Ve 4. čtvrtletí se meziročně snižovaly ceny u většiny skupin výrobků. Největší propad zaznamenaly ostatní suroviny (–13,4 %), minerální paliva (–8,5 %) a chemikálie a příbuzné výrobky (–3,5 %). Nejvíce meziročně vzrostly ceny nápojů a tabáku (1,5 %) a průmyslového spotřebního zboží (1,1 %). Stagnovaly ceny strojů a dopravních prostředků (0,1 %).</w:t>
            </w:r>
          </w:p>
        </w:tc>
      </w:tr>
      <w:tr w:rsidR="009005E4" w:rsidRPr="009110F7" w14:paraId="417CA986" w14:textId="77777777" w:rsidTr="00C715CC">
        <w:trPr>
          <w:trHeight w:val="145"/>
        </w:trPr>
        <w:tc>
          <w:tcPr>
            <w:tcW w:w="1805" w:type="dxa"/>
            <w:shd w:val="clear" w:color="auto" w:fill="auto"/>
            <w:tcMar>
              <w:left w:w="0" w:type="dxa"/>
            </w:tcMar>
          </w:tcPr>
          <w:p w14:paraId="1667BF8D" w14:textId="01D96302" w:rsidR="009005E4" w:rsidRPr="00793D78" w:rsidRDefault="009005E4" w:rsidP="009005E4">
            <w:pPr>
              <w:pStyle w:val="Marginlie"/>
              <w:rPr>
                <w:spacing w:val="0"/>
              </w:rPr>
            </w:pPr>
            <w:r>
              <w:rPr>
                <w:spacing w:val="0"/>
              </w:rPr>
              <w:lastRenderedPageBreak/>
              <w:t>Ceny dovozu loni rostly poměrně slabě, a směnné relace tak byly kladné.</w:t>
            </w:r>
          </w:p>
        </w:tc>
        <w:tc>
          <w:tcPr>
            <w:tcW w:w="224" w:type="dxa"/>
            <w:shd w:val="clear" w:color="auto" w:fill="auto"/>
            <w:tcMar>
              <w:left w:w="0" w:type="dxa"/>
            </w:tcMar>
          </w:tcPr>
          <w:p w14:paraId="252C4EEE" w14:textId="77777777" w:rsidR="009005E4" w:rsidRPr="00793D78" w:rsidRDefault="009005E4" w:rsidP="009005E4">
            <w:pPr>
              <w:pStyle w:val="Textpoznpodarou1"/>
              <w:jc w:val="both"/>
            </w:pPr>
          </w:p>
        </w:tc>
        <w:tc>
          <w:tcPr>
            <w:tcW w:w="7610" w:type="dxa"/>
            <w:shd w:val="clear" w:color="auto" w:fill="auto"/>
            <w:tcMar>
              <w:left w:w="0" w:type="dxa"/>
            </w:tcMar>
          </w:tcPr>
          <w:p w14:paraId="2FDCB79C" w14:textId="00D2986B" w:rsidR="009005E4" w:rsidRDefault="009005E4" w:rsidP="009005E4">
            <w:r>
              <w:t xml:space="preserve">Ceny importu loni celkově rovněž vzrostly (0,3 %). Zvýšily se ceny dovozu ostatních surovin (6,9 %), </w:t>
            </w:r>
            <w:r w:rsidR="005A0A03">
              <w:t xml:space="preserve">potravin a </w:t>
            </w:r>
            <w:r>
              <w:t>živých zvířat (2,7 %), strojů a dopravních prostředků (1,6 %) a průmyslového spotřebního zboží (0,2 %). Výrazně loni klesly ceny nápojů a tabáku (–5,2 %) a rovněž minerálních paliv (–4,7 %). Mírně se snížily ceny chemikálií a příbuzných výrobků (–0,9 %) a polotovarů (–0,6 %). V samotném 4. čtvrtletí došlo u cen dovozu k meziročnímu propadu o 1,8 %. Nejsilnější pokles zaznamenala minerální paliva (–11,8 %), nápoje a tabák (–7,7 %) a chemikálie a příbuzné</w:t>
            </w:r>
            <w:r w:rsidR="005A0A03">
              <w:t xml:space="preserve"> </w:t>
            </w:r>
            <w:r>
              <w:t>výrobky</w:t>
            </w:r>
            <w:r w:rsidR="005A0A03">
              <w:t xml:space="preserve"> </w:t>
            </w:r>
            <w:r>
              <w:t xml:space="preserve">(–5,8 %). Poměrně silně rostly ceny dovezených potravin a živých zvířat (5,4 %). Směnné relace byly v roce 2019 celkově kladné (100,6 %). Kladně působily směnné relace obchodu s nápoji a tabákem (107,7 %), průmyslovým spotřebním zbožím (103,2 %), minerálními palivy (102,8 %) a polotovary (101,0 %). Naopak záporné byly směnné relace u ostatních surovin (88,3 %), potravin a živých zvířat (99,0 %), strojů a dopravních prostředků (99,6 %) a chemikálií a příbuzných výrobků (99,9 %). Ve 4. čtvrtletí činily směnné relace 100,4 %. Kladně působily zejména nápoje a tabák (110,0 %), minerální paliva (103,7 %) a chemikálie a příbuzné </w:t>
            </w:r>
            <w:r w:rsidR="005A0A03">
              <w:t>výrobky</w:t>
            </w:r>
            <w:r>
              <w:t xml:space="preserve"> (102,4 %). Záporně ovlivňovaly celkový index zejména směnné relace obchodu s ostatními surovinami (85,5 %).</w:t>
            </w:r>
          </w:p>
        </w:tc>
      </w:tr>
      <w:bookmarkEnd w:id="14"/>
    </w:tbl>
    <w:p w14:paraId="30526BB5" w14:textId="77777777" w:rsidR="00C715CC" w:rsidRDefault="00C715CC">
      <w:pPr>
        <w:spacing w:after="0" w:line="240" w:lineRule="auto"/>
        <w:jc w:val="left"/>
        <w:rPr>
          <w:rFonts w:eastAsia="MS Gothic"/>
          <w:b/>
          <w:bCs/>
          <w:color w:val="71818C"/>
          <w:sz w:val="32"/>
          <w:szCs w:val="28"/>
        </w:rPr>
      </w:pPr>
      <w:r>
        <w:br w:type="page"/>
      </w:r>
    </w:p>
    <w:p w14:paraId="5395AE40" w14:textId="77777777" w:rsidR="00485E82" w:rsidRPr="00B43216" w:rsidRDefault="00485E82" w:rsidP="00485E82">
      <w:pPr>
        <w:pStyle w:val="Nadpis11"/>
      </w:pPr>
      <w:bookmarkStart w:id="16" w:name="_Toc19090679"/>
      <w:bookmarkStart w:id="17" w:name="_Toc532558287"/>
      <w:bookmarkStart w:id="18" w:name="_Toc37403645"/>
      <w:r w:rsidRPr="00B43216">
        <w:lastRenderedPageBreak/>
        <w:t>6. Trh práce</w:t>
      </w:r>
      <w:bookmarkEnd w:id="16"/>
      <w:bookmarkEnd w:id="18"/>
    </w:p>
    <w:tbl>
      <w:tblPr>
        <w:tblW w:w="9664" w:type="dxa"/>
        <w:tblInd w:w="-30" w:type="dxa"/>
        <w:tblCellMar>
          <w:left w:w="0" w:type="dxa"/>
          <w:right w:w="0" w:type="dxa"/>
        </w:tblCellMar>
        <w:tblLook w:val="00A0" w:firstRow="1" w:lastRow="0" w:firstColumn="1" w:lastColumn="0" w:noHBand="0" w:noVBand="0"/>
      </w:tblPr>
      <w:tblGrid>
        <w:gridCol w:w="1792"/>
        <w:gridCol w:w="216"/>
        <w:gridCol w:w="7656"/>
      </w:tblGrid>
      <w:tr w:rsidR="00485E82" w:rsidRPr="00B43216" w14:paraId="1ABB41A2" w14:textId="77777777" w:rsidTr="009F4F6A">
        <w:trPr>
          <w:trHeight w:val="145"/>
        </w:trPr>
        <w:tc>
          <w:tcPr>
            <w:tcW w:w="1792" w:type="dxa"/>
            <w:shd w:val="clear" w:color="auto" w:fill="auto"/>
            <w:tcMar>
              <w:left w:w="0" w:type="dxa"/>
            </w:tcMar>
          </w:tcPr>
          <w:p w14:paraId="304AB6D3" w14:textId="77777777" w:rsidR="00485E82" w:rsidRDefault="00485E82" w:rsidP="00485E82">
            <w:pPr>
              <w:pStyle w:val="Marginlie"/>
            </w:pPr>
            <w:r>
              <w:t>Na trhu práce v ČR se ve druhé polovině roku začaly projevovat první symptomy hospodářského zpomalení. Poptávka po pracovnících však zůstala i přes korekce stále vysoká.</w:t>
            </w:r>
          </w:p>
        </w:tc>
        <w:tc>
          <w:tcPr>
            <w:tcW w:w="216" w:type="dxa"/>
            <w:shd w:val="clear" w:color="auto" w:fill="auto"/>
            <w:tcMar>
              <w:left w:w="0" w:type="dxa"/>
            </w:tcMar>
          </w:tcPr>
          <w:p w14:paraId="3D5493DF" w14:textId="77777777" w:rsidR="00485E82" w:rsidRPr="00B43216" w:rsidRDefault="00485E82" w:rsidP="00485E82">
            <w:pPr>
              <w:pStyle w:val="Textpoznpodarou"/>
              <w:jc w:val="both"/>
              <w:rPr>
                <w:spacing w:val="-4"/>
              </w:rPr>
            </w:pPr>
          </w:p>
        </w:tc>
        <w:tc>
          <w:tcPr>
            <w:tcW w:w="7656" w:type="dxa"/>
            <w:shd w:val="clear" w:color="auto" w:fill="auto"/>
            <w:tcMar>
              <w:left w:w="0" w:type="dxa"/>
            </w:tcMar>
          </w:tcPr>
          <w:p w14:paraId="70B995F8" w14:textId="77777777" w:rsidR="00485E82" w:rsidRPr="00A077CC" w:rsidRDefault="00485E82" w:rsidP="00485E82">
            <w:pPr>
              <w:rPr>
                <w:spacing w:val="-4"/>
              </w:rPr>
            </w:pPr>
            <w:r>
              <w:rPr>
                <w:spacing w:val="-4"/>
              </w:rPr>
              <w:t>Mírné z</w:t>
            </w:r>
            <w:r w:rsidRPr="00A077CC">
              <w:rPr>
                <w:spacing w:val="-4"/>
              </w:rPr>
              <w:t>pomalení hospodářského růstu v Česku, patrné ve druhé polovině roku 2019, se postupně začalo projevovat i</w:t>
            </w:r>
            <w:r>
              <w:rPr>
                <w:spacing w:val="-4"/>
              </w:rPr>
              <w:t> </w:t>
            </w:r>
            <w:r w:rsidRPr="00A077CC">
              <w:rPr>
                <w:spacing w:val="-4"/>
              </w:rPr>
              <w:t>na pracovním trhu. Růst zaměstnanosti se primárně vlivem vývoje v exportních odvětvích zastavil, nepřibývalo již ani volných pracovních míst a</w:t>
            </w:r>
            <w:r>
              <w:rPr>
                <w:spacing w:val="-4"/>
              </w:rPr>
              <w:t> </w:t>
            </w:r>
            <w:r w:rsidRPr="00A077CC">
              <w:rPr>
                <w:spacing w:val="-4"/>
              </w:rPr>
              <w:t xml:space="preserve">počet pracujících cizinců </w:t>
            </w:r>
            <w:r>
              <w:rPr>
                <w:spacing w:val="-4"/>
              </w:rPr>
              <w:t>se na</w:t>
            </w:r>
            <w:r w:rsidRPr="00A077CC">
              <w:rPr>
                <w:spacing w:val="-4"/>
              </w:rPr>
              <w:t> sa</w:t>
            </w:r>
            <w:r>
              <w:rPr>
                <w:spacing w:val="-4"/>
              </w:rPr>
              <w:t xml:space="preserve">mém konci roku </w:t>
            </w:r>
            <w:r w:rsidRPr="00A077CC">
              <w:rPr>
                <w:spacing w:val="-4"/>
              </w:rPr>
              <w:t>po dlouhé době mírně snížil. Ačkoli míra nezaměstnanosti zatím zůstala na rekordně nízkých hodnotách</w:t>
            </w:r>
            <w:r>
              <w:rPr>
                <w:spacing w:val="-4"/>
              </w:rPr>
              <w:t xml:space="preserve">, </w:t>
            </w:r>
            <w:r w:rsidRPr="00A077CC">
              <w:rPr>
                <w:spacing w:val="-4"/>
              </w:rPr>
              <w:t>s minimálními pohyby</w:t>
            </w:r>
            <w:r>
              <w:rPr>
                <w:spacing w:val="-4"/>
              </w:rPr>
              <w:t xml:space="preserve"> během</w:t>
            </w:r>
            <w:r w:rsidRPr="00A077CC">
              <w:rPr>
                <w:spacing w:val="-4"/>
              </w:rPr>
              <w:t xml:space="preserve"> roku</w:t>
            </w:r>
            <w:r>
              <w:rPr>
                <w:spacing w:val="-4"/>
              </w:rPr>
              <w:t xml:space="preserve">, </w:t>
            </w:r>
            <w:r w:rsidRPr="00A077CC">
              <w:rPr>
                <w:spacing w:val="-4"/>
              </w:rPr>
              <w:t xml:space="preserve">napětí </w:t>
            </w:r>
            <w:r>
              <w:rPr>
                <w:spacing w:val="-4"/>
              </w:rPr>
              <w:t>mezi nabídkou a poptávkou na trhu práce lehce</w:t>
            </w:r>
            <w:r w:rsidRPr="00A077CC">
              <w:rPr>
                <w:spacing w:val="-4"/>
              </w:rPr>
              <w:t xml:space="preserve"> polevilo. Odhlédneme</w:t>
            </w:r>
            <w:r>
              <w:rPr>
                <w:spacing w:val="-4"/>
              </w:rPr>
              <w:noBreakHyphen/>
            </w:r>
            <w:r w:rsidRPr="00A077CC">
              <w:rPr>
                <w:spacing w:val="-4"/>
              </w:rPr>
              <w:t>li od situace ve stavebnictví a</w:t>
            </w:r>
            <w:r>
              <w:rPr>
                <w:spacing w:val="-4"/>
              </w:rPr>
              <w:t> </w:t>
            </w:r>
            <w:r w:rsidRPr="00A077CC">
              <w:rPr>
                <w:spacing w:val="-4"/>
              </w:rPr>
              <w:t>obchodu, mezi bariérami růstu podni</w:t>
            </w:r>
            <w:r>
              <w:rPr>
                <w:spacing w:val="-4"/>
              </w:rPr>
              <w:t>ků</w:t>
            </w:r>
            <w:r w:rsidRPr="00A077CC">
              <w:rPr>
                <w:spacing w:val="-4"/>
              </w:rPr>
              <w:t xml:space="preserve"> přestal dominovat nedostatek pracovní síly a</w:t>
            </w:r>
            <w:r>
              <w:rPr>
                <w:spacing w:val="-4"/>
              </w:rPr>
              <w:t> </w:t>
            </w:r>
            <w:r w:rsidRPr="00A077CC">
              <w:rPr>
                <w:spacing w:val="-4"/>
              </w:rPr>
              <w:t>naopak se zvýraznila role nedostatečné poptávky (v průmyslu, ale v menší míře i</w:t>
            </w:r>
            <w:r>
              <w:rPr>
                <w:spacing w:val="-4"/>
              </w:rPr>
              <w:t> </w:t>
            </w:r>
            <w:r w:rsidRPr="00A077CC">
              <w:rPr>
                <w:spacing w:val="-4"/>
              </w:rPr>
              <w:t>ve stavebnictví).</w:t>
            </w:r>
            <w:r>
              <w:rPr>
                <w:spacing w:val="-4"/>
              </w:rPr>
              <w:t xml:space="preserve"> Dynamika průměrných mezd během loňska plynule zvolňovala, na úrovni odvětví byl ale vývoj diferencovaný. Růst reálných zaměstnaneckých výdělků zmírnil citelněji, přesto zůstal srovnatelný s vrcholem konjunktury minulé dekády.</w:t>
            </w:r>
          </w:p>
        </w:tc>
      </w:tr>
      <w:tr w:rsidR="00485E82" w:rsidRPr="00B43216" w14:paraId="15514B5E" w14:textId="77777777" w:rsidTr="009F4F6A">
        <w:trPr>
          <w:trHeight w:val="145"/>
        </w:trPr>
        <w:tc>
          <w:tcPr>
            <w:tcW w:w="1792" w:type="dxa"/>
            <w:shd w:val="clear" w:color="auto" w:fill="auto"/>
            <w:tcMar>
              <w:left w:w="0" w:type="dxa"/>
            </w:tcMar>
          </w:tcPr>
          <w:p w14:paraId="1CD1A51E" w14:textId="77777777" w:rsidR="00485E82" w:rsidRDefault="00485E82" w:rsidP="00485E82">
            <w:pPr>
              <w:pStyle w:val="Marginlie"/>
            </w:pPr>
            <w:r>
              <w:t>Meziroční růst zaměstnanosti se na konci roku zastavil, poprvé po šesti letech. V Německu ani v EU ale dynamika zatím výrazněji nezvolňovala.</w:t>
            </w:r>
          </w:p>
          <w:p w14:paraId="31B82B65" w14:textId="77777777" w:rsidR="00485E82" w:rsidRDefault="00485E82" w:rsidP="00485E82">
            <w:pPr>
              <w:pStyle w:val="Marginlie"/>
            </w:pPr>
          </w:p>
          <w:p w14:paraId="01657DB7" w14:textId="77777777" w:rsidR="00485E82" w:rsidRDefault="00485E82" w:rsidP="00485E82">
            <w:pPr>
              <w:pStyle w:val="Marginlie"/>
            </w:pPr>
          </w:p>
          <w:p w14:paraId="2D94758D" w14:textId="77777777" w:rsidR="00485E82" w:rsidRDefault="00485E82" w:rsidP="00485E82">
            <w:pPr>
              <w:pStyle w:val="Marginlie"/>
            </w:pPr>
          </w:p>
          <w:p w14:paraId="336E722C" w14:textId="77777777" w:rsidR="00485E82" w:rsidRDefault="00485E82" w:rsidP="00485E82">
            <w:pPr>
              <w:pStyle w:val="Marginlie"/>
            </w:pPr>
            <w:r>
              <w:t>Pracovníků v průmyslu ubývalo, růst naopak generovalo stavebnictví a většina odvětví služeb.</w:t>
            </w:r>
          </w:p>
        </w:tc>
        <w:tc>
          <w:tcPr>
            <w:tcW w:w="216" w:type="dxa"/>
            <w:shd w:val="clear" w:color="auto" w:fill="auto"/>
            <w:tcMar>
              <w:left w:w="0" w:type="dxa"/>
            </w:tcMar>
          </w:tcPr>
          <w:p w14:paraId="2F1EE00F" w14:textId="77777777" w:rsidR="00485E82" w:rsidRPr="00B43216" w:rsidRDefault="00485E82" w:rsidP="00485E82">
            <w:pPr>
              <w:pStyle w:val="Textpoznpodarou"/>
              <w:jc w:val="both"/>
              <w:rPr>
                <w:spacing w:val="-4"/>
              </w:rPr>
            </w:pPr>
          </w:p>
        </w:tc>
        <w:tc>
          <w:tcPr>
            <w:tcW w:w="7656" w:type="dxa"/>
            <w:shd w:val="clear" w:color="auto" w:fill="auto"/>
            <w:tcMar>
              <w:left w:w="0" w:type="dxa"/>
            </w:tcMar>
          </w:tcPr>
          <w:p w14:paraId="4E866804" w14:textId="09D51F45" w:rsidR="00485E82" w:rsidRPr="00A077CC" w:rsidRDefault="00485E82" w:rsidP="00485E82">
            <w:pPr>
              <w:rPr>
                <w:spacing w:val="-4"/>
              </w:rPr>
            </w:pPr>
            <w:r w:rsidRPr="00A077CC">
              <w:rPr>
                <w:spacing w:val="-4"/>
              </w:rPr>
              <w:t>Počet všech pracujících</w:t>
            </w:r>
            <w:r w:rsidRPr="00A077CC">
              <w:rPr>
                <w:rStyle w:val="Znakapoznpodarou"/>
                <w:color w:val="0D0D0D" w:themeColor="text1" w:themeTint="F2"/>
                <w:spacing w:val="-4"/>
              </w:rPr>
              <w:footnoteReference w:id="56"/>
            </w:r>
            <w:r w:rsidRPr="00A077CC">
              <w:rPr>
                <w:spacing w:val="-4"/>
              </w:rPr>
              <w:t xml:space="preserve"> vzrostl v</w:t>
            </w:r>
            <w:r>
              <w:rPr>
                <w:spacing w:val="-4"/>
              </w:rPr>
              <w:t> </w:t>
            </w:r>
            <w:r w:rsidRPr="00A077CC">
              <w:rPr>
                <w:spacing w:val="-4"/>
              </w:rPr>
              <w:t>roce 201</w:t>
            </w:r>
            <w:r>
              <w:rPr>
                <w:spacing w:val="-4"/>
              </w:rPr>
              <w:t>9 meziročně o 0,7 %, ve 4. čtvrtletí však</w:t>
            </w:r>
            <w:r w:rsidRPr="00A077CC">
              <w:rPr>
                <w:spacing w:val="-4"/>
              </w:rPr>
              <w:t xml:space="preserve"> jen stagnoval</w:t>
            </w:r>
            <w:r>
              <w:rPr>
                <w:spacing w:val="-4"/>
              </w:rPr>
              <w:t>;</w:t>
            </w:r>
            <w:r w:rsidRPr="00A077CC">
              <w:rPr>
                <w:spacing w:val="-4"/>
              </w:rPr>
              <w:t xml:space="preserve"> ke stejnému jevu došlo naposledy na konci roku 2013. V </w:t>
            </w:r>
            <w:proofErr w:type="spellStart"/>
            <w:r w:rsidRPr="00A077CC">
              <w:rPr>
                <w:spacing w:val="-4"/>
              </w:rPr>
              <w:t>mezikvartálním</w:t>
            </w:r>
            <w:proofErr w:type="spellEnd"/>
            <w:r w:rsidRPr="00A077CC">
              <w:rPr>
                <w:spacing w:val="-4"/>
              </w:rPr>
              <w:t xml:space="preserve"> vyjádření zaměstnanost mírně klesla již podruhé v řadě (–0,</w:t>
            </w:r>
            <w:r>
              <w:rPr>
                <w:spacing w:val="-4"/>
              </w:rPr>
              <w:t>3 %</w:t>
            </w:r>
            <w:r w:rsidRPr="00A077CC">
              <w:rPr>
                <w:spacing w:val="-4"/>
              </w:rPr>
              <w:t>, resp. –0,</w:t>
            </w:r>
            <w:r>
              <w:rPr>
                <w:spacing w:val="-4"/>
              </w:rPr>
              <w:t>2 %</w:t>
            </w:r>
            <w:r w:rsidRPr="00A077CC">
              <w:rPr>
                <w:spacing w:val="-4"/>
              </w:rPr>
              <w:t xml:space="preserve"> ve 3</w:t>
            </w:r>
            <w:r>
              <w:rPr>
                <w:spacing w:val="-4"/>
              </w:rPr>
              <w:t>. čtvrtlet</w:t>
            </w:r>
            <w:r w:rsidRPr="00A077CC">
              <w:rPr>
                <w:spacing w:val="-4"/>
              </w:rPr>
              <w:t>í 2019), v první čtvrtině roku přitom vykázala</w:t>
            </w:r>
            <w:r>
              <w:rPr>
                <w:spacing w:val="-4"/>
              </w:rPr>
              <w:t xml:space="preserve"> svižný růst (0,5 %</w:t>
            </w:r>
            <w:r w:rsidRPr="00A077CC">
              <w:rPr>
                <w:spacing w:val="-4"/>
              </w:rPr>
              <w:t>). Meziroční dynamika zaměstnanosti v ČR poprvé po více než pěti letech výrazněji zaostala za tempy celé EU i</w:t>
            </w:r>
            <w:r>
              <w:rPr>
                <w:spacing w:val="-4"/>
              </w:rPr>
              <w:t> </w:t>
            </w:r>
            <w:r w:rsidRPr="00A077CC">
              <w:rPr>
                <w:spacing w:val="-4"/>
              </w:rPr>
              <w:t>Německa (</w:t>
            </w:r>
            <w:r w:rsidR="00002566">
              <w:rPr>
                <w:spacing w:val="-4"/>
              </w:rPr>
              <w:t>1</w:t>
            </w:r>
            <w:r w:rsidRPr="00A077CC">
              <w:rPr>
                <w:spacing w:val="-4"/>
              </w:rPr>
              <w:t>,</w:t>
            </w:r>
            <w:r w:rsidR="00002566">
              <w:rPr>
                <w:spacing w:val="-4"/>
              </w:rPr>
              <w:t>0</w:t>
            </w:r>
            <w:r>
              <w:rPr>
                <w:spacing w:val="-4"/>
              </w:rPr>
              <w:t> %</w:t>
            </w:r>
            <w:r w:rsidRPr="00A077CC">
              <w:rPr>
                <w:spacing w:val="-4"/>
              </w:rPr>
              <w:t>, resp. 0,7</w:t>
            </w:r>
            <w:r>
              <w:rPr>
                <w:spacing w:val="-4"/>
              </w:rPr>
              <w:t> %</w:t>
            </w:r>
            <w:r w:rsidRPr="00A077CC">
              <w:rPr>
                <w:spacing w:val="-4"/>
              </w:rPr>
              <w:t xml:space="preserve"> ve 4</w:t>
            </w:r>
            <w:r>
              <w:rPr>
                <w:spacing w:val="-4"/>
              </w:rPr>
              <w:t>. čtvrtlet</w:t>
            </w:r>
            <w:r w:rsidRPr="00A077CC">
              <w:rPr>
                <w:spacing w:val="-4"/>
              </w:rPr>
              <w:t xml:space="preserve">í). </w:t>
            </w:r>
            <w:r>
              <w:rPr>
                <w:spacing w:val="-4"/>
              </w:rPr>
              <w:t>Situaci v ČR ovlivnil hlavně</w:t>
            </w:r>
            <w:r w:rsidRPr="00A077CC">
              <w:rPr>
                <w:spacing w:val="-4"/>
              </w:rPr>
              <w:t xml:space="preserve"> vývoj v průmyslu, kde se zaměstnanost redukovala již od poloviny roku</w:t>
            </w:r>
            <w:r w:rsidRPr="00A077CC">
              <w:rPr>
                <w:rStyle w:val="Znakapoznpodarou"/>
                <w:color w:val="0D0D0D" w:themeColor="text1" w:themeTint="F2"/>
                <w:spacing w:val="-4"/>
              </w:rPr>
              <w:footnoteReference w:id="57"/>
            </w:r>
            <w:r w:rsidRPr="00A077CC">
              <w:rPr>
                <w:spacing w:val="-4"/>
              </w:rPr>
              <w:t xml:space="preserve">. Pracovníků </w:t>
            </w:r>
            <w:r>
              <w:rPr>
                <w:spacing w:val="-4"/>
              </w:rPr>
              <w:t xml:space="preserve">loni </w:t>
            </w:r>
            <w:r w:rsidRPr="00A077CC">
              <w:rPr>
                <w:spacing w:val="-4"/>
              </w:rPr>
              <w:t>ubylo i</w:t>
            </w:r>
            <w:r>
              <w:rPr>
                <w:spacing w:val="-4"/>
              </w:rPr>
              <w:t> </w:t>
            </w:r>
            <w:r w:rsidRPr="00A077CC">
              <w:rPr>
                <w:spacing w:val="-4"/>
              </w:rPr>
              <w:t>v primárním sekto</w:t>
            </w:r>
            <w:r>
              <w:rPr>
                <w:spacing w:val="-4"/>
              </w:rPr>
              <w:t>ru. To</w:t>
            </w:r>
            <w:r w:rsidRPr="00A077CC">
              <w:rPr>
                <w:spacing w:val="-4"/>
              </w:rPr>
              <w:t xml:space="preserve"> ve stavebnictví růst v průběhu roku 2019 sílil</w:t>
            </w:r>
            <w:r>
              <w:rPr>
                <w:spacing w:val="-4"/>
              </w:rPr>
              <w:t xml:space="preserve"> (až na 2,4 %, desetileté maximum)</w:t>
            </w:r>
            <w:r w:rsidRPr="00A077CC">
              <w:rPr>
                <w:spacing w:val="-4"/>
              </w:rPr>
              <w:t xml:space="preserve">. </w:t>
            </w:r>
            <w:r>
              <w:rPr>
                <w:spacing w:val="-4"/>
              </w:rPr>
              <w:t>Dařilo se služ</w:t>
            </w:r>
            <w:r w:rsidRPr="00A077CC">
              <w:rPr>
                <w:spacing w:val="-4"/>
              </w:rPr>
              <w:t>b</w:t>
            </w:r>
            <w:r>
              <w:rPr>
                <w:spacing w:val="-4"/>
              </w:rPr>
              <w:t>ám, hlavně</w:t>
            </w:r>
            <w:r w:rsidRPr="00A077CC">
              <w:rPr>
                <w:spacing w:val="-4"/>
              </w:rPr>
              <w:t xml:space="preserve"> inform</w:t>
            </w:r>
            <w:r>
              <w:rPr>
                <w:spacing w:val="-4"/>
              </w:rPr>
              <w:t>ačním a komunikačním činnostem (loni +4,5 %). Počty pracovníků zvyšovaly i </w:t>
            </w:r>
            <w:r w:rsidRPr="00A077CC">
              <w:rPr>
                <w:spacing w:val="-4"/>
              </w:rPr>
              <w:t>aktivity vázané na cestovní ruch. Pracujících přibylo i</w:t>
            </w:r>
            <w:r>
              <w:rPr>
                <w:spacing w:val="-4"/>
              </w:rPr>
              <w:t> </w:t>
            </w:r>
            <w:r w:rsidRPr="00A077CC">
              <w:rPr>
                <w:spacing w:val="-4"/>
              </w:rPr>
              <w:t>v odvětvích s </w:t>
            </w:r>
            <w:r>
              <w:rPr>
                <w:spacing w:val="-4"/>
              </w:rPr>
              <w:t>převahou veřejného sektoru, hlavně díky</w:t>
            </w:r>
            <w:r w:rsidRPr="00A077CC">
              <w:rPr>
                <w:spacing w:val="-4"/>
              </w:rPr>
              <w:t xml:space="preserve"> vzdělá</w:t>
            </w:r>
            <w:r>
              <w:rPr>
                <w:spacing w:val="-4"/>
              </w:rPr>
              <w:t>vání i zdravotní i sociální péči</w:t>
            </w:r>
            <w:r w:rsidRPr="00A077CC">
              <w:rPr>
                <w:spacing w:val="-4"/>
              </w:rPr>
              <w:t>. Odvětvové posuny ve 4</w:t>
            </w:r>
            <w:r>
              <w:rPr>
                <w:spacing w:val="-4"/>
              </w:rPr>
              <w:t>. čtvrtlet</w:t>
            </w:r>
            <w:r w:rsidRPr="00A077CC">
              <w:rPr>
                <w:spacing w:val="-4"/>
              </w:rPr>
              <w:t>í i</w:t>
            </w:r>
            <w:r>
              <w:rPr>
                <w:spacing w:val="-4"/>
              </w:rPr>
              <w:t> </w:t>
            </w:r>
            <w:r w:rsidRPr="00A077CC">
              <w:rPr>
                <w:spacing w:val="-4"/>
              </w:rPr>
              <w:t>po celý loňský rok byly z drtivé většiny ov</w:t>
            </w:r>
            <w:r>
              <w:rPr>
                <w:spacing w:val="-4"/>
              </w:rPr>
              <w:t>livněny zaměstnanci, neboť počet</w:t>
            </w:r>
            <w:r w:rsidRPr="00A077CC">
              <w:rPr>
                <w:spacing w:val="-4"/>
              </w:rPr>
              <w:t xml:space="preserve"> </w:t>
            </w:r>
            <w:proofErr w:type="spellStart"/>
            <w:r w:rsidRPr="00A077CC">
              <w:rPr>
                <w:spacing w:val="-4"/>
              </w:rPr>
              <w:t>sebezaměst</w:t>
            </w:r>
            <w:r>
              <w:rPr>
                <w:spacing w:val="-4"/>
              </w:rPr>
              <w:t>n</w:t>
            </w:r>
            <w:r w:rsidRPr="00A077CC">
              <w:rPr>
                <w:spacing w:val="-4"/>
              </w:rPr>
              <w:t>aných</w:t>
            </w:r>
            <w:proofErr w:type="spellEnd"/>
            <w:r w:rsidRPr="00A077CC">
              <w:rPr>
                <w:spacing w:val="-4"/>
              </w:rPr>
              <w:t xml:space="preserve"> (podnikatelů bez zaměstnanců)</w:t>
            </w:r>
            <w:r>
              <w:rPr>
                <w:spacing w:val="-4"/>
              </w:rPr>
              <w:t xml:space="preserve"> se výrazněji neměnil</w:t>
            </w:r>
            <w:r w:rsidRPr="00A077CC">
              <w:rPr>
                <w:rStyle w:val="Znakapoznpodarou"/>
                <w:color w:val="0D0D0D" w:themeColor="text1" w:themeTint="F2"/>
                <w:spacing w:val="-4"/>
              </w:rPr>
              <w:footnoteReference w:id="58"/>
            </w:r>
            <w:r w:rsidRPr="00A077CC">
              <w:rPr>
                <w:spacing w:val="-4"/>
              </w:rPr>
              <w:t>.</w:t>
            </w:r>
          </w:p>
        </w:tc>
      </w:tr>
      <w:tr w:rsidR="00485E82" w:rsidRPr="00B43216" w14:paraId="1982105A" w14:textId="77777777" w:rsidTr="009F4F6A">
        <w:trPr>
          <w:trHeight w:val="145"/>
        </w:trPr>
        <w:tc>
          <w:tcPr>
            <w:tcW w:w="1792" w:type="dxa"/>
            <w:shd w:val="clear" w:color="auto" w:fill="auto"/>
            <w:tcMar>
              <w:left w:w="0" w:type="dxa"/>
            </w:tcMar>
          </w:tcPr>
          <w:p w14:paraId="6AC51223" w14:textId="5BF10C1E" w:rsidR="00485E82" w:rsidRPr="002C1110" w:rsidRDefault="00485E82" w:rsidP="00485E82">
            <w:pPr>
              <w:pStyle w:val="Marginlie"/>
            </w:pPr>
            <w:r w:rsidRPr="002C1110">
              <w:t xml:space="preserve">Krátkodobá očekávání v oblasti zaměstnanosti </w:t>
            </w:r>
            <w:r w:rsidR="002C1110">
              <w:t xml:space="preserve">na přelomu let 2019 a 2020 </w:t>
            </w:r>
            <w:r w:rsidRPr="002C1110">
              <w:t>zůstáva</w:t>
            </w:r>
            <w:r w:rsidR="002C1110">
              <w:t>la</w:t>
            </w:r>
            <w:r w:rsidRPr="002C1110">
              <w:t xml:space="preserve"> pozitivní v obchodu i stavebnictví.</w:t>
            </w:r>
          </w:p>
        </w:tc>
        <w:tc>
          <w:tcPr>
            <w:tcW w:w="216" w:type="dxa"/>
            <w:shd w:val="clear" w:color="auto" w:fill="auto"/>
            <w:tcMar>
              <w:left w:w="0" w:type="dxa"/>
            </w:tcMar>
          </w:tcPr>
          <w:p w14:paraId="2555C360" w14:textId="77777777" w:rsidR="00485E82" w:rsidRPr="00B43216" w:rsidRDefault="00485E82" w:rsidP="00485E82">
            <w:pPr>
              <w:pStyle w:val="Textpoznpodarou"/>
              <w:jc w:val="both"/>
              <w:rPr>
                <w:spacing w:val="-4"/>
              </w:rPr>
            </w:pPr>
          </w:p>
        </w:tc>
        <w:tc>
          <w:tcPr>
            <w:tcW w:w="7656" w:type="dxa"/>
            <w:shd w:val="clear" w:color="auto" w:fill="auto"/>
            <w:tcMar>
              <w:left w:w="0" w:type="dxa"/>
            </w:tcMar>
          </w:tcPr>
          <w:p w14:paraId="6634FAB0" w14:textId="77777777" w:rsidR="00485E82" w:rsidRPr="00A077CC" w:rsidRDefault="00485E82" w:rsidP="00485E82">
            <w:pPr>
              <w:rPr>
                <w:spacing w:val="-4"/>
              </w:rPr>
            </w:pPr>
            <w:r w:rsidRPr="00A077CC">
              <w:rPr>
                <w:spacing w:val="-4"/>
              </w:rPr>
              <w:t>Krátkodobá očekávání v oblasti zaměstnanosti, vyjadřovaná podniky v</w:t>
            </w:r>
            <w:r>
              <w:rPr>
                <w:spacing w:val="-4"/>
              </w:rPr>
              <w:t> </w:t>
            </w:r>
            <w:r w:rsidRPr="00A077CC">
              <w:rPr>
                <w:spacing w:val="-4"/>
              </w:rPr>
              <w:t>konjunkturálních šetřeních</w:t>
            </w:r>
            <w:r w:rsidRPr="00A077CC">
              <w:rPr>
                <w:rStyle w:val="Znakapoznpodarou"/>
                <w:color w:val="0D0D0D" w:themeColor="text1" w:themeTint="F2"/>
                <w:spacing w:val="-4"/>
              </w:rPr>
              <w:footnoteReference w:id="59"/>
            </w:r>
            <w:r w:rsidRPr="00A077CC">
              <w:rPr>
                <w:spacing w:val="-4"/>
              </w:rPr>
              <w:t>, zůstávala i</w:t>
            </w:r>
            <w:r>
              <w:rPr>
                <w:spacing w:val="-4"/>
              </w:rPr>
              <w:t> </w:t>
            </w:r>
            <w:r w:rsidRPr="00A077CC">
              <w:rPr>
                <w:spacing w:val="-4"/>
              </w:rPr>
              <w:t xml:space="preserve">na přelomu </w:t>
            </w:r>
            <w:r>
              <w:rPr>
                <w:spacing w:val="-4"/>
              </w:rPr>
              <w:t>let</w:t>
            </w:r>
            <w:r w:rsidRPr="00A077CC">
              <w:rPr>
                <w:spacing w:val="-4"/>
              </w:rPr>
              <w:t xml:space="preserve"> 2019 a</w:t>
            </w:r>
            <w:r>
              <w:rPr>
                <w:spacing w:val="-4"/>
              </w:rPr>
              <w:t> </w:t>
            </w:r>
            <w:r w:rsidRPr="00A077CC">
              <w:rPr>
                <w:spacing w:val="-4"/>
              </w:rPr>
              <w:t>2020 pozitivní v odvětví obchodu a</w:t>
            </w:r>
            <w:r>
              <w:rPr>
                <w:spacing w:val="-4"/>
              </w:rPr>
              <w:t> </w:t>
            </w:r>
            <w:r w:rsidRPr="00A077CC">
              <w:rPr>
                <w:spacing w:val="-4"/>
              </w:rPr>
              <w:t>ve stavebnictví. Mírná redukce zaměstnanosti byla naopak očekávána v</w:t>
            </w:r>
            <w:r>
              <w:rPr>
                <w:spacing w:val="-4"/>
              </w:rPr>
              <w:t> </w:t>
            </w:r>
            <w:r w:rsidRPr="00A077CC">
              <w:rPr>
                <w:spacing w:val="-4"/>
              </w:rPr>
              <w:t>průmyslu (vlivem vývoje ve 4</w:t>
            </w:r>
            <w:r>
              <w:rPr>
                <w:spacing w:val="-4"/>
              </w:rPr>
              <w:t>. čtvrtlet</w:t>
            </w:r>
            <w:r w:rsidRPr="00A077CC">
              <w:rPr>
                <w:spacing w:val="-4"/>
              </w:rPr>
              <w:t>í) a</w:t>
            </w:r>
            <w:r>
              <w:rPr>
                <w:spacing w:val="-4"/>
              </w:rPr>
              <w:t> </w:t>
            </w:r>
            <w:r w:rsidRPr="00A077CC">
              <w:rPr>
                <w:spacing w:val="-4"/>
              </w:rPr>
              <w:t>ve vybraných odvětvích tržních služeb (již více než rok). V rámci těchto váhově výz</w:t>
            </w:r>
            <w:r>
              <w:rPr>
                <w:spacing w:val="-4"/>
              </w:rPr>
              <w:t>namných odvětví byla však</w:t>
            </w:r>
            <w:r w:rsidRPr="00A077CC">
              <w:rPr>
                <w:spacing w:val="-4"/>
              </w:rPr>
              <w:t xml:space="preserve"> situace poměrně různorodá</w:t>
            </w:r>
            <w:r w:rsidRPr="00A077CC">
              <w:rPr>
                <w:rStyle w:val="Znakapoznpodarou"/>
                <w:color w:val="0D0D0D" w:themeColor="text1" w:themeTint="F2"/>
                <w:spacing w:val="-4"/>
              </w:rPr>
              <w:footnoteReference w:id="60"/>
            </w:r>
            <w:r w:rsidRPr="00A077CC">
              <w:rPr>
                <w:spacing w:val="-4"/>
              </w:rPr>
              <w:t>.</w:t>
            </w:r>
          </w:p>
        </w:tc>
      </w:tr>
      <w:tr w:rsidR="00485E82" w:rsidRPr="00B43216" w14:paraId="5EF04EAB" w14:textId="77777777" w:rsidTr="009F4F6A">
        <w:trPr>
          <w:trHeight w:val="145"/>
        </w:trPr>
        <w:tc>
          <w:tcPr>
            <w:tcW w:w="1792" w:type="dxa"/>
            <w:shd w:val="clear" w:color="auto" w:fill="auto"/>
            <w:tcMar>
              <w:left w:w="0" w:type="dxa"/>
            </w:tcMar>
          </w:tcPr>
          <w:p w14:paraId="2DB9FB14" w14:textId="77777777" w:rsidR="00485E82" w:rsidRDefault="00485E82" w:rsidP="00485E82">
            <w:pPr>
              <w:pStyle w:val="Marginlie"/>
            </w:pPr>
            <w:r>
              <w:t>Počet pracujících cizinců v ČR evidovaných úřady práce se zvyšoval hlavně v 1. polovině roku 2019. Za celý rok rostl polovičním tempem než v letech 2017 i 2018.</w:t>
            </w:r>
          </w:p>
        </w:tc>
        <w:tc>
          <w:tcPr>
            <w:tcW w:w="216" w:type="dxa"/>
            <w:shd w:val="clear" w:color="auto" w:fill="auto"/>
            <w:tcMar>
              <w:left w:w="0" w:type="dxa"/>
            </w:tcMar>
          </w:tcPr>
          <w:p w14:paraId="52E1F273" w14:textId="77777777" w:rsidR="00485E82" w:rsidRPr="00B43216" w:rsidRDefault="00485E82" w:rsidP="00485E82">
            <w:pPr>
              <w:pStyle w:val="Textpoznpodarou"/>
              <w:jc w:val="both"/>
              <w:rPr>
                <w:spacing w:val="-4"/>
              </w:rPr>
            </w:pPr>
          </w:p>
        </w:tc>
        <w:tc>
          <w:tcPr>
            <w:tcW w:w="7656" w:type="dxa"/>
            <w:shd w:val="clear" w:color="auto" w:fill="auto"/>
            <w:tcMar>
              <w:left w:w="0" w:type="dxa"/>
            </w:tcMar>
          </w:tcPr>
          <w:p w14:paraId="411F0ADB" w14:textId="77777777" w:rsidR="00485E82" w:rsidRPr="00A077CC" w:rsidRDefault="00485E82" w:rsidP="00485E82">
            <w:pPr>
              <w:rPr>
                <w:spacing w:val="-4"/>
              </w:rPr>
            </w:pPr>
            <w:r>
              <w:rPr>
                <w:spacing w:val="-4"/>
              </w:rPr>
              <w:t>Byť</w:t>
            </w:r>
            <w:r w:rsidRPr="00A077CC">
              <w:rPr>
                <w:spacing w:val="-4"/>
              </w:rPr>
              <w:t xml:space="preserve"> faktor nedostatku pracovní síly jako barié</w:t>
            </w:r>
            <w:r>
              <w:rPr>
                <w:spacing w:val="-4"/>
              </w:rPr>
              <w:t>ry růstu podniků během loňska</w:t>
            </w:r>
            <w:r w:rsidRPr="00A077CC">
              <w:rPr>
                <w:spacing w:val="-4"/>
              </w:rPr>
              <w:t xml:space="preserve"> postupně oslaboval, jeho role zůstala i</w:t>
            </w:r>
            <w:r>
              <w:rPr>
                <w:spacing w:val="-4"/>
              </w:rPr>
              <w:t> </w:t>
            </w:r>
            <w:r w:rsidRPr="00A077CC">
              <w:rPr>
                <w:spacing w:val="-4"/>
              </w:rPr>
              <w:t>na počátku roku 2020 nezanedbatelná (48</w:t>
            </w:r>
            <w:r>
              <w:rPr>
                <w:spacing w:val="-4"/>
              </w:rPr>
              <w:t> %</w:t>
            </w:r>
            <w:r w:rsidRPr="00A077CC">
              <w:rPr>
                <w:spacing w:val="-4"/>
              </w:rPr>
              <w:t xml:space="preserve"> ve stavebnictví</w:t>
            </w:r>
            <w:r>
              <w:rPr>
                <w:spacing w:val="-4"/>
              </w:rPr>
              <w:t>,</w:t>
            </w:r>
            <w:r w:rsidRPr="00A077CC">
              <w:rPr>
                <w:spacing w:val="-4"/>
              </w:rPr>
              <w:t xml:space="preserve"> 28</w:t>
            </w:r>
            <w:r>
              <w:rPr>
                <w:spacing w:val="-4"/>
              </w:rPr>
              <w:t> %</w:t>
            </w:r>
            <w:r w:rsidRPr="00A077CC">
              <w:rPr>
                <w:spacing w:val="-4"/>
              </w:rPr>
              <w:t xml:space="preserve"> v průmyslu, 20</w:t>
            </w:r>
            <w:r>
              <w:rPr>
                <w:spacing w:val="-4"/>
              </w:rPr>
              <w:t> %</w:t>
            </w:r>
            <w:r w:rsidRPr="00A077CC">
              <w:rPr>
                <w:spacing w:val="-4"/>
              </w:rPr>
              <w:t xml:space="preserve"> v terciárním sektoru – mimo obchod a</w:t>
            </w:r>
            <w:r>
              <w:rPr>
                <w:spacing w:val="-4"/>
              </w:rPr>
              <w:t> </w:t>
            </w:r>
            <w:r w:rsidRPr="00A077CC">
              <w:rPr>
                <w:spacing w:val="-4"/>
              </w:rPr>
              <w:t>veřejné služby).</w:t>
            </w:r>
            <w:r>
              <w:rPr>
                <w:spacing w:val="-4"/>
              </w:rPr>
              <w:t xml:space="preserve"> Při faktickém vyčerpání volných zdrojů pracovních sil z tuzemska</w:t>
            </w:r>
            <w:r w:rsidRPr="00A077CC">
              <w:rPr>
                <w:spacing w:val="-4"/>
              </w:rPr>
              <w:t xml:space="preserve"> </w:t>
            </w:r>
            <w:r>
              <w:rPr>
                <w:spacing w:val="-4"/>
              </w:rPr>
              <w:t>pokračoval příliv pracovní síly ze zahraničí. Počet cizinců na zaměstnaneckých pozicích činil na konci roku dle údajů MPSV 622 tis., meziroční přírůstek byl ale loni oproti letům 2017 i 2018 zhruba jen poloviční (+53 tis.)</w:t>
            </w:r>
            <w:r w:rsidRPr="00A077CC">
              <w:rPr>
                <w:rStyle w:val="Znakapoznpodarou"/>
                <w:color w:val="0D0D0D" w:themeColor="text1" w:themeTint="F2"/>
                <w:spacing w:val="-4"/>
              </w:rPr>
              <w:footnoteReference w:id="61"/>
            </w:r>
            <w:r>
              <w:rPr>
                <w:spacing w:val="-4"/>
              </w:rPr>
              <w:t xml:space="preserve">. Zhoršená situace průmyslu v druhé polovině roku se projevila oslabením </w:t>
            </w:r>
            <w:r>
              <w:rPr>
                <w:spacing w:val="-4"/>
              </w:rPr>
              <w:lastRenderedPageBreak/>
              <w:t>poptávky po pracovnících – počty osob s platným pracovním povolením klesly během prosince z 57 na 31 tis., především vlivem redukce u občanů Ukrajiny</w:t>
            </w:r>
            <w:r w:rsidRPr="00A077CC">
              <w:rPr>
                <w:rStyle w:val="Znakapoznpodarou"/>
                <w:color w:val="0D0D0D" w:themeColor="text1" w:themeTint="F2"/>
                <w:spacing w:val="-4"/>
              </w:rPr>
              <w:footnoteReference w:id="62"/>
            </w:r>
            <w:r>
              <w:rPr>
                <w:spacing w:val="-4"/>
              </w:rPr>
              <w:t>.</w:t>
            </w:r>
          </w:p>
        </w:tc>
      </w:tr>
      <w:tr w:rsidR="00485E82" w:rsidRPr="00B43216" w14:paraId="3215D63F" w14:textId="77777777" w:rsidTr="009F4F6A">
        <w:trPr>
          <w:trHeight w:val="145"/>
        </w:trPr>
        <w:tc>
          <w:tcPr>
            <w:tcW w:w="1792" w:type="dxa"/>
            <w:shd w:val="clear" w:color="auto" w:fill="auto"/>
            <w:tcMar>
              <w:left w:w="0" w:type="dxa"/>
            </w:tcMar>
          </w:tcPr>
          <w:p w14:paraId="4406F187" w14:textId="77777777" w:rsidR="00485E82" w:rsidRDefault="00485E82" w:rsidP="00485E82">
            <w:pPr>
              <w:pStyle w:val="Marginlie"/>
            </w:pPr>
            <w:r>
              <w:lastRenderedPageBreak/>
              <w:t>Míra zaměstnanosti osob v produktivním věku v roce 2019 stagnovala. V kontextu EU však stále patřila k výrazně nadprůměrným, zejména zásluhou mužů.</w:t>
            </w:r>
          </w:p>
        </w:tc>
        <w:tc>
          <w:tcPr>
            <w:tcW w:w="216" w:type="dxa"/>
            <w:shd w:val="clear" w:color="auto" w:fill="auto"/>
            <w:tcMar>
              <w:left w:w="0" w:type="dxa"/>
            </w:tcMar>
          </w:tcPr>
          <w:p w14:paraId="596CA81A" w14:textId="77777777" w:rsidR="00485E82" w:rsidRPr="00B43216" w:rsidRDefault="00485E82" w:rsidP="00485E82">
            <w:pPr>
              <w:pStyle w:val="Textpoznpodarou"/>
              <w:jc w:val="both"/>
              <w:rPr>
                <w:spacing w:val="-4"/>
              </w:rPr>
            </w:pPr>
          </w:p>
        </w:tc>
        <w:tc>
          <w:tcPr>
            <w:tcW w:w="7656" w:type="dxa"/>
            <w:shd w:val="clear" w:color="auto" w:fill="auto"/>
            <w:tcMar>
              <w:left w:w="0" w:type="dxa"/>
            </w:tcMar>
          </w:tcPr>
          <w:p w14:paraId="3879C20A" w14:textId="22C91185" w:rsidR="00485E82" w:rsidRDefault="00485E82" w:rsidP="00485E82">
            <w:pPr>
              <w:rPr>
                <w:spacing w:val="-2"/>
              </w:rPr>
            </w:pPr>
            <w:r>
              <w:rPr>
                <w:spacing w:val="-2"/>
              </w:rPr>
              <w:t>Míra zaměstnanosti osob ve věku 15 až 64 let dosahovala (dle sezónně očištěných údajů z VŠPS) ve 4. čtvrtletí 2019 u mužů 82,1 %, u žen 68,2 %. Její dlouhodobý růst byl na konci roku 2018 přerušen (od té doby zaměstnanost stagnovala). Pozitivně působila vyšší ekonomická aktivita na sklonku i po ukončení produktivního věku (vlivem silné poptávky po pracovnících, zejména ve službách, i prodlužování zákonného důchodového věku), jakož i pokračující zahraniční pracovní migrace. Míra</w:t>
            </w:r>
            <w:r w:rsidRPr="00474D62">
              <w:rPr>
                <w:spacing w:val="-2"/>
              </w:rPr>
              <w:t xml:space="preserve"> </w:t>
            </w:r>
            <w:r>
              <w:rPr>
                <w:spacing w:val="-2"/>
              </w:rPr>
              <w:t>zaměstnanosti v ČR</w:t>
            </w:r>
            <w:r w:rsidRPr="00474D62">
              <w:rPr>
                <w:spacing w:val="-2"/>
              </w:rPr>
              <w:t xml:space="preserve"> zůstává v evropském kontextu</w:t>
            </w:r>
            <w:r>
              <w:rPr>
                <w:spacing w:val="-2"/>
              </w:rPr>
              <w:t xml:space="preserve"> výrazně nadprůměrná, především díky mužům, jejichž postavení převyšo</w:t>
            </w:r>
            <w:r w:rsidR="00002566">
              <w:rPr>
                <w:spacing w:val="-2"/>
              </w:rPr>
              <w:t>valy v EU pouze Nizozemsko (82,3 %) a Malta (83,4</w:t>
            </w:r>
            <w:r>
              <w:rPr>
                <w:spacing w:val="-2"/>
              </w:rPr>
              <w:t> %). Zaměstnanost žen byla v Česku rovněž nadprům</w:t>
            </w:r>
            <w:r w:rsidR="00002566">
              <w:rPr>
                <w:spacing w:val="-2"/>
              </w:rPr>
              <w:t>ěrná (o 3,9 p. b. vyšší než v Unii</w:t>
            </w:r>
            <w:r>
              <w:rPr>
                <w:spacing w:val="-2"/>
              </w:rPr>
              <w:t>), avšak zřetelně pod úrovní</w:t>
            </w:r>
            <w:r w:rsidR="00002566">
              <w:rPr>
                <w:spacing w:val="-2"/>
              </w:rPr>
              <w:t xml:space="preserve"> nejlépe postaveného Švédska (75,2</w:t>
            </w:r>
            <w:r>
              <w:rPr>
                <w:spacing w:val="-2"/>
              </w:rPr>
              <w:t> %), ale i pobaltských států (71</w:t>
            </w:r>
            <w:r w:rsidRPr="00A077CC">
              <w:rPr>
                <w:spacing w:val="-4"/>
              </w:rPr>
              <w:t>–</w:t>
            </w:r>
            <w:r>
              <w:rPr>
                <w:spacing w:val="-2"/>
              </w:rPr>
              <w:t>73 %).</w:t>
            </w:r>
          </w:p>
        </w:tc>
      </w:tr>
      <w:tr w:rsidR="00485E82" w:rsidRPr="00B43216" w14:paraId="451AC423" w14:textId="77777777" w:rsidTr="009F4F6A">
        <w:trPr>
          <w:trHeight w:val="98"/>
        </w:trPr>
        <w:tc>
          <w:tcPr>
            <w:tcW w:w="1792" w:type="dxa"/>
            <w:vMerge w:val="restart"/>
            <w:shd w:val="clear" w:color="auto" w:fill="auto"/>
            <w:tcMar>
              <w:left w:w="0" w:type="dxa"/>
            </w:tcMar>
          </w:tcPr>
          <w:p w14:paraId="0AC8F5D9" w14:textId="77777777" w:rsidR="00485E82" w:rsidRPr="00B43216" w:rsidRDefault="00485E82" w:rsidP="00485E82">
            <w:pPr>
              <w:pStyle w:val="Marginlie"/>
            </w:pPr>
          </w:p>
        </w:tc>
        <w:tc>
          <w:tcPr>
            <w:tcW w:w="216" w:type="dxa"/>
            <w:vMerge w:val="restart"/>
            <w:shd w:val="clear" w:color="auto" w:fill="auto"/>
            <w:tcMar>
              <w:left w:w="0" w:type="dxa"/>
            </w:tcMar>
          </w:tcPr>
          <w:p w14:paraId="5A8C39D5" w14:textId="77777777" w:rsidR="00485E82" w:rsidRPr="00B43216" w:rsidRDefault="00485E82" w:rsidP="00485E82">
            <w:pPr>
              <w:pStyle w:val="Textpoznpodarou"/>
              <w:jc w:val="both"/>
              <w:rPr>
                <w:spacing w:val="-4"/>
              </w:rPr>
            </w:pPr>
          </w:p>
        </w:tc>
        <w:tc>
          <w:tcPr>
            <w:tcW w:w="7656" w:type="dxa"/>
            <w:shd w:val="clear" w:color="auto" w:fill="auto"/>
            <w:tcMar>
              <w:left w:w="0" w:type="dxa"/>
            </w:tcMar>
          </w:tcPr>
          <w:p w14:paraId="50937C77" w14:textId="452ED4D4" w:rsidR="00485E82" w:rsidRPr="0068569E" w:rsidRDefault="000767F5" w:rsidP="00485E82">
            <w:pPr>
              <w:spacing w:after="40" w:line="240" w:lineRule="auto"/>
              <w:rPr>
                <w:b/>
                <w:bCs/>
                <w:spacing w:val="-2"/>
              </w:rPr>
            </w:pPr>
            <w:r>
              <w:rPr>
                <w:rFonts w:cs="Arial"/>
                <w:b/>
                <w:bCs/>
                <w:color w:val="000000"/>
                <w:szCs w:val="20"/>
              </w:rPr>
              <w:t>Graf č. 12</w:t>
            </w:r>
            <w:r w:rsidR="00485E82" w:rsidRPr="0068569E">
              <w:rPr>
                <w:rFonts w:cs="Arial"/>
                <w:b/>
                <w:bCs/>
                <w:color w:val="000000"/>
                <w:sz w:val="18"/>
                <w:szCs w:val="18"/>
              </w:rPr>
              <w:t xml:space="preserve">  </w:t>
            </w:r>
            <w:r w:rsidR="00485E82" w:rsidRPr="0068569E">
              <w:rPr>
                <w:b/>
                <w:bCs/>
                <w:lang w:eastAsia="en-US"/>
              </w:rPr>
              <w:t xml:space="preserve">Celková zaměstnanost </w:t>
            </w:r>
            <w:r w:rsidR="00485E82" w:rsidRPr="0068569E">
              <w:rPr>
                <w:lang w:eastAsia="en-US"/>
              </w:rPr>
              <w:t>(</w:t>
            </w:r>
            <w:r w:rsidR="00485E82" w:rsidRPr="0068569E">
              <w:rPr>
                <w:spacing w:val="-2"/>
              </w:rPr>
              <w:t>meziročně v %)</w:t>
            </w:r>
            <w:r w:rsidR="00485E82" w:rsidRPr="0068569E">
              <w:rPr>
                <w:b/>
                <w:bCs/>
                <w:spacing w:val="-2"/>
              </w:rPr>
              <w:t xml:space="preserve">, příspěvky hlavních odvětví k meziroční změně zaměstnanosti </w:t>
            </w:r>
            <w:r w:rsidR="00485E82" w:rsidRPr="0068569E">
              <w:rPr>
                <w:spacing w:val="-2"/>
              </w:rPr>
              <w:t>(v p. b.)</w:t>
            </w:r>
            <w:r w:rsidR="00485E82" w:rsidRPr="0068569E">
              <w:rPr>
                <w:b/>
                <w:bCs/>
                <w:spacing w:val="-2"/>
              </w:rPr>
              <w:t xml:space="preserve"> a očekávání vývoje zaměstnanosti v následujícím čtvrtletí </w:t>
            </w:r>
            <w:r w:rsidR="00485E82" w:rsidRPr="0068569E">
              <w:rPr>
                <w:spacing w:val="-2"/>
              </w:rPr>
              <w:t>(saldo v p. b., sezónně očištěno)</w:t>
            </w:r>
          </w:p>
        </w:tc>
      </w:tr>
      <w:tr w:rsidR="00485E82" w:rsidRPr="00B43216" w14:paraId="09B1120C" w14:textId="77777777" w:rsidTr="009F4F6A">
        <w:tblPrEx>
          <w:tblCellMar>
            <w:left w:w="70" w:type="dxa"/>
            <w:right w:w="70" w:type="dxa"/>
          </w:tblCellMar>
        </w:tblPrEx>
        <w:trPr>
          <w:trHeight w:val="96"/>
        </w:trPr>
        <w:tc>
          <w:tcPr>
            <w:tcW w:w="1792" w:type="dxa"/>
            <w:vMerge/>
            <w:shd w:val="clear" w:color="auto" w:fill="auto"/>
          </w:tcPr>
          <w:p w14:paraId="2EE34390" w14:textId="77777777" w:rsidR="00485E82" w:rsidRPr="00B43216" w:rsidRDefault="00485E82" w:rsidP="00485E82">
            <w:pPr>
              <w:pStyle w:val="Marginlie"/>
            </w:pPr>
          </w:p>
        </w:tc>
        <w:tc>
          <w:tcPr>
            <w:tcW w:w="216" w:type="dxa"/>
            <w:vMerge/>
            <w:shd w:val="clear" w:color="auto" w:fill="auto"/>
          </w:tcPr>
          <w:p w14:paraId="5FA3C4C6" w14:textId="77777777" w:rsidR="00485E82" w:rsidRPr="00B43216" w:rsidRDefault="00485E82" w:rsidP="00485E82">
            <w:pPr>
              <w:pStyle w:val="Textpoznpodarou"/>
              <w:jc w:val="both"/>
              <w:rPr>
                <w:spacing w:val="-4"/>
              </w:rPr>
            </w:pPr>
          </w:p>
        </w:tc>
        <w:tc>
          <w:tcPr>
            <w:tcW w:w="7656" w:type="dxa"/>
            <w:shd w:val="clear" w:color="auto" w:fill="auto"/>
          </w:tcPr>
          <w:p w14:paraId="28C0DB7D" w14:textId="77777777" w:rsidR="00485E82" w:rsidRPr="00B43216" w:rsidRDefault="00485E82" w:rsidP="00485E82">
            <w:pPr>
              <w:spacing w:after="40" w:line="240" w:lineRule="auto"/>
              <w:rPr>
                <w:spacing w:val="-2"/>
              </w:rPr>
            </w:pPr>
            <w:r>
              <w:rPr>
                <w:noProof/>
              </w:rPr>
              <w:drawing>
                <wp:inline distT="0" distB="0" distL="0" distR="0" wp14:anchorId="5D79ACC0" wp14:editId="1FE523FC">
                  <wp:extent cx="4741545" cy="3328416"/>
                  <wp:effectExtent l="0" t="0" r="1905" b="5715"/>
                  <wp:docPr id="27" name="Graf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485E82" w:rsidRPr="00B43216" w14:paraId="0C212CF7" w14:textId="77777777" w:rsidTr="009F4F6A">
        <w:trPr>
          <w:trHeight w:val="96"/>
        </w:trPr>
        <w:tc>
          <w:tcPr>
            <w:tcW w:w="1792" w:type="dxa"/>
            <w:vMerge/>
            <w:shd w:val="clear" w:color="auto" w:fill="auto"/>
            <w:tcMar>
              <w:left w:w="0" w:type="dxa"/>
            </w:tcMar>
          </w:tcPr>
          <w:p w14:paraId="690DFC59" w14:textId="77777777" w:rsidR="00485E82" w:rsidRPr="00B43216" w:rsidRDefault="00485E82" w:rsidP="00485E82">
            <w:pPr>
              <w:pStyle w:val="Marginlie"/>
            </w:pPr>
          </w:p>
        </w:tc>
        <w:tc>
          <w:tcPr>
            <w:tcW w:w="216" w:type="dxa"/>
            <w:vMerge/>
            <w:shd w:val="clear" w:color="auto" w:fill="auto"/>
            <w:tcMar>
              <w:left w:w="0" w:type="dxa"/>
            </w:tcMar>
          </w:tcPr>
          <w:p w14:paraId="5896BFB1" w14:textId="77777777" w:rsidR="00485E82" w:rsidRPr="00B43216" w:rsidRDefault="00485E82" w:rsidP="00485E82">
            <w:pPr>
              <w:pStyle w:val="Textpoznpodarou"/>
              <w:jc w:val="both"/>
              <w:rPr>
                <w:spacing w:val="-4"/>
              </w:rPr>
            </w:pPr>
          </w:p>
        </w:tc>
        <w:tc>
          <w:tcPr>
            <w:tcW w:w="7656" w:type="dxa"/>
            <w:shd w:val="clear" w:color="auto" w:fill="auto"/>
            <w:tcMar>
              <w:left w:w="0" w:type="dxa"/>
            </w:tcMar>
          </w:tcPr>
          <w:p w14:paraId="2A44CF94" w14:textId="77777777" w:rsidR="00485E82" w:rsidRDefault="00485E82" w:rsidP="00485E82">
            <w:pPr>
              <w:spacing w:after="0" w:line="240" w:lineRule="auto"/>
              <w:rPr>
                <w:rFonts w:cs="Arial"/>
                <w:sz w:val="14"/>
                <w:szCs w:val="14"/>
              </w:rPr>
            </w:pPr>
            <w:r>
              <w:rPr>
                <w:rFonts w:cs="Arial"/>
                <w:sz w:val="14"/>
                <w:szCs w:val="14"/>
              </w:rPr>
              <w:t>*</w:t>
            </w:r>
            <w:r w:rsidRPr="00862F17">
              <w:rPr>
                <w:rFonts w:cs="Arial"/>
                <w:sz w:val="14"/>
                <w:szCs w:val="14"/>
              </w:rPr>
              <w:t>Těžba a</w:t>
            </w:r>
            <w:r>
              <w:rPr>
                <w:rFonts w:cs="Arial"/>
                <w:sz w:val="14"/>
                <w:szCs w:val="14"/>
              </w:rPr>
              <w:t> </w:t>
            </w:r>
            <w:r w:rsidRPr="00862F17">
              <w:rPr>
                <w:rFonts w:cs="Arial"/>
                <w:sz w:val="14"/>
                <w:szCs w:val="14"/>
              </w:rPr>
              <w:t>energetika, Peněžnictví a</w:t>
            </w:r>
            <w:r>
              <w:rPr>
                <w:rFonts w:cs="Arial"/>
                <w:sz w:val="14"/>
                <w:szCs w:val="14"/>
              </w:rPr>
              <w:t> </w:t>
            </w:r>
            <w:r w:rsidRPr="00862F17">
              <w:rPr>
                <w:rFonts w:cs="Arial"/>
                <w:sz w:val="14"/>
                <w:szCs w:val="14"/>
              </w:rPr>
              <w:t>pojišťovnictví, Činnosti v</w:t>
            </w:r>
            <w:r>
              <w:rPr>
                <w:rFonts w:cs="Arial"/>
                <w:sz w:val="14"/>
                <w:szCs w:val="14"/>
              </w:rPr>
              <w:t> </w:t>
            </w:r>
            <w:r w:rsidRPr="00862F17">
              <w:rPr>
                <w:rFonts w:cs="Arial"/>
                <w:sz w:val="14"/>
                <w:szCs w:val="14"/>
              </w:rPr>
              <w:t>oblasti nemovitostí, Kulturní, zábavní a</w:t>
            </w:r>
            <w:r w:rsidRPr="00D47653">
              <w:rPr>
                <w:sz w:val="14"/>
                <w:szCs w:val="14"/>
              </w:rPr>
              <w:t> </w:t>
            </w:r>
            <w:r w:rsidRPr="00862F17">
              <w:rPr>
                <w:rFonts w:cs="Arial"/>
                <w:sz w:val="14"/>
                <w:szCs w:val="14"/>
              </w:rPr>
              <w:t>rekreační činnosti</w:t>
            </w:r>
            <w:r>
              <w:rPr>
                <w:rFonts w:cs="Arial"/>
                <w:sz w:val="14"/>
                <w:szCs w:val="14"/>
              </w:rPr>
              <w:t>.</w:t>
            </w:r>
          </w:p>
          <w:p w14:paraId="2CDC3849" w14:textId="77777777" w:rsidR="00485E82" w:rsidRDefault="00485E82" w:rsidP="00485E82">
            <w:pPr>
              <w:spacing w:after="0" w:line="240" w:lineRule="auto"/>
              <w:rPr>
                <w:rFonts w:cs="Arial"/>
                <w:sz w:val="14"/>
                <w:szCs w:val="14"/>
              </w:rPr>
            </w:pPr>
            <w:r>
              <w:rPr>
                <w:rFonts w:cs="Arial"/>
                <w:sz w:val="14"/>
                <w:szCs w:val="14"/>
              </w:rPr>
              <w:t xml:space="preserve">Poznámka: Saldo </w:t>
            </w:r>
            <w:r>
              <w:rPr>
                <w:rFonts w:cs="Arial"/>
                <w:color w:val="0D0D0D" w:themeColor="text1" w:themeTint="F2"/>
                <w:sz w:val="14"/>
                <w:szCs w:val="14"/>
              </w:rPr>
              <w:t>očekávání vyjadřuje rozdíl v p. b. mezi kategoriemi (růst vs. pokles zaměstnanosti v následujícím čtvrtletí)</w:t>
            </w:r>
          </w:p>
          <w:p w14:paraId="176801FE" w14:textId="77777777" w:rsidR="00485E82" w:rsidRPr="00047CE0" w:rsidRDefault="00485E82" w:rsidP="00485E82">
            <w:pPr>
              <w:spacing w:after="200" w:line="240" w:lineRule="auto"/>
              <w:rPr>
                <w:rFonts w:cs="Arial"/>
                <w:sz w:val="14"/>
                <w:szCs w:val="14"/>
              </w:rPr>
            </w:pPr>
            <w:r w:rsidRPr="00862F17">
              <w:rPr>
                <w:rFonts w:cs="Arial"/>
                <w:sz w:val="14"/>
                <w:szCs w:val="14"/>
              </w:rPr>
              <w:t>Zdroj: ČSÚ (národní účty</w:t>
            </w:r>
            <w:r>
              <w:rPr>
                <w:rFonts w:cs="Arial"/>
                <w:sz w:val="14"/>
                <w:szCs w:val="14"/>
              </w:rPr>
              <w:t>, konjunkturální průzkumy)</w:t>
            </w:r>
          </w:p>
        </w:tc>
      </w:tr>
      <w:tr w:rsidR="00485E82" w:rsidRPr="00B43216" w14:paraId="649B0D48" w14:textId="77777777" w:rsidTr="009F4F6A">
        <w:trPr>
          <w:trHeight w:val="145"/>
        </w:trPr>
        <w:tc>
          <w:tcPr>
            <w:tcW w:w="1792" w:type="dxa"/>
            <w:shd w:val="clear" w:color="auto" w:fill="auto"/>
            <w:tcMar>
              <w:left w:w="0" w:type="dxa"/>
            </w:tcMar>
          </w:tcPr>
          <w:p w14:paraId="6FC6C257" w14:textId="77777777" w:rsidR="00485E82" w:rsidRDefault="00485E82" w:rsidP="00485E82">
            <w:pPr>
              <w:pStyle w:val="Marginlie"/>
            </w:pPr>
            <w:r>
              <w:t>Míra nezaměstnanosti i počet dlouhodobě nezaměstnaných během roku 2019 stagnovaly.</w:t>
            </w:r>
          </w:p>
          <w:p w14:paraId="371A6FCE" w14:textId="77777777" w:rsidR="00485E82" w:rsidRDefault="00485E82" w:rsidP="00485E82">
            <w:pPr>
              <w:pStyle w:val="Marginlie"/>
            </w:pPr>
            <w:r>
              <w:t>Obavy domácností z růstu nezaměstnanosti naopak mírně rostly.</w:t>
            </w:r>
          </w:p>
          <w:p w14:paraId="0C3FF068" w14:textId="77777777" w:rsidR="00485E82" w:rsidRDefault="00485E82" w:rsidP="00485E82">
            <w:pPr>
              <w:pStyle w:val="Marginlie"/>
            </w:pPr>
          </w:p>
          <w:p w14:paraId="0BF66C99" w14:textId="77777777" w:rsidR="00485E82" w:rsidRDefault="00485E82" w:rsidP="00485E82">
            <w:pPr>
              <w:pStyle w:val="Marginlie"/>
            </w:pPr>
          </w:p>
          <w:p w14:paraId="07B0E082" w14:textId="77777777" w:rsidR="00485E82" w:rsidRDefault="00485E82" w:rsidP="00485E82">
            <w:pPr>
              <w:pStyle w:val="Marginlie"/>
            </w:pPr>
          </w:p>
          <w:p w14:paraId="27A1942D" w14:textId="77777777" w:rsidR="00485E82" w:rsidRDefault="00485E82" w:rsidP="00485E82">
            <w:pPr>
              <w:pStyle w:val="Marginlie"/>
            </w:pPr>
          </w:p>
          <w:p w14:paraId="7CBE379E" w14:textId="77777777" w:rsidR="00485E82" w:rsidRDefault="00485E82" w:rsidP="00485E82">
            <w:pPr>
              <w:pStyle w:val="Marginlie"/>
            </w:pPr>
          </w:p>
          <w:p w14:paraId="2868AE39" w14:textId="77777777" w:rsidR="00485E82" w:rsidRDefault="00485E82" w:rsidP="00485E82">
            <w:pPr>
              <w:pStyle w:val="Marginlie"/>
            </w:pPr>
            <w:r>
              <w:lastRenderedPageBreak/>
              <w:t>Úřady práce nabízely v červnu rekordní počet volných pracovních míst. V druhé polovině roku došlo jen k nepatrnému snížení.</w:t>
            </w:r>
          </w:p>
          <w:p w14:paraId="52F08411" w14:textId="77777777" w:rsidR="00485E82" w:rsidRDefault="00485E82" w:rsidP="00485E82">
            <w:pPr>
              <w:pStyle w:val="Marginlie"/>
            </w:pPr>
          </w:p>
          <w:p w14:paraId="70076554" w14:textId="77777777" w:rsidR="00485E82" w:rsidRDefault="00485E82" w:rsidP="00485E82">
            <w:pPr>
              <w:pStyle w:val="Marginlie"/>
            </w:pPr>
          </w:p>
          <w:p w14:paraId="66C72998" w14:textId="77777777" w:rsidR="00485E82" w:rsidRDefault="00485E82" w:rsidP="00485E82">
            <w:pPr>
              <w:pStyle w:val="Marginlie"/>
            </w:pPr>
          </w:p>
          <w:p w14:paraId="0193A395" w14:textId="77777777" w:rsidR="00485E82" w:rsidRDefault="00485E82" w:rsidP="00485E82">
            <w:pPr>
              <w:pStyle w:val="Marginlie"/>
            </w:pPr>
            <w:r>
              <w:t>Převis počtu uchazečů o práci nad volnými místy byl registrován jen ve třetině okresů ČR.</w:t>
            </w:r>
          </w:p>
        </w:tc>
        <w:tc>
          <w:tcPr>
            <w:tcW w:w="216" w:type="dxa"/>
            <w:shd w:val="clear" w:color="auto" w:fill="auto"/>
            <w:tcMar>
              <w:left w:w="0" w:type="dxa"/>
            </w:tcMar>
          </w:tcPr>
          <w:p w14:paraId="17F74C2B" w14:textId="77777777" w:rsidR="00485E82" w:rsidRPr="00B43216" w:rsidRDefault="00485E82" w:rsidP="00485E82">
            <w:pPr>
              <w:pStyle w:val="Textpoznpodarou"/>
              <w:jc w:val="both"/>
              <w:rPr>
                <w:spacing w:val="-4"/>
              </w:rPr>
            </w:pPr>
          </w:p>
        </w:tc>
        <w:tc>
          <w:tcPr>
            <w:tcW w:w="7656" w:type="dxa"/>
            <w:shd w:val="clear" w:color="auto" w:fill="auto"/>
            <w:tcMar>
              <w:left w:w="0" w:type="dxa"/>
            </w:tcMar>
          </w:tcPr>
          <w:p w14:paraId="0531DA94" w14:textId="77777777" w:rsidR="00485E82" w:rsidRPr="00C007D7" w:rsidRDefault="00485E82" w:rsidP="00485E82">
            <w:pPr>
              <w:spacing w:after="200"/>
              <w:rPr>
                <w:spacing w:val="-4"/>
              </w:rPr>
            </w:pPr>
            <w:r w:rsidRPr="00191C35">
              <w:rPr>
                <w:spacing w:val="-3"/>
              </w:rPr>
              <w:t>Obecná míra nezaměstnanosti</w:t>
            </w:r>
            <w:r w:rsidRPr="00191C35">
              <w:rPr>
                <w:rStyle w:val="Znakapoznpodarou"/>
                <w:color w:val="0D0D0D" w:themeColor="text1" w:themeTint="F2"/>
                <w:spacing w:val="-2"/>
              </w:rPr>
              <w:footnoteReference w:id="63"/>
            </w:r>
            <w:r w:rsidRPr="00191C35">
              <w:rPr>
                <w:spacing w:val="-3"/>
              </w:rPr>
              <w:t xml:space="preserve"> doznala během </w:t>
            </w:r>
            <w:r>
              <w:rPr>
                <w:spacing w:val="-3"/>
              </w:rPr>
              <w:t xml:space="preserve">loňského </w:t>
            </w:r>
            <w:r w:rsidRPr="00191C35">
              <w:rPr>
                <w:spacing w:val="-3"/>
              </w:rPr>
              <w:t xml:space="preserve">roku jen minimálních změn. </w:t>
            </w:r>
            <w:r>
              <w:rPr>
                <w:spacing w:val="-3"/>
              </w:rPr>
              <w:t xml:space="preserve">V prosinci 2019 čítala 1,8 % u mužů a 2,3 % v případě žen. Podíl osob nezaměstnaných déle než rok mírně fluktuoval (okolo 30 %) a nacházel se blízko historických minim v éře samostatné ČR (podobně jako celková nezaměstnanost či počet ekonomicky neaktivních osob chtějících pracovat). Tyto údaje lehce kontrastovaly se zvyšujícími se obavami domácností z růstu nezaměstnanosti vyjádřenými v konjunkturálních šetřeních (nelze ovšem vyloučit, že domácnosti citlivěji reagovaly i na zhoršující se ekonomický vývoj eurozóny). Jedním z důvodů, proč se mírné zpomalení ekonomiky v Česku doposud na „tvrdých“ údajích o nezaměstnanosti neprojevilo, je fakt, že </w:t>
            </w:r>
            <w:r>
              <w:rPr>
                <w:spacing w:val="-2"/>
              </w:rPr>
              <w:t xml:space="preserve">část osob, které přišly o své zaměstnání, již nemusela usilovat o návrat na tuzemský pracovní trh (pracující senioři, popř. cizinci, jimž v Česku končí pracovní povolení). Proti zvyšování nezaměstnanosti </w:t>
            </w:r>
            <w:r>
              <w:rPr>
                <w:spacing w:val="-2"/>
              </w:rPr>
              <w:lastRenderedPageBreak/>
              <w:t>v posledních letech působí i demografické vlivy (přirozený odchod populačně silných kohort narozených v 50. letech se prolínal s nástupem historicky nejslabších kohort z konce 90. let minulého století) a také to, že poptávka po pracovnících zůstávala stále vysoká.</w:t>
            </w:r>
            <w:r>
              <w:rPr>
                <w:spacing w:val="-4"/>
              </w:rPr>
              <w:t xml:space="preserve"> V červnu 2019 disponovaly úřady práce (ÚP) v ČR historicky nejvyšší nabídkou volných míst (351 tis.), na konci roku jich bylo 341 tis. (meziročně o 5 % více). I během loňského roku rostl hlavně počet nejméně kvalifikovaných míst vyžadujících pouze základní vzdělání (+28 tis.), cílících primárně na zahraniční pracovníky. Míst pro vyučené ubylo </w:t>
            </w:r>
            <w:r>
              <w:rPr>
                <w:spacing w:val="-4"/>
              </w:rPr>
              <w:br/>
              <w:t>(–11 tis.) a nabídka pozic s vyššími kvalifikačními nároky, tvořících jen desetinu všech míst, stagnovala. Již třetina všech volných míst v ČR byla v nabídce ÚP déle než rok. Na jedno místo připadalo na konci loňského roku 0,6 uchazeče. Převis uchazečů nad nabízenými místy hlásila třetina okresů (více než 3 uchazeče na místo jen Karviná, Jeseník a Sokolov).</w:t>
            </w:r>
          </w:p>
        </w:tc>
      </w:tr>
      <w:tr w:rsidR="00485E82" w:rsidRPr="00B43216" w14:paraId="269D496D" w14:textId="77777777" w:rsidTr="009F4F6A">
        <w:trPr>
          <w:trHeight w:val="155"/>
        </w:trPr>
        <w:tc>
          <w:tcPr>
            <w:tcW w:w="1792" w:type="dxa"/>
            <w:vMerge w:val="restart"/>
            <w:shd w:val="clear" w:color="auto" w:fill="auto"/>
            <w:tcMar>
              <w:left w:w="0" w:type="dxa"/>
            </w:tcMar>
          </w:tcPr>
          <w:p w14:paraId="2B597D7A" w14:textId="77777777" w:rsidR="00485E82" w:rsidRPr="00B43216" w:rsidRDefault="00485E82" w:rsidP="00485E82">
            <w:pPr>
              <w:pStyle w:val="Marginlie"/>
              <w:rPr>
                <w:spacing w:val="-4"/>
              </w:rPr>
            </w:pPr>
          </w:p>
        </w:tc>
        <w:tc>
          <w:tcPr>
            <w:tcW w:w="216" w:type="dxa"/>
            <w:vMerge w:val="restart"/>
            <w:shd w:val="clear" w:color="auto" w:fill="auto"/>
            <w:tcMar>
              <w:left w:w="0" w:type="dxa"/>
            </w:tcMar>
          </w:tcPr>
          <w:p w14:paraId="232F8C49" w14:textId="77777777" w:rsidR="00485E82" w:rsidRPr="00B43216" w:rsidRDefault="00485E82" w:rsidP="00485E82">
            <w:pPr>
              <w:pStyle w:val="Textpoznpodarou"/>
              <w:jc w:val="both"/>
              <w:rPr>
                <w:spacing w:val="-4"/>
              </w:rPr>
            </w:pPr>
          </w:p>
        </w:tc>
        <w:tc>
          <w:tcPr>
            <w:tcW w:w="7656" w:type="dxa"/>
            <w:shd w:val="clear" w:color="auto" w:fill="auto"/>
            <w:tcMar>
              <w:left w:w="0" w:type="dxa"/>
            </w:tcMar>
          </w:tcPr>
          <w:p w14:paraId="722593A0" w14:textId="6A3CA904" w:rsidR="00485E82" w:rsidRPr="00767F30" w:rsidRDefault="000767F5" w:rsidP="00485E82">
            <w:pPr>
              <w:spacing w:after="0"/>
              <w:rPr>
                <w:b/>
                <w:spacing w:val="-3"/>
              </w:rPr>
            </w:pPr>
            <w:r>
              <w:rPr>
                <w:b/>
                <w:spacing w:val="-3"/>
              </w:rPr>
              <w:t>Graf č. 13</w:t>
            </w:r>
            <w:r w:rsidR="00485E82" w:rsidRPr="00767F30">
              <w:rPr>
                <w:b/>
                <w:spacing w:val="-3"/>
              </w:rPr>
              <w:t xml:space="preserve">  </w:t>
            </w:r>
            <w:r w:rsidR="00485E82" w:rsidRPr="00767F30">
              <w:rPr>
                <w:rFonts w:cs="Arial"/>
                <w:b/>
                <w:spacing w:val="-3"/>
              </w:rPr>
              <w:t xml:space="preserve">Obecná míra nezaměstnanosti </w:t>
            </w:r>
            <w:r w:rsidR="00485E82" w:rsidRPr="00767F30">
              <w:rPr>
                <w:rFonts w:cs="Arial"/>
                <w:bCs/>
                <w:spacing w:val="-3"/>
              </w:rPr>
              <w:t>(v %)</w:t>
            </w:r>
            <w:r w:rsidR="00485E82" w:rsidRPr="00767F30">
              <w:rPr>
                <w:rFonts w:cs="Arial"/>
                <w:b/>
                <w:spacing w:val="-3"/>
              </w:rPr>
              <w:t xml:space="preserve">, podíl dlouhodobě nezaměstnaných </w:t>
            </w:r>
            <w:r w:rsidR="00485E82" w:rsidRPr="00767F30">
              <w:rPr>
                <w:rFonts w:cs="Arial"/>
                <w:bCs/>
                <w:spacing w:val="-3"/>
              </w:rPr>
              <w:t>(v %)</w:t>
            </w:r>
            <w:r w:rsidR="00485E82" w:rsidRPr="00767F30">
              <w:rPr>
                <w:rFonts w:cs="Arial"/>
                <w:b/>
                <w:spacing w:val="-3"/>
              </w:rPr>
              <w:t xml:space="preserve">, ekonomicky neaktivní chtějící pracovat </w:t>
            </w:r>
            <w:r w:rsidR="00485E82" w:rsidRPr="00767F30">
              <w:rPr>
                <w:rFonts w:cs="Arial"/>
                <w:bCs/>
                <w:spacing w:val="-3"/>
              </w:rPr>
              <w:t>(v tis.)</w:t>
            </w:r>
            <w:r w:rsidR="00485E82" w:rsidRPr="00767F30">
              <w:rPr>
                <w:rFonts w:cs="Arial"/>
                <w:b/>
                <w:spacing w:val="-3"/>
              </w:rPr>
              <w:t xml:space="preserve"> a podíl obyvatel obávajících se růstu nezaměstnanosti </w:t>
            </w:r>
            <w:r w:rsidR="00485E82" w:rsidRPr="00767F30">
              <w:rPr>
                <w:rFonts w:cs="Arial"/>
                <w:bCs/>
                <w:spacing w:val="-3"/>
              </w:rPr>
              <w:t>(v %)</w:t>
            </w:r>
          </w:p>
        </w:tc>
      </w:tr>
      <w:tr w:rsidR="00485E82" w:rsidRPr="00B43216" w14:paraId="6B12F14E" w14:textId="77777777" w:rsidTr="009F4F6A">
        <w:tblPrEx>
          <w:tblCellMar>
            <w:left w:w="70" w:type="dxa"/>
            <w:right w:w="70" w:type="dxa"/>
          </w:tblCellMar>
        </w:tblPrEx>
        <w:trPr>
          <w:trHeight w:val="155"/>
        </w:trPr>
        <w:tc>
          <w:tcPr>
            <w:tcW w:w="1792" w:type="dxa"/>
            <w:vMerge/>
            <w:shd w:val="clear" w:color="auto" w:fill="auto"/>
          </w:tcPr>
          <w:p w14:paraId="7B16AE70" w14:textId="77777777" w:rsidR="00485E82" w:rsidRPr="00B43216" w:rsidRDefault="00485E82" w:rsidP="00485E82">
            <w:pPr>
              <w:pStyle w:val="Marginlie"/>
              <w:rPr>
                <w:spacing w:val="-4"/>
              </w:rPr>
            </w:pPr>
          </w:p>
        </w:tc>
        <w:tc>
          <w:tcPr>
            <w:tcW w:w="216" w:type="dxa"/>
            <w:vMerge/>
            <w:shd w:val="clear" w:color="auto" w:fill="auto"/>
          </w:tcPr>
          <w:p w14:paraId="302F08B5" w14:textId="77777777" w:rsidR="00485E82" w:rsidRPr="00B43216" w:rsidRDefault="00485E82" w:rsidP="00485E82">
            <w:pPr>
              <w:pStyle w:val="Textpoznpodarou"/>
              <w:jc w:val="both"/>
              <w:rPr>
                <w:spacing w:val="-4"/>
              </w:rPr>
            </w:pPr>
          </w:p>
        </w:tc>
        <w:tc>
          <w:tcPr>
            <w:tcW w:w="7656" w:type="dxa"/>
            <w:shd w:val="clear" w:color="auto" w:fill="auto"/>
          </w:tcPr>
          <w:p w14:paraId="176DD1B6" w14:textId="77777777" w:rsidR="00485E82" w:rsidRPr="00B43216" w:rsidRDefault="00485E82" w:rsidP="00485E82">
            <w:pPr>
              <w:spacing w:after="0"/>
              <w:rPr>
                <w:spacing w:val="-4"/>
              </w:rPr>
            </w:pPr>
            <w:r>
              <w:rPr>
                <w:noProof/>
              </w:rPr>
              <w:drawing>
                <wp:inline distT="0" distB="0" distL="0" distR="0" wp14:anchorId="34A2330B" wp14:editId="4D8D0530">
                  <wp:extent cx="4715510" cy="3141497"/>
                  <wp:effectExtent l="0" t="0" r="8890" b="1905"/>
                  <wp:docPr id="29" name="Graf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485E82" w:rsidRPr="00B43216" w14:paraId="51CDDAC9" w14:textId="77777777" w:rsidTr="009F4F6A">
        <w:trPr>
          <w:trHeight w:val="933"/>
        </w:trPr>
        <w:tc>
          <w:tcPr>
            <w:tcW w:w="1792" w:type="dxa"/>
            <w:vMerge/>
            <w:shd w:val="clear" w:color="auto" w:fill="auto"/>
            <w:tcMar>
              <w:left w:w="0" w:type="dxa"/>
            </w:tcMar>
          </w:tcPr>
          <w:p w14:paraId="50C03465" w14:textId="77777777" w:rsidR="00485E82" w:rsidRPr="00B43216" w:rsidRDefault="00485E82" w:rsidP="00485E82">
            <w:pPr>
              <w:pStyle w:val="Marginlie"/>
              <w:rPr>
                <w:spacing w:val="-4"/>
              </w:rPr>
            </w:pPr>
          </w:p>
        </w:tc>
        <w:tc>
          <w:tcPr>
            <w:tcW w:w="216" w:type="dxa"/>
            <w:vMerge/>
            <w:shd w:val="clear" w:color="auto" w:fill="auto"/>
            <w:tcMar>
              <w:left w:w="0" w:type="dxa"/>
            </w:tcMar>
          </w:tcPr>
          <w:p w14:paraId="78A6F8A7" w14:textId="77777777" w:rsidR="00485E82" w:rsidRPr="00B43216" w:rsidRDefault="00485E82" w:rsidP="00485E82">
            <w:pPr>
              <w:pStyle w:val="Textpoznpodarou"/>
              <w:jc w:val="both"/>
              <w:rPr>
                <w:spacing w:val="-4"/>
              </w:rPr>
            </w:pPr>
          </w:p>
        </w:tc>
        <w:tc>
          <w:tcPr>
            <w:tcW w:w="7656" w:type="dxa"/>
            <w:shd w:val="clear" w:color="auto" w:fill="auto"/>
            <w:tcMar>
              <w:left w:w="0" w:type="dxa"/>
            </w:tcMar>
          </w:tcPr>
          <w:p w14:paraId="389E2970" w14:textId="77777777" w:rsidR="00485E82" w:rsidRDefault="00485E82" w:rsidP="00485E82">
            <w:pPr>
              <w:spacing w:after="0" w:line="240" w:lineRule="auto"/>
              <w:rPr>
                <w:rFonts w:cs="Arial"/>
                <w:color w:val="0D0D0D" w:themeColor="text1" w:themeTint="F2"/>
                <w:sz w:val="14"/>
                <w:szCs w:val="14"/>
              </w:rPr>
            </w:pPr>
            <w:r>
              <w:rPr>
                <w:rFonts w:cs="Arial"/>
                <w:color w:val="0D0D0D" w:themeColor="text1" w:themeTint="F2"/>
                <w:sz w:val="14"/>
                <w:szCs w:val="14"/>
              </w:rPr>
              <w:t>Pozn.: Údaje o míře nezaměstnanosti jsou po sezónním očištění, ostatní ukazatele nikoliv.</w:t>
            </w:r>
          </w:p>
          <w:p w14:paraId="26A87073" w14:textId="77777777" w:rsidR="00485E82" w:rsidRDefault="00485E82" w:rsidP="00485E82">
            <w:pPr>
              <w:spacing w:after="0" w:line="240" w:lineRule="auto"/>
              <w:rPr>
                <w:rFonts w:cs="Arial"/>
                <w:color w:val="0D0D0D" w:themeColor="text1" w:themeTint="F2"/>
                <w:sz w:val="14"/>
                <w:szCs w:val="14"/>
              </w:rPr>
            </w:pPr>
            <w:r>
              <w:rPr>
                <w:rFonts w:cs="Arial"/>
                <w:bCs/>
                <w:color w:val="0D0D0D" w:themeColor="text1" w:themeTint="F2"/>
                <w:sz w:val="14"/>
                <w:szCs w:val="14"/>
              </w:rPr>
              <w:t>*</w:t>
            </w:r>
            <w:r w:rsidRPr="00FF12EF">
              <w:rPr>
                <w:rFonts w:cs="Arial"/>
                <w:bCs/>
                <w:color w:val="0D0D0D" w:themeColor="text1" w:themeTint="F2"/>
                <w:sz w:val="14"/>
                <w:szCs w:val="14"/>
              </w:rPr>
              <w:t>Jde o</w:t>
            </w:r>
            <w:r>
              <w:rPr>
                <w:rFonts w:cs="Arial"/>
                <w:bCs/>
                <w:color w:val="0D0D0D" w:themeColor="text1" w:themeTint="F2"/>
                <w:sz w:val="14"/>
                <w:szCs w:val="14"/>
              </w:rPr>
              <w:t> </w:t>
            </w:r>
            <w:r w:rsidRPr="00FF12EF">
              <w:rPr>
                <w:rFonts w:cs="Arial"/>
                <w:bCs/>
                <w:color w:val="0D0D0D" w:themeColor="text1" w:themeTint="F2"/>
                <w:sz w:val="14"/>
                <w:szCs w:val="14"/>
              </w:rPr>
              <w:t>osoby, které nepr</w:t>
            </w:r>
            <w:r>
              <w:rPr>
                <w:rFonts w:cs="Arial"/>
                <w:bCs/>
                <w:color w:val="0D0D0D" w:themeColor="text1" w:themeTint="F2"/>
                <w:sz w:val="14"/>
                <w:szCs w:val="14"/>
              </w:rPr>
              <w:t>acují, aktivně práci nehledají</w:t>
            </w:r>
            <w:r w:rsidRPr="00FF12EF">
              <w:rPr>
                <w:rFonts w:cs="Arial"/>
                <w:bCs/>
                <w:color w:val="0D0D0D" w:themeColor="text1" w:themeTint="F2"/>
                <w:sz w:val="14"/>
                <w:szCs w:val="14"/>
              </w:rPr>
              <w:t>,</w:t>
            </w:r>
            <w:r w:rsidRPr="00FF12EF">
              <w:rPr>
                <w:rFonts w:cs="Arial"/>
                <w:color w:val="0D0D0D" w:themeColor="text1" w:themeTint="F2"/>
                <w:sz w:val="14"/>
                <w:szCs w:val="14"/>
              </w:rPr>
              <w:t xml:space="preserve"> ale přitom </w:t>
            </w:r>
            <w:r>
              <w:rPr>
                <w:rFonts w:cs="Arial"/>
                <w:color w:val="0D0D0D" w:themeColor="text1" w:themeTint="F2"/>
                <w:sz w:val="14"/>
                <w:szCs w:val="14"/>
              </w:rPr>
              <w:t>uvádějí, že by chtěly pracovat.</w:t>
            </w:r>
          </w:p>
          <w:p w14:paraId="26EEBF8D" w14:textId="77777777" w:rsidR="00485E82" w:rsidRPr="00CD1140" w:rsidRDefault="00485E82" w:rsidP="00485E82">
            <w:pPr>
              <w:spacing w:after="0" w:line="240" w:lineRule="auto"/>
              <w:rPr>
                <w:rFonts w:cs="Arial"/>
                <w:color w:val="0D0D0D" w:themeColor="text1" w:themeTint="F2"/>
                <w:spacing w:val="-2"/>
                <w:sz w:val="14"/>
                <w:szCs w:val="14"/>
              </w:rPr>
            </w:pPr>
            <w:r w:rsidRPr="00CD1140">
              <w:rPr>
                <w:rFonts w:cs="Arial"/>
                <w:color w:val="0D0D0D" w:themeColor="text1" w:themeTint="F2"/>
                <w:spacing w:val="-2"/>
                <w:sz w:val="14"/>
                <w:szCs w:val="14"/>
              </w:rPr>
              <w:t>**Očekávání v příštích 12</w:t>
            </w:r>
            <w:r>
              <w:rPr>
                <w:rFonts w:cs="Arial"/>
                <w:color w:val="0D0D0D" w:themeColor="text1" w:themeTint="F2"/>
                <w:spacing w:val="-2"/>
                <w:sz w:val="14"/>
                <w:szCs w:val="14"/>
              </w:rPr>
              <w:t> </w:t>
            </w:r>
            <w:r w:rsidRPr="00CD1140">
              <w:rPr>
                <w:rFonts w:cs="Arial"/>
                <w:color w:val="0D0D0D" w:themeColor="text1" w:themeTint="F2"/>
                <w:spacing w:val="-2"/>
                <w:sz w:val="14"/>
                <w:szCs w:val="14"/>
              </w:rPr>
              <w:t>měsících (u</w:t>
            </w:r>
            <w:r>
              <w:rPr>
                <w:rFonts w:cs="Arial"/>
                <w:color w:val="0D0D0D" w:themeColor="text1" w:themeTint="F2"/>
                <w:spacing w:val="-2"/>
                <w:sz w:val="14"/>
                <w:szCs w:val="14"/>
              </w:rPr>
              <w:t> </w:t>
            </w:r>
            <w:r w:rsidRPr="00CD1140">
              <w:rPr>
                <w:rFonts w:cs="Arial"/>
                <w:color w:val="0D0D0D" w:themeColor="text1" w:themeTint="F2"/>
                <w:spacing w:val="-2"/>
                <w:sz w:val="14"/>
                <w:szCs w:val="14"/>
              </w:rPr>
              <w:t>spotřebitelů). Vyjadřuje rozdíl v p.</w:t>
            </w:r>
            <w:r>
              <w:rPr>
                <w:rFonts w:cs="Arial"/>
                <w:color w:val="0D0D0D" w:themeColor="text1" w:themeTint="F2"/>
                <w:spacing w:val="-2"/>
                <w:sz w:val="14"/>
                <w:szCs w:val="14"/>
              </w:rPr>
              <w:t> </w:t>
            </w:r>
            <w:r w:rsidRPr="00CD1140">
              <w:rPr>
                <w:rFonts w:cs="Arial"/>
                <w:color w:val="0D0D0D" w:themeColor="text1" w:themeTint="F2"/>
                <w:spacing w:val="-2"/>
                <w:sz w:val="14"/>
                <w:szCs w:val="14"/>
              </w:rPr>
              <w:t>b. mezi kategoriemi (růst vs. pokles nezaměstnanosti)</w:t>
            </w:r>
            <w:r>
              <w:rPr>
                <w:rFonts w:cs="Arial"/>
                <w:color w:val="0D0D0D" w:themeColor="text1" w:themeTint="F2"/>
                <w:spacing w:val="-2"/>
                <w:sz w:val="14"/>
                <w:szCs w:val="14"/>
              </w:rPr>
              <w:t>.</w:t>
            </w:r>
          </w:p>
          <w:p w14:paraId="30373A8C" w14:textId="77777777" w:rsidR="00485E82" w:rsidRPr="002A01E3" w:rsidRDefault="00485E82" w:rsidP="00485E82">
            <w:pPr>
              <w:spacing w:after="0" w:line="240" w:lineRule="auto"/>
              <w:rPr>
                <w:rFonts w:cs="Arial"/>
                <w:color w:val="0D0D0D" w:themeColor="text1" w:themeTint="F2"/>
                <w:sz w:val="14"/>
                <w:szCs w:val="14"/>
              </w:rPr>
            </w:pPr>
            <w:r>
              <w:rPr>
                <w:rFonts w:cs="Arial"/>
                <w:color w:val="0D0D0D" w:themeColor="text1" w:themeTint="F2"/>
                <w:sz w:val="14"/>
                <w:szCs w:val="14"/>
              </w:rPr>
              <w:t>Zdroj: ČSÚ (VŠPS, konjunkturální průzkumy)</w:t>
            </w:r>
          </w:p>
        </w:tc>
      </w:tr>
      <w:tr w:rsidR="00485E82" w:rsidRPr="00191C35" w14:paraId="7431375C" w14:textId="77777777" w:rsidTr="009F4F6A">
        <w:trPr>
          <w:trHeight w:val="145"/>
        </w:trPr>
        <w:tc>
          <w:tcPr>
            <w:tcW w:w="1792" w:type="dxa"/>
            <w:shd w:val="clear" w:color="auto" w:fill="auto"/>
            <w:tcMar>
              <w:left w:w="0" w:type="dxa"/>
            </w:tcMar>
          </w:tcPr>
          <w:p w14:paraId="614F2743" w14:textId="77777777" w:rsidR="00485E82" w:rsidRDefault="00485E82" w:rsidP="00485E82">
            <w:pPr>
              <w:pStyle w:val="Marginlie"/>
            </w:pPr>
            <w:r>
              <w:t>Tempo růstu průměrných mezd loni oproti roku 2018 mírně zvolnilo, přesto patřilo za poslední dekádu k nejvyšším.</w:t>
            </w:r>
          </w:p>
          <w:p w14:paraId="34A211CD" w14:textId="77777777" w:rsidR="00485E82" w:rsidRDefault="00485E82" w:rsidP="00485E82">
            <w:pPr>
              <w:pStyle w:val="Marginlie"/>
            </w:pPr>
          </w:p>
          <w:p w14:paraId="4891C4DB" w14:textId="77777777" w:rsidR="00485E82" w:rsidRDefault="00485E82" w:rsidP="00485E82">
            <w:pPr>
              <w:pStyle w:val="Marginlie"/>
            </w:pPr>
          </w:p>
          <w:p w14:paraId="1B39E82B" w14:textId="77777777" w:rsidR="00485E82" w:rsidRDefault="00485E82" w:rsidP="00485E82">
            <w:pPr>
              <w:pStyle w:val="Marginlie"/>
            </w:pPr>
          </w:p>
          <w:p w14:paraId="178C6E99" w14:textId="77777777" w:rsidR="00485E82" w:rsidRDefault="00485E82" w:rsidP="00485E82">
            <w:pPr>
              <w:pStyle w:val="Marginlie"/>
            </w:pPr>
          </w:p>
          <w:p w14:paraId="017BA72C" w14:textId="77777777" w:rsidR="00485E82" w:rsidRDefault="00485E82" w:rsidP="00485E82">
            <w:pPr>
              <w:pStyle w:val="Marginlie"/>
            </w:pPr>
          </w:p>
          <w:p w14:paraId="7FC8F050" w14:textId="77777777" w:rsidR="00485E82" w:rsidRDefault="00485E82" w:rsidP="00485E82">
            <w:pPr>
              <w:pStyle w:val="Marginlie"/>
            </w:pPr>
            <w:r>
              <w:t>V průběhu loňského roku nabývaly na významu faktory snižující prostor pro dynamický mzdový růst.</w:t>
            </w:r>
          </w:p>
        </w:tc>
        <w:tc>
          <w:tcPr>
            <w:tcW w:w="216" w:type="dxa"/>
            <w:shd w:val="clear" w:color="auto" w:fill="auto"/>
            <w:tcMar>
              <w:left w:w="0" w:type="dxa"/>
            </w:tcMar>
          </w:tcPr>
          <w:p w14:paraId="5AB82925" w14:textId="77777777" w:rsidR="00485E82" w:rsidRPr="00B43216" w:rsidRDefault="00485E82" w:rsidP="00485E82">
            <w:pPr>
              <w:pStyle w:val="Textpoznpodarou"/>
              <w:jc w:val="both"/>
              <w:rPr>
                <w:spacing w:val="-4"/>
              </w:rPr>
            </w:pPr>
          </w:p>
        </w:tc>
        <w:tc>
          <w:tcPr>
            <w:tcW w:w="7656" w:type="dxa"/>
            <w:shd w:val="clear" w:color="auto" w:fill="auto"/>
            <w:tcMar>
              <w:left w:w="0" w:type="dxa"/>
            </w:tcMar>
          </w:tcPr>
          <w:p w14:paraId="660F4E06" w14:textId="77777777" w:rsidR="00485E82" w:rsidRPr="00191C35" w:rsidRDefault="00485E82" w:rsidP="00485E82">
            <w:pPr>
              <w:spacing w:after="200"/>
              <w:rPr>
                <w:spacing w:val="-3"/>
              </w:rPr>
            </w:pPr>
            <w:r w:rsidRPr="003B6B9D">
              <w:rPr>
                <w:spacing w:val="-4"/>
              </w:rPr>
              <w:t xml:space="preserve">Průměrná hrubá nominální měsíční mzda zaměstnance vzrostla </w:t>
            </w:r>
            <w:r>
              <w:rPr>
                <w:spacing w:val="-4"/>
              </w:rPr>
              <w:t>(dle podnikových statistik) v roce 2019 o 7,1 % (na 34 125 korun). Jednalo se o druhé nejvyšší meziroční tempo za posledních jedenáct let (po roce 2018: +7,5 %). Během loňského roku ovšem dynamika průměrných výdělků postupně mírně slábla (v 1. čtvrtletí +7,5 %, ve 4. čtvrtletí +6,7 %</w:t>
            </w:r>
            <w:r w:rsidRPr="00191C35">
              <w:rPr>
                <w:rStyle w:val="Znakapoznpodarou"/>
                <w:color w:val="0D0D0D" w:themeColor="text1" w:themeTint="F2"/>
                <w:spacing w:val="-2"/>
              </w:rPr>
              <w:footnoteReference w:id="64"/>
            </w:r>
            <w:r>
              <w:rPr>
                <w:spacing w:val="-4"/>
              </w:rPr>
              <w:t>). Zvolňování bylo patrné ve většině tržních odvětví (v klíčových oborech – zpracovatelském průmyslu a obchodu, ale i ve stavebnictví). Relativně svižnou mzdovou dynamiku pomáhala udržovat – obdobně jako v letech 2017 i 2018 – vysoká poptávka po pracovnících ve většině odvětví, velmi nízká nezaměstnanost i postupně se vyčerpávající rezervoár tuzemské pracovní síly z řad ekonomicky neaktivních. V opačném směru působila mírně klesající (byť stále vysoká) ziskovost podniků související vedle nákladových tlaků (mzdy, energie) rovněž s oslabením zahraniční poptávky po průmyslových produktech. Navíc v některých „</w:t>
            </w:r>
            <w:proofErr w:type="spellStart"/>
            <w:r>
              <w:rPr>
                <w:spacing w:val="-4"/>
              </w:rPr>
              <w:t>nízkovýdělkových</w:t>
            </w:r>
            <w:proofErr w:type="spellEnd"/>
            <w:r>
              <w:rPr>
                <w:spacing w:val="-4"/>
              </w:rPr>
              <w:t>“ odvětvích (např. v oblasti cestovního ruchu) tlumila vyšší růst výdělků rostoucí nabídka pracovníků z ekonomicky méně vyspělých států.</w:t>
            </w:r>
          </w:p>
        </w:tc>
      </w:tr>
      <w:tr w:rsidR="00485E82" w:rsidRPr="00191C35" w14:paraId="288EC5C5" w14:textId="77777777" w:rsidTr="009F4F6A">
        <w:trPr>
          <w:trHeight w:val="145"/>
        </w:trPr>
        <w:tc>
          <w:tcPr>
            <w:tcW w:w="1792" w:type="dxa"/>
            <w:shd w:val="clear" w:color="auto" w:fill="auto"/>
            <w:tcMar>
              <w:left w:w="0" w:type="dxa"/>
            </w:tcMar>
          </w:tcPr>
          <w:p w14:paraId="1F25B5F1" w14:textId="77777777" w:rsidR="00485E82" w:rsidRDefault="00485E82" w:rsidP="00485E82">
            <w:pPr>
              <w:pStyle w:val="Marginlie"/>
            </w:pPr>
            <w:r>
              <w:lastRenderedPageBreak/>
              <w:t>Již druhým rokem v řadě vzrostly relativně nejvíce průměrné výdělky ve vzdělávání.</w:t>
            </w:r>
          </w:p>
          <w:p w14:paraId="04C19939" w14:textId="77777777" w:rsidR="00485E82" w:rsidRDefault="00485E82" w:rsidP="00485E82">
            <w:pPr>
              <w:pStyle w:val="Marginlie"/>
            </w:pPr>
          </w:p>
          <w:p w14:paraId="121FDBCD" w14:textId="77777777" w:rsidR="00485E82" w:rsidRDefault="00485E82" w:rsidP="00485E82">
            <w:pPr>
              <w:pStyle w:val="Marginlie"/>
            </w:pPr>
          </w:p>
          <w:p w14:paraId="6B4014DF" w14:textId="77777777" w:rsidR="00485E82" w:rsidRDefault="00485E82" w:rsidP="00485E82">
            <w:pPr>
              <w:pStyle w:val="Marginlie"/>
            </w:pPr>
          </w:p>
          <w:p w14:paraId="146DA135" w14:textId="77777777" w:rsidR="00485E82" w:rsidRDefault="00485E82" w:rsidP="00485E82">
            <w:pPr>
              <w:pStyle w:val="Marginlie"/>
            </w:pPr>
          </w:p>
          <w:p w14:paraId="4CCE1AD6" w14:textId="77777777" w:rsidR="00485E82" w:rsidRDefault="00485E82" w:rsidP="00485E82">
            <w:pPr>
              <w:pStyle w:val="Marginlie"/>
            </w:pPr>
            <w:r>
              <w:t>V průmyslu, obchodu či stavebnictví se mzdy navyšovaly podprůměrným tempem. Projevovalo se zpomalování během roku.</w:t>
            </w:r>
          </w:p>
          <w:p w14:paraId="19E86082" w14:textId="77777777" w:rsidR="00485E82" w:rsidRDefault="00485E82" w:rsidP="00485E82">
            <w:pPr>
              <w:pStyle w:val="Marginlie"/>
            </w:pPr>
          </w:p>
          <w:p w14:paraId="02CB09C3" w14:textId="77777777" w:rsidR="00485E82" w:rsidRDefault="00485E82" w:rsidP="00485E82">
            <w:pPr>
              <w:pStyle w:val="Marginlie"/>
            </w:pPr>
          </w:p>
          <w:p w14:paraId="42422999" w14:textId="77777777" w:rsidR="00485E82" w:rsidRDefault="00485E82" w:rsidP="00485E82">
            <w:pPr>
              <w:pStyle w:val="Marginlie"/>
            </w:pPr>
          </w:p>
          <w:p w14:paraId="7F42AF6B" w14:textId="77777777" w:rsidR="00485E82" w:rsidRDefault="00485E82" w:rsidP="00485E82">
            <w:pPr>
              <w:pStyle w:val="Marginlie"/>
            </w:pPr>
          </w:p>
          <w:p w14:paraId="3C508EBD" w14:textId="77777777" w:rsidR="00485E82" w:rsidRDefault="00485E82" w:rsidP="00485E82">
            <w:pPr>
              <w:pStyle w:val="Marginlie"/>
            </w:pPr>
            <w:r>
              <w:t>Celková mzdová diferenciace se již nesnižovala, neboť se projevila akcelerace výdělků ve finančnictví i jejich slabší růst v odvětvích vázaných na cestovní ruch.</w:t>
            </w:r>
          </w:p>
        </w:tc>
        <w:tc>
          <w:tcPr>
            <w:tcW w:w="216" w:type="dxa"/>
            <w:shd w:val="clear" w:color="auto" w:fill="auto"/>
            <w:tcMar>
              <w:left w:w="0" w:type="dxa"/>
            </w:tcMar>
          </w:tcPr>
          <w:p w14:paraId="7980ADAA" w14:textId="77777777" w:rsidR="00485E82" w:rsidRPr="00B43216" w:rsidRDefault="00485E82" w:rsidP="00485E82">
            <w:pPr>
              <w:pStyle w:val="Textpoznpodarou"/>
              <w:jc w:val="both"/>
              <w:rPr>
                <w:spacing w:val="-4"/>
              </w:rPr>
            </w:pPr>
          </w:p>
        </w:tc>
        <w:tc>
          <w:tcPr>
            <w:tcW w:w="7656" w:type="dxa"/>
            <w:shd w:val="clear" w:color="auto" w:fill="auto"/>
            <w:tcMar>
              <w:left w:w="0" w:type="dxa"/>
            </w:tcMar>
          </w:tcPr>
          <w:p w14:paraId="58935E20" w14:textId="5B1DC769" w:rsidR="00485E82" w:rsidRPr="00191C35" w:rsidRDefault="00485E82" w:rsidP="00485E82">
            <w:pPr>
              <w:spacing w:after="200"/>
              <w:rPr>
                <w:spacing w:val="-3"/>
              </w:rPr>
            </w:pPr>
            <w:r>
              <w:rPr>
                <w:spacing w:val="-3"/>
              </w:rPr>
              <w:t>Různá odolnost odvětví vůči výkyvům zahraniční poptávky spolu se selektivnějším přístupem k navýšení odměňování ve veřejném sektoru (zejména u pracovníků ve vzdělávání) se loni odrazily ve větší meziodvětvové diferenciaci růstu mezd. Nejrychleji rostly průměrné výdělky ve vzdělávání, a to již druhým rokem v řadě (+12,5 %, v roce 2018 +10,7 %). Jejich celoroční výše loni překonala úroveň národního hospodářství (o 3,5 %, poprvé od roku 2009)</w:t>
            </w:r>
            <w:r w:rsidRPr="00191C35">
              <w:rPr>
                <w:rStyle w:val="Znakapoznpodarou"/>
                <w:color w:val="0D0D0D" w:themeColor="text1" w:themeTint="F2"/>
                <w:spacing w:val="-2"/>
              </w:rPr>
              <w:footnoteReference w:id="65"/>
            </w:r>
            <w:r>
              <w:rPr>
                <w:spacing w:val="-3"/>
              </w:rPr>
              <w:t>. O desetinu vzrostly výdělky v k</w:t>
            </w:r>
            <w:r w:rsidRPr="00F00956">
              <w:rPr>
                <w:spacing w:val="-3"/>
              </w:rPr>
              <w:t>ulturní</w:t>
            </w:r>
            <w:r>
              <w:rPr>
                <w:spacing w:val="-3"/>
              </w:rPr>
              <w:t>ch</w:t>
            </w:r>
            <w:r w:rsidRPr="00F00956">
              <w:rPr>
                <w:spacing w:val="-3"/>
              </w:rPr>
              <w:t>, zábavní</w:t>
            </w:r>
            <w:r>
              <w:rPr>
                <w:spacing w:val="-3"/>
              </w:rPr>
              <w:t>ch</w:t>
            </w:r>
            <w:r w:rsidRPr="00F00956">
              <w:rPr>
                <w:spacing w:val="-3"/>
              </w:rPr>
              <w:t xml:space="preserve"> a</w:t>
            </w:r>
            <w:r>
              <w:rPr>
                <w:spacing w:val="-3"/>
              </w:rPr>
              <w:t> </w:t>
            </w:r>
            <w:r w:rsidRPr="00F00956">
              <w:rPr>
                <w:spacing w:val="-3"/>
              </w:rPr>
              <w:t>rekreační</w:t>
            </w:r>
            <w:r>
              <w:rPr>
                <w:spacing w:val="-3"/>
              </w:rPr>
              <w:t>ch činnostech, tempo z roku 2018 loni fakticky udrželo i odvětví zdravotní a sociální péče (+8,5 %). Z tržních služeb si loni absolutně (4 471 korun), avšak i relativně nejvíce polepšilo peněžnictví a pojišťovnictví (+8,2 %, nejvyšší celoroční tempo po roce 2002)</w:t>
            </w:r>
            <w:r w:rsidRPr="00191C35">
              <w:rPr>
                <w:rStyle w:val="Znakapoznpodarou"/>
                <w:color w:val="0D0D0D" w:themeColor="text1" w:themeTint="F2"/>
                <w:spacing w:val="-2"/>
              </w:rPr>
              <w:footnoteReference w:id="66"/>
            </w:r>
            <w:r>
              <w:rPr>
                <w:spacing w:val="-3"/>
              </w:rPr>
              <w:t>. Naopak nej</w:t>
            </w:r>
            <w:r w:rsidR="007A7033">
              <w:rPr>
                <w:spacing w:val="-3"/>
              </w:rPr>
              <w:t>niž</w:t>
            </w:r>
            <w:r>
              <w:rPr>
                <w:spacing w:val="-3"/>
              </w:rPr>
              <w:t xml:space="preserve">ší tempo v rámci </w:t>
            </w:r>
            <w:r w:rsidR="007A7033">
              <w:rPr>
                <w:spacing w:val="-3"/>
              </w:rPr>
              <w:t xml:space="preserve">sektoru </w:t>
            </w:r>
            <w:r>
              <w:rPr>
                <w:spacing w:val="-3"/>
              </w:rPr>
              <w:t>služeb vykázaly p</w:t>
            </w:r>
            <w:r w:rsidRPr="002115F8">
              <w:rPr>
                <w:spacing w:val="-3"/>
              </w:rPr>
              <w:t>rofesní, vědecké a</w:t>
            </w:r>
            <w:r>
              <w:rPr>
                <w:spacing w:val="-3"/>
              </w:rPr>
              <w:t> </w:t>
            </w:r>
            <w:r w:rsidRPr="002115F8">
              <w:rPr>
                <w:spacing w:val="-3"/>
              </w:rPr>
              <w:t>technické činnosti</w:t>
            </w:r>
            <w:r>
              <w:rPr>
                <w:spacing w:val="-3"/>
              </w:rPr>
              <w:t xml:space="preserve"> (+5,0 %), i tak zde ale mzdová úroveň převyšovala celou ekonomiku o pětinu. Slabší růst zaznamenalo i vlivem citelného zvolnění na konci roku nosné odvětví obchodu (6,4 %). I přes svižné navyšování minimální mzdy rostly loni výdělky v ubytování, stravování a pohostinství o podprůměrných 6,6 % a zůstaly v celoročním úhrnu těsně pod 20tisícovou hranicí (pouze na třetině úrovně finančního sektoru či oblasti IT). Ve zpracovatelském průmyslu mzdy posílily o rovných 6 %. Tempo i úroveň mezd tak zůstaly lehce pod hladinou celé ekonomiky, stejně jako v roce 2018. Skromnější mzdový růst byl loni navzdory posílení produkce i zakázek typický pro stavebnictví (+6,1 %). </w:t>
            </w:r>
            <w:r>
              <w:rPr>
                <w:spacing w:val="-4"/>
              </w:rPr>
              <w:t>Celková mzdová diferenciace v ekonomice se loni n</w:t>
            </w:r>
            <w:r w:rsidRPr="004A4EC6">
              <w:rPr>
                <w:spacing w:val="-4"/>
              </w:rPr>
              <w:t>a rozdíl o</w:t>
            </w:r>
            <w:r>
              <w:rPr>
                <w:spacing w:val="-4"/>
              </w:rPr>
              <w:t>d</w:t>
            </w:r>
            <w:r w:rsidRPr="004A4EC6">
              <w:rPr>
                <w:spacing w:val="-4"/>
              </w:rPr>
              <w:t xml:space="preserve"> předchozích tří let</w:t>
            </w:r>
            <w:r>
              <w:rPr>
                <w:spacing w:val="-4"/>
              </w:rPr>
              <w:t xml:space="preserve"> již patrně nesnižovala. Mzdový medián vzrostl o 6,9 %. Již čtvrtým rokem se zvyšoval svižněji u žen než u mužů (i</w:t>
            </w:r>
            <w:r>
              <w:rPr>
                <w:spacing w:val="-3"/>
              </w:rPr>
              <w:t> </w:t>
            </w:r>
            <w:r>
              <w:rPr>
                <w:spacing w:val="-4"/>
              </w:rPr>
              <w:t>vlivem posilování mezd ve vzdělávání). Přestože meziroční růst kupní síly mezd se zejména působením sílící inflace mírně snižoval (až na 3,6 % ve 4.</w:t>
            </w:r>
            <w:r>
              <w:rPr>
                <w:spacing w:val="-3"/>
              </w:rPr>
              <w:t> </w:t>
            </w:r>
            <w:r>
              <w:rPr>
                <w:spacing w:val="-4"/>
              </w:rPr>
              <w:t>čtvrtletí 2019, nejméně za bezmála tři roky), v úhrnu od počátku loňského roku čítal 4,2</w:t>
            </w:r>
            <w:r>
              <w:rPr>
                <w:spacing w:val="-3"/>
              </w:rPr>
              <w:t> </w:t>
            </w:r>
            <w:r>
              <w:rPr>
                <w:spacing w:val="-4"/>
              </w:rPr>
              <w:t>%, což stále znamenalo druhé nejvyšší tempo za posledních dvanáct let.</w:t>
            </w:r>
          </w:p>
        </w:tc>
      </w:tr>
      <w:tr w:rsidR="00485E82" w:rsidRPr="00F32B6E" w14:paraId="0B655BCF" w14:textId="77777777" w:rsidTr="009F4F6A">
        <w:trPr>
          <w:trHeight w:val="145"/>
        </w:trPr>
        <w:tc>
          <w:tcPr>
            <w:tcW w:w="1792" w:type="dxa"/>
            <w:shd w:val="clear" w:color="auto" w:fill="auto"/>
            <w:tcMar>
              <w:left w:w="0" w:type="dxa"/>
            </w:tcMar>
          </w:tcPr>
          <w:p w14:paraId="0845EFBC" w14:textId="77777777" w:rsidR="00485E82" w:rsidRPr="00F32B6E" w:rsidRDefault="00485E82" w:rsidP="00485E82">
            <w:pPr>
              <w:pStyle w:val="Marginlie"/>
            </w:pPr>
          </w:p>
        </w:tc>
        <w:tc>
          <w:tcPr>
            <w:tcW w:w="216" w:type="dxa"/>
            <w:shd w:val="clear" w:color="auto" w:fill="auto"/>
            <w:tcMar>
              <w:left w:w="0" w:type="dxa"/>
            </w:tcMar>
          </w:tcPr>
          <w:p w14:paraId="7E0AB89D" w14:textId="77777777" w:rsidR="00485E82" w:rsidRPr="00F32B6E" w:rsidRDefault="00485E82" w:rsidP="00485E82">
            <w:pPr>
              <w:pStyle w:val="Textpoznpodarou"/>
              <w:jc w:val="both"/>
              <w:rPr>
                <w:rFonts w:eastAsia="Times New Roman"/>
                <w:spacing w:val="-2"/>
                <w:sz w:val="16"/>
                <w:szCs w:val="16"/>
              </w:rPr>
            </w:pPr>
          </w:p>
        </w:tc>
        <w:tc>
          <w:tcPr>
            <w:tcW w:w="7656" w:type="dxa"/>
            <w:shd w:val="clear" w:color="auto" w:fill="auto"/>
            <w:tcMar>
              <w:left w:w="0" w:type="dxa"/>
            </w:tcMar>
          </w:tcPr>
          <w:p w14:paraId="7C595D83" w14:textId="2EA1A03D" w:rsidR="00485E82" w:rsidRPr="00F32B6E" w:rsidRDefault="00485E82" w:rsidP="00485E82">
            <w:pPr>
              <w:spacing w:after="0"/>
              <w:rPr>
                <w:spacing w:val="-2"/>
                <w:sz w:val="16"/>
                <w:szCs w:val="16"/>
              </w:rPr>
            </w:pPr>
            <w:r w:rsidRPr="00AB0365">
              <w:rPr>
                <w:b/>
                <w:spacing w:val="-2"/>
              </w:rPr>
              <w:t xml:space="preserve">Graf </w:t>
            </w:r>
            <w:r>
              <w:rPr>
                <w:b/>
                <w:spacing w:val="-2"/>
              </w:rPr>
              <w:t>č. </w:t>
            </w:r>
            <w:r w:rsidR="000767F5">
              <w:rPr>
                <w:b/>
                <w:spacing w:val="-2"/>
              </w:rPr>
              <w:t>14</w:t>
            </w:r>
            <w:r>
              <w:rPr>
                <w:b/>
                <w:spacing w:val="-2"/>
              </w:rPr>
              <w:t xml:space="preserve">  Průměrná</w:t>
            </w:r>
            <w:r w:rsidRPr="00AB0365">
              <w:rPr>
                <w:b/>
                <w:spacing w:val="-2"/>
              </w:rPr>
              <w:t xml:space="preserve"> nominální a</w:t>
            </w:r>
            <w:r>
              <w:rPr>
                <w:b/>
                <w:spacing w:val="-2"/>
              </w:rPr>
              <w:t> </w:t>
            </w:r>
            <w:r w:rsidRPr="00AB0365">
              <w:rPr>
                <w:b/>
                <w:spacing w:val="-2"/>
              </w:rPr>
              <w:t>re</w:t>
            </w:r>
            <w:r>
              <w:rPr>
                <w:b/>
                <w:spacing w:val="-2"/>
              </w:rPr>
              <w:t>álná mzda, produktivita práce</w:t>
            </w:r>
            <w:r w:rsidRPr="00AB0365">
              <w:rPr>
                <w:spacing w:val="-2"/>
              </w:rPr>
              <w:t xml:space="preserve"> (meziročně, v %)</w:t>
            </w:r>
          </w:p>
        </w:tc>
      </w:tr>
      <w:tr w:rsidR="00485E82" w:rsidRPr="00F32B6E" w14:paraId="589C39D5" w14:textId="77777777" w:rsidTr="009F4F6A">
        <w:tblPrEx>
          <w:tblCellMar>
            <w:left w:w="70" w:type="dxa"/>
            <w:right w:w="70" w:type="dxa"/>
          </w:tblCellMar>
        </w:tblPrEx>
        <w:trPr>
          <w:trHeight w:val="145"/>
        </w:trPr>
        <w:tc>
          <w:tcPr>
            <w:tcW w:w="1792" w:type="dxa"/>
            <w:shd w:val="clear" w:color="auto" w:fill="auto"/>
          </w:tcPr>
          <w:p w14:paraId="4A7FD95C" w14:textId="77777777" w:rsidR="00485E82" w:rsidRPr="00F32B6E" w:rsidRDefault="00485E82" w:rsidP="00485E82">
            <w:pPr>
              <w:pStyle w:val="Marginlie"/>
            </w:pPr>
          </w:p>
        </w:tc>
        <w:tc>
          <w:tcPr>
            <w:tcW w:w="216" w:type="dxa"/>
            <w:shd w:val="clear" w:color="auto" w:fill="auto"/>
          </w:tcPr>
          <w:p w14:paraId="25C26B00" w14:textId="77777777" w:rsidR="00485E82" w:rsidRPr="00F32B6E" w:rsidRDefault="00485E82" w:rsidP="00485E82">
            <w:pPr>
              <w:pStyle w:val="Textpoznpodarou"/>
              <w:jc w:val="both"/>
              <w:rPr>
                <w:rFonts w:eastAsia="Times New Roman"/>
                <w:spacing w:val="-2"/>
                <w:sz w:val="16"/>
                <w:szCs w:val="16"/>
              </w:rPr>
            </w:pPr>
          </w:p>
        </w:tc>
        <w:tc>
          <w:tcPr>
            <w:tcW w:w="7656" w:type="dxa"/>
            <w:shd w:val="clear" w:color="auto" w:fill="auto"/>
          </w:tcPr>
          <w:p w14:paraId="2E8FAAE7" w14:textId="77777777" w:rsidR="00485E82" w:rsidRPr="00F32B6E" w:rsidRDefault="00485E82" w:rsidP="00485E82">
            <w:pPr>
              <w:spacing w:after="0"/>
              <w:rPr>
                <w:spacing w:val="-2"/>
                <w:sz w:val="16"/>
                <w:szCs w:val="16"/>
              </w:rPr>
            </w:pPr>
            <w:r>
              <w:rPr>
                <w:noProof/>
              </w:rPr>
              <w:drawing>
                <wp:inline distT="0" distB="0" distL="0" distR="0" wp14:anchorId="360CD443" wp14:editId="2537CF4E">
                  <wp:extent cx="4737100" cy="3430829"/>
                  <wp:effectExtent l="0" t="0" r="6350" b="0"/>
                  <wp:docPr id="33" name="Graf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485E82" w:rsidRPr="00F32B6E" w14:paraId="4936FC4B" w14:textId="77777777" w:rsidTr="009F4F6A">
        <w:trPr>
          <w:trHeight w:val="145"/>
        </w:trPr>
        <w:tc>
          <w:tcPr>
            <w:tcW w:w="1792" w:type="dxa"/>
            <w:shd w:val="clear" w:color="auto" w:fill="auto"/>
            <w:tcMar>
              <w:left w:w="0" w:type="dxa"/>
            </w:tcMar>
          </w:tcPr>
          <w:p w14:paraId="7C637904" w14:textId="77777777" w:rsidR="00485E82" w:rsidRPr="00F32B6E" w:rsidRDefault="00485E82" w:rsidP="00485E82">
            <w:pPr>
              <w:pStyle w:val="Marginlie"/>
            </w:pPr>
          </w:p>
        </w:tc>
        <w:tc>
          <w:tcPr>
            <w:tcW w:w="216" w:type="dxa"/>
            <w:shd w:val="clear" w:color="auto" w:fill="auto"/>
            <w:tcMar>
              <w:left w:w="0" w:type="dxa"/>
            </w:tcMar>
          </w:tcPr>
          <w:p w14:paraId="0F268A17" w14:textId="77777777" w:rsidR="00485E82" w:rsidRPr="00F32B6E" w:rsidRDefault="00485E82" w:rsidP="00485E82">
            <w:pPr>
              <w:pStyle w:val="Textpoznpodarou"/>
              <w:jc w:val="both"/>
              <w:rPr>
                <w:rFonts w:eastAsia="Times New Roman"/>
                <w:spacing w:val="-2"/>
                <w:sz w:val="16"/>
                <w:szCs w:val="16"/>
              </w:rPr>
            </w:pPr>
          </w:p>
        </w:tc>
        <w:tc>
          <w:tcPr>
            <w:tcW w:w="7656" w:type="dxa"/>
            <w:shd w:val="clear" w:color="auto" w:fill="auto"/>
            <w:tcMar>
              <w:left w:w="0" w:type="dxa"/>
            </w:tcMar>
          </w:tcPr>
          <w:p w14:paraId="548C3CBE" w14:textId="77777777" w:rsidR="00485E82" w:rsidRDefault="00485E82" w:rsidP="00485E82">
            <w:pPr>
              <w:spacing w:after="0"/>
              <w:rPr>
                <w:spacing w:val="-3"/>
                <w:sz w:val="14"/>
                <w:szCs w:val="14"/>
              </w:rPr>
            </w:pPr>
            <w:r>
              <w:rPr>
                <w:spacing w:val="-3"/>
                <w:sz w:val="14"/>
                <w:szCs w:val="14"/>
              </w:rPr>
              <w:t>*</w:t>
            </w:r>
            <w:r w:rsidRPr="00AB5C0C">
              <w:rPr>
                <w:rFonts w:cs="Arial"/>
                <w:spacing w:val="-3"/>
                <w:sz w:val="14"/>
                <w:szCs w:val="14"/>
              </w:rPr>
              <w:t xml:space="preserve"> </w:t>
            </w:r>
            <w:r>
              <w:rPr>
                <w:rFonts w:cs="Arial"/>
                <w:spacing w:val="-3"/>
                <w:sz w:val="14"/>
                <w:szCs w:val="14"/>
              </w:rPr>
              <w:t>Zahrnuje odvětví: Veřejná</w:t>
            </w:r>
            <w:r w:rsidRPr="00AB5C0C">
              <w:rPr>
                <w:rFonts w:cs="Arial"/>
                <w:spacing w:val="-3"/>
                <w:sz w:val="14"/>
                <w:szCs w:val="14"/>
              </w:rPr>
              <w:t xml:space="preserve"> správa, obrana, soc. zabezpečení; Vzdělávání; Zdravotní a</w:t>
            </w:r>
            <w:r>
              <w:rPr>
                <w:rFonts w:cs="Arial"/>
                <w:spacing w:val="-3"/>
                <w:sz w:val="14"/>
                <w:szCs w:val="14"/>
              </w:rPr>
              <w:t> </w:t>
            </w:r>
            <w:r w:rsidRPr="00AB5C0C">
              <w:rPr>
                <w:rFonts w:cs="Arial"/>
                <w:spacing w:val="-3"/>
                <w:sz w:val="14"/>
                <w:szCs w:val="14"/>
              </w:rPr>
              <w:t>soc.</w:t>
            </w:r>
            <w:r>
              <w:rPr>
                <w:rFonts w:cs="Arial"/>
                <w:spacing w:val="-3"/>
                <w:sz w:val="14"/>
                <w:szCs w:val="14"/>
              </w:rPr>
              <w:t xml:space="preserve"> péče; Kulturní, zábavní</w:t>
            </w:r>
            <w:r w:rsidRPr="00AB5C0C">
              <w:rPr>
                <w:rFonts w:cs="Arial"/>
                <w:spacing w:val="-3"/>
                <w:sz w:val="14"/>
                <w:szCs w:val="14"/>
              </w:rPr>
              <w:t xml:space="preserve"> a</w:t>
            </w:r>
            <w:r>
              <w:rPr>
                <w:rFonts w:cs="Arial"/>
                <w:spacing w:val="-3"/>
                <w:sz w:val="14"/>
                <w:szCs w:val="14"/>
              </w:rPr>
              <w:t> </w:t>
            </w:r>
            <w:r w:rsidRPr="00AB5C0C">
              <w:rPr>
                <w:rFonts w:cs="Arial"/>
                <w:spacing w:val="-3"/>
                <w:sz w:val="14"/>
                <w:szCs w:val="14"/>
              </w:rPr>
              <w:t>r</w:t>
            </w:r>
            <w:r>
              <w:rPr>
                <w:rFonts w:cs="Arial"/>
                <w:spacing w:val="-3"/>
                <w:sz w:val="14"/>
                <w:szCs w:val="14"/>
              </w:rPr>
              <w:t>ekreační</w:t>
            </w:r>
            <w:r w:rsidRPr="00AB5C0C">
              <w:rPr>
                <w:rFonts w:cs="Arial"/>
                <w:spacing w:val="-3"/>
                <w:sz w:val="14"/>
                <w:szCs w:val="14"/>
              </w:rPr>
              <w:t xml:space="preserve"> </w:t>
            </w:r>
            <w:r>
              <w:rPr>
                <w:rFonts w:cs="Arial"/>
                <w:spacing w:val="-3"/>
                <w:sz w:val="14"/>
                <w:szCs w:val="14"/>
              </w:rPr>
              <w:t>č</w:t>
            </w:r>
            <w:r w:rsidRPr="00AB5C0C">
              <w:rPr>
                <w:rFonts w:cs="Arial"/>
                <w:spacing w:val="-3"/>
                <w:sz w:val="14"/>
                <w:szCs w:val="14"/>
              </w:rPr>
              <w:t>in</w:t>
            </w:r>
            <w:r>
              <w:rPr>
                <w:rFonts w:cs="Arial"/>
                <w:spacing w:val="-3"/>
                <w:sz w:val="14"/>
                <w:szCs w:val="14"/>
              </w:rPr>
              <w:t xml:space="preserve">nosti.    </w:t>
            </w:r>
            <w:r w:rsidRPr="00990B08">
              <w:rPr>
                <w:spacing w:val="-3"/>
                <w:sz w:val="14"/>
                <w:szCs w:val="14"/>
              </w:rPr>
              <w:t>*</w:t>
            </w:r>
            <w:r>
              <w:rPr>
                <w:spacing w:val="-3"/>
                <w:sz w:val="14"/>
                <w:szCs w:val="14"/>
              </w:rPr>
              <w:t>*</w:t>
            </w:r>
            <w:r w:rsidRPr="00990B08">
              <w:rPr>
                <w:spacing w:val="-3"/>
                <w:sz w:val="14"/>
                <w:szCs w:val="14"/>
              </w:rPr>
              <w:t>Podíl sezónně neočištěného HDP a</w:t>
            </w:r>
            <w:r>
              <w:rPr>
                <w:spacing w:val="-3"/>
                <w:sz w:val="14"/>
                <w:szCs w:val="14"/>
              </w:rPr>
              <w:t> </w:t>
            </w:r>
            <w:r w:rsidRPr="00990B08">
              <w:rPr>
                <w:spacing w:val="-3"/>
                <w:sz w:val="14"/>
                <w:szCs w:val="14"/>
              </w:rPr>
              <w:t>zaměstnanosti (v</w:t>
            </w:r>
            <w:r>
              <w:rPr>
                <w:spacing w:val="-3"/>
                <w:sz w:val="14"/>
                <w:szCs w:val="14"/>
              </w:rPr>
              <w:t> </w:t>
            </w:r>
            <w:r w:rsidRPr="00990B08">
              <w:rPr>
                <w:spacing w:val="-3"/>
                <w:sz w:val="14"/>
                <w:szCs w:val="14"/>
              </w:rPr>
              <w:t>pojetí národ</w:t>
            </w:r>
            <w:r>
              <w:rPr>
                <w:spacing w:val="-3"/>
                <w:sz w:val="14"/>
                <w:szCs w:val="14"/>
              </w:rPr>
              <w:t>ních účtů).</w:t>
            </w:r>
          </w:p>
          <w:p w14:paraId="23031B31" w14:textId="77777777" w:rsidR="00485E82" w:rsidRPr="00F32B6E" w:rsidRDefault="00485E82" w:rsidP="00485E82">
            <w:pPr>
              <w:spacing w:after="0"/>
              <w:rPr>
                <w:spacing w:val="-2"/>
                <w:sz w:val="16"/>
                <w:szCs w:val="16"/>
              </w:rPr>
            </w:pPr>
            <w:r w:rsidRPr="00990B08">
              <w:rPr>
                <w:spacing w:val="-3"/>
                <w:sz w:val="14"/>
                <w:szCs w:val="14"/>
              </w:rPr>
              <w:t>Zdroj:</w:t>
            </w:r>
            <w:r w:rsidRPr="00862F17">
              <w:rPr>
                <w:rFonts w:cs="Arial"/>
                <w:sz w:val="14"/>
                <w:szCs w:val="14"/>
              </w:rPr>
              <w:t xml:space="preserve"> ČSÚ (národní účty</w:t>
            </w:r>
            <w:r>
              <w:rPr>
                <w:rFonts w:cs="Arial"/>
                <w:sz w:val="14"/>
                <w:szCs w:val="14"/>
              </w:rPr>
              <w:t>)</w:t>
            </w:r>
          </w:p>
        </w:tc>
      </w:tr>
    </w:tbl>
    <w:p w14:paraId="3A42DEA1" w14:textId="5F9B86AA" w:rsidR="00C715CC" w:rsidRPr="009110F7" w:rsidRDefault="00C715CC" w:rsidP="00C715CC">
      <w:pPr>
        <w:pStyle w:val="Nadpis11"/>
      </w:pPr>
      <w:bookmarkStart w:id="19" w:name="_Toc37403646"/>
      <w:r w:rsidRPr="009110F7">
        <w:lastRenderedPageBreak/>
        <w:t>7. Měnové podmínky</w:t>
      </w:r>
      <w:bookmarkEnd w:id="17"/>
      <w:bookmarkEnd w:id="19"/>
    </w:p>
    <w:tbl>
      <w:tblPr>
        <w:tblW w:w="9641" w:type="dxa"/>
        <w:tblInd w:w="-15" w:type="dxa"/>
        <w:tblCellMar>
          <w:left w:w="0" w:type="dxa"/>
          <w:right w:w="0" w:type="dxa"/>
        </w:tblCellMar>
        <w:tblLook w:val="00A0" w:firstRow="1" w:lastRow="0" w:firstColumn="1" w:lastColumn="0" w:noHBand="0" w:noVBand="0"/>
      </w:tblPr>
      <w:tblGrid>
        <w:gridCol w:w="1802"/>
        <w:gridCol w:w="229"/>
        <w:gridCol w:w="7610"/>
      </w:tblGrid>
      <w:tr w:rsidR="00DB5E3A" w:rsidRPr="00E66062" w14:paraId="4E439744" w14:textId="77777777" w:rsidTr="00A1053B">
        <w:trPr>
          <w:trHeight w:val="145"/>
        </w:trPr>
        <w:tc>
          <w:tcPr>
            <w:tcW w:w="1802" w:type="dxa"/>
            <w:shd w:val="clear" w:color="auto" w:fill="auto"/>
            <w:tcMar>
              <w:left w:w="0" w:type="dxa"/>
            </w:tcMar>
          </w:tcPr>
          <w:p w14:paraId="75C10766" w14:textId="77777777" w:rsidR="00DB5E3A" w:rsidRDefault="00DB5E3A" w:rsidP="00A1053B">
            <w:pPr>
              <w:pStyle w:val="Marginlie"/>
            </w:pPr>
            <w:proofErr w:type="spellStart"/>
            <w:r>
              <w:t>Měnověpolitické</w:t>
            </w:r>
            <w:proofErr w:type="spellEnd"/>
            <w:r>
              <w:t xml:space="preserve"> úrokové sazby se loni měnily jen jednou.</w:t>
            </w:r>
          </w:p>
        </w:tc>
        <w:tc>
          <w:tcPr>
            <w:tcW w:w="229" w:type="dxa"/>
            <w:shd w:val="clear" w:color="auto" w:fill="auto"/>
            <w:tcMar>
              <w:left w:w="0" w:type="dxa"/>
            </w:tcMar>
          </w:tcPr>
          <w:p w14:paraId="0945DAC8" w14:textId="77777777" w:rsidR="00DB5E3A" w:rsidRDefault="00DB5E3A" w:rsidP="00A1053B">
            <w:pPr>
              <w:pStyle w:val="Textpoznpodarou"/>
              <w:jc w:val="both"/>
              <w:rPr>
                <w:spacing w:val="-4"/>
              </w:rPr>
            </w:pPr>
          </w:p>
        </w:tc>
        <w:tc>
          <w:tcPr>
            <w:tcW w:w="7610" w:type="dxa"/>
            <w:shd w:val="clear" w:color="auto" w:fill="auto"/>
            <w:tcMar>
              <w:left w:w="0" w:type="dxa"/>
            </w:tcMar>
          </w:tcPr>
          <w:p w14:paraId="57E6D9EF" w14:textId="6D76D728" w:rsidR="00DB5E3A" w:rsidRPr="00E66062" w:rsidRDefault="00DB5E3A" w:rsidP="00A1053B">
            <w:pPr>
              <w:rPr>
                <w:spacing w:val="-2"/>
              </w:rPr>
            </w:pPr>
            <w:r>
              <w:rPr>
                <w:spacing w:val="-2"/>
              </w:rPr>
              <w:t xml:space="preserve">Nastavení základních </w:t>
            </w:r>
            <w:proofErr w:type="spellStart"/>
            <w:r>
              <w:rPr>
                <w:spacing w:val="-2"/>
              </w:rPr>
              <w:t>měnověpolitických</w:t>
            </w:r>
            <w:proofErr w:type="spellEnd"/>
            <w:r>
              <w:rPr>
                <w:spacing w:val="-2"/>
              </w:rPr>
              <w:t xml:space="preserve"> sazeb ČNB se loni měnilo jen jednou, a to v květnu. Až do konce roku tak </w:t>
            </w:r>
            <w:proofErr w:type="spellStart"/>
            <w:r>
              <w:rPr>
                <w:spacing w:val="-2"/>
              </w:rPr>
              <w:t>repo</w:t>
            </w:r>
            <w:proofErr w:type="spellEnd"/>
            <w:r>
              <w:rPr>
                <w:spacing w:val="-2"/>
              </w:rPr>
              <w:t xml:space="preserve"> sazba činila 2 %, diskontní sazba 1 % a lombardní sazba 3 %. Směnný kurz koruny vůči euru se po celý rok pohyboval v pásmu mezi 25,40 a 25,90 koruny za euro</w:t>
            </w:r>
            <w:r>
              <w:rPr>
                <w:rStyle w:val="Znakapoznpodarou"/>
                <w:spacing w:val="-2"/>
              </w:rPr>
              <w:footnoteReference w:id="67"/>
            </w:r>
            <w:r>
              <w:rPr>
                <w:spacing w:val="-2"/>
              </w:rPr>
              <w:t>. Průměrná hodnota kurzu dosahovala 25,68 koruny v 1.</w:t>
            </w:r>
            <w:r w:rsidR="006B27C7">
              <w:rPr>
                <w:spacing w:val="-2"/>
              </w:rPr>
              <w:t> </w:t>
            </w:r>
            <w:r>
              <w:rPr>
                <w:spacing w:val="-2"/>
              </w:rPr>
              <w:t>a 2. čtvrtletí, 25,74 koruny ve 3. čtvrtletí a 25,58 koruny ve 4. čtvrtletí. Meziroční ani mezičtvrtletní pohyb kurzu tak nebyl příliš výrazný. Kurz koruny vůči dolaru měl v 1. až 3. čtvrtletí tendenci oslabovat (výjimkou bylo krátké posílení v průběhu června, průměrný kurz činil 22,61, 22,86 a 23,15 koruny v 1., 2. a 3. čtvrtletí). Ve 4. kvartálu kurz mírně posiloval (průměr 23,11 koruny za dolar). Ve srovnání s rokem 2018 byl kurz vůči dolaru výrazně slabší (roční průměr v roce 2018 činil 21,74 CZK/USD, loni to bylo 22,93 CZK/USD).</w:t>
            </w:r>
          </w:p>
        </w:tc>
      </w:tr>
      <w:tr w:rsidR="00DB5E3A" w:rsidRPr="00E66062" w14:paraId="0FF5EFB9" w14:textId="77777777" w:rsidTr="00A1053B">
        <w:trPr>
          <w:trHeight w:val="145"/>
        </w:trPr>
        <w:tc>
          <w:tcPr>
            <w:tcW w:w="1802" w:type="dxa"/>
            <w:shd w:val="clear" w:color="auto" w:fill="auto"/>
            <w:tcMar>
              <w:left w:w="0" w:type="dxa"/>
            </w:tcMar>
          </w:tcPr>
          <w:p w14:paraId="120EE5B2" w14:textId="77777777" w:rsidR="00DB5E3A" w:rsidRDefault="00DB5E3A" w:rsidP="00A1053B">
            <w:pPr>
              <w:pStyle w:val="Marginlie"/>
            </w:pPr>
            <w:r>
              <w:t>Výnosy vládních dluhopisů od září rostly.</w:t>
            </w:r>
          </w:p>
        </w:tc>
        <w:tc>
          <w:tcPr>
            <w:tcW w:w="229" w:type="dxa"/>
            <w:shd w:val="clear" w:color="auto" w:fill="auto"/>
            <w:tcMar>
              <w:left w:w="0" w:type="dxa"/>
            </w:tcMar>
          </w:tcPr>
          <w:p w14:paraId="608E96E8" w14:textId="77777777" w:rsidR="00DB5E3A" w:rsidRDefault="00DB5E3A" w:rsidP="00A1053B">
            <w:pPr>
              <w:pStyle w:val="Textpoznpodarou"/>
              <w:jc w:val="both"/>
              <w:rPr>
                <w:spacing w:val="-4"/>
              </w:rPr>
            </w:pPr>
          </w:p>
        </w:tc>
        <w:tc>
          <w:tcPr>
            <w:tcW w:w="7610" w:type="dxa"/>
            <w:shd w:val="clear" w:color="auto" w:fill="auto"/>
            <w:tcMar>
              <w:left w:w="0" w:type="dxa"/>
            </w:tcMar>
          </w:tcPr>
          <w:p w14:paraId="594039CA" w14:textId="77777777" w:rsidR="00DB5E3A" w:rsidRPr="00E66062" w:rsidRDefault="00DB5E3A" w:rsidP="00A1053B">
            <w:pPr>
              <w:rPr>
                <w:spacing w:val="-1"/>
              </w:rPr>
            </w:pPr>
            <w:r>
              <w:rPr>
                <w:spacing w:val="-1"/>
              </w:rPr>
              <w:t xml:space="preserve">Mezibankovní úrokové sazby v podstatě kopírují vývoj těch </w:t>
            </w:r>
            <w:proofErr w:type="spellStart"/>
            <w:r>
              <w:rPr>
                <w:spacing w:val="-1"/>
              </w:rPr>
              <w:t>měnověpolitických</w:t>
            </w:r>
            <w:proofErr w:type="spellEnd"/>
            <w:r>
              <w:rPr>
                <w:spacing w:val="-1"/>
              </w:rPr>
              <w:t>, takže úroková sazba PRIBOR (všechny druhy) se po květnovém navýšení dále příliš neměnila. Ke konci roku dosahovala tříměsíční sazba PRIBOR 2,18 %. Zajímavěji se loni vyvíjely výnosy vládních dluhopisů. Průměrné sazby u všech splatností dluhopisů (krátkodobá, střednědobá a dlouhodobá) od ledna do května mírně fluktuovaly (okolo 1,65 % u krátkodobých, 1,60 % u střednědobých a 1,80 % u dlouhodobých), ale výrazněji se neměnily. V průběhu června až srpna ale výnosy výrazně poklesly (v srpnu se průměry dostaly u všech typů dluhopisů pod 1 %). Až do konce roku pak výnosy na vládních dluhopisech rostly a k 31. 12. dosahovaly 1,36 % u krátkodobých, 1,31 % u střednědobých a 1,51 % u dlouhodobých dluhopisů.</w:t>
            </w:r>
          </w:p>
        </w:tc>
      </w:tr>
      <w:tr w:rsidR="00DB5E3A" w:rsidRPr="00E66062" w14:paraId="0C9E40A8" w14:textId="77777777" w:rsidTr="00A1053B">
        <w:trPr>
          <w:trHeight w:val="145"/>
        </w:trPr>
        <w:tc>
          <w:tcPr>
            <w:tcW w:w="1802" w:type="dxa"/>
            <w:shd w:val="clear" w:color="auto" w:fill="auto"/>
            <w:tcMar>
              <w:left w:w="0" w:type="dxa"/>
            </w:tcMar>
          </w:tcPr>
          <w:p w14:paraId="68FA50EA" w14:textId="77777777" w:rsidR="00DB5E3A" w:rsidRDefault="00DB5E3A" w:rsidP="00A1053B">
            <w:pPr>
              <w:pStyle w:val="Marginlie"/>
            </w:pPr>
            <w:r>
              <w:t>Úročení vkladů s dohodnutou splatností se loni zvyšovalo, což k nim přilákalo poměrně velký objem finančních prostředků.</w:t>
            </w:r>
          </w:p>
        </w:tc>
        <w:tc>
          <w:tcPr>
            <w:tcW w:w="229" w:type="dxa"/>
            <w:shd w:val="clear" w:color="auto" w:fill="auto"/>
            <w:tcMar>
              <w:left w:w="0" w:type="dxa"/>
            </w:tcMar>
          </w:tcPr>
          <w:p w14:paraId="65FF1080" w14:textId="77777777" w:rsidR="00DB5E3A" w:rsidRDefault="00DB5E3A" w:rsidP="00A1053B">
            <w:pPr>
              <w:pStyle w:val="Textpoznpodarou"/>
              <w:jc w:val="both"/>
              <w:rPr>
                <w:spacing w:val="-4"/>
              </w:rPr>
            </w:pPr>
          </w:p>
        </w:tc>
        <w:tc>
          <w:tcPr>
            <w:tcW w:w="7610" w:type="dxa"/>
            <w:shd w:val="clear" w:color="auto" w:fill="auto"/>
            <w:tcMar>
              <w:left w:w="0" w:type="dxa"/>
            </w:tcMar>
          </w:tcPr>
          <w:p w14:paraId="0528E322" w14:textId="77777777" w:rsidR="00DB5E3A" w:rsidRPr="00E66062" w:rsidRDefault="00DB5E3A" w:rsidP="00A1053B">
            <w:pPr>
              <w:rPr>
                <w:spacing w:val="-3"/>
              </w:rPr>
            </w:pPr>
            <w:r>
              <w:rPr>
                <w:spacing w:val="-3"/>
              </w:rPr>
              <w:t>Ačkoli úročení běžných účtů pro domácnosti zůstávalo na stejné (téměř nulové) hladině po celý rok, u vkladů s dohodnutou splatností se průměrné sazby v průběhu roku měnily. Výraznější posun vzhůru bylo možné zachytit již ve 2. pololetí roku 2018 a loňské 1. až 3. čtvrtletí na tento vývoj navázalo. Od ledna do září 2019 se průměrná úroková sazba na vkladech s dohodnutou splatností zvýšila o 0,25 p. b. na 1,6 %. Ve 4. čtvrtletí ale úrokové sazby poklesly (k 31. 12. činil průměr 1,52 %). Nefinanční podniky měly loni na běžných účtech mírně lepší podmínky než domácnosti – během 1. pololetí 2019 průměrná úroková sazba stoupla na 0,22 % a pak se na této úrovni držela až do konce roku (0,21 % k 31. 12.). Průměrné úročení vkladů s dohodnutou splatností pro nefinanční podniky se vyvíjelo stejně jako u domácností – rostlo během 1. až 3. čtvrtletí a mírně kleslo ve 4. kvartálu (k 31. 12. činilo 1,52 %). Popsaný vývoj úrokových sazeb měl vliv také na strukturu peněžní zásoby. Její meziroční růst v letech 2018 a 2019 výrazně zmírnil, a to hlavně pod vlivem oběživa a jednodenních vkladů. Prudce ale rostl objem prostředků ve formě vkladů s dohodnutou splatností (během roku 2019 se zvýšil o 128,7 mld. korun, 59,2 %).</w:t>
            </w:r>
          </w:p>
        </w:tc>
      </w:tr>
      <w:tr w:rsidR="00DB5E3A" w14:paraId="7EB3C412" w14:textId="77777777" w:rsidTr="00A1053B">
        <w:trPr>
          <w:trHeight w:val="145"/>
        </w:trPr>
        <w:tc>
          <w:tcPr>
            <w:tcW w:w="1802" w:type="dxa"/>
            <w:shd w:val="clear" w:color="auto" w:fill="auto"/>
            <w:tcMar>
              <w:left w:w="0" w:type="dxa"/>
            </w:tcMar>
          </w:tcPr>
          <w:p w14:paraId="2E233470" w14:textId="77777777" w:rsidR="00DB5E3A" w:rsidRDefault="00DB5E3A" w:rsidP="00A1053B">
            <w:pPr>
              <w:pStyle w:val="Marginlie"/>
            </w:pPr>
            <w:r>
              <w:t>Loni zpomaloval meziroční růst objemu úvěrů poskytnutých domácnostem na bydlení.</w:t>
            </w:r>
          </w:p>
        </w:tc>
        <w:tc>
          <w:tcPr>
            <w:tcW w:w="229" w:type="dxa"/>
            <w:shd w:val="clear" w:color="auto" w:fill="auto"/>
            <w:tcMar>
              <w:left w:w="0" w:type="dxa"/>
            </w:tcMar>
          </w:tcPr>
          <w:p w14:paraId="179F8A80" w14:textId="77777777" w:rsidR="00DB5E3A" w:rsidRDefault="00DB5E3A" w:rsidP="00A1053B">
            <w:pPr>
              <w:pStyle w:val="Textpoznpodarou"/>
              <w:jc w:val="both"/>
              <w:rPr>
                <w:spacing w:val="-4"/>
              </w:rPr>
            </w:pPr>
          </w:p>
        </w:tc>
        <w:tc>
          <w:tcPr>
            <w:tcW w:w="7610" w:type="dxa"/>
            <w:shd w:val="clear" w:color="auto" w:fill="auto"/>
            <w:tcMar>
              <w:left w:w="0" w:type="dxa"/>
            </w:tcMar>
          </w:tcPr>
          <w:p w14:paraId="5E9113DC" w14:textId="77777777" w:rsidR="00DB5E3A" w:rsidRDefault="00DB5E3A" w:rsidP="00A1053B">
            <w:r>
              <w:t xml:space="preserve">Úroveň úrokových sazeb úvěrů pro domácnosti během loňského roku klesala. Snížil se průměrný úrok úvěrů na spotřebu (k 31. 12. činil 8,28 %, meziročně poklesl o 0,35 p. b.). Ještě výrazněji klesalo průměrné úročení úvěrů na nákup bytové nemovitosti. V 1. čtvrtletí sice sazba drobně vzrostla (na 2,97 % k 31. 3.), během následujících čtvrtletí ale došlo k propadu až na 2,49 % ke konci roku 2019. Popsaný pokles probíhal u všech druhů fixace sazby. Meziroční růst objemu spotřebitelských úvěrů v závěru loňského roku zrychlil na 8,9 % a k 31. 12. činil objem poskytnutých úvěrů 234,4 mld. korun (meziroční navýšení o 19,1 mld.). Od začátku roku postupně zpomaloval meziroční růst objemu úvěrů na bydlení. Ve 4. čtvrtletí se jejich objem zvýšil o 6,7 % (poprvé od 2. čtvrtletí 2015 tempo kleslo pod 7 %). Počty nových hypotečních smluv loni dosáhl 154,2 tisíce a meziročně se tak propadl o 29,3 tisíce. Celkové </w:t>
            </w:r>
            <w:r>
              <w:lastRenderedPageBreak/>
              <w:t>zadlužení domácností ke konci roku 2019 činilo 1 816,4 mld. korun a meziročně se zvýšilo o 103,3 mld. korun (6,0 %). Většinu z tohoto nárůstu tvořilo zadlužení kvůli bydlení (82,1 mld.).</w:t>
            </w:r>
          </w:p>
        </w:tc>
      </w:tr>
      <w:tr w:rsidR="00DB5E3A" w14:paraId="796A0D81" w14:textId="77777777" w:rsidTr="00A1053B">
        <w:trPr>
          <w:trHeight w:val="145"/>
        </w:trPr>
        <w:tc>
          <w:tcPr>
            <w:tcW w:w="1802" w:type="dxa"/>
            <w:shd w:val="clear" w:color="auto" w:fill="auto"/>
            <w:tcMar>
              <w:left w:w="0" w:type="dxa"/>
            </w:tcMar>
          </w:tcPr>
          <w:p w14:paraId="5175EEFC" w14:textId="77777777" w:rsidR="00DB5E3A" w:rsidRDefault="00DB5E3A" w:rsidP="00A1053B">
            <w:pPr>
              <w:pStyle w:val="Marginlie"/>
            </w:pPr>
            <w:r>
              <w:lastRenderedPageBreak/>
              <w:t>Velkou část úvěrů poskytnutých nefinančním podnikům tvořily půjčky v zahraničních měnách.</w:t>
            </w:r>
          </w:p>
        </w:tc>
        <w:tc>
          <w:tcPr>
            <w:tcW w:w="229" w:type="dxa"/>
            <w:shd w:val="clear" w:color="auto" w:fill="auto"/>
            <w:tcMar>
              <w:left w:w="0" w:type="dxa"/>
            </w:tcMar>
          </w:tcPr>
          <w:p w14:paraId="345E0A8C" w14:textId="77777777" w:rsidR="00DB5E3A" w:rsidRDefault="00DB5E3A" w:rsidP="00A1053B">
            <w:pPr>
              <w:pStyle w:val="Textpoznpodarou"/>
              <w:jc w:val="both"/>
              <w:rPr>
                <w:spacing w:val="-4"/>
              </w:rPr>
            </w:pPr>
          </w:p>
        </w:tc>
        <w:tc>
          <w:tcPr>
            <w:tcW w:w="7610" w:type="dxa"/>
            <w:shd w:val="clear" w:color="auto" w:fill="auto"/>
            <w:tcMar>
              <w:left w:w="0" w:type="dxa"/>
            </w:tcMar>
          </w:tcPr>
          <w:p w14:paraId="16C75DE6" w14:textId="77777777" w:rsidR="00DB5E3A" w:rsidRDefault="00DB5E3A" w:rsidP="00A1053B">
            <w:r>
              <w:t>Podmínky úvěrů pro nefinanční podniky se v roce 2019 měnily v závislosti na objemu poskytnutých prostředků. U kategorie úvěrů do 7,5 milionu korun průměrný úrok rostl v 1. čtvrtletí na 4,33 % a ve 3. čtvrtletí na 4,42 %, ale v závěru roku došlo k poklesu na 4,11 %. U střední kategorie úvěrů (7,5–30 mil. korun) sazby po celý rok kolísaly (3,32 %, 3,45 % a 3,39 % ke konci 1., 2. a 3. čtvrtletí) a v závěru roku se zvýšily na 3,53 %. Úročení úvěrů nad 30 milionů se loni pohybovalo nejméně – pouze v řádu setin p. b. – a k 31. 12. činilo 3,76 %. Po poměrně silném meziročním přírůstku v 1. čtvrtletí (6,2 %) se tempo růstu objemu úvěrů a pohledávek nefinančních podniků zmírnilo. Stav k 31. 12. byl meziročně o 3,7 % vyšší. Navyšoval se objem střednědobých (5,8 %) a dlouhodobých úvěrů (5,0 %). Standardem se stalo úvěrové financování v cizích měnách. To k 31. 12. tvořilo 33,3 % všech úvěrů a pohledávek a meziroční přírůstek celkového objemu úvěrů (39,7 mld. korun) byl z naprosté většiny tvořen právě těmi denominovanými v cizí měně (37,2 mld.). V loňském roce se v některých odvětvích výrazně propadlo meziroční tempo růstu objemu úvěrů. Důvodem ale byla mimo jiné vysoká srovnávací základna roku 2018</w:t>
            </w:r>
            <w:r>
              <w:rPr>
                <w:rStyle w:val="Znakapoznpodarou"/>
              </w:rPr>
              <w:footnoteReference w:id="68"/>
            </w:r>
            <w:r>
              <w:t>. Objem poskytnutých úvěrů se k 31. 12. meziročně snížil v dopravě a skladování (–9,5 %, nárůst v roce 2018 dosáhl 14,0 %), ubytování, stravování a pohostinství (–5,5 %, 15,4 % v roce 2018) nebo informačních a komunikačních činnostech (–5,1 %, 15,4 % v roce 2018). Jen mírný byl přírůstek úvěrů ve zpracovatelském průmyslu (1,6 %). Navzdory zpomalení ve srovnání s předchozím rokem se příznivý vývoj situace v odvětví odrážel na přírůstku úvěrů poskytnutých ve stavebnictví (8,8 %). Poměrně solidně rostl objem půjček také u činností v oblasti nemovitostí (7,5 %).</w:t>
            </w:r>
          </w:p>
        </w:tc>
      </w:tr>
      <w:tr w:rsidR="00DB5E3A" w14:paraId="50317E57" w14:textId="77777777" w:rsidTr="00A1053B">
        <w:trPr>
          <w:trHeight w:val="304"/>
        </w:trPr>
        <w:tc>
          <w:tcPr>
            <w:tcW w:w="1802" w:type="dxa"/>
            <w:vMerge w:val="restart"/>
            <w:shd w:val="clear" w:color="auto" w:fill="auto"/>
            <w:tcMar>
              <w:left w:w="0" w:type="dxa"/>
            </w:tcMar>
          </w:tcPr>
          <w:p w14:paraId="7494FC9B" w14:textId="77777777" w:rsidR="00DB5E3A" w:rsidRDefault="00DB5E3A" w:rsidP="00A1053B">
            <w:pPr>
              <w:pStyle w:val="Marginlie"/>
            </w:pPr>
          </w:p>
        </w:tc>
        <w:tc>
          <w:tcPr>
            <w:tcW w:w="229" w:type="dxa"/>
            <w:vMerge w:val="restart"/>
            <w:shd w:val="clear" w:color="auto" w:fill="auto"/>
            <w:tcMar>
              <w:left w:w="0" w:type="dxa"/>
            </w:tcMar>
          </w:tcPr>
          <w:p w14:paraId="12ABB222" w14:textId="77777777" w:rsidR="00DB5E3A" w:rsidRDefault="00DB5E3A" w:rsidP="00A1053B">
            <w:pPr>
              <w:pStyle w:val="Textpoznpodarou"/>
              <w:jc w:val="both"/>
              <w:rPr>
                <w:spacing w:val="-4"/>
              </w:rPr>
            </w:pPr>
          </w:p>
        </w:tc>
        <w:tc>
          <w:tcPr>
            <w:tcW w:w="7610" w:type="dxa"/>
            <w:shd w:val="clear" w:color="auto" w:fill="auto"/>
            <w:tcMar>
              <w:left w:w="0" w:type="dxa"/>
            </w:tcMar>
          </w:tcPr>
          <w:p w14:paraId="5FDD8483" w14:textId="04F4EA73" w:rsidR="00DB5E3A" w:rsidRDefault="000767F5" w:rsidP="00A1053B">
            <w:pPr>
              <w:spacing w:after="0"/>
            </w:pPr>
            <w:r>
              <w:rPr>
                <w:rFonts w:cs="Arial"/>
                <w:b/>
                <w:bCs/>
                <w:color w:val="000000"/>
                <w:sz w:val="18"/>
                <w:szCs w:val="18"/>
              </w:rPr>
              <w:t>Graf č. 15</w:t>
            </w:r>
            <w:r w:rsidR="00DB5E3A" w:rsidRPr="00631BC9">
              <w:rPr>
                <w:rFonts w:cs="Arial"/>
                <w:b/>
                <w:bCs/>
                <w:color w:val="000000"/>
                <w:sz w:val="18"/>
                <w:szCs w:val="18"/>
              </w:rPr>
              <w:t xml:space="preserve">  </w:t>
            </w:r>
            <w:r w:rsidR="00DB5E3A">
              <w:rPr>
                <w:b/>
                <w:spacing w:val="-4"/>
                <w:sz w:val="18"/>
                <w:szCs w:val="18"/>
              </w:rPr>
              <w:t xml:space="preserve">Tržní úrokové sazby </w:t>
            </w:r>
            <w:r w:rsidR="00DB5E3A" w:rsidRPr="00AB2A66">
              <w:rPr>
                <w:bCs/>
                <w:spacing w:val="-4"/>
                <w:sz w:val="18"/>
                <w:szCs w:val="18"/>
              </w:rPr>
              <w:t>(v %)</w:t>
            </w:r>
          </w:p>
        </w:tc>
      </w:tr>
      <w:tr w:rsidR="00DB5E3A" w:rsidRPr="009110F7" w14:paraId="184CF3EF" w14:textId="77777777" w:rsidTr="00A1053B">
        <w:tblPrEx>
          <w:tblCellMar>
            <w:left w:w="70" w:type="dxa"/>
            <w:right w:w="70" w:type="dxa"/>
          </w:tblCellMar>
        </w:tblPrEx>
        <w:trPr>
          <w:trHeight w:val="170"/>
        </w:trPr>
        <w:tc>
          <w:tcPr>
            <w:tcW w:w="1802" w:type="dxa"/>
            <w:vMerge/>
            <w:shd w:val="clear" w:color="auto" w:fill="auto"/>
          </w:tcPr>
          <w:p w14:paraId="15C8A6E6" w14:textId="77777777" w:rsidR="00DB5E3A" w:rsidRPr="009110F7" w:rsidRDefault="00DB5E3A" w:rsidP="00A1053B">
            <w:pPr>
              <w:pStyle w:val="Marginlie"/>
            </w:pPr>
          </w:p>
        </w:tc>
        <w:tc>
          <w:tcPr>
            <w:tcW w:w="229" w:type="dxa"/>
            <w:vMerge/>
            <w:shd w:val="clear" w:color="auto" w:fill="auto"/>
          </w:tcPr>
          <w:p w14:paraId="4DB7907C" w14:textId="77777777" w:rsidR="00DB5E3A" w:rsidRPr="009110F7" w:rsidRDefault="00DB5E3A" w:rsidP="00A1053B">
            <w:pPr>
              <w:pStyle w:val="Textpoznpodarou"/>
              <w:jc w:val="both"/>
              <w:rPr>
                <w:spacing w:val="-4"/>
              </w:rPr>
            </w:pPr>
          </w:p>
        </w:tc>
        <w:tc>
          <w:tcPr>
            <w:tcW w:w="7610" w:type="dxa"/>
            <w:shd w:val="clear" w:color="auto" w:fill="auto"/>
          </w:tcPr>
          <w:p w14:paraId="162EB11A" w14:textId="77777777" w:rsidR="00DB5E3A" w:rsidRPr="009110F7" w:rsidRDefault="00DB5E3A" w:rsidP="00A1053B">
            <w:pPr>
              <w:spacing w:after="0"/>
              <w:rPr>
                <w:sz w:val="14"/>
                <w:szCs w:val="14"/>
              </w:rPr>
            </w:pPr>
            <w:r>
              <w:rPr>
                <w:noProof/>
              </w:rPr>
              <w:drawing>
                <wp:inline distT="0" distB="0" distL="0" distR="0" wp14:anchorId="6A80FFFE" wp14:editId="71E9992C">
                  <wp:extent cx="4737600" cy="3553200"/>
                  <wp:effectExtent l="0" t="0" r="6350" b="0"/>
                  <wp:docPr id="36" name="Graf 36">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DB5E3A" w:rsidRPr="009110F7" w14:paraId="129B4A60" w14:textId="77777777" w:rsidTr="00A1053B">
        <w:trPr>
          <w:trHeight w:val="170"/>
        </w:trPr>
        <w:tc>
          <w:tcPr>
            <w:tcW w:w="1802" w:type="dxa"/>
            <w:vMerge/>
            <w:shd w:val="clear" w:color="auto" w:fill="auto"/>
            <w:tcMar>
              <w:left w:w="0" w:type="dxa"/>
            </w:tcMar>
          </w:tcPr>
          <w:p w14:paraId="5B36E839" w14:textId="77777777" w:rsidR="00DB5E3A" w:rsidRPr="009110F7" w:rsidRDefault="00DB5E3A" w:rsidP="00A1053B">
            <w:pPr>
              <w:pStyle w:val="Marginlie"/>
            </w:pPr>
          </w:p>
        </w:tc>
        <w:tc>
          <w:tcPr>
            <w:tcW w:w="229" w:type="dxa"/>
            <w:vMerge/>
            <w:shd w:val="clear" w:color="auto" w:fill="auto"/>
            <w:tcMar>
              <w:left w:w="0" w:type="dxa"/>
            </w:tcMar>
          </w:tcPr>
          <w:p w14:paraId="6477A8B9" w14:textId="77777777" w:rsidR="00DB5E3A" w:rsidRPr="009110F7" w:rsidRDefault="00DB5E3A" w:rsidP="00A1053B">
            <w:pPr>
              <w:pStyle w:val="Textpoznpodarou"/>
              <w:jc w:val="both"/>
              <w:rPr>
                <w:spacing w:val="-4"/>
              </w:rPr>
            </w:pPr>
          </w:p>
        </w:tc>
        <w:tc>
          <w:tcPr>
            <w:tcW w:w="7610" w:type="dxa"/>
            <w:shd w:val="clear" w:color="auto" w:fill="auto"/>
            <w:tcMar>
              <w:left w:w="0" w:type="dxa"/>
            </w:tcMar>
          </w:tcPr>
          <w:p w14:paraId="5D90AF20" w14:textId="77777777" w:rsidR="00DB5E3A" w:rsidRPr="009110F7" w:rsidRDefault="00DB5E3A" w:rsidP="00A1053B">
            <w:pPr>
              <w:spacing w:after="0"/>
              <w:rPr>
                <w:sz w:val="14"/>
                <w:szCs w:val="14"/>
              </w:rPr>
            </w:pPr>
            <w:r>
              <w:rPr>
                <w:sz w:val="14"/>
                <w:szCs w:val="14"/>
              </w:rPr>
              <w:t>Zdroj: ČNB</w:t>
            </w:r>
          </w:p>
        </w:tc>
      </w:tr>
    </w:tbl>
    <w:p w14:paraId="67590406" w14:textId="77777777" w:rsidR="0067514E" w:rsidRDefault="0067514E" w:rsidP="0067514E">
      <w:pPr>
        <w:pStyle w:val="Nadpis11"/>
      </w:pPr>
      <w:bookmarkStart w:id="20" w:name="_Toc26865023"/>
      <w:bookmarkStart w:id="21" w:name="_Toc37403647"/>
      <w:r w:rsidRPr="009110F7">
        <w:lastRenderedPageBreak/>
        <w:t>8</w:t>
      </w:r>
      <w:r>
        <w:t>. </w:t>
      </w:r>
      <w:r w:rsidRPr="009110F7">
        <w:t>Státní rozpočet</w:t>
      </w:r>
      <w:bookmarkEnd w:id="21"/>
    </w:p>
    <w:tbl>
      <w:tblPr>
        <w:tblW w:w="9669" w:type="dxa"/>
        <w:tblInd w:w="-20" w:type="dxa"/>
        <w:tblCellMar>
          <w:left w:w="0" w:type="dxa"/>
          <w:right w:w="0" w:type="dxa"/>
        </w:tblCellMar>
        <w:tblLook w:val="00A0" w:firstRow="1" w:lastRow="0" w:firstColumn="1" w:lastColumn="0" w:noHBand="0" w:noVBand="0"/>
      </w:tblPr>
      <w:tblGrid>
        <w:gridCol w:w="1732"/>
        <w:gridCol w:w="217"/>
        <w:gridCol w:w="7720"/>
      </w:tblGrid>
      <w:tr w:rsidR="0067514E" w:rsidRPr="003C07E6" w14:paraId="294B2488" w14:textId="77777777" w:rsidTr="008D1E0A">
        <w:trPr>
          <w:trHeight w:val="145"/>
        </w:trPr>
        <w:tc>
          <w:tcPr>
            <w:tcW w:w="1732" w:type="dxa"/>
            <w:shd w:val="clear" w:color="auto" w:fill="auto"/>
            <w:tcMar>
              <w:left w:w="0" w:type="dxa"/>
            </w:tcMar>
          </w:tcPr>
          <w:p w14:paraId="5CFC4A7F" w14:textId="77777777" w:rsidR="0067514E" w:rsidRDefault="0067514E" w:rsidP="008D1E0A">
            <w:pPr>
              <w:pStyle w:val="Marginlie"/>
            </w:pPr>
            <w:r>
              <w:t>Hospodaření státního rozpočtu se loni vrátilo k deficitu. Jeho saldo bylo nejhorší za poslední čtyři roky, ale lepší než za konjunktury minulé dekády.</w:t>
            </w:r>
          </w:p>
        </w:tc>
        <w:tc>
          <w:tcPr>
            <w:tcW w:w="217" w:type="dxa"/>
            <w:shd w:val="clear" w:color="auto" w:fill="auto"/>
            <w:tcMar>
              <w:left w:w="0" w:type="dxa"/>
            </w:tcMar>
          </w:tcPr>
          <w:p w14:paraId="55C2CEB1" w14:textId="77777777" w:rsidR="0067514E" w:rsidRDefault="0067514E" w:rsidP="008D1E0A">
            <w:pPr>
              <w:pStyle w:val="Textpoznpodarou"/>
              <w:jc w:val="both"/>
              <w:rPr>
                <w:spacing w:val="-4"/>
              </w:rPr>
            </w:pPr>
          </w:p>
        </w:tc>
        <w:tc>
          <w:tcPr>
            <w:tcW w:w="7720" w:type="dxa"/>
            <w:shd w:val="clear" w:color="auto" w:fill="auto"/>
            <w:tcMar>
              <w:left w:w="0" w:type="dxa"/>
            </w:tcMar>
          </w:tcPr>
          <w:p w14:paraId="2D802D00" w14:textId="77777777" w:rsidR="0067514E" w:rsidRPr="0067514E" w:rsidRDefault="0067514E" w:rsidP="008D1E0A">
            <w:pPr>
              <w:spacing w:after="220"/>
              <w:rPr>
                <w:spacing w:val="-6"/>
              </w:rPr>
            </w:pPr>
            <w:r w:rsidRPr="0067514E">
              <w:rPr>
                <w:spacing w:val="-6"/>
              </w:rPr>
              <w:t>V roce 2019 zaznamenal státní rozpočet (SR)</w:t>
            </w:r>
            <w:r w:rsidRPr="0067514E">
              <w:rPr>
                <w:rStyle w:val="Znakapoznpodarou"/>
                <w:spacing w:val="-6"/>
              </w:rPr>
              <w:footnoteReference w:id="69"/>
            </w:r>
            <w:r w:rsidRPr="0067514E">
              <w:rPr>
                <w:spacing w:val="-6"/>
              </w:rPr>
              <w:t xml:space="preserve"> schodek 28,5 mld. korun a docílil tak nejslabšího výsledku za poslední čtyři roky. Hloubka deficitu byla ale současně ve srovnání s průměrem za konjunkturní období minulé dekády (2003 až 2007) výrazně nižší (o 56 mld.). Za poklesem salda oproti roku 2018 (o 31,5 mld.) stály loni především svižný růst běžných i investičních výdajů a dále i mírné zpomalení dynamiky výběru některých váhově významných daní vlivem zvolnění hospodářského růstu. V menší míře působila také bilance toků ve vztahu k rozpočtu EU</w:t>
            </w:r>
            <w:r w:rsidRPr="0067514E">
              <w:rPr>
                <w:rStyle w:val="Znakapoznpodarou"/>
                <w:spacing w:val="-6"/>
              </w:rPr>
              <w:footnoteReference w:id="70"/>
            </w:r>
            <w:r w:rsidRPr="0067514E">
              <w:rPr>
                <w:spacing w:val="-6"/>
              </w:rPr>
              <w:t>.</w:t>
            </w:r>
          </w:p>
        </w:tc>
      </w:tr>
      <w:tr w:rsidR="0067514E" w:rsidRPr="003C07E6" w14:paraId="148CA1C0" w14:textId="77777777" w:rsidTr="008D1E0A">
        <w:trPr>
          <w:trHeight w:val="145"/>
        </w:trPr>
        <w:tc>
          <w:tcPr>
            <w:tcW w:w="1732" w:type="dxa"/>
            <w:shd w:val="clear" w:color="auto" w:fill="auto"/>
            <w:tcMar>
              <w:left w:w="0" w:type="dxa"/>
            </w:tcMar>
          </w:tcPr>
          <w:p w14:paraId="42C52C7B" w14:textId="77777777" w:rsidR="0067514E" w:rsidRDefault="0067514E" w:rsidP="008D1E0A">
            <w:pPr>
              <w:pStyle w:val="Marginlie"/>
            </w:pPr>
            <w:r>
              <w:t>Růst celkových příjmů SR táhly hlavně nedaňové a kapitálové příjmy. V souhrnném daňovém inkasu včetně pojistného se postupně projevoval vliv zpomalování růstu ekonomiky.</w:t>
            </w:r>
          </w:p>
        </w:tc>
        <w:tc>
          <w:tcPr>
            <w:tcW w:w="217" w:type="dxa"/>
            <w:shd w:val="clear" w:color="auto" w:fill="auto"/>
            <w:tcMar>
              <w:left w:w="0" w:type="dxa"/>
            </w:tcMar>
          </w:tcPr>
          <w:p w14:paraId="21483191" w14:textId="77777777" w:rsidR="0067514E" w:rsidRDefault="0067514E" w:rsidP="008D1E0A">
            <w:pPr>
              <w:pStyle w:val="Textpoznpodarou"/>
              <w:jc w:val="both"/>
              <w:rPr>
                <w:spacing w:val="-4"/>
              </w:rPr>
            </w:pPr>
          </w:p>
        </w:tc>
        <w:tc>
          <w:tcPr>
            <w:tcW w:w="7720" w:type="dxa"/>
            <w:shd w:val="clear" w:color="auto" w:fill="auto"/>
            <w:tcMar>
              <w:left w:w="0" w:type="dxa"/>
            </w:tcMar>
          </w:tcPr>
          <w:p w14:paraId="69A25B12" w14:textId="1C529D87" w:rsidR="0067514E" w:rsidRPr="0067514E" w:rsidRDefault="0067514E" w:rsidP="008D1E0A">
            <w:pPr>
              <w:spacing w:after="220"/>
              <w:rPr>
                <w:spacing w:val="-6"/>
              </w:rPr>
            </w:pPr>
            <w:r w:rsidRPr="0067514E">
              <w:rPr>
                <w:spacing w:val="-6"/>
              </w:rPr>
              <w:t>Meziroční růst příjmů SR (o 8,5 %, resp. 119,3 mld. korun) byl loni z více než třetiny saturován vyššími nedaňovými a kapitálovými příjmy a transfery, u nichž se projevil silnější příliv prostředků z rozpočtu EU (+6,7 mld. korun), plánovaný jednorázový převod z privatizačního účtu (18,0 mld.) i vyšší příjmy z prodeje emisních povolenek. Třetinou přispěl k vyšším celkovým rozpočtovým příjmům i výběr pojistného na sociální zabezpečení (+7,5 %), jen nepatrně menší roli měly daňové příjmy (+4,9 %). Výběr obou těchto položek ale mírně zaostal za rozpočtovým očekáváním, neboť zejména ve druhé polovině roku se projevil vliv zpomalení růstu ekonomiky. Na úrovni všech veřejných rozpočtů vzrostlo loni daňové inkaso (bez pojistného) nejslabším tempem za poslední čtyři roky (meziročně o 5,4 %, v samotném 2. pololetí o 5,0 %).</w:t>
            </w:r>
          </w:p>
        </w:tc>
      </w:tr>
      <w:tr w:rsidR="0067514E" w:rsidRPr="003C07E6" w14:paraId="61B071FE" w14:textId="77777777" w:rsidTr="008D1E0A">
        <w:trPr>
          <w:trHeight w:val="145"/>
        </w:trPr>
        <w:tc>
          <w:tcPr>
            <w:tcW w:w="1732" w:type="dxa"/>
            <w:shd w:val="clear" w:color="auto" w:fill="auto"/>
            <w:tcMar>
              <w:left w:w="0" w:type="dxa"/>
            </w:tcMar>
          </w:tcPr>
          <w:p w14:paraId="7225FEEA" w14:textId="77777777" w:rsidR="0067514E" w:rsidRDefault="0067514E" w:rsidP="008D1E0A">
            <w:pPr>
              <w:pStyle w:val="Marginlie"/>
            </w:pPr>
            <w:r>
              <w:t>Tempo růstu celostátního inkasa DPH loni oproti rokům 2017 i 2018 citelně zvolnilo a zůstalo i za rozpočtovým očekáváním.</w:t>
            </w:r>
          </w:p>
        </w:tc>
        <w:tc>
          <w:tcPr>
            <w:tcW w:w="217" w:type="dxa"/>
            <w:shd w:val="clear" w:color="auto" w:fill="auto"/>
            <w:tcMar>
              <w:left w:w="0" w:type="dxa"/>
            </w:tcMar>
          </w:tcPr>
          <w:p w14:paraId="36B151BE" w14:textId="77777777" w:rsidR="0067514E" w:rsidRDefault="0067514E" w:rsidP="008D1E0A">
            <w:pPr>
              <w:pStyle w:val="Textpoznpodarou"/>
              <w:jc w:val="both"/>
              <w:rPr>
                <w:spacing w:val="-4"/>
              </w:rPr>
            </w:pPr>
          </w:p>
        </w:tc>
        <w:tc>
          <w:tcPr>
            <w:tcW w:w="7720" w:type="dxa"/>
            <w:shd w:val="clear" w:color="auto" w:fill="auto"/>
            <w:tcMar>
              <w:left w:w="0" w:type="dxa"/>
            </w:tcMar>
          </w:tcPr>
          <w:p w14:paraId="4B99ADE1" w14:textId="77777777" w:rsidR="0067514E" w:rsidRPr="0067514E" w:rsidRDefault="0067514E" w:rsidP="008D1E0A">
            <w:pPr>
              <w:spacing w:after="220"/>
              <w:rPr>
                <w:spacing w:val="-6"/>
              </w:rPr>
            </w:pPr>
            <w:r w:rsidRPr="0067514E">
              <w:rPr>
                <w:spacing w:val="-6"/>
              </w:rPr>
              <w:t>Příjem SR z váhově nejvýznamnější daně – DPH – vzrostl loni o 4,4 % a podobně jako v roce 2018 nebylo rozpočtové očekávání naplněno. Z celostátního inkasa, ve kterém je eliminován vliv změn v rozpočtovém určení daně, plyne, že růstové tempo výběru DPH loni klesalo již druhým rokem v řadě a rovněž zaostávalo za dynamikou růstu nominálních výdajů na konečnou spotřebu domácností i vládních institucí.</w:t>
            </w:r>
          </w:p>
        </w:tc>
      </w:tr>
      <w:tr w:rsidR="0067514E" w:rsidRPr="003C07E6" w14:paraId="68F0270E" w14:textId="77777777" w:rsidTr="008D1E0A">
        <w:trPr>
          <w:trHeight w:val="145"/>
        </w:trPr>
        <w:tc>
          <w:tcPr>
            <w:tcW w:w="1732" w:type="dxa"/>
            <w:shd w:val="clear" w:color="auto" w:fill="auto"/>
            <w:tcMar>
              <w:left w:w="0" w:type="dxa"/>
            </w:tcMar>
          </w:tcPr>
          <w:p w14:paraId="491214A2" w14:textId="77777777" w:rsidR="0067514E" w:rsidRDefault="0067514E" w:rsidP="008D1E0A">
            <w:pPr>
              <w:pStyle w:val="Marginlie"/>
            </w:pPr>
            <w:r>
              <w:t>Nižší inkaso spotřební daně z tabákových výrobků bylo z velké části kompenzováno vyšším výběrem daně z minerálních olejů.</w:t>
            </w:r>
          </w:p>
        </w:tc>
        <w:tc>
          <w:tcPr>
            <w:tcW w:w="217" w:type="dxa"/>
            <w:shd w:val="clear" w:color="auto" w:fill="auto"/>
            <w:tcMar>
              <w:left w:w="0" w:type="dxa"/>
            </w:tcMar>
          </w:tcPr>
          <w:p w14:paraId="55AE7240" w14:textId="77777777" w:rsidR="0067514E" w:rsidRDefault="0067514E" w:rsidP="008D1E0A">
            <w:pPr>
              <w:pStyle w:val="Textpoznpodarou"/>
              <w:jc w:val="both"/>
              <w:rPr>
                <w:spacing w:val="-4"/>
              </w:rPr>
            </w:pPr>
          </w:p>
        </w:tc>
        <w:tc>
          <w:tcPr>
            <w:tcW w:w="7720" w:type="dxa"/>
            <w:shd w:val="clear" w:color="auto" w:fill="auto"/>
            <w:tcMar>
              <w:left w:w="0" w:type="dxa"/>
            </w:tcMar>
          </w:tcPr>
          <w:p w14:paraId="2061F491" w14:textId="77777777" w:rsidR="0067514E" w:rsidRPr="0067514E" w:rsidRDefault="0067514E" w:rsidP="008D1E0A">
            <w:pPr>
              <w:spacing w:after="220"/>
              <w:rPr>
                <w:spacing w:val="-6"/>
              </w:rPr>
            </w:pPr>
            <w:r w:rsidRPr="0067514E">
              <w:rPr>
                <w:spacing w:val="-6"/>
              </w:rPr>
              <w:t>Výběr všech spotřebních daní se v souladu s rozpočtovým očekáváním v roce 2019 meziročně velmi mírně snížil (o 0,2 %). Tento pokles byl téměř výhradně ovlivněn slabším inkasem daně z tabákových výrobků (–4,9 %), jejíž výběr kromě výkyvů vlivem předzásobení ovlivnil negativně zejména fakt, že</w:t>
            </w:r>
            <w:r w:rsidRPr="0067514E">
              <w:rPr>
                <w:iCs/>
                <w:spacing w:val="-6"/>
              </w:rPr>
              <w:t xml:space="preserve"> loni poprvé od roku 2011 nedošlo ke </w:t>
            </w:r>
            <w:r w:rsidRPr="0067514E">
              <w:rPr>
                <w:spacing w:val="-6"/>
              </w:rPr>
              <w:t>zvyšování sazby této daně. Výběr objemově nejvýznamnější spotřební daně – z minerálních olejů – vzrostl o 2,7 %. Projevily se vyšší přepravní výkony hlavně v osobní dopravě, což vyústilo ve vyšší spotřebu motorové nafty, benzínu a zejména leteckého petroleje</w:t>
            </w:r>
            <w:r w:rsidRPr="0067514E">
              <w:rPr>
                <w:rStyle w:val="Znakapoznpodarou"/>
                <w:spacing w:val="-6"/>
              </w:rPr>
              <w:footnoteReference w:id="71"/>
            </w:r>
            <w:r w:rsidRPr="0067514E">
              <w:rPr>
                <w:spacing w:val="-6"/>
              </w:rPr>
              <w:t>.</w:t>
            </w:r>
          </w:p>
        </w:tc>
      </w:tr>
      <w:tr w:rsidR="0067514E" w:rsidRPr="003C07E6" w14:paraId="5543DF28" w14:textId="77777777" w:rsidTr="008D1E0A">
        <w:trPr>
          <w:trHeight w:val="145"/>
        </w:trPr>
        <w:tc>
          <w:tcPr>
            <w:tcW w:w="1732" w:type="dxa"/>
            <w:shd w:val="clear" w:color="auto" w:fill="auto"/>
            <w:tcMar>
              <w:left w:w="0" w:type="dxa"/>
            </w:tcMar>
          </w:tcPr>
          <w:p w14:paraId="60172FC2" w14:textId="77777777" w:rsidR="0067514E" w:rsidRDefault="0067514E" w:rsidP="008D1E0A">
            <w:pPr>
              <w:pStyle w:val="Marginlie"/>
            </w:pPr>
            <w:r>
              <w:t>Dynamika výběru daně z příjmů fyzických osob ze závislé činnosti i přes mírné zvolnění dále rostla dvojciferným tempem.</w:t>
            </w:r>
          </w:p>
          <w:p w14:paraId="748FFFFD" w14:textId="77777777" w:rsidR="0067514E" w:rsidRDefault="0067514E" w:rsidP="008D1E0A">
            <w:pPr>
              <w:pStyle w:val="Marginlie"/>
            </w:pPr>
          </w:p>
          <w:p w14:paraId="535C76EF" w14:textId="77777777" w:rsidR="0067514E" w:rsidRDefault="0067514E" w:rsidP="008D1E0A">
            <w:pPr>
              <w:pStyle w:val="Marginlie"/>
            </w:pPr>
          </w:p>
          <w:p w14:paraId="1D4B8991" w14:textId="77777777" w:rsidR="0067514E" w:rsidRDefault="0067514E" w:rsidP="008D1E0A">
            <w:pPr>
              <w:pStyle w:val="Marginlie"/>
            </w:pPr>
          </w:p>
          <w:p w14:paraId="75E931E0" w14:textId="77777777" w:rsidR="0067514E" w:rsidRDefault="0067514E" w:rsidP="008D1E0A">
            <w:pPr>
              <w:pStyle w:val="Marginlie"/>
            </w:pPr>
            <w:r>
              <w:t>Objem inkasa korporátní daně poprvé překonal úroveň z vrcholu konjunktury minulé dekády.</w:t>
            </w:r>
          </w:p>
          <w:p w14:paraId="0E2B530B" w14:textId="77777777" w:rsidR="0067514E" w:rsidRDefault="0067514E" w:rsidP="008D1E0A">
            <w:pPr>
              <w:pStyle w:val="Marginlie"/>
            </w:pPr>
          </w:p>
        </w:tc>
        <w:tc>
          <w:tcPr>
            <w:tcW w:w="217" w:type="dxa"/>
            <w:shd w:val="clear" w:color="auto" w:fill="auto"/>
            <w:tcMar>
              <w:left w:w="0" w:type="dxa"/>
            </w:tcMar>
          </w:tcPr>
          <w:p w14:paraId="2F1D796E" w14:textId="77777777" w:rsidR="0067514E" w:rsidRDefault="0067514E" w:rsidP="008D1E0A">
            <w:pPr>
              <w:pStyle w:val="Textpoznpodarou"/>
              <w:jc w:val="both"/>
              <w:rPr>
                <w:spacing w:val="-4"/>
              </w:rPr>
            </w:pPr>
          </w:p>
        </w:tc>
        <w:tc>
          <w:tcPr>
            <w:tcW w:w="7720" w:type="dxa"/>
            <w:shd w:val="clear" w:color="auto" w:fill="auto"/>
            <w:tcMar>
              <w:left w:w="0" w:type="dxa"/>
            </w:tcMar>
          </w:tcPr>
          <w:p w14:paraId="18C83FCA" w14:textId="77777777" w:rsidR="0067514E" w:rsidRPr="0067514E" w:rsidRDefault="0067514E" w:rsidP="008D1E0A">
            <w:pPr>
              <w:spacing w:after="0"/>
              <w:rPr>
                <w:rFonts w:cs="Arial"/>
                <w:color w:val="000000" w:themeColor="text1"/>
                <w:spacing w:val="-6"/>
              </w:rPr>
            </w:pPr>
            <w:r w:rsidRPr="0067514E">
              <w:rPr>
                <w:spacing w:val="-6"/>
              </w:rPr>
              <w:t xml:space="preserve">Růst inkasa přímých daní byl již třetím rokem v řadě nejvíce tažen </w:t>
            </w:r>
            <w:r w:rsidRPr="0067514E">
              <w:rPr>
                <w:rFonts w:cs="Arial"/>
                <w:color w:val="000000" w:themeColor="text1"/>
                <w:spacing w:val="-6"/>
              </w:rPr>
              <w:t xml:space="preserve">daní z příjmů fyzických osob ze závislé činnosti. Její výběr na úrovni všech veřejných rozpočtů vzrostl loni meziročně o 11,7 % (v letech 2017 i 2018 se ale tempa pohybovala mezi 13 a 15 %). Toto zpomalení souvisí se slabší dynamikou zaměstnanosti i mírným zvolněním růstu průměrných mezd, které byly patrné především ve druhé polovině loňského roku. Svižný dvojciferný růst vykázaly v roce 2019 i další přímé daně – u fyzických osob z přiznání či z kapitálových výnosů. Projevovala se zde nadále silná domácí poptávka související především s vyšší kupní silou domácností. </w:t>
            </w:r>
            <w:r w:rsidRPr="0067514E">
              <w:rPr>
                <w:rFonts w:cs="Arial"/>
                <w:spacing w:val="-6"/>
              </w:rPr>
              <w:t>Celostátní inkaso korporátní daně po slabší dynamice v letech 2017 i 2018, ovlivněné hlavně sílícími mzdovými náklady, loni vzrostlo meziročně o 5,1 %. Objem inkasa v absolutní výši poprvé překonal předkrizovou úroveň (rok 2008)</w:t>
            </w:r>
            <w:r w:rsidRPr="0067514E">
              <w:rPr>
                <w:rStyle w:val="Znakapoznpodarou"/>
                <w:spacing w:val="-6"/>
              </w:rPr>
              <w:footnoteReference w:id="72"/>
            </w:r>
            <w:r w:rsidRPr="0067514E">
              <w:rPr>
                <w:rFonts w:cs="Arial"/>
                <w:spacing w:val="-6"/>
              </w:rPr>
              <w:t>. I přesto zůstalo loňské inkaso mírně za rozpočtovým očekáváním, obdobně jako u celkové daně z příjmů fyzických osob.</w:t>
            </w:r>
          </w:p>
        </w:tc>
      </w:tr>
      <w:tr w:rsidR="0067514E" w:rsidRPr="00F704D2" w14:paraId="3755558B" w14:textId="77777777" w:rsidTr="008D1E0A">
        <w:trPr>
          <w:trHeight w:val="170"/>
        </w:trPr>
        <w:tc>
          <w:tcPr>
            <w:tcW w:w="1732" w:type="dxa"/>
            <w:vMerge w:val="restart"/>
            <w:shd w:val="clear" w:color="auto" w:fill="auto"/>
            <w:tcMar>
              <w:left w:w="0" w:type="dxa"/>
            </w:tcMar>
          </w:tcPr>
          <w:p w14:paraId="27D4D2E8" w14:textId="77777777" w:rsidR="0067514E" w:rsidRDefault="0067514E" w:rsidP="008D1E0A">
            <w:pPr>
              <w:pStyle w:val="Marginlie"/>
            </w:pPr>
          </w:p>
        </w:tc>
        <w:tc>
          <w:tcPr>
            <w:tcW w:w="217" w:type="dxa"/>
            <w:vMerge w:val="restart"/>
            <w:shd w:val="clear" w:color="auto" w:fill="auto"/>
            <w:tcMar>
              <w:left w:w="0" w:type="dxa"/>
            </w:tcMar>
          </w:tcPr>
          <w:p w14:paraId="2AABCBCD" w14:textId="77777777" w:rsidR="0067514E" w:rsidRDefault="0067514E" w:rsidP="008D1E0A">
            <w:pPr>
              <w:pStyle w:val="Textpoznpodarou"/>
              <w:jc w:val="both"/>
              <w:rPr>
                <w:spacing w:val="-4"/>
              </w:rPr>
            </w:pPr>
          </w:p>
        </w:tc>
        <w:tc>
          <w:tcPr>
            <w:tcW w:w="7720" w:type="dxa"/>
            <w:shd w:val="clear" w:color="auto" w:fill="auto"/>
            <w:tcMar>
              <w:left w:w="0" w:type="dxa"/>
            </w:tcMar>
          </w:tcPr>
          <w:p w14:paraId="1BB62FD2" w14:textId="77777777" w:rsidR="0067514E" w:rsidRPr="0067514E" w:rsidRDefault="0067514E" w:rsidP="008D1E0A">
            <w:pPr>
              <w:spacing w:after="0" w:line="240" w:lineRule="auto"/>
              <w:rPr>
                <w:rFonts w:cs="Arial"/>
                <w:bCs/>
                <w:spacing w:val="-6"/>
              </w:rPr>
            </w:pPr>
            <w:r w:rsidRPr="003474B6">
              <w:rPr>
                <w:rFonts w:cs="Arial"/>
                <w:b/>
                <w:bCs/>
                <w:color w:val="000000"/>
                <w:spacing w:val="-2"/>
                <w:szCs w:val="20"/>
              </w:rPr>
              <w:t>Graf č. 16</w:t>
            </w:r>
            <w:r w:rsidRPr="003474B6">
              <w:rPr>
                <w:rFonts w:cs="Arial"/>
                <w:b/>
                <w:bCs/>
                <w:color w:val="000000"/>
                <w:spacing w:val="-2"/>
                <w:sz w:val="18"/>
                <w:szCs w:val="18"/>
              </w:rPr>
              <w:t xml:space="preserve">  </w:t>
            </w:r>
            <w:r w:rsidRPr="003474B6">
              <w:rPr>
                <w:rFonts w:cs="Arial"/>
                <w:b/>
                <w:bCs/>
                <w:spacing w:val="-2"/>
              </w:rPr>
              <w:t xml:space="preserve">Celostátní inkasa vybraných daňových příjmů </w:t>
            </w:r>
            <w:r w:rsidRPr="003474B6">
              <w:rPr>
                <w:rFonts w:cs="Arial"/>
                <w:bCs/>
                <w:spacing w:val="-2"/>
              </w:rPr>
              <w:t>(</w:t>
            </w:r>
            <w:r w:rsidRPr="003474B6">
              <w:rPr>
                <w:spacing w:val="-2"/>
              </w:rPr>
              <w:t>meziročně</w:t>
            </w:r>
            <w:r w:rsidRPr="003474B6">
              <w:rPr>
                <w:bCs/>
                <w:spacing w:val="-2"/>
              </w:rPr>
              <w:t xml:space="preserve"> v %)</w:t>
            </w:r>
            <w:r w:rsidRPr="003474B6">
              <w:rPr>
                <w:bCs/>
                <w:spacing w:val="-2"/>
              </w:rPr>
              <w:br/>
            </w:r>
            <w:r w:rsidRPr="003474B6">
              <w:rPr>
                <w:rFonts w:cs="Arial"/>
                <w:b/>
                <w:bCs/>
                <w:spacing w:val="-2"/>
              </w:rPr>
              <w:t>a saldo státního rozpočtu</w:t>
            </w:r>
            <w:r w:rsidRPr="0067514E">
              <w:rPr>
                <w:spacing w:val="-6"/>
              </w:rPr>
              <w:t xml:space="preserve"> </w:t>
            </w:r>
            <w:r w:rsidRPr="0067514E">
              <w:rPr>
                <w:rFonts w:cs="Arial"/>
                <w:bCs/>
                <w:spacing w:val="-6"/>
              </w:rPr>
              <w:t>(v mld. korun, roční kumulace)</w:t>
            </w:r>
          </w:p>
        </w:tc>
      </w:tr>
      <w:tr w:rsidR="0067514E" w14:paraId="12AD28E4" w14:textId="77777777" w:rsidTr="008D1E0A">
        <w:tblPrEx>
          <w:tblCellMar>
            <w:left w:w="70" w:type="dxa"/>
            <w:right w:w="70" w:type="dxa"/>
          </w:tblCellMar>
        </w:tblPrEx>
        <w:trPr>
          <w:trHeight w:val="170"/>
        </w:trPr>
        <w:tc>
          <w:tcPr>
            <w:tcW w:w="1732" w:type="dxa"/>
            <w:vMerge/>
            <w:shd w:val="clear" w:color="auto" w:fill="auto"/>
          </w:tcPr>
          <w:p w14:paraId="5FBF8F8F" w14:textId="77777777" w:rsidR="0067514E" w:rsidRDefault="0067514E" w:rsidP="008D1E0A">
            <w:pPr>
              <w:pStyle w:val="Marginlie"/>
            </w:pPr>
          </w:p>
        </w:tc>
        <w:tc>
          <w:tcPr>
            <w:tcW w:w="217" w:type="dxa"/>
            <w:vMerge/>
            <w:shd w:val="clear" w:color="auto" w:fill="auto"/>
          </w:tcPr>
          <w:p w14:paraId="52F34786" w14:textId="77777777" w:rsidR="0067514E" w:rsidRDefault="0067514E" w:rsidP="008D1E0A">
            <w:pPr>
              <w:pStyle w:val="Textpoznpodarou"/>
              <w:jc w:val="both"/>
              <w:rPr>
                <w:spacing w:val="-4"/>
              </w:rPr>
            </w:pPr>
          </w:p>
        </w:tc>
        <w:tc>
          <w:tcPr>
            <w:tcW w:w="7720" w:type="dxa"/>
            <w:shd w:val="clear" w:color="auto" w:fill="auto"/>
          </w:tcPr>
          <w:p w14:paraId="5A0BD311" w14:textId="77777777" w:rsidR="0067514E" w:rsidRPr="0067514E" w:rsidRDefault="0067514E" w:rsidP="008D1E0A">
            <w:pPr>
              <w:spacing w:after="0"/>
              <w:rPr>
                <w:spacing w:val="-6"/>
              </w:rPr>
            </w:pPr>
            <w:r w:rsidRPr="0067514E">
              <w:rPr>
                <w:noProof/>
                <w:spacing w:val="-6"/>
              </w:rPr>
              <w:drawing>
                <wp:inline distT="0" distB="0" distL="0" distR="0" wp14:anchorId="1F436E1F" wp14:editId="78E460B8">
                  <wp:extent cx="4773930" cy="3323230"/>
                  <wp:effectExtent l="0" t="0" r="7620" b="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67514E" w:rsidRPr="007B3A78" w14:paraId="2411803B" w14:textId="77777777" w:rsidTr="008D1E0A">
        <w:trPr>
          <w:trHeight w:val="170"/>
        </w:trPr>
        <w:tc>
          <w:tcPr>
            <w:tcW w:w="1732" w:type="dxa"/>
            <w:vMerge/>
            <w:shd w:val="clear" w:color="auto" w:fill="auto"/>
            <w:tcMar>
              <w:left w:w="0" w:type="dxa"/>
            </w:tcMar>
          </w:tcPr>
          <w:p w14:paraId="18067405" w14:textId="77777777" w:rsidR="0067514E" w:rsidRDefault="0067514E" w:rsidP="008D1E0A">
            <w:pPr>
              <w:pStyle w:val="Marginlie"/>
            </w:pPr>
          </w:p>
        </w:tc>
        <w:tc>
          <w:tcPr>
            <w:tcW w:w="217" w:type="dxa"/>
            <w:vMerge/>
            <w:shd w:val="clear" w:color="auto" w:fill="auto"/>
            <w:tcMar>
              <w:left w:w="0" w:type="dxa"/>
            </w:tcMar>
          </w:tcPr>
          <w:p w14:paraId="4A9D9857" w14:textId="77777777" w:rsidR="0067514E" w:rsidRDefault="0067514E" w:rsidP="008D1E0A">
            <w:pPr>
              <w:pStyle w:val="Textpoznpodarou"/>
              <w:jc w:val="both"/>
              <w:rPr>
                <w:spacing w:val="-4"/>
              </w:rPr>
            </w:pPr>
          </w:p>
        </w:tc>
        <w:tc>
          <w:tcPr>
            <w:tcW w:w="7720" w:type="dxa"/>
            <w:shd w:val="clear" w:color="auto" w:fill="auto"/>
            <w:tcMar>
              <w:left w:w="0" w:type="dxa"/>
            </w:tcMar>
          </w:tcPr>
          <w:p w14:paraId="1AEA281C" w14:textId="77777777" w:rsidR="0067514E" w:rsidRPr="0067514E" w:rsidRDefault="0067514E" w:rsidP="008D1E0A">
            <w:pPr>
              <w:spacing w:after="200" w:line="240" w:lineRule="auto"/>
              <w:jc w:val="left"/>
              <w:rPr>
                <w:rFonts w:cs="Arial"/>
                <w:spacing w:val="-6"/>
                <w:sz w:val="14"/>
                <w:szCs w:val="14"/>
              </w:rPr>
            </w:pPr>
            <w:r w:rsidRPr="0067514E">
              <w:rPr>
                <w:spacing w:val="-6"/>
                <w:sz w:val="14"/>
                <w:szCs w:val="14"/>
              </w:rPr>
              <w:t>Zdroj: MF ČR</w:t>
            </w:r>
          </w:p>
        </w:tc>
      </w:tr>
      <w:tr w:rsidR="0067514E" w:rsidRPr="008266F0" w14:paraId="3DCFB2E2" w14:textId="77777777" w:rsidTr="008D1E0A">
        <w:trPr>
          <w:trHeight w:val="145"/>
        </w:trPr>
        <w:tc>
          <w:tcPr>
            <w:tcW w:w="1732" w:type="dxa"/>
            <w:shd w:val="clear" w:color="auto" w:fill="auto"/>
            <w:tcMar>
              <w:left w:w="0" w:type="dxa"/>
            </w:tcMar>
          </w:tcPr>
          <w:p w14:paraId="4E712AE7" w14:textId="77777777" w:rsidR="0067514E" w:rsidRDefault="0067514E" w:rsidP="008D1E0A">
            <w:pPr>
              <w:pStyle w:val="Marginlie"/>
            </w:pPr>
            <w:r>
              <w:t>Růstové tempo výdajů SR se dále zvyšovalo a vyšplhalo na 10,8 %.</w:t>
            </w:r>
          </w:p>
          <w:p w14:paraId="6687C718" w14:textId="77777777" w:rsidR="0067514E" w:rsidRDefault="0067514E" w:rsidP="008D1E0A">
            <w:pPr>
              <w:pStyle w:val="Marginlie"/>
            </w:pPr>
          </w:p>
          <w:p w14:paraId="01EDC222" w14:textId="77777777" w:rsidR="0067514E" w:rsidRDefault="0067514E" w:rsidP="008D1E0A">
            <w:pPr>
              <w:pStyle w:val="Marginlie"/>
            </w:pPr>
          </w:p>
          <w:p w14:paraId="193D40BC" w14:textId="77777777" w:rsidR="0067514E" w:rsidRDefault="0067514E" w:rsidP="008D1E0A">
            <w:pPr>
              <w:pStyle w:val="Marginlie"/>
            </w:pPr>
          </w:p>
          <w:p w14:paraId="5DE9307C" w14:textId="77777777" w:rsidR="0067514E" w:rsidRDefault="0067514E" w:rsidP="008D1E0A">
            <w:pPr>
              <w:pStyle w:val="Marginlie"/>
            </w:pPr>
          </w:p>
          <w:p w14:paraId="55F5DAC4" w14:textId="77777777" w:rsidR="0067514E" w:rsidRDefault="0067514E" w:rsidP="008D1E0A">
            <w:pPr>
              <w:pStyle w:val="Marginlie"/>
            </w:pPr>
            <w:r>
              <w:t>Objem kapitálových výdajů vzrostl o pětinu, především zásluhou investic na projekty bez účasti EU.</w:t>
            </w:r>
          </w:p>
        </w:tc>
        <w:tc>
          <w:tcPr>
            <w:tcW w:w="217" w:type="dxa"/>
            <w:shd w:val="clear" w:color="auto" w:fill="auto"/>
            <w:tcMar>
              <w:left w:w="0" w:type="dxa"/>
            </w:tcMar>
          </w:tcPr>
          <w:p w14:paraId="53D66340" w14:textId="77777777" w:rsidR="0067514E" w:rsidRDefault="0067514E" w:rsidP="008D1E0A">
            <w:pPr>
              <w:pStyle w:val="Textpoznpodarou"/>
              <w:jc w:val="both"/>
              <w:rPr>
                <w:spacing w:val="-4"/>
              </w:rPr>
            </w:pPr>
          </w:p>
        </w:tc>
        <w:tc>
          <w:tcPr>
            <w:tcW w:w="7720" w:type="dxa"/>
            <w:shd w:val="clear" w:color="auto" w:fill="auto"/>
            <w:tcMar>
              <w:left w:w="0" w:type="dxa"/>
            </w:tcMar>
          </w:tcPr>
          <w:p w14:paraId="62AA641E" w14:textId="77777777" w:rsidR="0067514E" w:rsidRPr="0067514E" w:rsidRDefault="0067514E" w:rsidP="008D1E0A">
            <w:pPr>
              <w:spacing w:after="220"/>
              <w:rPr>
                <w:spacing w:val="-6"/>
              </w:rPr>
            </w:pPr>
            <w:r w:rsidRPr="0067514E">
              <w:rPr>
                <w:spacing w:val="-6"/>
              </w:rPr>
              <w:t>Tempo růstu celkových výdajů SR se zvyšovalo již třetím rokem v řadě a v roce 2019 vystoupalo na 10,8 %</w:t>
            </w:r>
            <w:r w:rsidRPr="0067514E">
              <w:rPr>
                <w:rStyle w:val="Znakapoznpodarou"/>
                <w:spacing w:val="-6"/>
              </w:rPr>
              <w:footnoteReference w:id="73"/>
            </w:r>
            <w:r w:rsidRPr="0067514E">
              <w:rPr>
                <w:spacing w:val="-6"/>
              </w:rPr>
              <w:t>, což bylo maximum za poslední dvě dekády. Podobně jako v roce 2018 přispěly loni k růstu jak běžné (+128 mld. korun), tak kapitálové výdaje (+23 mld.). Posílení investic (o 19,6 %) z více než poloviny souviselo s vyššími transfery státnímu fondu dopravní infrastruktury. Polovina všech investic SR směřovala na společné projekty ČR a EU (68,5 mld. korun)</w:t>
            </w:r>
            <w:r w:rsidRPr="0067514E">
              <w:rPr>
                <w:rStyle w:val="Znakapoznpodarou"/>
                <w:spacing w:val="-6"/>
              </w:rPr>
              <w:footnoteReference w:id="74"/>
            </w:r>
            <w:r w:rsidRPr="0067514E">
              <w:rPr>
                <w:spacing w:val="-6"/>
              </w:rPr>
              <w:t>. Jejich meziroční růst byl relativně mírný (+8,5 %), neboť k citelnému zrychlení čerpání eurofondů došlo již během roku 2018. Naopak skoro o třetinu loni posílily investice realizované bez účasti prostředků EU a finančních mechanismů (na 70,8 mld. korun), i přesto za rozpočtovým očekáváním (na rozdíl od „evropských investic“) mírně zaostaly. Podíl investic na všech výdajích SR mírně vzrostl na 9,0 % a dosáhl čtyřletého maxima. Nicméně v letech 2006 až 2011 se jejich váha pohybovala mezi 10 a 12 %.</w:t>
            </w:r>
          </w:p>
        </w:tc>
      </w:tr>
      <w:tr w:rsidR="0067514E" w:rsidRPr="002102B2" w14:paraId="73055C41" w14:textId="77777777" w:rsidTr="008D1E0A">
        <w:trPr>
          <w:trHeight w:val="145"/>
        </w:trPr>
        <w:tc>
          <w:tcPr>
            <w:tcW w:w="1732" w:type="dxa"/>
            <w:shd w:val="clear" w:color="auto" w:fill="auto"/>
            <w:tcMar>
              <w:left w:w="0" w:type="dxa"/>
            </w:tcMar>
          </w:tcPr>
          <w:p w14:paraId="640E55BA" w14:textId="77777777" w:rsidR="0067514E" w:rsidRDefault="0067514E" w:rsidP="008D1E0A">
            <w:pPr>
              <w:pStyle w:val="Marginlie"/>
            </w:pPr>
            <w:r>
              <w:t>Běžné výdaje byly stimulovány vyššími výdaji na sociální dávky i platy zaměstnanců rozpočtové sféry. Opačně působily výdaje na neinvestiční nákupy a na státní dluh.</w:t>
            </w:r>
          </w:p>
        </w:tc>
        <w:tc>
          <w:tcPr>
            <w:tcW w:w="217" w:type="dxa"/>
            <w:shd w:val="clear" w:color="auto" w:fill="auto"/>
            <w:tcMar>
              <w:left w:w="0" w:type="dxa"/>
            </w:tcMar>
          </w:tcPr>
          <w:p w14:paraId="14FBA14E" w14:textId="77777777" w:rsidR="0067514E" w:rsidRDefault="0067514E" w:rsidP="008D1E0A">
            <w:pPr>
              <w:pStyle w:val="Textpoznpodarou"/>
              <w:jc w:val="both"/>
              <w:rPr>
                <w:spacing w:val="-4"/>
              </w:rPr>
            </w:pPr>
          </w:p>
        </w:tc>
        <w:tc>
          <w:tcPr>
            <w:tcW w:w="7720" w:type="dxa"/>
            <w:shd w:val="clear" w:color="auto" w:fill="auto"/>
            <w:tcMar>
              <w:left w:w="0" w:type="dxa"/>
            </w:tcMar>
          </w:tcPr>
          <w:p w14:paraId="1467F3EC" w14:textId="32918EA0" w:rsidR="0067514E" w:rsidRPr="0067514E" w:rsidRDefault="0067514E" w:rsidP="008D1E0A">
            <w:pPr>
              <w:spacing w:after="200"/>
              <w:rPr>
                <w:rFonts w:cs="Arial"/>
                <w:color w:val="0D0D0D" w:themeColor="text1" w:themeTint="F2"/>
                <w:spacing w:val="-6"/>
              </w:rPr>
            </w:pPr>
            <w:r w:rsidRPr="0067514E">
              <w:rPr>
                <w:color w:val="0D0D0D" w:themeColor="text1" w:themeTint="F2"/>
                <w:spacing w:val="-6"/>
              </w:rPr>
              <w:t>Běžné výdaje SR posílily loni meziročně o desetinu. Stály za tím tradičně hlavně vyšší výdaje na sociální dávky (+8,2 %, resp. +46 mld. korun). Koupěschopnost domácností stimulovalo i posílení výdajů na regionální školství (+20 mld.)</w:t>
            </w:r>
            <w:r w:rsidR="008B3690">
              <w:rPr>
                <w:color w:val="0D0D0D" w:themeColor="text1" w:themeTint="F2"/>
                <w:spacing w:val="-6"/>
              </w:rPr>
              <w:t>, zejména na platy pracovníků</w:t>
            </w:r>
            <w:r w:rsidRPr="0067514E">
              <w:rPr>
                <w:rStyle w:val="Znakapoznpodarou"/>
                <w:color w:val="0D0D0D" w:themeColor="text1" w:themeTint="F2"/>
                <w:spacing w:val="-6"/>
              </w:rPr>
              <w:footnoteReference w:id="75"/>
            </w:r>
            <w:r w:rsidR="008B3690" w:rsidRPr="003474B6">
              <w:rPr>
                <w:rStyle w:val="Znakapoznpodarou"/>
                <w:color w:val="0D0D0D" w:themeColor="text1" w:themeTint="F2"/>
                <w:spacing w:val="-6"/>
                <w:vertAlign w:val="baseline"/>
              </w:rPr>
              <w:t xml:space="preserve">. </w:t>
            </w:r>
            <w:r w:rsidR="008B3690">
              <w:rPr>
                <w:color w:val="0D0D0D" w:themeColor="text1" w:themeTint="F2"/>
                <w:spacing w:val="-6"/>
              </w:rPr>
              <w:t>Podobně působily</w:t>
            </w:r>
            <w:r w:rsidR="008B3690" w:rsidRPr="0067514E">
              <w:rPr>
                <w:color w:val="0D0D0D" w:themeColor="text1" w:themeTint="F2"/>
                <w:spacing w:val="-6"/>
              </w:rPr>
              <w:t xml:space="preserve"> </w:t>
            </w:r>
            <w:r w:rsidR="008B3690">
              <w:rPr>
                <w:color w:val="0D0D0D" w:themeColor="text1" w:themeTint="F2"/>
                <w:spacing w:val="-6"/>
              </w:rPr>
              <w:t>i vyšší</w:t>
            </w:r>
            <w:r w:rsidRPr="0067514E">
              <w:rPr>
                <w:color w:val="0D0D0D" w:themeColor="text1" w:themeTint="F2"/>
                <w:spacing w:val="-6"/>
              </w:rPr>
              <w:t xml:space="preserve"> výdaj</w:t>
            </w:r>
            <w:r w:rsidR="008B3690">
              <w:rPr>
                <w:color w:val="0D0D0D" w:themeColor="text1" w:themeTint="F2"/>
                <w:spacing w:val="-6"/>
              </w:rPr>
              <w:t>e</w:t>
            </w:r>
            <w:r w:rsidRPr="0067514E">
              <w:rPr>
                <w:color w:val="0D0D0D" w:themeColor="text1" w:themeTint="F2"/>
                <w:spacing w:val="-6"/>
              </w:rPr>
              <w:t xml:space="preserve"> na platy na úrovni organizačních složek státu</w:t>
            </w:r>
            <w:r w:rsidRPr="0067514E">
              <w:rPr>
                <w:rFonts w:cs="Arial"/>
                <w:color w:val="0D0D0D" w:themeColor="text1" w:themeTint="F2"/>
                <w:spacing w:val="-6"/>
              </w:rPr>
              <w:t xml:space="preserve"> (+7,1 %, resp. +10</w:t>
            </w:r>
            <w:r w:rsidRPr="0067514E">
              <w:rPr>
                <w:color w:val="0D0D0D" w:themeColor="text1" w:themeTint="F2"/>
                <w:spacing w:val="-6"/>
              </w:rPr>
              <w:t> </w:t>
            </w:r>
            <w:r w:rsidRPr="0067514E">
              <w:rPr>
                <w:rFonts w:cs="Arial"/>
                <w:color w:val="0D0D0D" w:themeColor="text1" w:themeTint="F2"/>
                <w:spacing w:val="-6"/>
              </w:rPr>
              <w:t>mld.). Dvojciferný růst vykázaly transfery státním fondům (zejména do oblasti zemědělství a dopravy), neziskovým a podobným organizacím. Naopak o 3 % se snížily prostředky na neinvestiční nákupy a související výdaje (nákup služeb, materiálu, vody, energií aj.), shodným tempem klesly i čisté výdaje na státní dluh (na 39,6 mld. korun)</w:t>
            </w:r>
            <w:r w:rsidRPr="0067514E">
              <w:rPr>
                <w:rStyle w:val="Znakapoznpodarou"/>
                <w:color w:val="0D0D0D" w:themeColor="text1" w:themeTint="F2"/>
                <w:spacing w:val="-6"/>
              </w:rPr>
              <w:footnoteReference w:id="76"/>
            </w:r>
            <w:r w:rsidRPr="0067514E">
              <w:rPr>
                <w:rFonts w:cs="Arial"/>
                <w:color w:val="0D0D0D" w:themeColor="text1" w:themeTint="F2"/>
                <w:spacing w:val="-6"/>
              </w:rPr>
              <w:t>.</w:t>
            </w:r>
          </w:p>
        </w:tc>
      </w:tr>
      <w:tr w:rsidR="0067514E" w:rsidRPr="008266F0" w14:paraId="11730DDD" w14:textId="77777777" w:rsidTr="008D1E0A">
        <w:trPr>
          <w:trHeight w:val="145"/>
        </w:trPr>
        <w:tc>
          <w:tcPr>
            <w:tcW w:w="1732" w:type="dxa"/>
            <w:shd w:val="clear" w:color="auto" w:fill="auto"/>
            <w:tcMar>
              <w:left w:w="0" w:type="dxa"/>
            </w:tcMar>
          </w:tcPr>
          <w:p w14:paraId="2FB11A4F" w14:textId="77777777" w:rsidR="0067514E" w:rsidRDefault="0067514E" w:rsidP="008D1E0A">
            <w:pPr>
              <w:pStyle w:val="Marginlie"/>
            </w:pPr>
            <w:r>
              <w:t xml:space="preserve">Tempo růstu výdajů na dávky důchodového pojištění vzrostlo nejvíce po roce 2009. I tak se váha všech sociálních </w:t>
            </w:r>
            <w:r>
              <w:lastRenderedPageBreak/>
              <w:t>dávek na výdajích SR snížila.</w:t>
            </w:r>
          </w:p>
          <w:p w14:paraId="384B035E" w14:textId="77777777" w:rsidR="0067514E" w:rsidRDefault="0067514E" w:rsidP="008D1E0A">
            <w:pPr>
              <w:pStyle w:val="Marginlie"/>
            </w:pPr>
          </w:p>
          <w:p w14:paraId="30CD0F9B" w14:textId="77777777" w:rsidR="0067514E" w:rsidRDefault="0067514E" w:rsidP="008D1E0A">
            <w:pPr>
              <w:pStyle w:val="Marginlie"/>
            </w:pPr>
            <w:r>
              <w:t>Tempo růstu výběru pojistného na důchody poprvé po roce 2013 meziročně kleslo. Saldo důchodového účtu setrvalo v mírném přebytku druhým rokem v řadě.</w:t>
            </w:r>
          </w:p>
        </w:tc>
        <w:tc>
          <w:tcPr>
            <w:tcW w:w="217" w:type="dxa"/>
            <w:shd w:val="clear" w:color="auto" w:fill="auto"/>
            <w:tcMar>
              <w:left w:w="0" w:type="dxa"/>
            </w:tcMar>
          </w:tcPr>
          <w:p w14:paraId="45DC7AB6" w14:textId="77777777" w:rsidR="0067514E" w:rsidRDefault="0067514E" w:rsidP="008D1E0A">
            <w:pPr>
              <w:pStyle w:val="Textpoznpodarou"/>
              <w:jc w:val="both"/>
              <w:rPr>
                <w:spacing w:val="-4"/>
              </w:rPr>
            </w:pPr>
          </w:p>
        </w:tc>
        <w:tc>
          <w:tcPr>
            <w:tcW w:w="7720" w:type="dxa"/>
            <w:shd w:val="clear" w:color="auto" w:fill="auto"/>
            <w:tcMar>
              <w:left w:w="0" w:type="dxa"/>
            </w:tcMar>
          </w:tcPr>
          <w:p w14:paraId="365C63F2" w14:textId="77777777" w:rsidR="0067514E" w:rsidRPr="0067514E" w:rsidRDefault="0067514E" w:rsidP="008D1E0A">
            <w:pPr>
              <w:spacing w:after="220"/>
              <w:rPr>
                <w:spacing w:val="-6"/>
              </w:rPr>
            </w:pPr>
            <w:r w:rsidRPr="0067514E">
              <w:rPr>
                <w:spacing w:val="-6"/>
              </w:rPr>
              <w:t xml:space="preserve">Podíl výdajů SR směřujících na všechny sociální dávky klesal třetím rokem v řadě. Loni činil 38,8 % (v roce 2016 42,1 %). Téměř čtyři pětiny těchto výdajů byly alokovány na důchody. </w:t>
            </w:r>
            <w:r w:rsidRPr="0067514E">
              <w:rPr>
                <w:rFonts w:cs="Arial"/>
                <w:color w:val="0D0D0D" w:themeColor="text1" w:themeTint="F2"/>
                <w:spacing w:val="-6"/>
              </w:rPr>
              <w:t xml:space="preserve">Jejich růstové tempo se loni oproti roku 2018 téměř zdvojnásobilo (na 8,7 %), vyšší bylo naposledy dosaženo v roce 2009. Při stagnaci celkového počtu osob pobírajících důchod </w:t>
            </w:r>
            <w:r w:rsidRPr="0067514E">
              <w:rPr>
                <w:rFonts w:cs="Arial"/>
                <w:color w:val="0D0D0D" w:themeColor="text1" w:themeTint="F2"/>
                <w:spacing w:val="-6"/>
              </w:rPr>
              <w:lastRenderedPageBreak/>
              <w:t>(včetně starobních důchodců) se plně projevil vliv zákonných úprav</w:t>
            </w:r>
            <w:r w:rsidRPr="0067514E">
              <w:rPr>
                <w:rStyle w:val="Znakapoznpodarou"/>
                <w:spacing w:val="-6"/>
              </w:rPr>
              <w:footnoteReference w:id="77"/>
            </w:r>
            <w:r w:rsidRPr="0067514E">
              <w:rPr>
                <w:rFonts w:cs="Arial"/>
                <w:color w:val="0D0D0D" w:themeColor="text1" w:themeTint="F2"/>
                <w:spacing w:val="-6"/>
              </w:rPr>
              <w:t>. Nadále velmi příznivá situace na pracovním trhu vedla mimo jiné k růstu ekonomické aktivity lidí na sklonku produktivního věku i seniorů. To se pozitivně projevilo také růstem příjmů plynoucích do systému důchodového pojištění či nižším využíváním předčasných odchodů do starobního důchodu</w:t>
            </w:r>
            <w:r w:rsidRPr="0067514E">
              <w:rPr>
                <w:rStyle w:val="Znakapoznpodarou"/>
                <w:color w:val="0D0D0D" w:themeColor="text1" w:themeTint="F2"/>
                <w:spacing w:val="-6"/>
              </w:rPr>
              <w:footnoteReference w:id="78"/>
            </w:r>
            <w:r w:rsidRPr="0067514E">
              <w:rPr>
                <w:rFonts w:cs="Arial"/>
                <w:color w:val="0D0D0D" w:themeColor="text1" w:themeTint="F2"/>
                <w:spacing w:val="-6"/>
              </w:rPr>
              <w:t>. Přesto tempo meziročního růstu vybraného pojistného na důchody loni poprvé po roce 2013 meziročně zvolnilo (na 7,8 %, z 10,1 % v roce 2018). To odpovídalo citelnějšímu zpomalení růstu zaměstnanosti v ekonomice i mírnému zvolnění dynamiky průměrných mezd. Saldo důchodového účtu</w:t>
            </w:r>
            <w:r w:rsidRPr="0067514E">
              <w:rPr>
                <w:rStyle w:val="Znakapoznpodarou"/>
                <w:color w:val="0D0D0D" w:themeColor="text1" w:themeTint="F2"/>
                <w:spacing w:val="-6"/>
              </w:rPr>
              <w:footnoteReference w:id="79"/>
            </w:r>
            <w:r w:rsidRPr="0067514E">
              <w:rPr>
                <w:rFonts w:cs="Arial"/>
                <w:color w:val="0D0D0D" w:themeColor="text1" w:themeTint="F2"/>
                <w:spacing w:val="-6"/>
              </w:rPr>
              <w:t xml:space="preserve"> v roce 2019 se tak meziročně velmi mírně zhoršilo a zůstalo již druhým rokem v řadě kladné (+16,4 mld. korun).</w:t>
            </w:r>
          </w:p>
        </w:tc>
      </w:tr>
      <w:tr w:rsidR="0067514E" w:rsidRPr="00F704D2" w14:paraId="5B748151" w14:textId="77777777" w:rsidTr="008D1E0A">
        <w:trPr>
          <w:trHeight w:val="170"/>
        </w:trPr>
        <w:tc>
          <w:tcPr>
            <w:tcW w:w="1732" w:type="dxa"/>
            <w:vMerge w:val="restart"/>
            <w:shd w:val="clear" w:color="auto" w:fill="auto"/>
            <w:tcMar>
              <w:left w:w="0" w:type="dxa"/>
            </w:tcMar>
          </w:tcPr>
          <w:p w14:paraId="05E78DB0" w14:textId="77777777" w:rsidR="0067514E" w:rsidRDefault="0067514E" w:rsidP="008D1E0A">
            <w:pPr>
              <w:pStyle w:val="Marginlie"/>
            </w:pPr>
          </w:p>
        </w:tc>
        <w:tc>
          <w:tcPr>
            <w:tcW w:w="217" w:type="dxa"/>
            <w:vMerge w:val="restart"/>
            <w:shd w:val="clear" w:color="auto" w:fill="auto"/>
            <w:tcMar>
              <w:left w:w="0" w:type="dxa"/>
            </w:tcMar>
          </w:tcPr>
          <w:p w14:paraId="1F334778" w14:textId="77777777" w:rsidR="0067514E" w:rsidRDefault="0067514E" w:rsidP="008D1E0A">
            <w:pPr>
              <w:pStyle w:val="Textpoznpodarou"/>
              <w:jc w:val="both"/>
              <w:rPr>
                <w:spacing w:val="-4"/>
              </w:rPr>
            </w:pPr>
          </w:p>
        </w:tc>
        <w:tc>
          <w:tcPr>
            <w:tcW w:w="7720" w:type="dxa"/>
            <w:shd w:val="clear" w:color="auto" w:fill="auto"/>
            <w:tcMar>
              <w:left w:w="0" w:type="dxa"/>
            </w:tcMar>
          </w:tcPr>
          <w:p w14:paraId="0D4998B8" w14:textId="77777777" w:rsidR="0067514E" w:rsidRPr="0067514E" w:rsidRDefault="0067514E" w:rsidP="008D1E0A">
            <w:pPr>
              <w:spacing w:after="40" w:line="240" w:lineRule="auto"/>
              <w:jc w:val="left"/>
              <w:rPr>
                <w:rFonts w:cs="Arial"/>
                <w:bCs/>
                <w:spacing w:val="-6"/>
              </w:rPr>
            </w:pPr>
            <w:r w:rsidRPr="0067514E">
              <w:rPr>
                <w:b/>
                <w:spacing w:val="-6"/>
              </w:rPr>
              <w:t xml:space="preserve">Graf č. 17  </w:t>
            </w:r>
            <w:r w:rsidRPr="0067514E">
              <w:rPr>
                <w:rFonts w:cs="Arial"/>
                <w:b/>
                <w:bCs/>
                <w:spacing w:val="-6"/>
              </w:rPr>
              <w:t>Vybrané výdaje státního rozpočtu</w:t>
            </w:r>
            <w:r w:rsidRPr="0067514E">
              <w:rPr>
                <w:rFonts w:cs="Arial"/>
                <w:bCs/>
                <w:spacing w:val="-6"/>
              </w:rPr>
              <w:t xml:space="preserve"> (v mld. korun, roční kumulace)</w:t>
            </w:r>
          </w:p>
        </w:tc>
      </w:tr>
      <w:tr w:rsidR="0067514E" w14:paraId="55A41467" w14:textId="77777777" w:rsidTr="008D1E0A">
        <w:tblPrEx>
          <w:tblCellMar>
            <w:left w:w="70" w:type="dxa"/>
            <w:right w:w="70" w:type="dxa"/>
          </w:tblCellMar>
        </w:tblPrEx>
        <w:trPr>
          <w:trHeight w:val="170"/>
        </w:trPr>
        <w:tc>
          <w:tcPr>
            <w:tcW w:w="1732" w:type="dxa"/>
            <w:vMerge/>
            <w:shd w:val="clear" w:color="auto" w:fill="auto"/>
          </w:tcPr>
          <w:p w14:paraId="1F91DC4A" w14:textId="77777777" w:rsidR="0067514E" w:rsidRDefault="0067514E" w:rsidP="008D1E0A">
            <w:pPr>
              <w:pStyle w:val="Marginlie"/>
            </w:pPr>
          </w:p>
        </w:tc>
        <w:tc>
          <w:tcPr>
            <w:tcW w:w="217" w:type="dxa"/>
            <w:vMerge/>
            <w:shd w:val="clear" w:color="auto" w:fill="auto"/>
          </w:tcPr>
          <w:p w14:paraId="39BCD0E2" w14:textId="77777777" w:rsidR="0067514E" w:rsidRDefault="0067514E" w:rsidP="008D1E0A">
            <w:pPr>
              <w:pStyle w:val="Textpoznpodarou"/>
              <w:jc w:val="both"/>
              <w:rPr>
                <w:spacing w:val="-4"/>
              </w:rPr>
            </w:pPr>
          </w:p>
        </w:tc>
        <w:tc>
          <w:tcPr>
            <w:tcW w:w="7720" w:type="dxa"/>
            <w:shd w:val="clear" w:color="auto" w:fill="auto"/>
          </w:tcPr>
          <w:p w14:paraId="1BA64B51" w14:textId="77777777" w:rsidR="0067514E" w:rsidRPr="0067514E" w:rsidRDefault="0067514E" w:rsidP="008D1E0A">
            <w:pPr>
              <w:spacing w:after="0"/>
              <w:rPr>
                <w:spacing w:val="-6"/>
              </w:rPr>
            </w:pPr>
            <w:r w:rsidRPr="0067514E">
              <w:rPr>
                <w:noProof/>
                <w:spacing w:val="-6"/>
              </w:rPr>
              <w:drawing>
                <wp:inline distT="0" distB="0" distL="0" distR="0" wp14:anchorId="6C5F5B4B" wp14:editId="213E2E2E">
                  <wp:extent cx="4751705" cy="3160166"/>
                  <wp:effectExtent l="0" t="0" r="0" b="2540"/>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67514E" w:rsidRPr="00343AC1" w14:paraId="3208D8B7" w14:textId="77777777" w:rsidTr="008D1E0A">
        <w:trPr>
          <w:trHeight w:val="170"/>
        </w:trPr>
        <w:tc>
          <w:tcPr>
            <w:tcW w:w="1732" w:type="dxa"/>
            <w:vMerge/>
            <w:shd w:val="clear" w:color="auto" w:fill="auto"/>
            <w:tcMar>
              <w:left w:w="0" w:type="dxa"/>
            </w:tcMar>
          </w:tcPr>
          <w:p w14:paraId="12AF932E" w14:textId="77777777" w:rsidR="0067514E" w:rsidRDefault="0067514E" w:rsidP="008D1E0A">
            <w:pPr>
              <w:pStyle w:val="Marginlie"/>
            </w:pPr>
          </w:p>
        </w:tc>
        <w:tc>
          <w:tcPr>
            <w:tcW w:w="217" w:type="dxa"/>
            <w:vMerge/>
            <w:shd w:val="clear" w:color="auto" w:fill="auto"/>
            <w:tcMar>
              <w:left w:w="0" w:type="dxa"/>
            </w:tcMar>
          </w:tcPr>
          <w:p w14:paraId="74AE046E" w14:textId="77777777" w:rsidR="0067514E" w:rsidRDefault="0067514E" w:rsidP="008D1E0A">
            <w:pPr>
              <w:pStyle w:val="Textpoznpodarou"/>
              <w:jc w:val="both"/>
              <w:rPr>
                <w:spacing w:val="-4"/>
              </w:rPr>
            </w:pPr>
          </w:p>
        </w:tc>
        <w:tc>
          <w:tcPr>
            <w:tcW w:w="7720" w:type="dxa"/>
            <w:shd w:val="clear" w:color="auto" w:fill="auto"/>
            <w:tcMar>
              <w:left w:w="0" w:type="dxa"/>
            </w:tcMar>
          </w:tcPr>
          <w:p w14:paraId="52ECDD0E" w14:textId="77777777" w:rsidR="0067514E" w:rsidRPr="0067514E" w:rsidRDefault="0067514E" w:rsidP="008D1E0A">
            <w:pPr>
              <w:pStyle w:val="Textpoznpodarou"/>
              <w:rPr>
                <w:spacing w:val="-6"/>
                <w:sz w:val="14"/>
                <w:szCs w:val="14"/>
              </w:rPr>
            </w:pPr>
            <w:r w:rsidRPr="0067514E">
              <w:rPr>
                <w:spacing w:val="-6"/>
                <w:sz w:val="14"/>
                <w:szCs w:val="14"/>
              </w:rPr>
              <w:t>*Pokrývá výdaje na platy v ústředních orgánech státní správy. Nezahrnuje např. mzdové výdaje na regionální školství.</w:t>
            </w:r>
          </w:p>
          <w:p w14:paraId="63E94DE8" w14:textId="77777777" w:rsidR="0067514E" w:rsidRPr="0067514E" w:rsidRDefault="0067514E" w:rsidP="008D1E0A">
            <w:pPr>
              <w:pStyle w:val="Textpoznpodarou"/>
              <w:rPr>
                <w:spacing w:val="-6"/>
                <w:sz w:val="14"/>
                <w:szCs w:val="14"/>
              </w:rPr>
            </w:pPr>
            <w:r w:rsidRPr="0067514E">
              <w:rPr>
                <w:spacing w:val="-6"/>
                <w:sz w:val="14"/>
                <w:szCs w:val="14"/>
              </w:rPr>
              <w:t>**Zahrnuje i dávky pěstounské péče.    ***Zahrnuje dávky pomoci v hmotné nouzi, dávky osobám se zdravotním postižením, příspěvek na péči dle zákona o sociálních službách.    ****Obsahuje zejména výdaje na nákup služeb, materiálu, energií či ostatních služeb (např. výdaje na opravy a udržování).    *****Odpovídá saldu rozpočtové kapitoly Státní dluh.</w:t>
            </w:r>
          </w:p>
          <w:p w14:paraId="085EA5BC" w14:textId="77777777" w:rsidR="0067514E" w:rsidRPr="0067514E" w:rsidRDefault="0067514E" w:rsidP="008D1E0A">
            <w:pPr>
              <w:spacing w:after="220" w:line="240" w:lineRule="auto"/>
              <w:rPr>
                <w:rFonts w:cs="Arial"/>
                <w:color w:val="0D0D0D" w:themeColor="text1" w:themeTint="F2"/>
                <w:spacing w:val="-6"/>
                <w:sz w:val="14"/>
                <w:szCs w:val="14"/>
              </w:rPr>
            </w:pPr>
            <w:r w:rsidRPr="0067514E">
              <w:rPr>
                <w:spacing w:val="-6"/>
                <w:sz w:val="14"/>
                <w:szCs w:val="14"/>
              </w:rPr>
              <w:t>Zdroj: MF ČR, MPSV</w:t>
            </w:r>
          </w:p>
        </w:tc>
      </w:tr>
      <w:tr w:rsidR="0067514E" w:rsidRPr="004F63A0" w14:paraId="4FDF979C" w14:textId="77777777" w:rsidTr="008D1E0A">
        <w:trPr>
          <w:trHeight w:val="145"/>
        </w:trPr>
        <w:tc>
          <w:tcPr>
            <w:tcW w:w="1732" w:type="dxa"/>
            <w:shd w:val="clear" w:color="auto" w:fill="auto"/>
            <w:tcMar>
              <w:left w:w="0" w:type="dxa"/>
            </w:tcMar>
          </w:tcPr>
          <w:p w14:paraId="186EBFE5" w14:textId="77777777" w:rsidR="0067514E" w:rsidRPr="007D6AF8" w:rsidRDefault="0067514E" w:rsidP="008D1E0A">
            <w:pPr>
              <w:pStyle w:val="Marginlie"/>
            </w:pPr>
            <w:r>
              <w:t>K růstu nedůchodových sociálních dávek přispělo hlavně vyšší čerpání dávek nemocenského pojištění a také posílení výdajů pro občany se zdravotním postižením.</w:t>
            </w:r>
          </w:p>
        </w:tc>
        <w:tc>
          <w:tcPr>
            <w:tcW w:w="217" w:type="dxa"/>
            <w:shd w:val="clear" w:color="auto" w:fill="auto"/>
            <w:tcMar>
              <w:left w:w="0" w:type="dxa"/>
            </w:tcMar>
          </w:tcPr>
          <w:p w14:paraId="6BC47EBE" w14:textId="77777777" w:rsidR="0067514E" w:rsidRDefault="0067514E" w:rsidP="008D1E0A">
            <w:pPr>
              <w:pStyle w:val="Textpoznpodarou"/>
              <w:jc w:val="both"/>
              <w:rPr>
                <w:spacing w:val="-4"/>
              </w:rPr>
            </w:pPr>
          </w:p>
        </w:tc>
        <w:tc>
          <w:tcPr>
            <w:tcW w:w="7720" w:type="dxa"/>
            <w:shd w:val="clear" w:color="auto" w:fill="auto"/>
            <w:tcMar>
              <w:left w:w="0" w:type="dxa"/>
            </w:tcMar>
          </w:tcPr>
          <w:p w14:paraId="6C3F34F5" w14:textId="15195729" w:rsidR="0067514E" w:rsidRPr="0067514E" w:rsidRDefault="0067514E" w:rsidP="0067514E">
            <w:pPr>
              <w:pStyle w:val="Textpoznpodarou"/>
              <w:spacing w:line="276" w:lineRule="auto"/>
              <w:jc w:val="both"/>
              <w:rPr>
                <w:spacing w:val="-6"/>
              </w:rPr>
            </w:pPr>
            <w:r w:rsidRPr="0067514E">
              <w:rPr>
                <w:spacing w:val="-6"/>
              </w:rPr>
              <w:t>Růst výdajů na ostatní sociální dávky (mimo důchody) loni zrychlil druhým rokem v řadě a docílil šestiletého maxima (+6,4 %). Vyšší výdaje státu souvisely z drtivé části s dávkami nemocenského pojištění (+14,5 %</w:t>
            </w:r>
            <w:r w:rsidRPr="0067514E">
              <w:rPr>
                <w:rStyle w:val="Znakapoznpodarou"/>
                <w:color w:val="0D0D0D" w:themeColor="text1" w:themeTint="F2"/>
                <w:spacing w:val="-6"/>
              </w:rPr>
              <w:footnoteReference w:id="80"/>
            </w:r>
            <w:r w:rsidRPr="0067514E">
              <w:rPr>
                <w:spacing w:val="-6"/>
              </w:rPr>
              <w:t xml:space="preserve">, za posledních osm let se čerpání zdvojnásobilo) a též s dávkami pro zdravotně postižené včetně příspěvků na péči (meziročně vyššími o osminu, za šest let o polovinu). O 3,3 % naopak klesly výdaje na státní sociální podporu, od konce poslední recese tyto výdaje dosud spíše stagnovaly. Z dílčích dávek státní sociální podpory loni posílila jen </w:t>
            </w:r>
            <w:r w:rsidR="008B3690">
              <w:rPr>
                <w:spacing w:val="-6"/>
              </w:rPr>
              <w:t>objem</w:t>
            </w:r>
            <w:r w:rsidRPr="0067514E">
              <w:rPr>
                <w:spacing w:val="-6"/>
              </w:rPr>
              <w:t>ově výrazně okrajová podpora pěstounské péče. Klesl jak objem veškerých příjmově testovaných dávek, např. přídavků na děti či příspěvků na bydlení (o 10 %, resp. 8 %), tak váhově dominantních rodičovských příspěvků (</w:t>
            </w:r>
            <w:r w:rsidRPr="0067514E">
              <w:rPr>
                <w:rFonts w:cs="Arial"/>
                <w:color w:val="0D0D0D" w:themeColor="text1" w:themeTint="F2"/>
                <w:spacing w:val="-6"/>
              </w:rPr>
              <w:t>o 2</w:t>
            </w:r>
            <w:r w:rsidRPr="0067514E">
              <w:rPr>
                <w:spacing w:val="-6"/>
              </w:rPr>
              <w:t> %). Vlivem zlepšené finanční situace domácností se snižoval i objem dávek v hmotné nouzi (meziročně o 18 %, za pět let o 61 %). Po pěti letech se loni zastavil pokles výdajů na podporu v nezaměstnanosti (+8,0 %). Projevil se efekt růstu průměrné výše podpory (díky nedávné mzdové akceleraci v ekonomice), počet nezaměstnaných s nárokem na podporu ale meziročně stagnoval.</w:t>
            </w:r>
          </w:p>
        </w:tc>
      </w:tr>
      <w:tr w:rsidR="0067514E" w:rsidRPr="004F63A0" w14:paraId="0B984676" w14:textId="77777777" w:rsidTr="008D1E0A">
        <w:trPr>
          <w:trHeight w:val="145"/>
        </w:trPr>
        <w:tc>
          <w:tcPr>
            <w:tcW w:w="1732" w:type="dxa"/>
            <w:shd w:val="clear" w:color="auto" w:fill="auto"/>
            <w:tcMar>
              <w:left w:w="0" w:type="dxa"/>
            </w:tcMar>
          </w:tcPr>
          <w:p w14:paraId="4FC81835" w14:textId="77777777" w:rsidR="0067514E" w:rsidRDefault="0067514E" w:rsidP="008D1E0A">
            <w:pPr>
              <w:pStyle w:val="Marginlie"/>
            </w:pPr>
            <w:r>
              <w:rPr>
                <w:spacing w:val="-3"/>
              </w:rPr>
              <w:lastRenderedPageBreak/>
              <w:t>Výše dluhu zůstává stabilizovaná již sedmým rokem. Dominantním dluhovým nástrojem zůstávají střednědobé a</w:t>
            </w:r>
            <w:r>
              <w:t> </w:t>
            </w:r>
            <w:r>
              <w:rPr>
                <w:spacing w:val="-3"/>
              </w:rPr>
              <w:t>dlouhodobé státní dluhopisy emitované na domácím trhu.</w:t>
            </w:r>
          </w:p>
        </w:tc>
        <w:tc>
          <w:tcPr>
            <w:tcW w:w="217" w:type="dxa"/>
            <w:shd w:val="clear" w:color="auto" w:fill="auto"/>
            <w:tcMar>
              <w:left w:w="0" w:type="dxa"/>
            </w:tcMar>
          </w:tcPr>
          <w:p w14:paraId="4A558F9B" w14:textId="77777777" w:rsidR="0067514E" w:rsidRDefault="0067514E" w:rsidP="008D1E0A">
            <w:pPr>
              <w:pStyle w:val="Textpoznpodarou"/>
              <w:jc w:val="both"/>
              <w:rPr>
                <w:spacing w:val="-4"/>
              </w:rPr>
            </w:pPr>
          </w:p>
        </w:tc>
        <w:tc>
          <w:tcPr>
            <w:tcW w:w="7720" w:type="dxa"/>
            <w:shd w:val="clear" w:color="auto" w:fill="auto"/>
            <w:tcMar>
              <w:left w:w="0" w:type="dxa"/>
            </w:tcMar>
          </w:tcPr>
          <w:p w14:paraId="4F730BCB" w14:textId="77777777" w:rsidR="0067514E" w:rsidRPr="0067514E" w:rsidRDefault="0067514E" w:rsidP="008D1E0A">
            <w:pPr>
              <w:pStyle w:val="Textpoznpodarou"/>
              <w:spacing w:after="200" w:line="276" w:lineRule="auto"/>
              <w:jc w:val="both"/>
              <w:rPr>
                <w:spacing w:val="-6"/>
              </w:rPr>
            </w:pPr>
            <w:r w:rsidRPr="0067514E">
              <w:rPr>
                <w:spacing w:val="-6"/>
              </w:rPr>
              <w:t>Na konci roku 2019 dosahoval státní dluh 1 640 mld. korun, meziročně se navýšil jen mírně (o 1,1 %). Výše dluhu zůstává stabilizovaná již sedmým rokem. V posledních čtyřech letech se opakuje určitý sezónní průběh – hodnota dluhu stoupá na počátku roku a v jeho druhé polovině dochází vlivem splátek k postupné redukci. Stát loni realizoval své výpůjční operace jen na domácím trhu</w:t>
            </w:r>
            <w:r w:rsidRPr="0067514E">
              <w:rPr>
                <w:rStyle w:val="Znakapoznpodarou"/>
                <w:color w:val="000000" w:themeColor="text1"/>
                <w:spacing w:val="-6"/>
              </w:rPr>
              <w:footnoteReference w:id="81"/>
            </w:r>
            <w:r w:rsidRPr="0067514E">
              <w:rPr>
                <w:spacing w:val="-6"/>
              </w:rPr>
              <w:t>, což se odrazilo v dalším poklesu korunové hodnoty zahraničního dluhu (o 13,9 %). Ten se na celkovém státním dluhu podílel 12,4 %, nejméně od konce roku 2004. Více než šest sedmin celkového dluhu tvořily střednědobé a dlouhodobé státní dluhopisy (vydané na domácím trhu). Klíčovým držitelem korunových státních dluhopisů zůstávají finanční instituce – s mírnou převahou pojišťovacích společností a penzijních fondů (29,5 %) nad ostatními subjekty tvořenými hlavně bankami a investičními fondy (25,2 %). Nerezidenti drželi 40,5 % dluhu, jejich váha na rozdíl od předchozích let zůstala během roku stabilní. Váha domácností díky nové nabídce produktu občanům (Dluhopis Republiky) posílila, ve srovnání se státy EU však byla stále podprůměrná (1,1 %).</w:t>
            </w:r>
          </w:p>
        </w:tc>
      </w:tr>
      <w:tr w:rsidR="0067514E" w:rsidRPr="004F63A0" w14:paraId="6A01443E" w14:textId="77777777" w:rsidTr="008D1E0A">
        <w:trPr>
          <w:trHeight w:val="145"/>
        </w:trPr>
        <w:tc>
          <w:tcPr>
            <w:tcW w:w="1732" w:type="dxa"/>
            <w:shd w:val="clear" w:color="auto" w:fill="auto"/>
            <w:tcMar>
              <w:left w:w="0" w:type="dxa"/>
            </w:tcMar>
          </w:tcPr>
          <w:p w14:paraId="6BD3DCEE" w14:textId="77777777" w:rsidR="0067514E" w:rsidRDefault="0067514E" w:rsidP="008D1E0A">
            <w:pPr>
              <w:pStyle w:val="Marginlie"/>
            </w:pPr>
            <w:r>
              <w:t>Míra zadlužení sektoru vládních institucí klesla na desetileté minimum.</w:t>
            </w:r>
          </w:p>
          <w:p w14:paraId="39CF7BEA" w14:textId="77777777" w:rsidR="0067514E" w:rsidRDefault="0067514E" w:rsidP="008D1E0A">
            <w:pPr>
              <w:pStyle w:val="Marginlie"/>
            </w:pPr>
          </w:p>
          <w:p w14:paraId="67D197BF" w14:textId="77777777" w:rsidR="0067514E" w:rsidRDefault="0067514E" w:rsidP="008D1E0A">
            <w:pPr>
              <w:pStyle w:val="Marginlie"/>
            </w:pPr>
          </w:p>
          <w:p w14:paraId="6EB76F1F" w14:textId="77777777" w:rsidR="0067514E" w:rsidRDefault="0067514E" w:rsidP="008D1E0A">
            <w:pPr>
              <w:pStyle w:val="Marginlie"/>
            </w:pPr>
          </w:p>
          <w:p w14:paraId="0E2EF851" w14:textId="77777777" w:rsidR="0067514E" w:rsidRDefault="0067514E" w:rsidP="008D1E0A">
            <w:pPr>
              <w:pStyle w:val="Marginlie"/>
            </w:pPr>
            <w:r w:rsidRPr="007D6AF8">
              <w:t>Saldo hospodaření zůstalo čtvrtým rokem v řadě klad</w:t>
            </w:r>
            <w:r>
              <w:t>né, výše přebytku se ale tenčila.</w:t>
            </w:r>
          </w:p>
          <w:p w14:paraId="3AF8FF3D" w14:textId="77777777" w:rsidR="0067514E" w:rsidRDefault="0067514E" w:rsidP="008D1E0A">
            <w:pPr>
              <w:pStyle w:val="Marginlie"/>
            </w:pPr>
          </w:p>
          <w:p w14:paraId="7D648965" w14:textId="77777777" w:rsidR="0067514E" w:rsidRDefault="0067514E" w:rsidP="008D1E0A">
            <w:pPr>
              <w:pStyle w:val="Marginlie"/>
            </w:pPr>
          </w:p>
          <w:p w14:paraId="14F7D76A" w14:textId="77777777" w:rsidR="0067514E" w:rsidRDefault="0067514E" w:rsidP="008D1E0A">
            <w:pPr>
              <w:pStyle w:val="Marginlie"/>
            </w:pPr>
          </w:p>
          <w:p w14:paraId="030FAA65" w14:textId="77777777" w:rsidR="0067514E" w:rsidRDefault="0067514E" w:rsidP="008D1E0A">
            <w:pPr>
              <w:pStyle w:val="Marginlie"/>
            </w:pPr>
            <w:r>
              <w:t>Zvolnění růstu ekonomiky během roku 2019 se promítlo i do dynamiky některých významných daňových příjmů.</w:t>
            </w:r>
          </w:p>
        </w:tc>
        <w:tc>
          <w:tcPr>
            <w:tcW w:w="217" w:type="dxa"/>
            <w:shd w:val="clear" w:color="auto" w:fill="auto"/>
            <w:tcMar>
              <w:left w:w="0" w:type="dxa"/>
            </w:tcMar>
          </w:tcPr>
          <w:p w14:paraId="0B08909A" w14:textId="77777777" w:rsidR="0067514E" w:rsidRDefault="0067514E" w:rsidP="008D1E0A">
            <w:pPr>
              <w:pStyle w:val="Textpoznpodarou"/>
              <w:jc w:val="both"/>
              <w:rPr>
                <w:spacing w:val="-4"/>
              </w:rPr>
            </w:pPr>
          </w:p>
        </w:tc>
        <w:tc>
          <w:tcPr>
            <w:tcW w:w="7720" w:type="dxa"/>
            <w:shd w:val="clear" w:color="auto" w:fill="auto"/>
            <w:tcMar>
              <w:left w:w="0" w:type="dxa"/>
            </w:tcMar>
          </w:tcPr>
          <w:p w14:paraId="62A0285B" w14:textId="6226DC2B" w:rsidR="0067514E" w:rsidRPr="0067514E" w:rsidRDefault="008B3690" w:rsidP="008D1E0A">
            <w:pPr>
              <w:pStyle w:val="Textpoznpodarou"/>
              <w:spacing w:line="276" w:lineRule="auto"/>
              <w:jc w:val="both"/>
              <w:rPr>
                <w:rFonts w:cs="Arial"/>
                <w:color w:val="0D0D0D" w:themeColor="text1" w:themeTint="F2"/>
                <w:spacing w:val="-6"/>
              </w:rPr>
            </w:pPr>
            <w:r>
              <w:rPr>
                <w:rFonts w:cs="Arial"/>
                <w:color w:val="0D0D0D" w:themeColor="text1" w:themeTint="F2"/>
                <w:spacing w:val="-6"/>
              </w:rPr>
              <w:t>D</w:t>
            </w:r>
            <w:r w:rsidRPr="0067514E">
              <w:rPr>
                <w:rFonts w:cs="Arial"/>
                <w:color w:val="0D0D0D" w:themeColor="text1" w:themeTint="F2"/>
                <w:spacing w:val="-6"/>
              </w:rPr>
              <w:t xml:space="preserve">luh </w:t>
            </w:r>
            <w:r>
              <w:rPr>
                <w:rFonts w:cs="Arial"/>
                <w:color w:val="0D0D0D" w:themeColor="text1" w:themeTint="F2"/>
                <w:spacing w:val="-6"/>
              </w:rPr>
              <w:t xml:space="preserve">celého </w:t>
            </w:r>
            <w:r w:rsidRPr="0067514E">
              <w:rPr>
                <w:rFonts w:cs="Arial"/>
                <w:color w:val="0D0D0D" w:themeColor="text1" w:themeTint="F2"/>
                <w:spacing w:val="-6"/>
              </w:rPr>
              <w:t xml:space="preserve">sektoru vládních institucí </w:t>
            </w:r>
            <w:r>
              <w:rPr>
                <w:rFonts w:cs="Arial"/>
                <w:color w:val="0D0D0D" w:themeColor="text1" w:themeTint="F2"/>
                <w:spacing w:val="-6"/>
              </w:rPr>
              <w:t xml:space="preserve">(zahrnujícího vedle ústředních </w:t>
            </w:r>
            <w:proofErr w:type="gramStart"/>
            <w:r>
              <w:rPr>
                <w:rFonts w:cs="Arial"/>
                <w:color w:val="0D0D0D" w:themeColor="text1" w:themeTint="F2"/>
                <w:spacing w:val="-6"/>
              </w:rPr>
              <w:t>i  místní</w:t>
            </w:r>
            <w:proofErr w:type="gramEnd"/>
            <w:r>
              <w:rPr>
                <w:rFonts w:cs="Arial"/>
                <w:color w:val="0D0D0D" w:themeColor="text1" w:themeTint="F2"/>
                <w:spacing w:val="-6"/>
              </w:rPr>
              <w:t xml:space="preserve"> vládní instituce či zdravotní pojišťovny) čítal dle údajů ČSÚ na</w:t>
            </w:r>
            <w:r w:rsidR="0067514E" w:rsidRPr="0067514E">
              <w:rPr>
                <w:rFonts w:cs="Arial"/>
                <w:color w:val="0D0D0D" w:themeColor="text1" w:themeTint="F2"/>
                <w:spacing w:val="-6"/>
              </w:rPr>
              <w:t xml:space="preserve"> konci roku </w:t>
            </w:r>
            <w:r>
              <w:rPr>
                <w:rFonts w:cs="Arial"/>
                <w:color w:val="0D0D0D" w:themeColor="text1" w:themeTint="F2"/>
                <w:spacing w:val="-6"/>
              </w:rPr>
              <w:t>2019</w:t>
            </w:r>
            <w:r w:rsidR="0067514E" w:rsidRPr="0067514E">
              <w:rPr>
                <w:rFonts w:cs="Arial"/>
                <w:color w:val="0D0D0D" w:themeColor="text1" w:themeTint="F2"/>
                <w:spacing w:val="-6"/>
              </w:rPr>
              <w:t xml:space="preserve"> </w:t>
            </w:r>
            <w:r>
              <w:rPr>
                <w:rFonts w:cs="Arial"/>
                <w:color w:val="0D0D0D" w:themeColor="text1" w:themeTint="F2"/>
                <w:spacing w:val="-6"/>
              </w:rPr>
              <w:t xml:space="preserve">výše </w:t>
            </w:r>
            <w:r w:rsidR="0067514E" w:rsidRPr="0067514E">
              <w:rPr>
                <w:rFonts w:cs="Arial"/>
                <w:color w:val="0D0D0D" w:themeColor="text1" w:themeTint="F2"/>
                <w:spacing w:val="-6"/>
              </w:rPr>
              <w:t xml:space="preserve">1 740 mld. korun a míra zadlužení </w:t>
            </w:r>
            <w:r>
              <w:rPr>
                <w:rFonts w:cs="Arial"/>
                <w:color w:val="0D0D0D" w:themeColor="text1" w:themeTint="F2"/>
                <w:spacing w:val="-6"/>
              </w:rPr>
              <w:t>činila</w:t>
            </w:r>
            <w:r w:rsidR="0067514E" w:rsidRPr="0067514E">
              <w:rPr>
                <w:rFonts w:cs="Arial"/>
                <w:color w:val="0D0D0D" w:themeColor="text1" w:themeTint="F2"/>
                <w:spacing w:val="-6"/>
              </w:rPr>
              <w:t xml:space="preserve"> 30,8 % HDP (desetileté minimum). Ta se za posledních šest let snížila o 14,1 p. b., v samotném roce 2019 pak o 1,8 p. b. (výhradně vlivem rostoucího nominálního HDP, neboť absolutní výše dluhu vzrostla o 5,8 mld. korun). Saldo hospodaření sektoru vládních institucí činilo loni 15,4 mld. korun, resp. +0,3 % HDP. Přebytku bylo dosaženo již počtvrté v řadě, ve srovnání s rokem 2018 byla ale loni jeho výše jen třetinová. Projevilo se primárně zhoršení u ústředních vládních institucí, kde saldo kleslo o 40,7 mld. korun (na </w:t>
            </w:r>
            <w:r w:rsidR="0067514E" w:rsidRPr="0067514E">
              <w:rPr>
                <w:spacing w:val="-6"/>
              </w:rPr>
              <w:t>–</w:t>
            </w:r>
            <w:r w:rsidR="0067514E" w:rsidRPr="0067514E">
              <w:rPr>
                <w:rFonts w:cs="Arial"/>
                <w:color w:val="0D0D0D" w:themeColor="text1" w:themeTint="F2"/>
                <w:spacing w:val="-6"/>
              </w:rPr>
              <w:t>31,7 mld., čtyřleté minimum). Zdravotní pojišťovny snížily přebytek hospodaření meziročně o třetinu, naopak místní vládní instituce (tvořené především kraji a obcemi) svůj kladný výsledek o polovinu vylepšily (na 36,0 mld.). Pozitivní bylo, že přebytku na místní úrovni bylo dosaženo při souběžném růstu investic</w:t>
            </w:r>
            <w:r w:rsidR="0067514E" w:rsidRPr="0067514E">
              <w:rPr>
                <w:rStyle w:val="Znakapoznpodarou"/>
                <w:color w:val="000000" w:themeColor="text1"/>
                <w:spacing w:val="-6"/>
              </w:rPr>
              <w:footnoteReference w:id="82"/>
            </w:r>
            <w:r w:rsidR="0067514E" w:rsidRPr="0067514E">
              <w:rPr>
                <w:rFonts w:cs="Arial"/>
                <w:color w:val="0D0D0D" w:themeColor="text1" w:themeTint="F2"/>
                <w:spacing w:val="-6"/>
              </w:rPr>
              <w:t xml:space="preserve">. Zpomalení ekonomického růstu během roku 2019 se na fiskální úrovni projevilo oslabením dynamiky daňových příjmů (zejména běžných daní z důchodů a sociálních příspěvků). To vyústilo ve zhoršující se saldo hospodaření celého sektoru vládních institucí – zatímco v 1. čtvrtletí dosáhlo po sezónním očištění +1,0 % HDP, na konci roku kleslo na </w:t>
            </w:r>
            <w:r w:rsidR="0067514E" w:rsidRPr="0067514E">
              <w:rPr>
                <w:spacing w:val="-6"/>
              </w:rPr>
              <w:t>–0,3 % a zaznamenalo první schodek za posledních pět let.</w:t>
            </w:r>
          </w:p>
          <w:p w14:paraId="353915AC" w14:textId="77777777" w:rsidR="0067514E" w:rsidRPr="0067514E" w:rsidRDefault="0067514E" w:rsidP="008D1E0A">
            <w:pPr>
              <w:pStyle w:val="Textpoznpodarou"/>
              <w:spacing w:line="276" w:lineRule="auto"/>
              <w:jc w:val="both"/>
              <w:rPr>
                <w:rFonts w:cs="Arial"/>
                <w:color w:val="0D0D0D" w:themeColor="text1" w:themeTint="F2"/>
                <w:spacing w:val="-6"/>
              </w:rPr>
            </w:pPr>
          </w:p>
        </w:tc>
      </w:tr>
      <w:tr w:rsidR="0067514E" w:rsidRPr="004F63A0" w14:paraId="6DD1A8BE" w14:textId="77777777" w:rsidTr="008D1E0A">
        <w:trPr>
          <w:trHeight w:val="145"/>
        </w:trPr>
        <w:tc>
          <w:tcPr>
            <w:tcW w:w="1732" w:type="dxa"/>
            <w:shd w:val="clear" w:color="auto" w:fill="auto"/>
            <w:tcMar>
              <w:left w:w="0" w:type="dxa"/>
            </w:tcMar>
          </w:tcPr>
          <w:p w14:paraId="4DA3F9C8" w14:textId="77777777" w:rsidR="0067514E" w:rsidRDefault="0067514E" w:rsidP="008D1E0A">
            <w:pPr>
              <w:pStyle w:val="Marginlie"/>
            </w:pPr>
            <w:r>
              <w:t>Česko drželo pozici čtvrté relativně nejméně zadlužené ekonomiky EU.</w:t>
            </w:r>
          </w:p>
          <w:p w14:paraId="26B23FC8" w14:textId="77777777" w:rsidR="0067514E" w:rsidRDefault="0067514E" w:rsidP="008D1E0A">
            <w:pPr>
              <w:pStyle w:val="Marginlie"/>
            </w:pPr>
          </w:p>
          <w:p w14:paraId="1F459222" w14:textId="77777777" w:rsidR="0067514E" w:rsidRDefault="0067514E" w:rsidP="008D1E0A">
            <w:pPr>
              <w:pStyle w:val="Marginlie"/>
            </w:pPr>
          </w:p>
          <w:p w14:paraId="4B03D7DA" w14:textId="77777777" w:rsidR="0067514E" w:rsidRDefault="0067514E" w:rsidP="008D1E0A">
            <w:pPr>
              <w:pStyle w:val="Marginlie"/>
            </w:pPr>
          </w:p>
          <w:p w14:paraId="6D7C9431" w14:textId="77777777" w:rsidR="0067514E" w:rsidRDefault="0067514E" w:rsidP="008D1E0A">
            <w:pPr>
              <w:pStyle w:val="Marginlie"/>
            </w:pPr>
          </w:p>
          <w:p w14:paraId="5F4E1F60" w14:textId="77777777" w:rsidR="0067514E" w:rsidRDefault="0067514E" w:rsidP="008D1E0A">
            <w:pPr>
              <w:pStyle w:val="Marginlie"/>
            </w:pPr>
            <w:r>
              <w:t>Po roce 2014 je v EU patrný pozvolný trend snižování míry zadlužení. Stav v nejpostiženějších ekonomikách se ale příliš nezlepšoval.</w:t>
            </w:r>
          </w:p>
        </w:tc>
        <w:tc>
          <w:tcPr>
            <w:tcW w:w="217" w:type="dxa"/>
            <w:shd w:val="clear" w:color="auto" w:fill="auto"/>
            <w:tcMar>
              <w:left w:w="0" w:type="dxa"/>
            </w:tcMar>
          </w:tcPr>
          <w:p w14:paraId="53167E37" w14:textId="77777777" w:rsidR="0067514E" w:rsidRDefault="0067514E" w:rsidP="008D1E0A">
            <w:pPr>
              <w:pStyle w:val="Textpoznpodarou"/>
              <w:jc w:val="both"/>
              <w:rPr>
                <w:spacing w:val="-4"/>
              </w:rPr>
            </w:pPr>
          </w:p>
        </w:tc>
        <w:tc>
          <w:tcPr>
            <w:tcW w:w="7720" w:type="dxa"/>
            <w:shd w:val="clear" w:color="auto" w:fill="auto"/>
            <w:tcMar>
              <w:left w:w="0" w:type="dxa"/>
            </w:tcMar>
          </w:tcPr>
          <w:p w14:paraId="20F4E3BE" w14:textId="33DD2E38" w:rsidR="0067514E" w:rsidRPr="0067514E" w:rsidRDefault="0067514E">
            <w:pPr>
              <w:pStyle w:val="Textpoznpodarou"/>
              <w:spacing w:line="276" w:lineRule="auto"/>
              <w:jc w:val="both"/>
              <w:rPr>
                <w:spacing w:val="-6"/>
              </w:rPr>
            </w:pPr>
            <w:r w:rsidRPr="0067514E">
              <w:rPr>
                <w:spacing w:val="-6"/>
              </w:rPr>
              <w:t xml:space="preserve">Dluh celého sektoru vládních institucí činil </w:t>
            </w:r>
            <w:r w:rsidRPr="0067514E">
              <w:rPr>
                <w:color w:val="000000" w:themeColor="text1"/>
                <w:spacing w:val="-6"/>
              </w:rPr>
              <w:t xml:space="preserve">dle aktuálních dat </w:t>
            </w:r>
            <w:r w:rsidRPr="0067514E">
              <w:rPr>
                <w:spacing w:val="-6"/>
              </w:rPr>
              <w:t xml:space="preserve">na konci </w:t>
            </w:r>
            <w:r w:rsidRPr="0067514E">
              <w:rPr>
                <w:color w:val="000000" w:themeColor="text1"/>
                <w:spacing w:val="-6"/>
              </w:rPr>
              <w:t>3. čtvrtletí 2019</w:t>
            </w:r>
            <w:r w:rsidR="007A7033" w:rsidRPr="0067514E">
              <w:rPr>
                <w:rStyle w:val="Znakapoznpodarou"/>
                <w:color w:val="000000" w:themeColor="text1"/>
                <w:spacing w:val="-6"/>
              </w:rPr>
              <w:footnoteReference w:id="83"/>
            </w:r>
            <w:r w:rsidRPr="0067514E">
              <w:rPr>
                <w:color w:val="000000" w:themeColor="text1"/>
                <w:spacing w:val="-6"/>
              </w:rPr>
              <w:t xml:space="preserve"> v ČR 32,0 % HDP. Česko tak zaujímalo pozici </w:t>
            </w:r>
            <w:r w:rsidRPr="0067514E">
              <w:rPr>
                <w:rFonts w:cs="Arial"/>
                <w:color w:val="0D0D0D" w:themeColor="text1" w:themeTint="F2"/>
                <w:spacing w:val="-6"/>
              </w:rPr>
              <w:t>čtvrté relativně nejméně zadlužené země EU </w:t>
            </w:r>
            <w:r w:rsidRPr="0067514E">
              <w:rPr>
                <w:spacing w:val="-6"/>
              </w:rPr>
              <w:t>–</w:t>
            </w:r>
            <w:r w:rsidRPr="0067514E">
              <w:rPr>
                <w:rFonts w:cs="Arial"/>
                <w:color w:val="0D0D0D" w:themeColor="text1" w:themeTint="F2"/>
                <w:spacing w:val="-6"/>
              </w:rPr>
              <w:t xml:space="preserve"> s</w:t>
            </w:r>
            <w:r w:rsidRPr="0067514E">
              <w:rPr>
                <w:color w:val="000000" w:themeColor="text1"/>
                <w:spacing w:val="-6"/>
              </w:rPr>
              <w:t xml:space="preserve"> větším </w:t>
            </w:r>
            <w:r w:rsidRPr="0067514E">
              <w:rPr>
                <w:rFonts w:cs="Arial"/>
                <w:color w:val="0D0D0D" w:themeColor="text1" w:themeTint="F2"/>
                <w:spacing w:val="-6"/>
              </w:rPr>
              <w:t>odstupem za Estonskem (9,2 %), Lucemburskem (20,2 %) a</w:t>
            </w:r>
            <w:r w:rsidRPr="0067514E">
              <w:rPr>
                <w:color w:val="000000" w:themeColor="text1"/>
                <w:spacing w:val="-6"/>
              </w:rPr>
              <w:t> </w:t>
            </w:r>
            <w:r w:rsidRPr="0067514E">
              <w:rPr>
                <w:rFonts w:cs="Arial"/>
                <w:color w:val="0D0D0D" w:themeColor="text1" w:themeTint="F2"/>
                <w:spacing w:val="-6"/>
              </w:rPr>
              <w:t>Bulharskem (20,6 %) a současně s minimálním předstihem před dalšími pěti státy (Dánskem, Švédskem, Rumunskem, Litvou a Lotyšskem). Výhradně vlivem růstu nominálníh</w:t>
            </w:r>
            <w:r w:rsidR="00A24DEB">
              <w:rPr>
                <w:rFonts w:cs="Arial"/>
                <w:color w:val="0D0D0D" w:themeColor="text1" w:themeTint="F2"/>
                <w:spacing w:val="-6"/>
              </w:rPr>
              <w:t>o HDP klesla míra zadlužení v Česku</w:t>
            </w:r>
            <w:r w:rsidRPr="0067514E">
              <w:rPr>
                <w:rFonts w:cs="Arial"/>
                <w:color w:val="0D0D0D" w:themeColor="text1" w:themeTint="F2"/>
                <w:spacing w:val="-6"/>
              </w:rPr>
              <w:t xml:space="preserve"> meziročně o 1,9 p. b., více než v eurozóně (</w:t>
            </w:r>
            <w:r w:rsidRPr="0067514E">
              <w:rPr>
                <w:spacing w:val="-6"/>
              </w:rPr>
              <w:t>–</w:t>
            </w:r>
            <w:r w:rsidR="00A24DEB">
              <w:rPr>
                <w:rFonts w:cs="Arial"/>
                <w:color w:val="0D0D0D" w:themeColor="text1" w:themeTint="F2"/>
                <w:spacing w:val="-6"/>
              </w:rPr>
              <w:t xml:space="preserve">1,0) jakož i v </w:t>
            </w:r>
            <w:r w:rsidRPr="0067514E">
              <w:rPr>
                <w:rFonts w:cs="Arial"/>
                <w:color w:val="0D0D0D" w:themeColor="text1" w:themeTint="F2"/>
                <w:spacing w:val="-6"/>
              </w:rPr>
              <w:t>EU (</w:t>
            </w:r>
            <w:r w:rsidRPr="0067514E">
              <w:rPr>
                <w:spacing w:val="-6"/>
              </w:rPr>
              <w:t>–</w:t>
            </w:r>
            <w:r w:rsidR="00A24DEB">
              <w:rPr>
                <w:rFonts w:cs="Arial"/>
                <w:color w:val="0D0D0D" w:themeColor="text1" w:themeTint="F2"/>
                <w:spacing w:val="-6"/>
              </w:rPr>
              <w:t>1,3</w:t>
            </w:r>
            <w:r w:rsidRPr="0067514E">
              <w:rPr>
                <w:rFonts w:cs="Arial"/>
                <w:color w:val="0D0D0D" w:themeColor="text1" w:themeTint="F2"/>
                <w:spacing w:val="-6"/>
              </w:rPr>
              <w:t>).</w:t>
            </w:r>
            <w:r w:rsidRPr="0067514E">
              <w:rPr>
                <w:spacing w:val="-6"/>
              </w:rPr>
              <w:t xml:space="preserve"> </w:t>
            </w:r>
            <w:r w:rsidRPr="0067514E">
              <w:rPr>
                <w:rFonts w:cs="Arial"/>
                <w:color w:val="0D0D0D" w:themeColor="text1" w:themeTint="F2"/>
                <w:spacing w:val="-6"/>
              </w:rPr>
              <w:t>Míra zadluženosti klesala v EU i v eurozóně již pátým rokem v řadě, tempo redukce se ale navzdory dlouhodobějšímu hospodářskému růstu nedařilo zrychlovat. To souvisí hlavně s tím, že sektor vládních institucí v zemích EU vykazoval stále negativní saldo hospodaření, jež se v posledních čtvrtletích již nesnižovalo</w:t>
            </w:r>
            <w:r w:rsidRPr="0067514E">
              <w:rPr>
                <w:rStyle w:val="Znakapoznpodarou"/>
                <w:color w:val="000000" w:themeColor="text1"/>
                <w:spacing w:val="-6"/>
              </w:rPr>
              <w:footnoteReference w:id="84"/>
            </w:r>
            <w:r w:rsidRPr="0067514E">
              <w:rPr>
                <w:rFonts w:cs="Arial"/>
                <w:color w:val="0D0D0D" w:themeColor="text1" w:themeTint="F2"/>
                <w:spacing w:val="-6"/>
              </w:rPr>
              <w:t xml:space="preserve">. Míra zadluženosti se ve </w:t>
            </w:r>
            <w:r w:rsidR="008B3690">
              <w:rPr>
                <w:rFonts w:cs="Arial"/>
                <w:color w:val="0D0D0D" w:themeColor="text1" w:themeTint="F2"/>
                <w:spacing w:val="-6"/>
              </w:rPr>
              <w:t>3</w:t>
            </w:r>
            <w:r w:rsidRPr="0067514E">
              <w:rPr>
                <w:rFonts w:cs="Arial"/>
                <w:color w:val="0D0D0D" w:themeColor="text1" w:themeTint="F2"/>
                <w:spacing w:val="-6"/>
              </w:rPr>
              <w:t xml:space="preserve">. čtvrtletí </w:t>
            </w:r>
            <w:r w:rsidR="008B3690">
              <w:rPr>
                <w:rFonts w:cs="Arial"/>
                <w:color w:val="0D0D0D" w:themeColor="text1" w:themeTint="F2"/>
                <w:spacing w:val="-6"/>
              </w:rPr>
              <w:t xml:space="preserve">2019 </w:t>
            </w:r>
            <w:r w:rsidRPr="0067514E">
              <w:rPr>
                <w:rFonts w:cs="Arial"/>
                <w:color w:val="0D0D0D" w:themeColor="text1" w:themeTint="F2"/>
                <w:spacing w:val="-6"/>
              </w:rPr>
              <w:t>meziročně sníži</w:t>
            </w:r>
            <w:r w:rsidR="0044279E">
              <w:rPr>
                <w:rFonts w:cs="Arial"/>
                <w:color w:val="0D0D0D" w:themeColor="text1" w:themeTint="F2"/>
                <w:spacing w:val="-6"/>
              </w:rPr>
              <w:t>la ve třech čtvrtinách států</w:t>
            </w:r>
            <w:r w:rsidRPr="0067514E">
              <w:rPr>
                <w:rFonts w:cs="Arial"/>
                <w:color w:val="0D0D0D" w:themeColor="text1" w:themeTint="F2"/>
                <w:spacing w:val="-6"/>
              </w:rPr>
              <w:t xml:space="preserve"> Unie, k mírnému nárůstu ale došlo mj. i v některých vysoce zadlužených ekonomikách (v Itálii na 137,3 % HDP a ve Francii na 100,5 %). Zadlužení pod 60 % HDP vykázala necelá polovina členů eurozóny, z toho z jádrových zemí (EU15) jen Lucembursko, Nizozemsko a Finsko. </w:t>
            </w:r>
            <w:r w:rsidRPr="0067514E">
              <w:rPr>
                <w:rFonts w:cs="Arial"/>
                <w:bCs/>
                <w:iCs/>
                <w:color w:val="0D0D0D" w:themeColor="text1" w:themeTint="F2"/>
                <w:spacing w:val="-6"/>
              </w:rPr>
              <w:t>Snížit svou míru zadluženosti pod úroveň minima z</w:t>
            </w:r>
            <w:r w:rsidRPr="0067514E">
              <w:rPr>
                <w:rFonts w:cs="Arial"/>
                <w:color w:val="0D0D0D" w:themeColor="text1" w:themeTint="F2"/>
                <w:spacing w:val="-6"/>
              </w:rPr>
              <w:t> </w:t>
            </w:r>
            <w:r w:rsidRPr="0067514E">
              <w:rPr>
                <w:rFonts w:cs="Arial"/>
                <w:bCs/>
                <w:iCs/>
                <w:color w:val="0D0D0D" w:themeColor="text1" w:themeTint="F2"/>
                <w:spacing w:val="-6"/>
              </w:rPr>
              <w:t>konjunkturního období 2006 až 2008 se dosud podařilo jen Německu a Maltě. Této úrovni se dále těsně blížilo již jen Švédsko, ČR ji stále překonávala o více než 5 p. b.</w:t>
            </w:r>
          </w:p>
        </w:tc>
      </w:tr>
      <w:bookmarkEnd w:id="20"/>
    </w:tbl>
    <w:p w14:paraId="400EECF4" w14:textId="1D3BCF3A" w:rsidR="00965797" w:rsidRPr="00485E82" w:rsidRDefault="00965797" w:rsidP="0067514E">
      <w:pPr>
        <w:pStyle w:val="Nadpis11"/>
        <w:rPr>
          <w:b w:val="0"/>
          <w:sz w:val="2"/>
          <w:szCs w:val="2"/>
          <w:highlight w:val="yellow"/>
        </w:rPr>
      </w:pPr>
    </w:p>
    <w:sectPr w:rsidR="00965797" w:rsidRPr="00485E82" w:rsidSect="00A03B10">
      <w:headerReference w:type="even" r:id="rId26"/>
      <w:headerReference w:type="default" r:id="rId27"/>
      <w:footerReference w:type="even" r:id="rId28"/>
      <w:footerReference w:type="default" r:id="rId29"/>
      <w:pgSz w:w="11906" w:h="16838" w:code="9"/>
      <w:pgMar w:top="1134" w:right="1134" w:bottom="1418" w:left="1134" w:header="68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D2585" w14:textId="77777777" w:rsidR="00C831E7" w:rsidRDefault="00C831E7" w:rsidP="00E71A58">
      <w:r>
        <w:separator/>
      </w:r>
    </w:p>
  </w:endnote>
  <w:endnote w:type="continuationSeparator" w:id="0">
    <w:p w14:paraId="62146C34" w14:textId="77777777" w:rsidR="00C831E7" w:rsidRDefault="00C831E7"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51A0D" w14:textId="68C31C39" w:rsidR="003474B6" w:rsidRPr="00932443" w:rsidRDefault="003474B6" w:rsidP="00A418BC">
    <w:pPr>
      <w:pStyle w:val="Zpat"/>
      <w:rPr>
        <w:szCs w:val="16"/>
      </w:rPr>
    </w:pPr>
    <w:r>
      <w:rPr>
        <w:szCs w:val="16"/>
        <w:lang w:eastAsia="cs-CZ"/>
      </w:rPr>
      <w:drawing>
        <wp:anchor distT="0" distB="0" distL="114300" distR="114300" simplePos="0" relativeHeight="251667968" behindDoc="0" locked="0" layoutInCell="1" allowOverlap="1" wp14:anchorId="71F0B6E3" wp14:editId="3AA519D4">
          <wp:simplePos x="0" y="0"/>
          <wp:positionH relativeFrom="column">
            <wp:align>right</wp:align>
          </wp:positionH>
          <wp:positionV relativeFrom="paragraph">
            <wp:posOffset>-64770</wp:posOffset>
          </wp:positionV>
          <wp:extent cx="428625" cy="201295"/>
          <wp:effectExtent l="0" t="0" r="3175" b="1905"/>
          <wp:wrapNone/>
          <wp:docPr id="42"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Pr>
        <w:szCs w:val="16"/>
      </w:rPr>
      <w:t>22</w:t>
    </w:r>
    <w:r w:rsidRPr="00932443">
      <w:rPr>
        <w:szCs w:val="16"/>
      </w:rPr>
      <w:fldChar w:fldCharType="end"/>
    </w:r>
    <w:r w:rsidRPr="00932443">
      <w:rPr>
        <w:szCs w:val="16"/>
      </w:rPr>
      <w:tab/>
    </w:r>
    <w:r>
      <w:rPr>
        <w:szCs w:val="16"/>
      </w:rPr>
      <w:t>Rok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17E4B" w14:textId="540E6951" w:rsidR="003474B6" w:rsidRPr="00932443" w:rsidRDefault="003474B6" w:rsidP="00FA6CB6">
    <w:pPr>
      <w:pStyle w:val="Zpat"/>
      <w:rPr>
        <w:szCs w:val="16"/>
      </w:rPr>
    </w:pPr>
    <w:r w:rsidRPr="00FA6CB6">
      <w:rPr>
        <w:szCs w:val="16"/>
      </w:rPr>
      <w:tab/>
    </w:r>
    <w:r>
      <w:rPr>
        <w:szCs w:val="16"/>
      </w:rPr>
      <w:t xml:space="preserve">Rok </w:t>
    </w:r>
    <w:r>
      <w:rPr>
        <w:szCs w:val="16"/>
        <w:lang w:eastAsia="cs-CZ"/>
      </w:rPr>
      <w:drawing>
        <wp:anchor distT="0" distB="0" distL="114300" distR="114300" simplePos="0" relativeHeight="251658752" behindDoc="0" locked="0" layoutInCell="1" allowOverlap="1" wp14:anchorId="6ADC9B20" wp14:editId="2C3814E9">
          <wp:simplePos x="0" y="0"/>
          <wp:positionH relativeFrom="column">
            <wp:align>left</wp:align>
          </wp:positionH>
          <wp:positionV relativeFrom="paragraph">
            <wp:posOffset>-122555</wp:posOffset>
          </wp:positionV>
          <wp:extent cx="510540" cy="272415"/>
          <wp:effectExtent l="0" t="0" r="0" b="6985"/>
          <wp:wrapNone/>
          <wp:docPr id="45" name="Picture 16"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anchor>
      </w:drawing>
    </w:r>
    <w:r>
      <w:rPr>
        <w:szCs w:val="16"/>
      </w:rPr>
      <w:t>2</w:t>
    </w:r>
    <w:r>
      <w:t>019</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Pr>
        <w:rStyle w:val="ZpatChar"/>
        <w:szCs w:val="16"/>
      </w:rPr>
      <w:t>23</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9B6B6" w14:textId="77777777" w:rsidR="00C831E7" w:rsidRDefault="00C831E7" w:rsidP="00A21B4D">
      <w:pPr>
        <w:spacing w:after="0"/>
      </w:pPr>
      <w:r>
        <w:separator/>
      </w:r>
    </w:p>
  </w:footnote>
  <w:footnote w:type="continuationSeparator" w:id="0">
    <w:p w14:paraId="0072FE5B" w14:textId="77777777" w:rsidR="00C831E7" w:rsidRDefault="00C831E7" w:rsidP="00E71A58">
      <w:r>
        <w:continuationSeparator/>
      </w:r>
    </w:p>
  </w:footnote>
  <w:footnote w:id="1">
    <w:p w14:paraId="2D1E23C5" w14:textId="77777777" w:rsidR="003474B6" w:rsidRDefault="003474B6" w:rsidP="00925615">
      <w:pPr>
        <w:pStyle w:val="Textpoznpodarou"/>
        <w:rPr>
          <w:spacing w:val="-2"/>
          <w:sz w:val="16"/>
          <w:szCs w:val="16"/>
        </w:rPr>
      </w:pPr>
      <w:r>
        <w:rPr>
          <w:rStyle w:val="Znakapoznpodarou"/>
          <w:spacing w:val="-2"/>
          <w:szCs w:val="16"/>
        </w:rPr>
        <w:footnoteRef/>
      </w:r>
      <w:r>
        <w:rPr>
          <w:spacing w:val="-2"/>
          <w:sz w:val="16"/>
          <w:szCs w:val="16"/>
        </w:rPr>
        <w:t xml:space="preserve"> Data o HDP, hrubé přidané hodnotě a jejich složkách jsou vyjádřena ve stálých cenách a v očištění o sezónní a kalendářní vlivy.</w:t>
      </w:r>
    </w:p>
  </w:footnote>
  <w:footnote w:id="2">
    <w:p w14:paraId="784F029F" w14:textId="77777777" w:rsidR="003474B6" w:rsidRDefault="003474B6" w:rsidP="00925615">
      <w:pPr>
        <w:pStyle w:val="Textpoznpodarou"/>
        <w:rPr>
          <w:sz w:val="16"/>
          <w:szCs w:val="16"/>
        </w:rPr>
      </w:pPr>
      <w:r>
        <w:rPr>
          <w:rStyle w:val="Znakapoznpodarou"/>
          <w:szCs w:val="16"/>
        </w:rPr>
        <w:footnoteRef/>
      </w:r>
      <w:r>
        <w:rPr>
          <w:sz w:val="16"/>
          <w:szCs w:val="16"/>
        </w:rPr>
        <w:t xml:space="preserve"> V pojetí národních účtů.</w:t>
      </w:r>
    </w:p>
  </w:footnote>
  <w:footnote w:id="3">
    <w:p w14:paraId="0A248799" w14:textId="77777777" w:rsidR="003474B6" w:rsidRDefault="003474B6" w:rsidP="00925615">
      <w:pPr>
        <w:pStyle w:val="Textpoznpodarou"/>
        <w:jc w:val="both"/>
        <w:rPr>
          <w:sz w:val="16"/>
          <w:szCs w:val="16"/>
        </w:rPr>
      </w:pPr>
      <w:r>
        <w:rPr>
          <w:rStyle w:val="Znakapoznpodarou"/>
          <w:spacing w:val="-2"/>
          <w:szCs w:val="16"/>
        </w:rPr>
        <w:footnoteRef/>
      </w:r>
      <w:r>
        <w:rPr>
          <w:spacing w:val="-2"/>
          <w:sz w:val="16"/>
          <w:szCs w:val="16"/>
        </w:rPr>
        <w:t xml:space="preserve"> Údaje o zaměstnanosti jsou uvedeny v pojetí národních účtů a očištěny o sezónní vlivy.</w:t>
      </w:r>
    </w:p>
  </w:footnote>
  <w:footnote w:id="4">
    <w:p w14:paraId="6EF37F6C" w14:textId="77777777" w:rsidR="003474B6" w:rsidRPr="00EF1EE3" w:rsidRDefault="003474B6" w:rsidP="00C715CC">
      <w:pPr>
        <w:pStyle w:val="Textpoznpodarou"/>
        <w:rPr>
          <w:sz w:val="16"/>
          <w:szCs w:val="16"/>
        </w:rPr>
      </w:pPr>
      <w:r w:rsidRPr="00EF1EE3">
        <w:rPr>
          <w:rStyle w:val="Znakapoznpodarou"/>
          <w:sz w:val="16"/>
          <w:szCs w:val="16"/>
        </w:rPr>
        <w:footnoteRef/>
      </w:r>
      <w:r w:rsidRPr="00EF1EE3">
        <w:rPr>
          <w:sz w:val="16"/>
          <w:szCs w:val="16"/>
        </w:rPr>
        <w:t xml:space="preserve"> </w:t>
      </w:r>
      <w:r>
        <w:rPr>
          <w:sz w:val="16"/>
          <w:szCs w:val="16"/>
        </w:rPr>
        <w:t>Vývoj</w:t>
      </w:r>
      <w:r w:rsidRPr="00EF1EE3">
        <w:rPr>
          <w:sz w:val="16"/>
          <w:szCs w:val="16"/>
        </w:rPr>
        <w:t xml:space="preserve"> HDP, hrubé přidané hodnot</w:t>
      </w:r>
      <w:r>
        <w:rPr>
          <w:sz w:val="16"/>
          <w:szCs w:val="16"/>
        </w:rPr>
        <w:t>y</w:t>
      </w:r>
      <w:r w:rsidRPr="00EF1EE3">
        <w:rPr>
          <w:sz w:val="16"/>
          <w:szCs w:val="16"/>
        </w:rPr>
        <w:t xml:space="preserve"> a</w:t>
      </w:r>
      <w:r>
        <w:rPr>
          <w:sz w:val="16"/>
          <w:szCs w:val="16"/>
        </w:rPr>
        <w:t> </w:t>
      </w:r>
      <w:r w:rsidRPr="00EF1EE3">
        <w:rPr>
          <w:sz w:val="16"/>
          <w:szCs w:val="16"/>
        </w:rPr>
        <w:t>jejich slož</w:t>
      </w:r>
      <w:r>
        <w:rPr>
          <w:sz w:val="16"/>
          <w:szCs w:val="16"/>
        </w:rPr>
        <w:t>e</w:t>
      </w:r>
      <w:r w:rsidRPr="00EF1EE3">
        <w:rPr>
          <w:sz w:val="16"/>
          <w:szCs w:val="16"/>
        </w:rPr>
        <w:t xml:space="preserve">k </w:t>
      </w:r>
      <w:r>
        <w:rPr>
          <w:sz w:val="16"/>
          <w:szCs w:val="16"/>
        </w:rPr>
        <w:t xml:space="preserve">je </w:t>
      </w:r>
      <w:r w:rsidRPr="00EF1EE3">
        <w:rPr>
          <w:sz w:val="16"/>
          <w:szCs w:val="16"/>
        </w:rPr>
        <w:t>vyjádřen</w:t>
      </w:r>
      <w:r>
        <w:rPr>
          <w:sz w:val="16"/>
          <w:szCs w:val="16"/>
        </w:rPr>
        <w:t xml:space="preserve"> prostřednictvím objemových indexů (tj. očištěn o vliv cen)</w:t>
      </w:r>
      <w:r w:rsidRPr="00EF1EE3">
        <w:rPr>
          <w:sz w:val="16"/>
          <w:szCs w:val="16"/>
        </w:rPr>
        <w:t xml:space="preserve"> a</w:t>
      </w:r>
      <w:r>
        <w:rPr>
          <w:sz w:val="16"/>
          <w:szCs w:val="16"/>
        </w:rPr>
        <w:t xml:space="preserve"> po </w:t>
      </w:r>
      <w:r w:rsidRPr="00EF1EE3">
        <w:rPr>
          <w:sz w:val="16"/>
          <w:szCs w:val="16"/>
        </w:rPr>
        <w:t>očištění o</w:t>
      </w:r>
      <w:r>
        <w:rPr>
          <w:sz w:val="16"/>
          <w:szCs w:val="16"/>
        </w:rPr>
        <w:t> </w:t>
      </w:r>
      <w:r w:rsidRPr="00EF1EE3">
        <w:rPr>
          <w:sz w:val="16"/>
          <w:szCs w:val="16"/>
        </w:rPr>
        <w:t>sezónní a kalendářn</w:t>
      </w:r>
      <w:r>
        <w:rPr>
          <w:sz w:val="16"/>
          <w:szCs w:val="16"/>
        </w:rPr>
        <w:t>í vlivy. Údaje jsou platné k 31. 3. 2020</w:t>
      </w:r>
      <w:r w:rsidRPr="00EF1EE3">
        <w:rPr>
          <w:sz w:val="16"/>
          <w:szCs w:val="16"/>
        </w:rPr>
        <w:t>.</w:t>
      </w:r>
    </w:p>
  </w:footnote>
  <w:footnote w:id="5">
    <w:p w14:paraId="0E6C4926" w14:textId="77777777" w:rsidR="003474B6" w:rsidRPr="009C6EA8" w:rsidRDefault="003474B6" w:rsidP="00C715CC">
      <w:pPr>
        <w:pStyle w:val="Textpoznpodarou"/>
        <w:rPr>
          <w:sz w:val="16"/>
          <w:szCs w:val="16"/>
        </w:rPr>
      </w:pPr>
      <w:r w:rsidRPr="009C6EA8">
        <w:rPr>
          <w:rStyle w:val="Znakapoznpodarou"/>
          <w:sz w:val="16"/>
          <w:szCs w:val="16"/>
        </w:rPr>
        <w:footnoteRef/>
      </w:r>
      <w:r w:rsidRPr="009C6EA8">
        <w:rPr>
          <w:sz w:val="16"/>
          <w:szCs w:val="16"/>
        </w:rPr>
        <w:t xml:space="preserve"> Příspěvky ke změně HDP po vyloučení dovozu pro konečné užití.</w:t>
      </w:r>
    </w:p>
  </w:footnote>
  <w:footnote w:id="6">
    <w:p w14:paraId="78AC3DE2" w14:textId="77777777" w:rsidR="003474B6" w:rsidRDefault="003474B6" w:rsidP="00C715CC">
      <w:pPr>
        <w:pStyle w:val="Textpoznpodarou"/>
      </w:pPr>
      <w:r w:rsidRPr="009C6EA8">
        <w:rPr>
          <w:rStyle w:val="Znakapoznpodarou"/>
          <w:sz w:val="16"/>
          <w:szCs w:val="16"/>
        </w:rPr>
        <w:footnoteRef/>
      </w:r>
      <w:r w:rsidRPr="009C6EA8">
        <w:rPr>
          <w:sz w:val="16"/>
          <w:szCs w:val="16"/>
        </w:rPr>
        <w:t xml:space="preserve"> </w:t>
      </w:r>
      <w:r>
        <w:rPr>
          <w:sz w:val="16"/>
          <w:szCs w:val="16"/>
        </w:rPr>
        <w:t>Zaměstnanost v</w:t>
      </w:r>
      <w:r w:rsidRPr="009C6EA8">
        <w:rPr>
          <w:sz w:val="16"/>
          <w:szCs w:val="16"/>
        </w:rPr>
        <w:t xml:space="preserve"> pojetí národních účtů, </w:t>
      </w:r>
      <w:r>
        <w:rPr>
          <w:sz w:val="16"/>
          <w:szCs w:val="16"/>
        </w:rPr>
        <w:t xml:space="preserve">údaj je </w:t>
      </w:r>
      <w:r w:rsidRPr="009C6EA8">
        <w:rPr>
          <w:sz w:val="16"/>
          <w:szCs w:val="16"/>
        </w:rPr>
        <w:t>sezónně očištěn</w:t>
      </w:r>
      <w:r w:rsidRPr="00004BA8">
        <w:rPr>
          <w:sz w:val="16"/>
        </w:rPr>
        <w:t>.</w:t>
      </w:r>
    </w:p>
  </w:footnote>
  <w:footnote w:id="7">
    <w:p w14:paraId="02CF0523" w14:textId="77777777" w:rsidR="003474B6" w:rsidRPr="009C6EA8" w:rsidRDefault="003474B6" w:rsidP="00C715CC">
      <w:pPr>
        <w:pStyle w:val="Textpoznpodarou"/>
        <w:rPr>
          <w:sz w:val="16"/>
          <w:szCs w:val="16"/>
        </w:rPr>
      </w:pPr>
      <w:r w:rsidRPr="009C6EA8">
        <w:rPr>
          <w:rStyle w:val="Znakapoznpodarou"/>
          <w:sz w:val="16"/>
          <w:szCs w:val="16"/>
        </w:rPr>
        <w:footnoteRef/>
      </w:r>
      <w:r w:rsidRPr="009C6EA8">
        <w:rPr>
          <w:sz w:val="16"/>
          <w:szCs w:val="16"/>
        </w:rPr>
        <w:t xml:space="preserve"> Do reálného vyjádření převedeno s využitím deflátoru výdajů na konečnou spotřebu domácností.</w:t>
      </w:r>
    </w:p>
  </w:footnote>
  <w:footnote w:id="8">
    <w:p w14:paraId="5B04C7D6" w14:textId="77777777" w:rsidR="003474B6" w:rsidRPr="001553B8" w:rsidRDefault="003474B6" w:rsidP="008A6AA5">
      <w:pPr>
        <w:autoSpaceDE w:val="0"/>
        <w:autoSpaceDN w:val="0"/>
        <w:adjustRightInd w:val="0"/>
        <w:spacing w:after="0" w:line="240" w:lineRule="auto"/>
        <w:jc w:val="left"/>
        <w:rPr>
          <w:rFonts w:cs="Arial"/>
          <w:sz w:val="16"/>
          <w:szCs w:val="16"/>
        </w:rPr>
      </w:pPr>
      <w:r w:rsidRPr="001553B8">
        <w:rPr>
          <w:rStyle w:val="Znakapoznpodarou"/>
          <w:rFonts w:cs="Arial"/>
          <w:sz w:val="16"/>
          <w:szCs w:val="16"/>
        </w:rPr>
        <w:footnoteRef/>
      </w:r>
      <w:r w:rsidRPr="001553B8">
        <w:rPr>
          <w:rFonts w:cs="Arial"/>
          <w:sz w:val="16"/>
          <w:szCs w:val="16"/>
        </w:rPr>
        <w:t xml:space="preserve"> </w:t>
      </w:r>
      <w:r w:rsidRPr="001553B8">
        <w:rPr>
          <w:rFonts w:eastAsia="Calibri" w:cs="Arial"/>
          <w:bCs/>
          <w:iCs/>
          <w:sz w:val="16"/>
          <w:szCs w:val="16"/>
          <w:lang w:eastAsia="en-US"/>
        </w:rPr>
        <w:t xml:space="preserve">Míra zisku nefinančních podniků </w:t>
      </w:r>
      <w:r w:rsidRPr="001553B8">
        <w:rPr>
          <w:rFonts w:eastAsia="Calibri" w:cs="Arial"/>
          <w:iCs/>
          <w:sz w:val="16"/>
          <w:szCs w:val="16"/>
          <w:lang w:eastAsia="en-US"/>
        </w:rPr>
        <w:t>je definována jako podíl hrubého provozního přebytku k</w:t>
      </w:r>
      <w:r>
        <w:rPr>
          <w:rFonts w:eastAsia="Calibri" w:cs="Arial"/>
          <w:iCs/>
          <w:sz w:val="16"/>
          <w:szCs w:val="16"/>
          <w:lang w:eastAsia="en-US"/>
        </w:rPr>
        <w:t> </w:t>
      </w:r>
      <w:r w:rsidRPr="001553B8">
        <w:rPr>
          <w:rFonts w:eastAsia="Calibri" w:cs="Arial"/>
          <w:iCs/>
          <w:sz w:val="16"/>
          <w:szCs w:val="16"/>
          <w:lang w:eastAsia="en-US"/>
        </w:rPr>
        <w:t>hrubé přidané</w:t>
      </w:r>
      <w:r>
        <w:rPr>
          <w:rFonts w:eastAsia="Calibri" w:cs="Arial"/>
          <w:iCs/>
          <w:sz w:val="16"/>
          <w:szCs w:val="16"/>
          <w:lang w:eastAsia="en-US"/>
        </w:rPr>
        <w:t xml:space="preserve"> </w:t>
      </w:r>
      <w:r w:rsidRPr="001553B8">
        <w:rPr>
          <w:rFonts w:eastAsia="Calibri" w:cs="Arial"/>
          <w:iCs/>
          <w:sz w:val="16"/>
          <w:szCs w:val="16"/>
          <w:lang w:eastAsia="en-US"/>
        </w:rPr>
        <w:t>hodnotě (B.2g/B.1g). Tento ukazatel reprezentuje ziskovost výrobních faktorů z</w:t>
      </w:r>
      <w:r>
        <w:rPr>
          <w:rFonts w:eastAsia="Calibri" w:cs="Arial"/>
          <w:iCs/>
          <w:sz w:val="16"/>
          <w:szCs w:val="16"/>
          <w:lang w:eastAsia="en-US"/>
        </w:rPr>
        <w:t> </w:t>
      </w:r>
      <w:r w:rsidRPr="001553B8">
        <w:rPr>
          <w:rFonts w:eastAsia="Calibri" w:cs="Arial"/>
          <w:iCs/>
          <w:sz w:val="16"/>
          <w:szCs w:val="16"/>
          <w:lang w:eastAsia="en-US"/>
        </w:rPr>
        <w:t>výrobního procesu.</w:t>
      </w:r>
    </w:p>
  </w:footnote>
  <w:footnote w:id="9">
    <w:p w14:paraId="39B307D1" w14:textId="77777777" w:rsidR="003474B6" w:rsidRPr="00771972" w:rsidRDefault="003474B6" w:rsidP="0098157D">
      <w:pPr>
        <w:pStyle w:val="Textpoznpodarou"/>
        <w:rPr>
          <w:sz w:val="16"/>
          <w:szCs w:val="16"/>
        </w:rPr>
      </w:pPr>
      <w:r w:rsidRPr="00771972">
        <w:rPr>
          <w:rStyle w:val="Znakapoznpodarou"/>
          <w:sz w:val="16"/>
          <w:szCs w:val="16"/>
        </w:rPr>
        <w:footnoteRef/>
      </w:r>
      <w:r w:rsidRPr="00771972">
        <w:rPr>
          <w:sz w:val="16"/>
          <w:szCs w:val="16"/>
        </w:rPr>
        <w:t xml:space="preserve"> Veřejná správa a</w:t>
      </w:r>
      <w:r>
        <w:rPr>
          <w:sz w:val="16"/>
          <w:szCs w:val="16"/>
        </w:rPr>
        <w:t> </w:t>
      </w:r>
      <w:r w:rsidRPr="00771972">
        <w:rPr>
          <w:sz w:val="16"/>
          <w:szCs w:val="16"/>
        </w:rPr>
        <w:t>obrana, vzdělávání, zdravotní a</w:t>
      </w:r>
      <w:r>
        <w:rPr>
          <w:sz w:val="16"/>
          <w:szCs w:val="16"/>
        </w:rPr>
        <w:t> </w:t>
      </w:r>
      <w:r w:rsidRPr="00771972">
        <w:rPr>
          <w:sz w:val="16"/>
          <w:szCs w:val="16"/>
        </w:rPr>
        <w:t>sociální péče.</w:t>
      </w:r>
    </w:p>
  </w:footnote>
  <w:footnote w:id="10">
    <w:p w14:paraId="58CDFF52" w14:textId="77777777" w:rsidR="003474B6" w:rsidRPr="00954992" w:rsidRDefault="003474B6" w:rsidP="00C715CC">
      <w:pPr>
        <w:pStyle w:val="Textpoznpodarou"/>
        <w:rPr>
          <w:sz w:val="16"/>
          <w:szCs w:val="16"/>
        </w:rPr>
      </w:pPr>
      <w:r w:rsidRPr="00954992">
        <w:rPr>
          <w:rStyle w:val="Znakapoznpodarou"/>
          <w:sz w:val="16"/>
          <w:szCs w:val="16"/>
        </w:rPr>
        <w:footnoteRef/>
      </w:r>
      <w:r w:rsidRPr="00954992">
        <w:rPr>
          <w:sz w:val="16"/>
          <w:szCs w:val="16"/>
        </w:rPr>
        <w:t xml:space="preserve"> Údaje o</w:t>
      </w:r>
      <w:r>
        <w:rPr>
          <w:sz w:val="16"/>
          <w:szCs w:val="16"/>
        </w:rPr>
        <w:t> </w:t>
      </w:r>
      <w:r w:rsidRPr="00954992">
        <w:rPr>
          <w:sz w:val="16"/>
          <w:szCs w:val="16"/>
        </w:rPr>
        <w:t>spotřebě dle trvanlivosti jsou v domácím pojetí a</w:t>
      </w:r>
      <w:r>
        <w:rPr>
          <w:sz w:val="16"/>
          <w:szCs w:val="16"/>
        </w:rPr>
        <w:t> </w:t>
      </w:r>
      <w:r w:rsidRPr="00954992">
        <w:rPr>
          <w:sz w:val="16"/>
          <w:szCs w:val="16"/>
        </w:rPr>
        <w:t>bez sezónního očištění.</w:t>
      </w:r>
    </w:p>
  </w:footnote>
  <w:footnote w:id="11">
    <w:p w14:paraId="17B89A4F" w14:textId="77777777" w:rsidR="003474B6" w:rsidRPr="003D6F54" w:rsidRDefault="003474B6" w:rsidP="00C715CC">
      <w:pPr>
        <w:autoSpaceDE w:val="0"/>
        <w:autoSpaceDN w:val="0"/>
        <w:adjustRightInd w:val="0"/>
        <w:spacing w:after="0" w:line="240" w:lineRule="auto"/>
        <w:jc w:val="left"/>
        <w:rPr>
          <w:rFonts w:cs="Arial"/>
          <w:sz w:val="16"/>
          <w:szCs w:val="16"/>
        </w:rPr>
      </w:pPr>
      <w:r w:rsidRPr="003D6F54">
        <w:rPr>
          <w:rStyle w:val="Znakapoznpodarou"/>
          <w:rFonts w:cs="Arial"/>
          <w:sz w:val="16"/>
          <w:szCs w:val="16"/>
        </w:rPr>
        <w:footnoteRef/>
      </w:r>
      <w:r w:rsidRPr="003D6F54">
        <w:rPr>
          <w:rFonts w:cs="Arial"/>
          <w:sz w:val="16"/>
          <w:szCs w:val="16"/>
        </w:rPr>
        <w:t xml:space="preserve"> </w:t>
      </w:r>
      <w:r w:rsidRPr="003D6F54">
        <w:rPr>
          <w:rFonts w:eastAsia="Calibri" w:cs="Arial"/>
          <w:bCs/>
          <w:iCs/>
          <w:sz w:val="16"/>
          <w:szCs w:val="16"/>
          <w:lang w:eastAsia="en-US"/>
        </w:rPr>
        <w:t xml:space="preserve">Míra úspor domácností </w:t>
      </w:r>
      <w:r w:rsidRPr="003D6F54">
        <w:rPr>
          <w:rFonts w:eastAsia="Calibri" w:cs="Arial"/>
          <w:iCs/>
          <w:sz w:val="16"/>
          <w:szCs w:val="16"/>
          <w:lang w:eastAsia="en-US"/>
        </w:rPr>
        <w:t>je definována jako podíl hrubých úspor a</w:t>
      </w:r>
      <w:r>
        <w:rPr>
          <w:rFonts w:eastAsia="Calibri" w:cs="Arial"/>
          <w:iCs/>
          <w:sz w:val="16"/>
          <w:szCs w:val="16"/>
          <w:lang w:eastAsia="en-US"/>
        </w:rPr>
        <w:t> </w:t>
      </w:r>
      <w:r w:rsidRPr="003D6F54">
        <w:rPr>
          <w:rFonts w:eastAsia="Calibri" w:cs="Arial"/>
          <w:iCs/>
          <w:sz w:val="16"/>
          <w:szCs w:val="16"/>
          <w:lang w:eastAsia="en-US"/>
        </w:rPr>
        <w:t>hrubého disponibilního důchodu</w:t>
      </w:r>
      <w:r>
        <w:rPr>
          <w:rFonts w:eastAsia="Calibri" w:cs="Arial"/>
          <w:iCs/>
          <w:sz w:val="16"/>
          <w:szCs w:val="16"/>
          <w:lang w:eastAsia="en-US"/>
        </w:rPr>
        <w:t xml:space="preserve"> </w:t>
      </w:r>
      <w:r w:rsidRPr="003D6F54">
        <w:rPr>
          <w:rFonts w:eastAsia="Calibri" w:cs="Arial"/>
          <w:iCs/>
          <w:sz w:val="16"/>
          <w:szCs w:val="16"/>
          <w:lang w:eastAsia="en-US"/>
        </w:rPr>
        <w:t>se zahrnutím úpravy o</w:t>
      </w:r>
      <w:r>
        <w:rPr>
          <w:rFonts w:eastAsia="Calibri" w:cs="Arial"/>
          <w:iCs/>
          <w:sz w:val="16"/>
          <w:szCs w:val="16"/>
          <w:lang w:eastAsia="en-US"/>
        </w:rPr>
        <w:t> </w:t>
      </w:r>
      <w:r w:rsidRPr="003D6F54">
        <w:rPr>
          <w:rFonts w:eastAsia="Calibri" w:cs="Arial"/>
          <w:iCs/>
          <w:sz w:val="16"/>
          <w:szCs w:val="16"/>
          <w:lang w:eastAsia="en-US"/>
        </w:rPr>
        <w:t>čistý podíl domácností na rezervách penzijních fondů (B.8g/(B.6g+D.8)). Hrubé úspory</w:t>
      </w:r>
      <w:r>
        <w:rPr>
          <w:rFonts w:eastAsia="Calibri" w:cs="Arial"/>
          <w:iCs/>
          <w:sz w:val="16"/>
          <w:szCs w:val="16"/>
          <w:lang w:eastAsia="en-US"/>
        </w:rPr>
        <w:t xml:space="preserve"> </w:t>
      </w:r>
      <w:r w:rsidRPr="003D6F54">
        <w:rPr>
          <w:rFonts w:eastAsia="Calibri" w:cs="Arial"/>
          <w:iCs/>
          <w:sz w:val="16"/>
          <w:szCs w:val="16"/>
          <w:lang w:eastAsia="en-US"/>
        </w:rPr>
        <w:t>představují část hrubého disponibilního důchodu, který nebyl spotřebován ve formě výdajů na konečnou</w:t>
      </w:r>
      <w:r>
        <w:rPr>
          <w:rFonts w:eastAsia="Calibri" w:cs="Arial"/>
          <w:iCs/>
          <w:sz w:val="16"/>
          <w:szCs w:val="16"/>
          <w:lang w:eastAsia="en-US"/>
        </w:rPr>
        <w:t xml:space="preserve"> </w:t>
      </w:r>
      <w:r w:rsidRPr="003D6F54">
        <w:rPr>
          <w:rFonts w:eastAsia="Calibri" w:cs="Arial"/>
          <w:iCs/>
          <w:sz w:val="16"/>
          <w:szCs w:val="16"/>
          <w:lang w:eastAsia="en-US"/>
        </w:rPr>
        <w:t>spotřebu.</w:t>
      </w:r>
    </w:p>
  </w:footnote>
  <w:footnote w:id="12">
    <w:p w14:paraId="200494AE" w14:textId="77777777" w:rsidR="003474B6" w:rsidRPr="001003BB" w:rsidRDefault="003474B6" w:rsidP="003060E9">
      <w:pPr>
        <w:autoSpaceDE w:val="0"/>
        <w:autoSpaceDN w:val="0"/>
        <w:adjustRightInd w:val="0"/>
        <w:spacing w:after="0" w:line="240" w:lineRule="auto"/>
        <w:jc w:val="left"/>
        <w:rPr>
          <w:rFonts w:cs="Arial"/>
          <w:sz w:val="16"/>
          <w:szCs w:val="16"/>
        </w:rPr>
      </w:pPr>
      <w:r w:rsidRPr="001003BB">
        <w:rPr>
          <w:rStyle w:val="Znakapoznpodarou"/>
          <w:rFonts w:cs="Arial"/>
          <w:sz w:val="16"/>
          <w:szCs w:val="16"/>
        </w:rPr>
        <w:footnoteRef/>
      </w:r>
      <w:r w:rsidRPr="001003BB">
        <w:rPr>
          <w:rFonts w:cs="Arial"/>
          <w:sz w:val="16"/>
          <w:szCs w:val="16"/>
        </w:rPr>
        <w:t xml:space="preserve"> </w:t>
      </w:r>
      <w:r w:rsidRPr="001003BB">
        <w:rPr>
          <w:rFonts w:eastAsia="Calibri" w:cs="Arial"/>
          <w:bCs/>
          <w:iCs/>
          <w:sz w:val="16"/>
          <w:szCs w:val="16"/>
          <w:lang w:eastAsia="en-US"/>
        </w:rPr>
        <w:t>Průměrný měsíční příjem domácností na osobu v</w:t>
      </w:r>
      <w:r>
        <w:rPr>
          <w:rFonts w:eastAsia="Calibri" w:cs="Arial"/>
          <w:bCs/>
          <w:iCs/>
          <w:sz w:val="16"/>
          <w:szCs w:val="16"/>
          <w:lang w:eastAsia="en-US"/>
        </w:rPr>
        <w:t> </w:t>
      </w:r>
      <w:r w:rsidRPr="001003BB">
        <w:rPr>
          <w:rFonts w:eastAsia="Calibri" w:cs="Arial"/>
          <w:bCs/>
          <w:iCs/>
          <w:sz w:val="16"/>
          <w:szCs w:val="16"/>
          <w:lang w:eastAsia="en-US"/>
        </w:rPr>
        <w:t xml:space="preserve">nominálním vyjádření </w:t>
      </w:r>
      <w:r w:rsidRPr="001003BB">
        <w:rPr>
          <w:rFonts w:eastAsia="Calibri" w:cs="Arial"/>
          <w:iCs/>
          <w:sz w:val="16"/>
          <w:szCs w:val="16"/>
          <w:lang w:eastAsia="en-US"/>
        </w:rPr>
        <w:t>je definován jako podíl</w:t>
      </w:r>
      <w:r>
        <w:rPr>
          <w:rFonts w:eastAsia="Calibri" w:cs="Arial"/>
          <w:iCs/>
          <w:sz w:val="16"/>
          <w:szCs w:val="16"/>
          <w:lang w:eastAsia="en-US"/>
        </w:rPr>
        <w:t xml:space="preserve"> </w:t>
      </w:r>
      <w:r w:rsidRPr="001003BB">
        <w:rPr>
          <w:rFonts w:eastAsia="Calibri" w:cs="Arial"/>
          <w:iCs/>
          <w:sz w:val="16"/>
          <w:szCs w:val="16"/>
          <w:lang w:eastAsia="en-US"/>
        </w:rPr>
        <w:t>upraveného disponibilního důchodu domácností a</w:t>
      </w:r>
      <w:r>
        <w:rPr>
          <w:rFonts w:eastAsia="Calibri" w:cs="Arial"/>
          <w:iCs/>
          <w:sz w:val="16"/>
          <w:szCs w:val="16"/>
          <w:lang w:eastAsia="en-US"/>
        </w:rPr>
        <w:t> </w:t>
      </w:r>
      <w:r w:rsidRPr="001003BB">
        <w:rPr>
          <w:rFonts w:eastAsia="Calibri" w:cs="Arial"/>
          <w:iCs/>
          <w:sz w:val="16"/>
          <w:szCs w:val="16"/>
          <w:lang w:eastAsia="en-US"/>
        </w:rPr>
        <w:t>středního stavu obyvatelstva.</w:t>
      </w:r>
    </w:p>
  </w:footnote>
  <w:footnote w:id="13">
    <w:p w14:paraId="6AC891BA" w14:textId="77777777" w:rsidR="003474B6" w:rsidRPr="001003BB" w:rsidRDefault="003474B6" w:rsidP="003060E9">
      <w:pPr>
        <w:autoSpaceDE w:val="0"/>
        <w:autoSpaceDN w:val="0"/>
        <w:adjustRightInd w:val="0"/>
        <w:spacing w:after="0" w:line="240" w:lineRule="auto"/>
        <w:jc w:val="left"/>
        <w:rPr>
          <w:rFonts w:cs="Arial"/>
          <w:sz w:val="16"/>
          <w:szCs w:val="16"/>
        </w:rPr>
      </w:pPr>
      <w:r w:rsidRPr="001003BB">
        <w:rPr>
          <w:rStyle w:val="Znakapoznpodarou"/>
          <w:rFonts w:cs="Arial"/>
          <w:sz w:val="16"/>
          <w:szCs w:val="16"/>
        </w:rPr>
        <w:footnoteRef/>
      </w:r>
      <w:r w:rsidRPr="001003BB">
        <w:rPr>
          <w:rFonts w:cs="Arial"/>
          <w:sz w:val="16"/>
          <w:szCs w:val="16"/>
        </w:rPr>
        <w:t xml:space="preserve"> </w:t>
      </w:r>
      <w:r w:rsidRPr="001003BB">
        <w:rPr>
          <w:rFonts w:eastAsia="Calibri" w:cs="Arial"/>
          <w:iCs/>
          <w:sz w:val="16"/>
          <w:szCs w:val="16"/>
          <w:lang w:eastAsia="en-US"/>
        </w:rPr>
        <w:t xml:space="preserve">Naturální sociální transfery (D.63) zahrnují </w:t>
      </w:r>
      <w:r>
        <w:rPr>
          <w:rFonts w:eastAsia="Calibri" w:cs="Arial"/>
          <w:iCs/>
          <w:sz w:val="16"/>
          <w:szCs w:val="16"/>
          <w:lang w:eastAsia="en-US"/>
        </w:rPr>
        <w:t xml:space="preserve">hodnotu individuálních služeb a zboží poskytnutých vládními institucemi a neziskovými institucemi sloužícími domácnostem (NISD) a také </w:t>
      </w:r>
      <w:r w:rsidRPr="001003BB">
        <w:rPr>
          <w:rFonts w:eastAsia="Calibri" w:cs="Arial"/>
          <w:iCs/>
          <w:sz w:val="16"/>
          <w:szCs w:val="16"/>
          <w:lang w:eastAsia="en-US"/>
        </w:rPr>
        <w:t>věcné dávky</w:t>
      </w:r>
      <w:r>
        <w:rPr>
          <w:rFonts w:eastAsia="Calibri" w:cs="Arial"/>
          <w:iCs/>
          <w:sz w:val="16"/>
          <w:szCs w:val="16"/>
          <w:lang w:eastAsia="en-US"/>
        </w:rPr>
        <w:t xml:space="preserve"> </w:t>
      </w:r>
      <w:r w:rsidRPr="001003BB">
        <w:rPr>
          <w:rFonts w:eastAsia="Calibri" w:cs="Arial"/>
          <w:iCs/>
          <w:sz w:val="16"/>
          <w:szCs w:val="16"/>
          <w:lang w:eastAsia="en-US"/>
        </w:rPr>
        <w:t>poskytované obcemi (včetně refundací schválených výdajů</w:t>
      </w:r>
      <w:r>
        <w:rPr>
          <w:rFonts w:eastAsia="Calibri" w:cs="Arial"/>
          <w:iCs/>
          <w:sz w:val="16"/>
          <w:szCs w:val="16"/>
          <w:lang w:eastAsia="en-US"/>
        </w:rPr>
        <w:t xml:space="preserve"> </w:t>
      </w:r>
      <w:r w:rsidRPr="001003BB">
        <w:rPr>
          <w:rFonts w:eastAsia="Calibri" w:cs="Arial"/>
          <w:iCs/>
          <w:sz w:val="16"/>
          <w:szCs w:val="16"/>
          <w:lang w:eastAsia="en-US"/>
        </w:rPr>
        <w:t>domácností za určité druhy výrobků a</w:t>
      </w:r>
      <w:r>
        <w:rPr>
          <w:rFonts w:eastAsia="Calibri" w:cs="Arial"/>
          <w:iCs/>
          <w:sz w:val="16"/>
          <w:szCs w:val="16"/>
          <w:lang w:eastAsia="en-US"/>
        </w:rPr>
        <w:t> </w:t>
      </w:r>
      <w:r w:rsidRPr="001003BB">
        <w:rPr>
          <w:rFonts w:eastAsia="Calibri" w:cs="Arial"/>
          <w:iCs/>
          <w:sz w:val="16"/>
          <w:szCs w:val="16"/>
          <w:lang w:eastAsia="en-US"/>
        </w:rPr>
        <w:t>služeb) a</w:t>
      </w:r>
      <w:r>
        <w:rPr>
          <w:rFonts w:eastAsia="Calibri" w:cs="Arial"/>
          <w:iCs/>
          <w:sz w:val="16"/>
          <w:szCs w:val="16"/>
          <w:lang w:eastAsia="en-US"/>
        </w:rPr>
        <w:t> </w:t>
      </w:r>
      <w:r w:rsidRPr="001003BB">
        <w:rPr>
          <w:rFonts w:eastAsia="Calibri" w:cs="Arial"/>
          <w:iCs/>
          <w:sz w:val="16"/>
          <w:szCs w:val="16"/>
          <w:lang w:eastAsia="en-US"/>
        </w:rPr>
        <w:t>veškeré hodnoty netržních služeb vládních institucí a</w:t>
      </w:r>
      <w:r>
        <w:rPr>
          <w:rFonts w:eastAsia="Calibri" w:cs="Arial"/>
          <w:iCs/>
          <w:sz w:val="16"/>
          <w:szCs w:val="16"/>
          <w:lang w:eastAsia="en-US"/>
        </w:rPr>
        <w:t> </w:t>
      </w:r>
      <w:r w:rsidRPr="001003BB">
        <w:rPr>
          <w:rFonts w:eastAsia="Calibri" w:cs="Arial"/>
          <w:iCs/>
          <w:sz w:val="16"/>
          <w:szCs w:val="16"/>
          <w:lang w:eastAsia="en-US"/>
        </w:rPr>
        <w:t>NISD poskytnutých pro</w:t>
      </w:r>
      <w:r>
        <w:rPr>
          <w:rFonts w:eastAsia="Calibri" w:cs="Arial"/>
          <w:iCs/>
          <w:sz w:val="16"/>
          <w:szCs w:val="16"/>
          <w:lang w:eastAsia="en-US"/>
        </w:rPr>
        <w:t xml:space="preserve"> </w:t>
      </w:r>
      <w:r w:rsidRPr="001003BB">
        <w:rPr>
          <w:rFonts w:eastAsia="Calibri" w:cs="Arial"/>
          <w:iCs/>
          <w:sz w:val="16"/>
          <w:szCs w:val="16"/>
          <w:lang w:eastAsia="en-US"/>
        </w:rPr>
        <w:t>individuální spotřebu.</w:t>
      </w:r>
      <w:r>
        <w:rPr>
          <w:rFonts w:eastAsia="Calibri" w:cs="Arial"/>
          <w:iCs/>
          <w:sz w:val="16"/>
          <w:szCs w:val="16"/>
          <w:lang w:eastAsia="en-US"/>
        </w:rPr>
        <w:t xml:space="preserve"> </w:t>
      </w:r>
      <w:r w:rsidRPr="001003BB">
        <w:rPr>
          <w:rFonts w:eastAsia="Calibri" w:cs="Arial"/>
          <w:bCs/>
          <w:iCs/>
          <w:sz w:val="16"/>
          <w:szCs w:val="16"/>
          <w:lang w:eastAsia="en-US"/>
        </w:rPr>
        <w:t>Individuální služby a</w:t>
      </w:r>
      <w:r>
        <w:rPr>
          <w:rFonts w:eastAsia="Calibri" w:cs="Arial"/>
          <w:bCs/>
          <w:iCs/>
          <w:sz w:val="16"/>
          <w:szCs w:val="16"/>
          <w:lang w:eastAsia="en-US"/>
        </w:rPr>
        <w:t> </w:t>
      </w:r>
      <w:r w:rsidRPr="001003BB">
        <w:rPr>
          <w:rFonts w:eastAsia="Calibri" w:cs="Arial"/>
          <w:bCs/>
          <w:iCs/>
          <w:sz w:val="16"/>
          <w:szCs w:val="16"/>
          <w:lang w:eastAsia="en-US"/>
        </w:rPr>
        <w:t>zboží poskytnuté domácnostem vládními institucemi a</w:t>
      </w:r>
      <w:r>
        <w:rPr>
          <w:rFonts w:eastAsia="Calibri" w:cs="Arial"/>
          <w:bCs/>
          <w:iCs/>
          <w:sz w:val="16"/>
          <w:szCs w:val="16"/>
          <w:lang w:eastAsia="en-US"/>
        </w:rPr>
        <w:t> </w:t>
      </w:r>
      <w:r w:rsidRPr="001003BB">
        <w:rPr>
          <w:rFonts w:eastAsia="Calibri" w:cs="Arial"/>
          <w:bCs/>
          <w:iCs/>
          <w:sz w:val="16"/>
          <w:szCs w:val="16"/>
          <w:lang w:eastAsia="en-US"/>
        </w:rPr>
        <w:t>neziskovými institucemi</w:t>
      </w:r>
      <w:r>
        <w:rPr>
          <w:rFonts w:eastAsia="Calibri" w:cs="Arial"/>
          <w:bCs/>
          <w:iCs/>
          <w:sz w:val="16"/>
          <w:szCs w:val="16"/>
          <w:lang w:eastAsia="en-US"/>
        </w:rPr>
        <w:t xml:space="preserve"> </w:t>
      </w:r>
      <w:r w:rsidRPr="001003BB">
        <w:rPr>
          <w:rFonts w:eastAsia="Calibri" w:cs="Arial"/>
          <w:bCs/>
          <w:iCs/>
          <w:sz w:val="16"/>
          <w:szCs w:val="16"/>
          <w:lang w:eastAsia="en-US"/>
        </w:rPr>
        <w:t>sloužícími</w:t>
      </w:r>
      <w:r>
        <w:rPr>
          <w:rFonts w:eastAsia="Calibri" w:cs="Arial"/>
          <w:bCs/>
          <w:iCs/>
          <w:sz w:val="16"/>
          <w:szCs w:val="16"/>
          <w:lang w:eastAsia="en-US"/>
        </w:rPr>
        <w:t xml:space="preserve"> </w:t>
      </w:r>
      <w:r w:rsidRPr="001003BB">
        <w:rPr>
          <w:rFonts w:eastAsia="Calibri" w:cs="Arial"/>
          <w:bCs/>
          <w:iCs/>
          <w:sz w:val="16"/>
          <w:szCs w:val="16"/>
          <w:lang w:eastAsia="en-US"/>
        </w:rPr>
        <w:t xml:space="preserve">domácnostem </w:t>
      </w:r>
      <w:r w:rsidRPr="001003BB">
        <w:rPr>
          <w:rFonts w:eastAsia="Calibri" w:cs="Arial"/>
          <w:iCs/>
          <w:sz w:val="16"/>
          <w:szCs w:val="16"/>
          <w:lang w:eastAsia="en-US"/>
        </w:rPr>
        <w:t>představují hodnotu výrobků a</w:t>
      </w:r>
      <w:r>
        <w:rPr>
          <w:rFonts w:eastAsia="Calibri" w:cs="Arial"/>
          <w:iCs/>
          <w:sz w:val="16"/>
          <w:szCs w:val="16"/>
          <w:lang w:eastAsia="en-US"/>
        </w:rPr>
        <w:t> </w:t>
      </w:r>
      <w:r w:rsidRPr="001003BB">
        <w:rPr>
          <w:rFonts w:eastAsia="Calibri" w:cs="Arial"/>
          <w:iCs/>
          <w:sz w:val="16"/>
          <w:szCs w:val="16"/>
          <w:lang w:eastAsia="en-US"/>
        </w:rPr>
        <w:t>služeb poskytnutých ve formě zdravotní a</w:t>
      </w:r>
      <w:r>
        <w:rPr>
          <w:rFonts w:eastAsia="Calibri" w:cs="Arial"/>
          <w:iCs/>
          <w:sz w:val="16"/>
          <w:szCs w:val="16"/>
          <w:lang w:eastAsia="en-US"/>
        </w:rPr>
        <w:t> </w:t>
      </w:r>
      <w:r w:rsidRPr="001003BB">
        <w:rPr>
          <w:rFonts w:eastAsia="Calibri" w:cs="Arial"/>
          <w:iCs/>
          <w:sz w:val="16"/>
          <w:szCs w:val="16"/>
          <w:lang w:eastAsia="en-US"/>
        </w:rPr>
        <w:t>sociální péče, vzdělání, bydlení</w:t>
      </w:r>
      <w:r>
        <w:rPr>
          <w:rFonts w:eastAsia="Calibri" w:cs="Arial"/>
          <w:iCs/>
          <w:sz w:val="16"/>
          <w:szCs w:val="16"/>
          <w:lang w:eastAsia="en-US"/>
        </w:rPr>
        <w:t> </w:t>
      </w:r>
      <w:r w:rsidRPr="001003BB">
        <w:rPr>
          <w:rFonts w:eastAsia="Calibri" w:cs="Arial"/>
          <w:iCs/>
          <w:sz w:val="16"/>
          <w:szCs w:val="16"/>
          <w:lang w:eastAsia="en-US"/>
        </w:rPr>
        <w:t>apod. Jsou to</w:t>
      </w:r>
      <w:r>
        <w:rPr>
          <w:rFonts w:eastAsia="Calibri" w:cs="Arial"/>
          <w:iCs/>
          <w:sz w:val="16"/>
          <w:szCs w:val="16"/>
          <w:lang w:eastAsia="en-US"/>
        </w:rPr>
        <w:t xml:space="preserve"> </w:t>
      </w:r>
      <w:r w:rsidRPr="001003BB">
        <w:rPr>
          <w:rFonts w:eastAsia="Calibri" w:cs="Arial"/>
          <w:iCs/>
          <w:sz w:val="16"/>
          <w:szCs w:val="16"/>
          <w:lang w:eastAsia="en-US"/>
        </w:rPr>
        <w:t>zejména naturální dávky související se zdravotním pojištěním</w:t>
      </w:r>
      <w:r>
        <w:rPr>
          <w:rFonts w:eastAsia="Calibri" w:cs="Arial"/>
          <w:iCs/>
          <w:sz w:val="16"/>
          <w:szCs w:val="16"/>
          <w:lang w:eastAsia="en-US"/>
        </w:rPr>
        <w:t xml:space="preserve"> </w:t>
      </w:r>
      <w:r w:rsidRPr="001003BB">
        <w:rPr>
          <w:rFonts w:eastAsia="Calibri" w:cs="Arial"/>
          <w:iCs/>
          <w:sz w:val="16"/>
          <w:szCs w:val="16"/>
          <w:lang w:eastAsia="en-US"/>
        </w:rPr>
        <w:t>(platby za zdravotní pomůcky, lékařské, zubní ošetření, operace</w:t>
      </w:r>
      <w:r>
        <w:rPr>
          <w:rFonts w:eastAsia="Calibri" w:cs="Arial"/>
          <w:iCs/>
          <w:sz w:val="16"/>
          <w:szCs w:val="16"/>
          <w:lang w:eastAsia="en-US"/>
        </w:rPr>
        <w:t> </w:t>
      </w:r>
      <w:r w:rsidRPr="001003BB">
        <w:rPr>
          <w:rFonts w:eastAsia="Calibri" w:cs="Arial"/>
          <w:iCs/>
          <w:sz w:val="16"/>
          <w:szCs w:val="16"/>
          <w:lang w:eastAsia="en-US"/>
        </w:rPr>
        <w:t>apod.)</w:t>
      </w:r>
      <w:r>
        <w:rPr>
          <w:rFonts w:eastAsia="Calibri" w:cs="Arial"/>
          <w:iCs/>
          <w:sz w:val="16"/>
          <w:szCs w:val="16"/>
          <w:lang w:eastAsia="en-US"/>
        </w:rPr>
        <w:t xml:space="preserve"> </w:t>
      </w:r>
      <w:r w:rsidRPr="001003BB">
        <w:rPr>
          <w:rFonts w:eastAsia="Calibri" w:cs="Arial"/>
          <w:iCs/>
          <w:sz w:val="16"/>
          <w:szCs w:val="16"/>
          <w:lang w:eastAsia="en-US"/>
        </w:rPr>
        <w:t>hrazené zdravotními pojišťovnami</w:t>
      </w:r>
      <w:r>
        <w:rPr>
          <w:rFonts w:eastAsia="Calibri" w:cs="Arial"/>
          <w:iCs/>
          <w:sz w:val="16"/>
          <w:szCs w:val="16"/>
          <w:lang w:eastAsia="en-US"/>
        </w:rPr>
        <w:t xml:space="preserve"> </w:t>
      </w:r>
      <w:r w:rsidRPr="001003BB">
        <w:rPr>
          <w:rFonts w:eastAsia="Calibri" w:cs="Arial"/>
          <w:iCs/>
          <w:sz w:val="16"/>
          <w:szCs w:val="16"/>
          <w:lang w:eastAsia="en-US"/>
        </w:rPr>
        <w:t>těm, kdo toto zboží a</w:t>
      </w:r>
      <w:r>
        <w:rPr>
          <w:rFonts w:eastAsia="Calibri" w:cs="Arial"/>
          <w:iCs/>
          <w:sz w:val="16"/>
          <w:szCs w:val="16"/>
          <w:lang w:eastAsia="en-US"/>
        </w:rPr>
        <w:t> </w:t>
      </w:r>
      <w:r w:rsidRPr="001003BB">
        <w:rPr>
          <w:rFonts w:eastAsia="Calibri" w:cs="Arial"/>
          <w:iCs/>
          <w:sz w:val="16"/>
          <w:szCs w:val="16"/>
          <w:lang w:eastAsia="en-US"/>
        </w:rPr>
        <w:t>služby poskytují.</w:t>
      </w:r>
    </w:p>
  </w:footnote>
  <w:footnote w:id="14">
    <w:p w14:paraId="2B8B8774" w14:textId="77777777" w:rsidR="003474B6" w:rsidRPr="00463D3C" w:rsidRDefault="003474B6">
      <w:pPr>
        <w:pStyle w:val="Textpoznpodarou"/>
        <w:rPr>
          <w:sz w:val="16"/>
          <w:szCs w:val="16"/>
        </w:rPr>
      </w:pPr>
      <w:r w:rsidRPr="00463D3C">
        <w:rPr>
          <w:rStyle w:val="Znakapoznpodarou"/>
          <w:sz w:val="16"/>
          <w:szCs w:val="16"/>
        </w:rPr>
        <w:footnoteRef/>
      </w:r>
      <w:r w:rsidRPr="00463D3C">
        <w:rPr>
          <w:sz w:val="16"/>
          <w:szCs w:val="16"/>
        </w:rPr>
        <w:t xml:space="preserve"> </w:t>
      </w:r>
      <w:r>
        <w:rPr>
          <w:sz w:val="16"/>
          <w:szCs w:val="16"/>
        </w:rPr>
        <w:t>U</w:t>
      </w:r>
      <w:r w:rsidRPr="00463D3C">
        <w:rPr>
          <w:sz w:val="16"/>
          <w:szCs w:val="16"/>
        </w:rPr>
        <w:t>praveno deflátorem výdajů na konečnou spotřebu domácností za rok 2019</w:t>
      </w:r>
      <w:r>
        <w:rPr>
          <w:sz w:val="16"/>
          <w:szCs w:val="16"/>
        </w:rPr>
        <w:t>.</w:t>
      </w:r>
    </w:p>
  </w:footnote>
  <w:footnote w:id="15">
    <w:p w14:paraId="0B9AC1DC" w14:textId="77777777" w:rsidR="003474B6" w:rsidRPr="00457568" w:rsidRDefault="003474B6" w:rsidP="00C715CC">
      <w:pPr>
        <w:pStyle w:val="Textpoznpodarou"/>
        <w:rPr>
          <w:sz w:val="16"/>
          <w:szCs w:val="16"/>
        </w:rPr>
      </w:pPr>
      <w:r w:rsidRPr="00457568">
        <w:rPr>
          <w:rStyle w:val="Znakapoznpodarou"/>
          <w:sz w:val="16"/>
          <w:szCs w:val="16"/>
        </w:rPr>
        <w:footnoteRef/>
      </w:r>
      <w:r w:rsidRPr="00457568">
        <w:rPr>
          <w:sz w:val="16"/>
          <w:szCs w:val="16"/>
        </w:rPr>
        <w:t xml:space="preserve"> </w:t>
      </w:r>
      <w:r>
        <w:rPr>
          <w:sz w:val="16"/>
          <w:szCs w:val="16"/>
        </w:rPr>
        <w:t>Ve 4. čtvrtletí dosáhla změna zásob +19,9 mld. korun, což je o 16,2 mld. více než ve stejném období předchozího roku. Mezičtvrtletní srovnání rovněž ukazuje, že změna zásob podstatně podpořila nárůst výdajů na tvorbu hrubého kapitálu.</w:t>
      </w:r>
    </w:p>
  </w:footnote>
  <w:footnote w:id="16">
    <w:p w14:paraId="4B0BCCE5" w14:textId="77777777" w:rsidR="003474B6" w:rsidRPr="00D20875" w:rsidRDefault="003474B6" w:rsidP="00C715CC">
      <w:pPr>
        <w:autoSpaceDE w:val="0"/>
        <w:autoSpaceDN w:val="0"/>
        <w:adjustRightInd w:val="0"/>
        <w:spacing w:after="0" w:line="240" w:lineRule="auto"/>
        <w:jc w:val="left"/>
        <w:rPr>
          <w:rFonts w:cs="Arial"/>
          <w:sz w:val="16"/>
          <w:szCs w:val="16"/>
        </w:rPr>
      </w:pPr>
      <w:r w:rsidRPr="00D20875">
        <w:rPr>
          <w:rStyle w:val="Znakapoznpodarou"/>
          <w:rFonts w:cs="Arial"/>
          <w:sz w:val="16"/>
          <w:szCs w:val="16"/>
        </w:rPr>
        <w:footnoteRef/>
      </w:r>
      <w:r w:rsidRPr="00D20875">
        <w:rPr>
          <w:rFonts w:cs="Arial"/>
          <w:sz w:val="16"/>
          <w:szCs w:val="16"/>
        </w:rPr>
        <w:t xml:space="preserve"> </w:t>
      </w:r>
      <w:r w:rsidRPr="00D20875">
        <w:rPr>
          <w:rFonts w:eastAsia="Calibri" w:cs="Arial"/>
          <w:bCs/>
          <w:iCs/>
          <w:sz w:val="16"/>
          <w:szCs w:val="16"/>
          <w:lang w:eastAsia="en-US"/>
        </w:rPr>
        <w:t xml:space="preserve">Míra investic nefinančních podniků </w:t>
      </w:r>
      <w:r w:rsidRPr="00D20875">
        <w:rPr>
          <w:rFonts w:eastAsia="Calibri" w:cs="Arial"/>
          <w:iCs/>
          <w:sz w:val="16"/>
          <w:szCs w:val="16"/>
          <w:lang w:eastAsia="en-US"/>
        </w:rPr>
        <w:t>je definována jako podíl hrubé tvorby fixního kapitálu k</w:t>
      </w:r>
      <w:r>
        <w:rPr>
          <w:rFonts w:eastAsia="Calibri" w:cs="Arial"/>
          <w:iCs/>
          <w:sz w:val="16"/>
          <w:szCs w:val="16"/>
          <w:lang w:eastAsia="en-US"/>
        </w:rPr>
        <w:t> </w:t>
      </w:r>
      <w:r w:rsidRPr="00D20875">
        <w:rPr>
          <w:rFonts w:eastAsia="Calibri" w:cs="Arial"/>
          <w:iCs/>
          <w:sz w:val="16"/>
          <w:szCs w:val="16"/>
          <w:lang w:eastAsia="en-US"/>
        </w:rPr>
        <w:t>hrubé přidané</w:t>
      </w:r>
      <w:r>
        <w:rPr>
          <w:rFonts w:eastAsia="Calibri" w:cs="Arial"/>
          <w:iCs/>
          <w:sz w:val="16"/>
          <w:szCs w:val="16"/>
          <w:lang w:eastAsia="en-US"/>
        </w:rPr>
        <w:t xml:space="preserve"> </w:t>
      </w:r>
      <w:r w:rsidRPr="00D20875">
        <w:rPr>
          <w:rFonts w:eastAsia="Calibri" w:cs="Arial"/>
          <w:iCs/>
          <w:sz w:val="16"/>
          <w:szCs w:val="16"/>
          <w:lang w:eastAsia="en-US"/>
        </w:rPr>
        <w:t>hodnotě (P.51g/B.1g). Tento ukazatel vyjadřuje podíl investic do nefinančních aktiv (budovy, stroje</w:t>
      </w:r>
      <w:r>
        <w:rPr>
          <w:rFonts w:eastAsia="Calibri" w:cs="Arial"/>
          <w:iCs/>
          <w:sz w:val="16"/>
          <w:szCs w:val="16"/>
          <w:lang w:eastAsia="en-US"/>
        </w:rPr>
        <w:t> </w:t>
      </w:r>
      <w:r w:rsidRPr="00D20875">
        <w:rPr>
          <w:rFonts w:eastAsia="Calibri" w:cs="Arial"/>
          <w:iCs/>
          <w:sz w:val="16"/>
          <w:szCs w:val="16"/>
          <w:lang w:eastAsia="en-US"/>
        </w:rPr>
        <w:t>aj.)</w:t>
      </w:r>
      <w:r>
        <w:rPr>
          <w:rFonts w:eastAsia="Calibri" w:cs="Arial"/>
          <w:iCs/>
          <w:sz w:val="16"/>
          <w:szCs w:val="16"/>
          <w:lang w:eastAsia="en-US"/>
        </w:rPr>
        <w:t xml:space="preserve"> </w:t>
      </w:r>
      <w:r w:rsidRPr="00D20875">
        <w:rPr>
          <w:rFonts w:eastAsia="Calibri" w:cs="Arial"/>
          <w:iCs/>
          <w:sz w:val="16"/>
          <w:szCs w:val="16"/>
          <w:lang w:eastAsia="en-US"/>
        </w:rPr>
        <w:t>a</w:t>
      </w:r>
      <w:r>
        <w:rPr>
          <w:rFonts w:eastAsia="Calibri" w:cs="Arial"/>
          <w:iCs/>
          <w:sz w:val="16"/>
          <w:szCs w:val="16"/>
          <w:lang w:eastAsia="en-US"/>
        </w:rPr>
        <w:t> </w:t>
      </w:r>
      <w:r w:rsidRPr="00D20875">
        <w:rPr>
          <w:rFonts w:eastAsia="Calibri" w:cs="Arial"/>
          <w:iCs/>
          <w:sz w:val="16"/>
          <w:szCs w:val="16"/>
          <w:lang w:eastAsia="en-US"/>
        </w:rPr>
        <w:t>hodnoty vytvořené v</w:t>
      </w:r>
      <w:r>
        <w:rPr>
          <w:rFonts w:eastAsia="Calibri" w:cs="Arial"/>
          <w:iCs/>
          <w:sz w:val="16"/>
          <w:szCs w:val="16"/>
          <w:lang w:eastAsia="en-US"/>
        </w:rPr>
        <w:t> </w:t>
      </w:r>
      <w:r w:rsidRPr="00D20875">
        <w:rPr>
          <w:rFonts w:eastAsia="Calibri" w:cs="Arial"/>
          <w:iCs/>
          <w:sz w:val="16"/>
          <w:szCs w:val="16"/>
          <w:lang w:eastAsia="en-US"/>
        </w:rPr>
        <w:t>průběhu výrobního procesu.</w:t>
      </w:r>
    </w:p>
  </w:footnote>
  <w:footnote w:id="17">
    <w:p w14:paraId="1EC03AF8" w14:textId="77777777" w:rsidR="003474B6" w:rsidRPr="00D20875" w:rsidRDefault="003474B6" w:rsidP="00C715CC">
      <w:pPr>
        <w:autoSpaceDE w:val="0"/>
        <w:autoSpaceDN w:val="0"/>
        <w:adjustRightInd w:val="0"/>
        <w:spacing w:after="0" w:line="240" w:lineRule="auto"/>
        <w:jc w:val="left"/>
        <w:rPr>
          <w:rFonts w:cs="Arial"/>
          <w:sz w:val="16"/>
          <w:szCs w:val="16"/>
        </w:rPr>
      </w:pPr>
      <w:r w:rsidRPr="00D20875">
        <w:rPr>
          <w:rStyle w:val="Znakapoznpodarou"/>
          <w:rFonts w:cs="Arial"/>
          <w:sz w:val="16"/>
          <w:szCs w:val="16"/>
        </w:rPr>
        <w:footnoteRef/>
      </w:r>
      <w:r w:rsidRPr="00D20875">
        <w:rPr>
          <w:rFonts w:cs="Arial"/>
          <w:sz w:val="16"/>
          <w:szCs w:val="16"/>
        </w:rPr>
        <w:t xml:space="preserve"> </w:t>
      </w:r>
      <w:r w:rsidRPr="00D20875">
        <w:rPr>
          <w:rFonts w:eastAsia="Calibri" w:cs="Arial"/>
          <w:bCs/>
          <w:iCs/>
          <w:sz w:val="16"/>
          <w:szCs w:val="16"/>
          <w:lang w:eastAsia="en-US"/>
        </w:rPr>
        <w:t xml:space="preserve">Míra investic domácností </w:t>
      </w:r>
      <w:r w:rsidRPr="00D20875">
        <w:rPr>
          <w:rFonts w:eastAsia="Calibri" w:cs="Arial"/>
          <w:iCs/>
          <w:sz w:val="16"/>
          <w:szCs w:val="16"/>
          <w:lang w:eastAsia="en-US"/>
        </w:rPr>
        <w:t>je definována jako podíl hrubé tvorby fixního kapitálu k hrubému disponibilnímu důchodu se zahrnutím úpravy o</w:t>
      </w:r>
      <w:r>
        <w:rPr>
          <w:rFonts w:eastAsia="Calibri" w:cs="Arial"/>
          <w:iCs/>
          <w:sz w:val="16"/>
          <w:szCs w:val="16"/>
          <w:lang w:eastAsia="en-US"/>
        </w:rPr>
        <w:t> </w:t>
      </w:r>
      <w:r w:rsidRPr="00D20875">
        <w:rPr>
          <w:rFonts w:eastAsia="Calibri" w:cs="Arial"/>
          <w:iCs/>
          <w:sz w:val="16"/>
          <w:szCs w:val="16"/>
          <w:lang w:eastAsia="en-US"/>
        </w:rPr>
        <w:t>čistý podíl domácností na rezervách penzijních fondů (P.51g/</w:t>
      </w:r>
      <w:r>
        <w:rPr>
          <w:rFonts w:eastAsia="Calibri" w:cs="Arial"/>
          <w:iCs/>
          <w:sz w:val="16"/>
          <w:szCs w:val="16"/>
          <w:lang w:eastAsia="en-US"/>
        </w:rPr>
        <w:t>(</w:t>
      </w:r>
      <w:r w:rsidRPr="00D20875">
        <w:rPr>
          <w:rFonts w:eastAsia="Calibri" w:cs="Arial"/>
          <w:iCs/>
          <w:sz w:val="16"/>
          <w:szCs w:val="16"/>
          <w:lang w:eastAsia="en-US"/>
        </w:rPr>
        <w:t>B.6g</w:t>
      </w:r>
      <w:r>
        <w:rPr>
          <w:rFonts w:eastAsia="Calibri" w:cs="Arial"/>
          <w:iCs/>
          <w:sz w:val="16"/>
          <w:szCs w:val="16"/>
          <w:lang w:eastAsia="en-US"/>
        </w:rPr>
        <w:t>+</w:t>
      </w:r>
      <w:r w:rsidRPr="00D20875">
        <w:rPr>
          <w:rFonts w:eastAsia="Calibri" w:cs="Arial"/>
          <w:iCs/>
          <w:sz w:val="16"/>
          <w:szCs w:val="16"/>
          <w:lang w:eastAsia="en-US"/>
        </w:rPr>
        <w:t>D.8</w:t>
      </w:r>
      <w:r>
        <w:rPr>
          <w:rFonts w:eastAsia="Calibri" w:cs="Arial"/>
          <w:iCs/>
          <w:sz w:val="16"/>
          <w:szCs w:val="16"/>
          <w:lang w:eastAsia="en-US"/>
        </w:rPr>
        <w:t>)</w:t>
      </w:r>
      <w:r w:rsidRPr="00D20875">
        <w:rPr>
          <w:rFonts w:eastAsia="Calibri" w:cs="Arial"/>
          <w:iCs/>
          <w:sz w:val="16"/>
          <w:szCs w:val="16"/>
          <w:lang w:eastAsia="en-US"/>
        </w:rPr>
        <w:t>).</w:t>
      </w:r>
    </w:p>
  </w:footnote>
  <w:footnote w:id="18">
    <w:p w14:paraId="50A7837A" w14:textId="77777777" w:rsidR="003474B6" w:rsidRPr="0021552C" w:rsidRDefault="003474B6" w:rsidP="00C715CC">
      <w:pPr>
        <w:pStyle w:val="Textpoznpodarou"/>
        <w:rPr>
          <w:sz w:val="16"/>
          <w:szCs w:val="16"/>
        </w:rPr>
      </w:pPr>
      <w:r w:rsidRPr="0021552C">
        <w:rPr>
          <w:rStyle w:val="Znakapoznpodarou"/>
          <w:sz w:val="16"/>
          <w:szCs w:val="16"/>
        </w:rPr>
        <w:footnoteRef/>
      </w:r>
      <w:r w:rsidRPr="0021552C">
        <w:rPr>
          <w:sz w:val="16"/>
          <w:szCs w:val="16"/>
        </w:rPr>
        <w:t xml:space="preserve"> </w:t>
      </w:r>
      <w:r>
        <w:rPr>
          <w:rFonts w:cs="Arial"/>
          <w:sz w:val="16"/>
          <w:szCs w:val="16"/>
        </w:rPr>
        <w:t>D</w:t>
      </w:r>
      <w:r w:rsidRPr="0021552C">
        <w:rPr>
          <w:rFonts w:cs="Arial"/>
          <w:sz w:val="16"/>
          <w:szCs w:val="16"/>
        </w:rPr>
        <w:t>ata o</w:t>
      </w:r>
      <w:r>
        <w:rPr>
          <w:rFonts w:cs="Arial"/>
          <w:sz w:val="16"/>
          <w:szCs w:val="16"/>
        </w:rPr>
        <w:t> </w:t>
      </w:r>
      <w:r w:rsidRPr="0021552C">
        <w:rPr>
          <w:rFonts w:cs="Arial"/>
          <w:sz w:val="16"/>
          <w:szCs w:val="16"/>
        </w:rPr>
        <w:t xml:space="preserve">věcném členění tvorby </w:t>
      </w:r>
      <w:r>
        <w:rPr>
          <w:rFonts w:cs="Arial"/>
          <w:sz w:val="16"/>
          <w:szCs w:val="16"/>
        </w:rPr>
        <w:t>hrubého fixního kapitálu</w:t>
      </w:r>
      <w:r w:rsidRPr="0021552C">
        <w:rPr>
          <w:rFonts w:cs="Arial"/>
          <w:sz w:val="16"/>
          <w:szCs w:val="16"/>
        </w:rPr>
        <w:t xml:space="preserve"> nejsou sezónně očištěna</w:t>
      </w:r>
      <w:r>
        <w:rPr>
          <w:rFonts w:cs="Arial"/>
          <w:sz w:val="16"/>
          <w:szCs w:val="16"/>
        </w:rPr>
        <w:t>.</w:t>
      </w:r>
    </w:p>
  </w:footnote>
  <w:footnote w:id="19">
    <w:p w14:paraId="11904A15" w14:textId="77777777" w:rsidR="003474B6" w:rsidRPr="00167B30" w:rsidRDefault="003474B6" w:rsidP="00C715CC">
      <w:pPr>
        <w:pStyle w:val="Textpoznpodarou"/>
        <w:rPr>
          <w:sz w:val="16"/>
          <w:szCs w:val="16"/>
        </w:rPr>
      </w:pPr>
      <w:r w:rsidRPr="00167B30">
        <w:rPr>
          <w:rStyle w:val="Znakapoznpodarou"/>
          <w:sz w:val="16"/>
          <w:szCs w:val="16"/>
        </w:rPr>
        <w:footnoteRef/>
      </w:r>
      <w:r w:rsidRPr="00167B30">
        <w:rPr>
          <w:sz w:val="16"/>
          <w:szCs w:val="16"/>
        </w:rPr>
        <w:t xml:space="preserve"> Podle metodiky čtvrtletních národních účtů (vývoz a</w:t>
      </w:r>
      <w:r>
        <w:rPr>
          <w:sz w:val="16"/>
          <w:szCs w:val="16"/>
        </w:rPr>
        <w:t> </w:t>
      </w:r>
      <w:r w:rsidRPr="00167B30">
        <w:rPr>
          <w:sz w:val="16"/>
          <w:szCs w:val="16"/>
        </w:rPr>
        <w:t>dovoz v ocenění FOB/FOB)</w:t>
      </w:r>
      <w:r>
        <w:rPr>
          <w:sz w:val="16"/>
          <w:szCs w:val="16"/>
        </w:rPr>
        <w:t>.</w:t>
      </w:r>
    </w:p>
  </w:footnote>
  <w:footnote w:id="20">
    <w:p w14:paraId="2DDA7900" w14:textId="77777777" w:rsidR="003474B6" w:rsidRPr="00FB58F4" w:rsidRDefault="003474B6" w:rsidP="00C81070">
      <w:pPr>
        <w:pStyle w:val="Textpoznpodarou"/>
        <w:jc w:val="both"/>
        <w:rPr>
          <w:rFonts w:cs="Arial"/>
          <w:color w:val="0D0D0D" w:themeColor="text1" w:themeTint="F2"/>
          <w:spacing w:val="-2"/>
          <w:sz w:val="16"/>
          <w:szCs w:val="16"/>
        </w:rPr>
      </w:pPr>
      <w:r w:rsidRPr="00FB58F4">
        <w:rPr>
          <w:rStyle w:val="Znakapoznpodarou"/>
          <w:rFonts w:cs="Arial"/>
          <w:color w:val="0D0D0D" w:themeColor="text1" w:themeTint="F2"/>
          <w:spacing w:val="-2"/>
          <w:sz w:val="16"/>
          <w:szCs w:val="16"/>
        </w:rPr>
        <w:footnoteRef/>
      </w:r>
      <w:r w:rsidRPr="00FB58F4">
        <w:rPr>
          <w:rFonts w:cs="Arial"/>
          <w:color w:val="0D0D0D" w:themeColor="text1" w:themeTint="F2"/>
          <w:spacing w:val="-2"/>
          <w:sz w:val="16"/>
          <w:szCs w:val="16"/>
        </w:rPr>
        <w:t xml:space="preserve"> Údaje o</w:t>
      </w:r>
      <w:r>
        <w:rPr>
          <w:rFonts w:cs="Arial"/>
          <w:color w:val="0D0D0D" w:themeColor="text1" w:themeTint="F2"/>
          <w:spacing w:val="-2"/>
          <w:sz w:val="16"/>
          <w:szCs w:val="16"/>
        </w:rPr>
        <w:t> </w:t>
      </w:r>
      <w:r w:rsidRPr="00FB58F4">
        <w:rPr>
          <w:rFonts w:cs="Arial"/>
          <w:color w:val="0D0D0D" w:themeColor="text1" w:themeTint="F2"/>
          <w:spacing w:val="-2"/>
          <w:sz w:val="16"/>
          <w:szCs w:val="16"/>
        </w:rPr>
        <w:t>HPH jsou vyjádřeny ve stálých cenách a</w:t>
      </w:r>
      <w:r>
        <w:rPr>
          <w:rFonts w:cs="Arial"/>
          <w:color w:val="0D0D0D" w:themeColor="text1" w:themeTint="F2"/>
          <w:spacing w:val="-2"/>
          <w:sz w:val="16"/>
          <w:szCs w:val="16"/>
        </w:rPr>
        <w:t> </w:t>
      </w:r>
      <w:r w:rsidRPr="00FB58F4">
        <w:rPr>
          <w:rFonts w:cs="Arial"/>
          <w:color w:val="0D0D0D" w:themeColor="text1" w:themeTint="F2"/>
          <w:spacing w:val="-2"/>
          <w:sz w:val="16"/>
          <w:szCs w:val="16"/>
        </w:rPr>
        <w:t>v očištění o</w:t>
      </w:r>
      <w:r>
        <w:rPr>
          <w:rFonts w:cs="Arial"/>
          <w:color w:val="0D0D0D" w:themeColor="text1" w:themeTint="F2"/>
          <w:spacing w:val="-2"/>
          <w:sz w:val="16"/>
          <w:szCs w:val="16"/>
        </w:rPr>
        <w:t> </w:t>
      </w:r>
      <w:r w:rsidRPr="00FB58F4">
        <w:rPr>
          <w:rFonts w:cs="Arial"/>
          <w:color w:val="0D0D0D" w:themeColor="text1" w:themeTint="F2"/>
          <w:spacing w:val="-2"/>
          <w:sz w:val="16"/>
          <w:szCs w:val="16"/>
        </w:rPr>
        <w:t>sezónní a</w:t>
      </w:r>
      <w:r>
        <w:rPr>
          <w:rFonts w:cs="Arial"/>
          <w:color w:val="0D0D0D" w:themeColor="text1" w:themeTint="F2"/>
          <w:spacing w:val="-2"/>
          <w:sz w:val="16"/>
          <w:szCs w:val="16"/>
        </w:rPr>
        <w:t> </w:t>
      </w:r>
      <w:r w:rsidRPr="00FB58F4">
        <w:rPr>
          <w:rFonts w:cs="Arial"/>
          <w:color w:val="0D0D0D" w:themeColor="text1" w:themeTint="F2"/>
          <w:spacing w:val="-2"/>
          <w:sz w:val="16"/>
          <w:szCs w:val="16"/>
        </w:rPr>
        <w:t>kalendářní vlivy.</w:t>
      </w:r>
    </w:p>
  </w:footnote>
  <w:footnote w:id="21">
    <w:p w14:paraId="3160C9E5" w14:textId="77777777" w:rsidR="003474B6" w:rsidRPr="00FB58F4" w:rsidRDefault="003474B6" w:rsidP="00C81070">
      <w:pPr>
        <w:pStyle w:val="Textpoznpodarou"/>
        <w:jc w:val="both"/>
        <w:rPr>
          <w:rFonts w:cs="Arial"/>
          <w:color w:val="0D0D0D" w:themeColor="text1" w:themeTint="F2"/>
          <w:spacing w:val="-2"/>
          <w:sz w:val="16"/>
          <w:szCs w:val="16"/>
        </w:rPr>
      </w:pPr>
      <w:r w:rsidRPr="00FB58F4">
        <w:rPr>
          <w:rStyle w:val="Znakapoznpodarou"/>
          <w:rFonts w:cs="Arial"/>
          <w:color w:val="0D0D0D" w:themeColor="text1" w:themeTint="F2"/>
          <w:spacing w:val="-2"/>
          <w:sz w:val="16"/>
          <w:szCs w:val="16"/>
        </w:rPr>
        <w:footnoteRef/>
      </w:r>
      <w:r>
        <w:rPr>
          <w:rFonts w:cs="Arial"/>
          <w:color w:val="0D0D0D" w:themeColor="text1" w:themeTint="F2"/>
          <w:spacing w:val="-2"/>
          <w:sz w:val="16"/>
          <w:szCs w:val="16"/>
        </w:rPr>
        <w:t xml:space="preserve"> Jednalo se zejména o </w:t>
      </w:r>
      <w:r w:rsidRPr="00DF1F46">
        <w:rPr>
          <w:rFonts w:cs="Arial"/>
          <w:color w:val="0D0D0D" w:themeColor="text1" w:themeTint="F2"/>
          <w:spacing w:val="-2"/>
          <w:sz w:val="16"/>
          <w:szCs w:val="16"/>
        </w:rPr>
        <w:t>citelné zpomalení hospodářského růstu v klíčových exportních teritoriích, dále posilované narůstajícími regulačními opatřeními v mezinárodním obchodu i přetrvávající nejistotou ohledně budoucího uspořádání vztahů mezi Velkou Británií a EU</w:t>
      </w:r>
      <w:r>
        <w:rPr>
          <w:rFonts w:cs="Arial"/>
          <w:color w:val="0D0D0D" w:themeColor="text1" w:themeTint="F2"/>
          <w:spacing w:val="-2"/>
          <w:sz w:val="16"/>
          <w:szCs w:val="16"/>
        </w:rPr>
        <w:t>.</w:t>
      </w:r>
    </w:p>
  </w:footnote>
  <w:footnote w:id="22">
    <w:p w14:paraId="692E2850" w14:textId="0EB879C5" w:rsidR="003474B6" w:rsidRPr="00FB58F4" w:rsidRDefault="003474B6" w:rsidP="00C81070">
      <w:pPr>
        <w:pStyle w:val="Textpoznpodarou"/>
        <w:jc w:val="both"/>
        <w:rPr>
          <w:rFonts w:cs="Arial"/>
          <w:color w:val="0D0D0D" w:themeColor="text1" w:themeTint="F2"/>
          <w:spacing w:val="-2"/>
          <w:sz w:val="16"/>
          <w:szCs w:val="16"/>
        </w:rPr>
      </w:pPr>
      <w:r w:rsidRPr="00FB58F4">
        <w:rPr>
          <w:rStyle w:val="Znakapoznpodarou"/>
          <w:rFonts w:cs="Arial"/>
          <w:color w:val="0D0D0D" w:themeColor="text1" w:themeTint="F2"/>
          <w:spacing w:val="-2"/>
          <w:sz w:val="16"/>
          <w:szCs w:val="16"/>
        </w:rPr>
        <w:footnoteRef/>
      </w:r>
      <w:r>
        <w:rPr>
          <w:rFonts w:cs="Arial"/>
          <w:color w:val="0D0D0D" w:themeColor="text1" w:themeTint="F2"/>
          <w:spacing w:val="-2"/>
          <w:sz w:val="16"/>
          <w:szCs w:val="16"/>
        </w:rPr>
        <w:t xml:space="preserve"> Meziroční růst celkové hrubé přidané </w:t>
      </w:r>
      <w:r w:rsidRPr="00D24386">
        <w:rPr>
          <w:rFonts w:cs="Arial"/>
          <w:color w:val="0D0D0D" w:themeColor="text1" w:themeTint="F2"/>
          <w:spacing w:val="-2"/>
          <w:sz w:val="16"/>
          <w:szCs w:val="16"/>
        </w:rPr>
        <w:t xml:space="preserve">hodnoty v těchto </w:t>
      </w:r>
      <w:r>
        <w:rPr>
          <w:rFonts w:cs="Arial"/>
          <w:color w:val="0D0D0D" w:themeColor="text1" w:themeTint="F2"/>
          <w:spacing w:val="-2"/>
          <w:sz w:val="16"/>
          <w:szCs w:val="16"/>
        </w:rPr>
        <w:t>územních celcích</w:t>
      </w:r>
      <w:r w:rsidRPr="00D24386">
        <w:rPr>
          <w:rFonts w:cs="Arial"/>
          <w:color w:val="0D0D0D" w:themeColor="text1" w:themeTint="F2"/>
          <w:spacing w:val="-2"/>
          <w:sz w:val="16"/>
          <w:szCs w:val="16"/>
        </w:rPr>
        <w:t xml:space="preserve"> výrazně zpomalov</w:t>
      </w:r>
      <w:r>
        <w:rPr>
          <w:rFonts w:cs="Arial"/>
          <w:color w:val="0D0D0D" w:themeColor="text1" w:themeTint="F2"/>
          <w:spacing w:val="-2"/>
          <w:sz w:val="16"/>
          <w:szCs w:val="16"/>
        </w:rPr>
        <w:t>al již v průběhu celého</w:t>
      </w:r>
      <w:r w:rsidRPr="00D24386">
        <w:rPr>
          <w:rFonts w:cs="Arial"/>
          <w:color w:val="0D0D0D" w:themeColor="text1" w:themeTint="F2"/>
          <w:spacing w:val="-2"/>
          <w:sz w:val="16"/>
          <w:szCs w:val="16"/>
        </w:rPr>
        <w:t xml:space="preserve"> roku</w:t>
      </w:r>
      <w:r>
        <w:rPr>
          <w:rFonts w:cs="Arial"/>
          <w:color w:val="0D0D0D" w:themeColor="text1" w:themeTint="F2"/>
          <w:spacing w:val="-2"/>
          <w:sz w:val="16"/>
          <w:szCs w:val="16"/>
        </w:rPr>
        <w:t xml:space="preserve"> 2018</w:t>
      </w:r>
      <w:r w:rsidRPr="00D24386">
        <w:rPr>
          <w:rFonts w:cs="Arial"/>
          <w:color w:val="0D0D0D" w:themeColor="text1" w:themeTint="F2"/>
          <w:spacing w:val="-2"/>
          <w:sz w:val="16"/>
          <w:szCs w:val="16"/>
        </w:rPr>
        <w:t>. V jeho poslední čtvrtině dosahoval v zemích eu</w:t>
      </w:r>
      <w:r>
        <w:rPr>
          <w:rFonts w:cs="Arial"/>
          <w:color w:val="0D0D0D" w:themeColor="text1" w:themeTint="F2"/>
          <w:spacing w:val="-2"/>
          <w:sz w:val="16"/>
          <w:szCs w:val="16"/>
        </w:rPr>
        <w:t>rozóny slabých 1,2 %, v Německu dokonce jen 0,5 %. Ve 4</w:t>
      </w:r>
      <w:r w:rsidRPr="00D24386">
        <w:rPr>
          <w:rFonts w:cs="Arial"/>
          <w:color w:val="0D0D0D" w:themeColor="text1" w:themeTint="F2"/>
          <w:spacing w:val="-2"/>
          <w:sz w:val="16"/>
          <w:szCs w:val="16"/>
        </w:rPr>
        <w:t xml:space="preserve">. čtvrtletí </w:t>
      </w:r>
      <w:r>
        <w:rPr>
          <w:rFonts w:cs="Arial"/>
          <w:color w:val="0D0D0D" w:themeColor="text1" w:themeTint="F2"/>
          <w:spacing w:val="-2"/>
          <w:sz w:val="16"/>
          <w:szCs w:val="16"/>
        </w:rPr>
        <w:t>2019 klesla obdobná tempa na 1,0</w:t>
      </w:r>
      <w:r w:rsidRPr="00D24386">
        <w:rPr>
          <w:rFonts w:cs="Arial"/>
          <w:color w:val="0D0D0D" w:themeColor="text1" w:themeTint="F2"/>
          <w:spacing w:val="-2"/>
          <w:sz w:val="16"/>
          <w:szCs w:val="16"/>
        </w:rPr>
        <w:t> %, resp. 0,3 %, horší výsledky se naposledy projevily v roce 2013.</w:t>
      </w:r>
    </w:p>
  </w:footnote>
  <w:footnote w:id="23">
    <w:p w14:paraId="2ACD61E6" w14:textId="56243456" w:rsidR="003474B6" w:rsidRPr="00FB58F4" w:rsidRDefault="003474B6" w:rsidP="00C81070">
      <w:pPr>
        <w:pStyle w:val="Textpoznpodarou"/>
        <w:jc w:val="both"/>
        <w:rPr>
          <w:rFonts w:cs="Arial"/>
          <w:color w:val="0D0D0D" w:themeColor="text1" w:themeTint="F2"/>
          <w:spacing w:val="-2"/>
          <w:sz w:val="16"/>
          <w:szCs w:val="16"/>
        </w:rPr>
      </w:pPr>
      <w:r w:rsidRPr="00FB58F4">
        <w:rPr>
          <w:rStyle w:val="Znakapoznpodarou"/>
          <w:rFonts w:cs="Arial"/>
          <w:color w:val="0D0D0D" w:themeColor="text1" w:themeTint="F2"/>
          <w:spacing w:val="-2"/>
          <w:sz w:val="16"/>
          <w:szCs w:val="16"/>
        </w:rPr>
        <w:footnoteRef/>
      </w:r>
      <w:r>
        <w:rPr>
          <w:rFonts w:cs="Arial"/>
          <w:color w:val="0D0D0D" w:themeColor="text1" w:themeTint="F2"/>
          <w:spacing w:val="-2"/>
          <w:sz w:val="16"/>
          <w:szCs w:val="16"/>
        </w:rPr>
        <w:t xml:space="preserve"> To platilo i o nezpracovatelských průmyslových oborech, v nichž HPH dosahovala loni jen tří pětin úrovně z roku 2008 (hlavně vlivem propadu výkonů v těžbě uhlí). </w:t>
      </w:r>
    </w:p>
  </w:footnote>
  <w:footnote w:id="24">
    <w:p w14:paraId="2431906B" w14:textId="77777777" w:rsidR="003474B6" w:rsidRPr="00FB58F4" w:rsidRDefault="003474B6" w:rsidP="00C81070">
      <w:pPr>
        <w:pStyle w:val="Textpoznpodarou"/>
        <w:jc w:val="both"/>
        <w:rPr>
          <w:rFonts w:cs="Arial"/>
          <w:color w:val="0D0D0D" w:themeColor="text1" w:themeTint="F2"/>
          <w:spacing w:val="-2"/>
          <w:sz w:val="16"/>
          <w:szCs w:val="16"/>
        </w:rPr>
      </w:pPr>
      <w:r w:rsidRPr="00FB58F4">
        <w:rPr>
          <w:rStyle w:val="Znakapoznpodarou"/>
          <w:rFonts w:cs="Arial"/>
          <w:color w:val="0D0D0D" w:themeColor="text1" w:themeTint="F2"/>
          <w:spacing w:val="-2"/>
          <w:sz w:val="16"/>
          <w:szCs w:val="16"/>
        </w:rPr>
        <w:footnoteRef/>
      </w:r>
      <w:r>
        <w:rPr>
          <w:rFonts w:cs="Arial"/>
          <w:color w:val="0D0D0D" w:themeColor="text1" w:themeTint="F2"/>
          <w:spacing w:val="-2"/>
          <w:sz w:val="16"/>
          <w:szCs w:val="16"/>
        </w:rPr>
        <w:t xml:space="preserve"> Zahrnuje odvětví</w:t>
      </w:r>
      <w:r w:rsidRPr="00FB58F4">
        <w:rPr>
          <w:rFonts w:cs="Arial"/>
          <w:color w:val="0D0D0D" w:themeColor="text1" w:themeTint="F2"/>
          <w:spacing w:val="-2"/>
          <w:sz w:val="16"/>
          <w:szCs w:val="16"/>
        </w:rPr>
        <w:t xml:space="preserve"> </w:t>
      </w:r>
      <w:r>
        <w:rPr>
          <w:rFonts w:cs="Arial"/>
          <w:color w:val="0D0D0D" w:themeColor="text1" w:themeTint="F2"/>
          <w:spacing w:val="-2"/>
          <w:sz w:val="16"/>
          <w:szCs w:val="16"/>
        </w:rPr>
        <w:t>těžby</w:t>
      </w:r>
      <w:r w:rsidRPr="00FB58F4">
        <w:rPr>
          <w:rFonts w:cs="Arial"/>
          <w:color w:val="0D0D0D" w:themeColor="text1" w:themeTint="F2"/>
          <w:spacing w:val="-2"/>
          <w:sz w:val="16"/>
          <w:szCs w:val="16"/>
        </w:rPr>
        <w:t xml:space="preserve"> a</w:t>
      </w:r>
      <w:r>
        <w:rPr>
          <w:rFonts w:cs="Arial"/>
          <w:color w:val="0D0D0D" w:themeColor="text1" w:themeTint="F2"/>
          <w:spacing w:val="-2"/>
          <w:sz w:val="16"/>
          <w:szCs w:val="16"/>
        </w:rPr>
        <w:t> </w:t>
      </w:r>
      <w:r w:rsidRPr="00FB58F4">
        <w:rPr>
          <w:rFonts w:cs="Arial"/>
          <w:color w:val="0D0D0D" w:themeColor="text1" w:themeTint="F2"/>
          <w:spacing w:val="-2"/>
          <w:sz w:val="16"/>
          <w:szCs w:val="16"/>
        </w:rPr>
        <w:t xml:space="preserve">dobývání, </w:t>
      </w:r>
      <w:r>
        <w:rPr>
          <w:rFonts w:cs="Arial"/>
          <w:color w:val="0D0D0D" w:themeColor="text1" w:themeTint="F2"/>
          <w:spacing w:val="-2"/>
          <w:sz w:val="16"/>
          <w:szCs w:val="16"/>
        </w:rPr>
        <w:t>zpracovatelského průmyslu a také</w:t>
      </w:r>
      <w:r w:rsidRPr="00FB58F4">
        <w:rPr>
          <w:rFonts w:cs="Arial"/>
          <w:color w:val="0D0D0D" w:themeColor="text1" w:themeTint="F2"/>
          <w:spacing w:val="-2"/>
          <w:sz w:val="16"/>
          <w:szCs w:val="16"/>
        </w:rPr>
        <w:t xml:space="preserve"> </w:t>
      </w:r>
      <w:r>
        <w:rPr>
          <w:rFonts w:cs="Arial"/>
          <w:color w:val="0D0D0D" w:themeColor="text1" w:themeTint="F2"/>
          <w:spacing w:val="-2"/>
          <w:sz w:val="16"/>
          <w:szCs w:val="16"/>
        </w:rPr>
        <w:t>energetiky (zde pojímané jako odvětví výroby a rozvodu elektřiny, plynu, tepla a klimatizovaného vzduchu).</w:t>
      </w:r>
      <w:r w:rsidRPr="00FB58F4">
        <w:rPr>
          <w:rFonts w:cs="Arial"/>
          <w:color w:val="0D0D0D" w:themeColor="text1" w:themeTint="F2"/>
          <w:spacing w:val="-2"/>
          <w:sz w:val="16"/>
          <w:szCs w:val="16"/>
        </w:rPr>
        <w:t xml:space="preserve"> Všechna meziroční tempa produkce (na úrovni odvětvových sekcí i</w:t>
      </w:r>
      <w:r>
        <w:rPr>
          <w:rFonts w:cs="Arial"/>
          <w:color w:val="0D0D0D" w:themeColor="text1" w:themeTint="F2"/>
          <w:spacing w:val="-2"/>
          <w:sz w:val="16"/>
          <w:szCs w:val="16"/>
        </w:rPr>
        <w:t> </w:t>
      </w:r>
      <w:r w:rsidRPr="00FB58F4">
        <w:rPr>
          <w:rFonts w:cs="Arial"/>
          <w:color w:val="0D0D0D" w:themeColor="text1" w:themeTint="F2"/>
          <w:spacing w:val="-2"/>
          <w:sz w:val="16"/>
          <w:szCs w:val="16"/>
        </w:rPr>
        <w:t>oddílů) j</w:t>
      </w:r>
      <w:r>
        <w:rPr>
          <w:rFonts w:cs="Arial"/>
          <w:color w:val="0D0D0D" w:themeColor="text1" w:themeTint="F2"/>
          <w:spacing w:val="-2"/>
          <w:sz w:val="16"/>
          <w:szCs w:val="16"/>
        </w:rPr>
        <w:t>sou očištěna o kalendářní vlivy, m</w:t>
      </w:r>
      <w:r w:rsidRPr="00FB58F4">
        <w:rPr>
          <w:rFonts w:cs="Arial"/>
          <w:color w:val="0D0D0D" w:themeColor="text1" w:themeTint="F2"/>
          <w:spacing w:val="-2"/>
          <w:sz w:val="16"/>
          <w:szCs w:val="16"/>
        </w:rPr>
        <w:t>ezičtvrtletní tempa pak také o</w:t>
      </w:r>
      <w:r>
        <w:rPr>
          <w:rFonts w:cs="Arial"/>
          <w:color w:val="0D0D0D" w:themeColor="text1" w:themeTint="F2"/>
          <w:spacing w:val="-2"/>
          <w:sz w:val="16"/>
          <w:szCs w:val="16"/>
        </w:rPr>
        <w:t> </w:t>
      </w:r>
      <w:r w:rsidRPr="00FB58F4">
        <w:rPr>
          <w:rFonts w:cs="Arial"/>
          <w:color w:val="0D0D0D" w:themeColor="text1" w:themeTint="F2"/>
          <w:spacing w:val="-2"/>
          <w:sz w:val="16"/>
          <w:szCs w:val="16"/>
        </w:rPr>
        <w:t>vliv sezónnosti.</w:t>
      </w:r>
    </w:p>
  </w:footnote>
  <w:footnote w:id="25">
    <w:p w14:paraId="1C7E26E0" w14:textId="77777777" w:rsidR="003474B6" w:rsidRPr="00590B0C" w:rsidRDefault="003474B6" w:rsidP="00C81070">
      <w:pPr>
        <w:pStyle w:val="Textpoznpodarou"/>
        <w:jc w:val="both"/>
        <w:rPr>
          <w:rFonts w:cs="Arial"/>
          <w:color w:val="0D0D0D" w:themeColor="text1" w:themeTint="F2"/>
          <w:spacing w:val="-2"/>
          <w:sz w:val="16"/>
          <w:szCs w:val="16"/>
        </w:rPr>
      </w:pPr>
      <w:r w:rsidRPr="00590B0C">
        <w:rPr>
          <w:rStyle w:val="Znakapoznpodarou"/>
          <w:rFonts w:cs="Arial"/>
          <w:color w:val="0D0D0D" w:themeColor="text1" w:themeTint="F2"/>
          <w:spacing w:val="-2"/>
          <w:sz w:val="16"/>
          <w:szCs w:val="16"/>
        </w:rPr>
        <w:footnoteRef/>
      </w:r>
      <w:r w:rsidRPr="00590B0C">
        <w:rPr>
          <w:rFonts w:cs="Arial"/>
          <w:color w:val="0D0D0D" w:themeColor="text1" w:themeTint="F2"/>
          <w:spacing w:val="-2"/>
          <w:sz w:val="16"/>
          <w:szCs w:val="16"/>
        </w:rPr>
        <w:t xml:space="preserve"> </w:t>
      </w:r>
      <w:r w:rsidRPr="00590B0C">
        <w:rPr>
          <w:color w:val="000000" w:themeColor="text1"/>
          <w:spacing w:val="-7"/>
          <w:sz w:val="16"/>
          <w:szCs w:val="16"/>
        </w:rPr>
        <w:t>Průmysl v ČR se zpožděním reagoval na ochlazení poptávky v eurozóně, kde</w:t>
      </w:r>
      <w:r w:rsidRPr="00590B0C">
        <w:rPr>
          <w:rFonts w:cs="Arial"/>
          <w:color w:val="0D0D0D" w:themeColor="text1" w:themeTint="F2"/>
          <w:spacing w:val="-2"/>
          <w:sz w:val="16"/>
          <w:szCs w:val="16"/>
        </w:rPr>
        <w:t xml:space="preserve"> index průmyslové produkce v mezičtvrtletním vyjádření klesl již na počátku roku 2018 (</w:t>
      </w:r>
      <w:r>
        <w:rPr>
          <w:rFonts w:cs="Arial"/>
          <w:color w:val="0D0D0D" w:themeColor="text1" w:themeTint="F2"/>
          <w:spacing w:val="-2"/>
          <w:sz w:val="16"/>
          <w:szCs w:val="16"/>
        </w:rPr>
        <w:t>–1,3 %) a k oživení nedošlo</w:t>
      </w:r>
      <w:r w:rsidRPr="00590B0C">
        <w:rPr>
          <w:rFonts w:cs="Arial"/>
          <w:color w:val="0D0D0D" w:themeColor="text1" w:themeTint="F2"/>
          <w:spacing w:val="-2"/>
          <w:sz w:val="16"/>
          <w:szCs w:val="16"/>
        </w:rPr>
        <w:t xml:space="preserve"> ani</w:t>
      </w:r>
      <w:r>
        <w:rPr>
          <w:rFonts w:cs="Arial"/>
          <w:color w:val="0D0D0D" w:themeColor="text1" w:themeTint="F2"/>
          <w:spacing w:val="-2"/>
          <w:sz w:val="16"/>
          <w:szCs w:val="16"/>
        </w:rPr>
        <w:t xml:space="preserve"> v jeho průběhu (např. ve 4. čtvrtletí činil –0,8 %). </w:t>
      </w:r>
    </w:p>
  </w:footnote>
  <w:footnote w:id="26">
    <w:p w14:paraId="2EA61639" w14:textId="68C9D73E" w:rsidR="003474B6" w:rsidRPr="00FB58F4" w:rsidRDefault="003474B6" w:rsidP="00C81070">
      <w:pPr>
        <w:pStyle w:val="Textpoznpodarou"/>
        <w:jc w:val="both"/>
        <w:rPr>
          <w:rFonts w:cs="Arial"/>
          <w:color w:val="0D0D0D" w:themeColor="text1" w:themeTint="F2"/>
          <w:spacing w:val="-2"/>
          <w:sz w:val="16"/>
          <w:szCs w:val="16"/>
        </w:rPr>
      </w:pPr>
      <w:r w:rsidRPr="00FB58F4">
        <w:rPr>
          <w:rStyle w:val="Znakapoznpodarou"/>
          <w:rFonts w:cs="Arial"/>
          <w:color w:val="0D0D0D" w:themeColor="text1" w:themeTint="F2"/>
          <w:spacing w:val="-2"/>
          <w:sz w:val="16"/>
          <w:szCs w:val="16"/>
        </w:rPr>
        <w:footnoteRef/>
      </w:r>
      <w:r>
        <w:rPr>
          <w:rFonts w:cs="Arial"/>
          <w:color w:val="0D0D0D" w:themeColor="text1" w:themeTint="F2"/>
          <w:spacing w:val="-2"/>
          <w:sz w:val="16"/>
          <w:szCs w:val="16"/>
        </w:rPr>
        <w:t xml:space="preserve"> </w:t>
      </w:r>
      <w:proofErr w:type="spellStart"/>
      <w:r>
        <w:rPr>
          <w:rFonts w:cs="Arial"/>
          <w:color w:val="0D0D0D" w:themeColor="text1" w:themeTint="F2"/>
          <w:spacing w:val="-2"/>
          <w:sz w:val="16"/>
          <w:szCs w:val="16"/>
        </w:rPr>
        <w:t>Mezikvartální</w:t>
      </w:r>
      <w:proofErr w:type="spellEnd"/>
      <w:r>
        <w:rPr>
          <w:rFonts w:cs="Arial"/>
          <w:color w:val="0D0D0D" w:themeColor="text1" w:themeTint="F2"/>
          <w:spacing w:val="-2"/>
          <w:sz w:val="16"/>
          <w:szCs w:val="16"/>
        </w:rPr>
        <w:t xml:space="preserve"> pokles průmyslové produkce Německa, započatý ve druhé polovině roku 2018, trval již šesté čtvrtletí v řadě. Za toto období se výkon průmyslu </w:t>
      </w:r>
      <w:r w:rsidRPr="00BF2EA4">
        <w:rPr>
          <w:rFonts w:cs="Arial"/>
          <w:color w:val="0D0D0D" w:themeColor="text1" w:themeTint="F2"/>
          <w:spacing w:val="-2"/>
          <w:sz w:val="16"/>
          <w:szCs w:val="16"/>
        </w:rPr>
        <w:t>snížil o</w:t>
      </w:r>
      <w:r>
        <w:rPr>
          <w:rFonts w:cs="Arial"/>
          <w:color w:val="0D0D0D" w:themeColor="text1" w:themeTint="F2"/>
          <w:spacing w:val="-2"/>
          <w:sz w:val="16"/>
          <w:szCs w:val="16"/>
        </w:rPr>
        <w:t> 7,8 % (kumulativní propad v období let 2008 a 2009 činil ale 20,7 %). Za celý rok 2019 klesla průmyslová produkce v jedenácti státech EU (v celé Unii o</w:t>
      </w:r>
      <w:r w:rsidRPr="00C81040">
        <w:rPr>
          <w:rFonts w:cs="Arial"/>
          <w:color w:val="0D0D0D" w:themeColor="text1" w:themeTint="F2"/>
          <w:spacing w:val="-2"/>
          <w:sz w:val="16"/>
          <w:szCs w:val="16"/>
        </w:rPr>
        <w:t> </w:t>
      </w:r>
      <w:r>
        <w:rPr>
          <w:rFonts w:cs="Arial"/>
          <w:color w:val="0D0D0D" w:themeColor="text1" w:themeTint="F2"/>
          <w:spacing w:val="-2"/>
          <w:sz w:val="16"/>
          <w:szCs w:val="16"/>
        </w:rPr>
        <w:t>0,9</w:t>
      </w:r>
      <w:r w:rsidRPr="00C81040">
        <w:rPr>
          <w:rFonts w:cs="Arial"/>
          <w:color w:val="0D0D0D" w:themeColor="text1" w:themeTint="F2"/>
          <w:spacing w:val="-2"/>
          <w:sz w:val="16"/>
          <w:szCs w:val="16"/>
        </w:rPr>
        <w:t> </w:t>
      </w:r>
      <w:r>
        <w:rPr>
          <w:rFonts w:cs="Arial"/>
          <w:color w:val="0D0D0D" w:themeColor="text1" w:themeTint="F2"/>
          <w:spacing w:val="-2"/>
          <w:sz w:val="16"/>
          <w:szCs w:val="16"/>
        </w:rPr>
        <w:t>%). Nejhlubší pokles zaznamenalo Německo (–4,7 %) Mírný růst si udržovaly zejména novější členské státy ze střední a východní Evropy (Maďarsko +5,4 %, Polsko +4,4 %) s výjimkou Rumunska (–3,2 %) a Estonska (–1,9 %).</w:t>
      </w:r>
    </w:p>
  </w:footnote>
  <w:footnote w:id="27">
    <w:p w14:paraId="1AB24F7F" w14:textId="77777777" w:rsidR="003474B6" w:rsidRPr="00FB58F4" w:rsidRDefault="003474B6" w:rsidP="00C81070">
      <w:pPr>
        <w:pStyle w:val="Textpoznpodarou"/>
        <w:jc w:val="both"/>
        <w:rPr>
          <w:rFonts w:cs="Arial"/>
          <w:color w:val="0D0D0D" w:themeColor="text1" w:themeTint="F2"/>
          <w:spacing w:val="-2"/>
          <w:sz w:val="16"/>
          <w:szCs w:val="16"/>
        </w:rPr>
      </w:pPr>
      <w:r w:rsidRPr="00FB58F4">
        <w:rPr>
          <w:rStyle w:val="Znakapoznpodarou"/>
          <w:rFonts w:cs="Arial"/>
          <w:color w:val="0D0D0D" w:themeColor="text1" w:themeTint="F2"/>
          <w:spacing w:val="-2"/>
          <w:sz w:val="16"/>
          <w:szCs w:val="16"/>
        </w:rPr>
        <w:footnoteRef/>
      </w:r>
      <w:r>
        <w:rPr>
          <w:rFonts w:cs="Arial"/>
          <w:color w:val="0D0D0D" w:themeColor="text1" w:themeTint="F2"/>
          <w:spacing w:val="-2"/>
          <w:sz w:val="16"/>
          <w:szCs w:val="16"/>
        </w:rPr>
        <w:t xml:space="preserve"> Mimořádně vysoké tempo (druhé nejvyšší po roce 2000) odráželo i organizační změny na podnikové úrovni, které posílily segment výroby generických léků. Dlouhodoběji naopak působila vyšší poptávka po volně prodejných léčivech (díky rostoucím příjmům domácností ve vyspělých ekonomikách) i vyšší spotřeba ve zdravotnických zařízeních (vlivem stárnutí obyvatel a rozvoje moderních forem léčby).</w:t>
      </w:r>
    </w:p>
  </w:footnote>
  <w:footnote w:id="28">
    <w:p w14:paraId="45A07E6C" w14:textId="77777777" w:rsidR="003474B6" w:rsidRPr="00A608B0" w:rsidRDefault="003474B6" w:rsidP="00C81070">
      <w:pPr>
        <w:pStyle w:val="Textpoznpodarou"/>
        <w:jc w:val="both"/>
        <w:rPr>
          <w:sz w:val="16"/>
          <w:szCs w:val="16"/>
        </w:rPr>
      </w:pPr>
      <w:r w:rsidRPr="005813A9">
        <w:rPr>
          <w:rStyle w:val="Znakapoznpodarou"/>
          <w:rFonts w:cs="Arial"/>
          <w:color w:val="0D0D0D" w:themeColor="text1" w:themeTint="F2"/>
          <w:sz w:val="16"/>
          <w:szCs w:val="16"/>
        </w:rPr>
        <w:footnoteRef/>
      </w:r>
      <w:r w:rsidRPr="005813A9">
        <w:rPr>
          <w:rFonts w:cs="Arial"/>
          <w:color w:val="0D0D0D" w:themeColor="text1" w:themeTint="F2"/>
          <w:sz w:val="16"/>
          <w:szCs w:val="16"/>
        </w:rPr>
        <w:t xml:space="preserve"> Dle </w:t>
      </w:r>
      <w:r w:rsidRPr="009479CD">
        <w:rPr>
          <w:rFonts w:cs="Arial"/>
          <w:color w:val="0D0D0D" w:themeColor="text1" w:themeTint="F2"/>
          <w:sz w:val="16"/>
          <w:szCs w:val="16"/>
        </w:rPr>
        <w:t xml:space="preserve">údajů Sdružení automobilového průmyslu </w:t>
      </w:r>
      <w:r w:rsidRPr="00205ED6">
        <w:rPr>
          <w:rFonts w:cs="Arial"/>
          <w:color w:val="0D0D0D" w:themeColor="text1" w:themeTint="F2"/>
          <w:sz w:val="16"/>
          <w:szCs w:val="16"/>
        </w:rPr>
        <w:t xml:space="preserve">bylo </w:t>
      </w:r>
      <w:r>
        <w:rPr>
          <w:rFonts w:cs="Arial"/>
          <w:color w:val="0D0D0D" w:themeColor="text1" w:themeTint="F2"/>
          <w:sz w:val="16"/>
          <w:szCs w:val="16"/>
        </w:rPr>
        <w:t>v roce</w:t>
      </w:r>
      <w:r w:rsidRPr="00205ED6">
        <w:rPr>
          <w:rFonts w:cs="Arial"/>
          <w:color w:val="0D0D0D" w:themeColor="text1" w:themeTint="F2"/>
          <w:sz w:val="16"/>
          <w:szCs w:val="16"/>
        </w:rPr>
        <w:t xml:space="preserve"> 2019 v ČR vyrobeno</w:t>
      </w:r>
      <w:r w:rsidRPr="005813A9">
        <w:rPr>
          <w:rFonts w:cs="Arial"/>
          <w:color w:val="0D0D0D" w:themeColor="text1" w:themeTint="F2"/>
          <w:sz w:val="16"/>
          <w:szCs w:val="16"/>
        </w:rPr>
        <w:t xml:space="preserve"> </w:t>
      </w:r>
      <w:r>
        <w:rPr>
          <w:rFonts w:cs="Arial"/>
          <w:color w:val="0D0D0D" w:themeColor="text1" w:themeTint="F2"/>
          <w:sz w:val="16"/>
          <w:szCs w:val="16"/>
        </w:rPr>
        <w:t>1,434 mil. motorových vozidel. Proti rekordnímu počtu z roku 2018 to bylo o 0,7 % méně. Mírný růst počtu prodaných vozů v tuzemsku (+0,8 % na 110,2 tis.) nestačil plně pokrýt mělký pokles váhově výrazně dominantního exportu (</w:t>
      </w:r>
      <w:r>
        <w:rPr>
          <w:rFonts w:cs="Arial"/>
          <w:color w:val="0D0D0D" w:themeColor="text1" w:themeTint="F2"/>
          <w:spacing w:val="-2"/>
          <w:sz w:val="16"/>
          <w:szCs w:val="16"/>
        </w:rPr>
        <w:t>–</w:t>
      </w:r>
      <w:r>
        <w:rPr>
          <w:rFonts w:cs="Arial"/>
          <w:color w:val="0D0D0D" w:themeColor="text1" w:themeTint="F2"/>
          <w:sz w:val="16"/>
          <w:szCs w:val="16"/>
        </w:rPr>
        <w:t>0,8 %).</w:t>
      </w:r>
    </w:p>
  </w:footnote>
  <w:footnote w:id="29">
    <w:p w14:paraId="543E02FB" w14:textId="77777777" w:rsidR="003474B6" w:rsidRPr="00FB58F4" w:rsidRDefault="003474B6" w:rsidP="00C81070">
      <w:pPr>
        <w:pStyle w:val="Textpoznpodarou"/>
        <w:jc w:val="both"/>
        <w:rPr>
          <w:rFonts w:cs="Arial"/>
          <w:color w:val="0D0D0D" w:themeColor="text1" w:themeTint="F2"/>
          <w:spacing w:val="-2"/>
          <w:sz w:val="16"/>
          <w:szCs w:val="16"/>
        </w:rPr>
      </w:pPr>
      <w:r w:rsidRPr="007A20EB">
        <w:rPr>
          <w:rStyle w:val="Znakapoznpodarou"/>
          <w:rFonts w:cs="Arial"/>
          <w:color w:val="0D0D0D" w:themeColor="text1" w:themeTint="F2"/>
          <w:spacing w:val="-2"/>
          <w:sz w:val="16"/>
          <w:szCs w:val="16"/>
        </w:rPr>
        <w:footnoteRef/>
      </w:r>
      <w:r w:rsidRPr="007A20EB">
        <w:rPr>
          <w:rFonts w:cs="Arial"/>
          <w:color w:val="0D0D0D" w:themeColor="text1" w:themeTint="F2"/>
          <w:spacing w:val="-2"/>
          <w:sz w:val="16"/>
          <w:szCs w:val="16"/>
        </w:rPr>
        <w:t xml:space="preserve"> </w:t>
      </w:r>
      <w:r>
        <w:rPr>
          <w:rFonts w:cs="Arial"/>
          <w:color w:val="0D0D0D" w:themeColor="text1" w:themeTint="F2"/>
          <w:spacing w:val="-2"/>
          <w:sz w:val="16"/>
          <w:szCs w:val="16"/>
        </w:rPr>
        <w:t xml:space="preserve">Nominální </w:t>
      </w:r>
      <w:r>
        <w:rPr>
          <w:rFonts w:cs="Arial"/>
          <w:color w:val="0D0D0D" w:themeColor="text1" w:themeTint="F2"/>
          <w:sz w:val="16"/>
          <w:szCs w:val="16"/>
        </w:rPr>
        <w:t>tržby z přímého vývozu klesly v tomto odvětví v roce 2019 o 15 %, nejvíce ze všech zpracovatelských oborů.</w:t>
      </w:r>
    </w:p>
  </w:footnote>
  <w:footnote w:id="30">
    <w:p w14:paraId="6A054447" w14:textId="0BD52CB1" w:rsidR="003474B6" w:rsidRPr="00FB58F4" w:rsidRDefault="003474B6" w:rsidP="00C81070">
      <w:pPr>
        <w:pStyle w:val="Textpoznpodarou"/>
        <w:jc w:val="both"/>
        <w:rPr>
          <w:rFonts w:cs="Arial"/>
          <w:color w:val="0D0D0D" w:themeColor="text1" w:themeTint="F2"/>
          <w:spacing w:val="-2"/>
          <w:sz w:val="16"/>
          <w:szCs w:val="16"/>
        </w:rPr>
      </w:pPr>
      <w:r w:rsidRPr="007A20EB">
        <w:rPr>
          <w:rStyle w:val="Znakapoznpodarou"/>
          <w:rFonts w:cs="Arial"/>
          <w:color w:val="0D0D0D" w:themeColor="text1" w:themeTint="F2"/>
          <w:spacing w:val="-2"/>
          <w:sz w:val="16"/>
          <w:szCs w:val="16"/>
        </w:rPr>
        <w:footnoteRef/>
      </w:r>
      <w:r w:rsidRPr="007A20EB">
        <w:rPr>
          <w:rFonts w:cs="Arial"/>
          <w:color w:val="0D0D0D" w:themeColor="text1" w:themeTint="F2"/>
          <w:spacing w:val="-2"/>
          <w:sz w:val="16"/>
          <w:szCs w:val="16"/>
        </w:rPr>
        <w:t xml:space="preserve"> </w:t>
      </w:r>
      <w:r>
        <w:rPr>
          <w:rFonts w:cs="Arial"/>
          <w:color w:val="0D0D0D" w:themeColor="text1" w:themeTint="F2"/>
          <w:spacing w:val="-2"/>
          <w:sz w:val="16"/>
          <w:szCs w:val="16"/>
        </w:rPr>
        <w:t>Proti roku 2013 zde byla produkce nižší o 3 %. Podobně na tom byl i dřevozpracující průmysl (při silně rostoucí těžbě, ale i exportu surového dříví). Hlubší útlum pak za posledních šest let zaznamenaly kožedělný průmysl (</w:t>
      </w:r>
      <w:r w:rsidRPr="00A431AE">
        <w:rPr>
          <w:rFonts w:cs="Arial"/>
          <w:color w:val="0D0D0D" w:themeColor="text1" w:themeTint="F2"/>
          <w:spacing w:val="-2"/>
          <w:sz w:val="16"/>
          <w:szCs w:val="16"/>
        </w:rPr>
        <w:t>–</w:t>
      </w:r>
      <w:r>
        <w:rPr>
          <w:rFonts w:cs="Arial"/>
          <w:color w:val="0D0D0D" w:themeColor="text1" w:themeTint="F2"/>
          <w:spacing w:val="-2"/>
          <w:sz w:val="16"/>
          <w:szCs w:val="16"/>
        </w:rPr>
        <w:t>28 %) a těžba uhlí (</w:t>
      </w:r>
      <w:r w:rsidRPr="00A431AE">
        <w:rPr>
          <w:rFonts w:cs="Arial"/>
          <w:color w:val="0D0D0D" w:themeColor="text1" w:themeTint="F2"/>
          <w:spacing w:val="-2"/>
          <w:sz w:val="16"/>
          <w:szCs w:val="16"/>
        </w:rPr>
        <w:t>–</w:t>
      </w:r>
      <w:r>
        <w:rPr>
          <w:rFonts w:cs="Arial"/>
          <w:color w:val="0D0D0D" w:themeColor="text1" w:themeTint="F2"/>
          <w:spacing w:val="-2"/>
          <w:sz w:val="16"/>
          <w:szCs w:val="16"/>
        </w:rPr>
        <w:t>24 %).</w:t>
      </w:r>
    </w:p>
  </w:footnote>
  <w:footnote w:id="31">
    <w:p w14:paraId="6719439D" w14:textId="2712806A" w:rsidR="003474B6" w:rsidRPr="00FB58F4" w:rsidRDefault="003474B6" w:rsidP="00C81070">
      <w:pPr>
        <w:pStyle w:val="Textpoznpodarou"/>
        <w:jc w:val="both"/>
        <w:rPr>
          <w:rFonts w:cs="Arial"/>
          <w:color w:val="0D0D0D" w:themeColor="text1" w:themeTint="F2"/>
          <w:spacing w:val="-2"/>
          <w:sz w:val="16"/>
          <w:szCs w:val="16"/>
        </w:rPr>
      </w:pPr>
      <w:r w:rsidRPr="007A20EB">
        <w:rPr>
          <w:rStyle w:val="Znakapoznpodarou"/>
          <w:rFonts w:cs="Arial"/>
          <w:color w:val="0D0D0D" w:themeColor="text1" w:themeTint="F2"/>
          <w:spacing w:val="-2"/>
          <w:sz w:val="16"/>
          <w:szCs w:val="16"/>
        </w:rPr>
        <w:footnoteRef/>
      </w:r>
      <w:r w:rsidRPr="007A20EB">
        <w:rPr>
          <w:rFonts w:cs="Arial"/>
          <w:color w:val="0D0D0D" w:themeColor="text1" w:themeTint="F2"/>
          <w:spacing w:val="-2"/>
          <w:sz w:val="16"/>
          <w:szCs w:val="16"/>
        </w:rPr>
        <w:t xml:space="preserve"> </w:t>
      </w:r>
      <w:r>
        <w:rPr>
          <w:rFonts w:cs="Arial"/>
          <w:color w:val="0D0D0D" w:themeColor="text1" w:themeTint="F2"/>
          <w:spacing w:val="-2"/>
          <w:sz w:val="16"/>
          <w:szCs w:val="16"/>
        </w:rPr>
        <w:t xml:space="preserve">Dle předběžných údajů Energetického regulačního úřadu ČR dosáhla v roce 2019 celková hrubá výroba elektřiny v tuzemsku 86 981 </w:t>
      </w:r>
      <w:proofErr w:type="spellStart"/>
      <w:r>
        <w:rPr>
          <w:rFonts w:cs="Arial"/>
          <w:color w:val="0D0D0D" w:themeColor="text1" w:themeTint="F2"/>
          <w:spacing w:val="-2"/>
          <w:sz w:val="16"/>
          <w:szCs w:val="16"/>
        </w:rPr>
        <w:t>GWh</w:t>
      </w:r>
      <w:proofErr w:type="spellEnd"/>
      <w:r>
        <w:rPr>
          <w:rFonts w:cs="Arial"/>
          <w:color w:val="0D0D0D" w:themeColor="text1" w:themeTint="F2"/>
          <w:spacing w:val="-2"/>
          <w:sz w:val="16"/>
          <w:szCs w:val="16"/>
        </w:rPr>
        <w:t>. Na jejím meziročním poklesu (o 1,2 %) se téměř výhradně podílely slabší výkony parních elektráren (s poklesem o 8,2 %), v opačném směru působila hlavně výroba v paroplynových (+49,5 %), vodních (+23,3 %) a jaderných elektrárnách (+1,1 %). Výroba tepla se loni meziročně snížila o 0,5 % (na 160 708 TJ) a zmírnila svůj pokles z roku 2018 (</w:t>
      </w:r>
      <w:r w:rsidRPr="00A431AE">
        <w:rPr>
          <w:rFonts w:cs="Arial"/>
          <w:color w:val="0D0D0D" w:themeColor="text1" w:themeTint="F2"/>
          <w:spacing w:val="-2"/>
          <w:sz w:val="16"/>
          <w:szCs w:val="16"/>
        </w:rPr>
        <w:t>–</w:t>
      </w:r>
      <w:r>
        <w:rPr>
          <w:rFonts w:cs="Arial"/>
          <w:color w:val="0D0D0D" w:themeColor="text1" w:themeTint="F2"/>
          <w:spacing w:val="-2"/>
          <w:sz w:val="16"/>
          <w:szCs w:val="16"/>
        </w:rPr>
        <w:t>4,7 %).</w:t>
      </w:r>
    </w:p>
  </w:footnote>
  <w:footnote w:id="32">
    <w:p w14:paraId="5923CF37" w14:textId="77777777" w:rsidR="003474B6" w:rsidRPr="00FB58F4" w:rsidRDefault="003474B6" w:rsidP="00C81070">
      <w:pPr>
        <w:pStyle w:val="Textpoznpodarou"/>
        <w:jc w:val="both"/>
        <w:rPr>
          <w:rFonts w:cs="Arial"/>
          <w:color w:val="0D0D0D" w:themeColor="text1" w:themeTint="F2"/>
          <w:spacing w:val="-2"/>
          <w:sz w:val="16"/>
          <w:szCs w:val="16"/>
        </w:rPr>
      </w:pPr>
      <w:r w:rsidRPr="007A20EB">
        <w:rPr>
          <w:rStyle w:val="Znakapoznpodarou"/>
          <w:rFonts w:cs="Arial"/>
          <w:color w:val="0D0D0D" w:themeColor="text1" w:themeTint="F2"/>
          <w:spacing w:val="-2"/>
          <w:sz w:val="16"/>
          <w:szCs w:val="16"/>
        </w:rPr>
        <w:footnoteRef/>
      </w:r>
      <w:r w:rsidRPr="007A20EB">
        <w:rPr>
          <w:rFonts w:cs="Arial"/>
          <w:color w:val="0D0D0D" w:themeColor="text1" w:themeTint="F2"/>
          <w:spacing w:val="-2"/>
          <w:sz w:val="16"/>
          <w:szCs w:val="16"/>
        </w:rPr>
        <w:t xml:space="preserve"> </w:t>
      </w:r>
      <w:r w:rsidRPr="007A20EB">
        <w:rPr>
          <w:rFonts w:cs="Arial"/>
          <w:color w:val="0D0D0D" w:themeColor="text1" w:themeTint="F2"/>
          <w:sz w:val="16"/>
          <w:szCs w:val="16"/>
        </w:rPr>
        <w:t>Zjišťování zakázek probíhá pouze ve vybraných oddílech CZ</w:t>
      </w:r>
      <w:r w:rsidRPr="007A20EB">
        <w:rPr>
          <w:rFonts w:cs="Arial"/>
          <w:color w:val="0D0D0D" w:themeColor="text1" w:themeTint="F2"/>
          <w:sz w:val="16"/>
          <w:szCs w:val="16"/>
        </w:rPr>
        <w:noBreakHyphen/>
        <w:t>NACE (13, 14, 17, 20, 21, 24, 25, 26, 27, 28, 29, 30), které vyrábějí převážně na zakázku, s dlouhodobějším výrobním cyklem a s většími zásobami zakázek.</w:t>
      </w:r>
    </w:p>
  </w:footnote>
  <w:footnote w:id="33">
    <w:p w14:paraId="4DD16891" w14:textId="77777777" w:rsidR="003474B6" w:rsidRPr="00FB58F4" w:rsidRDefault="003474B6" w:rsidP="00C81070">
      <w:pPr>
        <w:pStyle w:val="Textpoznpodarou"/>
        <w:jc w:val="both"/>
        <w:rPr>
          <w:rFonts w:cs="Arial"/>
          <w:color w:val="0D0D0D" w:themeColor="text1" w:themeTint="F2"/>
          <w:spacing w:val="-2"/>
          <w:sz w:val="16"/>
          <w:szCs w:val="16"/>
        </w:rPr>
      </w:pPr>
      <w:r w:rsidRPr="007A20EB">
        <w:rPr>
          <w:rStyle w:val="Znakapoznpodarou"/>
          <w:rFonts w:cs="Arial"/>
          <w:color w:val="0D0D0D" w:themeColor="text1" w:themeTint="F2"/>
          <w:spacing w:val="-2"/>
          <w:sz w:val="16"/>
          <w:szCs w:val="16"/>
        </w:rPr>
        <w:footnoteRef/>
      </w:r>
      <w:r w:rsidRPr="007A20EB">
        <w:rPr>
          <w:rFonts w:cs="Arial"/>
          <w:color w:val="0D0D0D" w:themeColor="text1" w:themeTint="F2"/>
          <w:spacing w:val="-2"/>
          <w:sz w:val="16"/>
          <w:szCs w:val="16"/>
        </w:rPr>
        <w:t xml:space="preserve"> </w:t>
      </w:r>
      <w:r>
        <w:rPr>
          <w:rFonts w:cs="Arial"/>
          <w:color w:val="0D0D0D" w:themeColor="text1" w:themeTint="F2"/>
          <w:sz w:val="16"/>
          <w:szCs w:val="16"/>
        </w:rPr>
        <w:t xml:space="preserve">Dle podnikových statistik klesala ve 4. čtvrtletí 2019 celková zaměstnanost meziročně bezmála ve dvou třetinách dílčích průmyslových oborů. Z těch váhově významnějších byl růst zaznamenán jen v elektrotechnice, kovovýrobě, energetice a potravinářství. </w:t>
      </w:r>
    </w:p>
  </w:footnote>
  <w:footnote w:id="34">
    <w:p w14:paraId="14FEB165" w14:textId="77777777" w:rsidR="003474B6" w:rsidRPr="00D85B50" w:rsidRDefault="003474B6" w:rsidP="00C81070">
      <w:pPr>
        <w:pStyle w:val="Textpoznpodarou"/>
        <w:jc w:val="both"/>
        <w:rPr>
          <w:spacing w:val="-4"/>
          <w:sz w:val="16"/>
          <w:szCs w:val="16"/>
        </w:rPr>
      </w:pPr>
      <w:r w:rsidRPr="005813A9">
        <w:rPr>
          <w:rStyle w:val="Znakapoznpodarou"/>
          <w:rFonts w:cs="Arial"/>
          <w:color w:val="0D0D0D" w:themeColor="text1" w:themeTint="F2"/>
          <w:spacing w:val="-2"/>
          <w:sz w:val="16"/>
          <w:szCs w:val="16"/>
        </w:rPr>
        <w:footnoteRef/>
      </w:r>
      <w:r w:rsidRPr="005813A9">
        <w:rPr>
          <w:rFonts w:cs="Arial"/>
          <w:color w:val="0D0D0D" w:themeColor="text1" w:themeTint="F2"/>
          <w:spacing w:val="-2"/>
          <w:sz w:val="16"/>
          <w:szCs w:val="16"/>
        </w:rPr>
        <w:t xml:space="preserve"> Všechny meziroční údaje o</w:t>
      </w:r>
      <w:r>
        <w:rPr>
          <w:rFonts w:cs="Arial"/>
          <w:color w:val="0D0D0D" w:themeColor="text1" w:themeTint="F2"/>
          <w:spacing w:val="-2"/>
          <w:sz w:val="16"/>
          <w:szCs w:val="16"/>
        </w:rPr>
        <w:t> </w:t>
      </w:r>
      <w:r w:rsidRPr="005813A9">
        <w:rPr>
          <w:rFonts w:cs="Arial"/>
          <w:color w:val="0D0D0D" w:themeColor="text1" w:themeTint="F2"/>
          <w:spacing w:val="-2"/>
          <w:sz w:val="16"/>
          <w:szCs w:val="16"/>
        </w:rPr>
        <w:t>stavební produkci jsou očištěny o</w:t>
      </w:r>
      <w:r>
        <w:rPr>
          <w:rFonts w:cs="Arial"/>
          <w:color w:val="0D0D0D" w:themeColor="text1" w:themeTint="F2"/>
          <w:spacing w:val="-2"/>
          <w:sz w:val="16"/>
          <w:szCs w:val="16"/>
        </w:rPr>
        <w:t> </w:t>
      </w:r>
      <w:r w:rsidRPr="005813A9">
        <w:rPr>
          <w:rFonts w:cs="Arial"/>
          <w:color w:val="0D0D0D" w:themeColor="text1" w:themeTint="F2"/>
          <w:spacing w:val="-2"/>
          <w:sz w:val="16"/>
          <w:szCs w:val="16"/>
        </w:rPr>
        <w:t>kalendářní vlivy, mezičtvrtletní tempa pak také o</w:t>
      </w:r>
      <w:r>
        <w:rPr>
          <w:rFonts w:cs="Arial"/>
          <w:color w:val="0D0D0D" w:themeColor="text1" w:themeTint="F2"/>
          <w:spacing w:val="-2"/>
          <w:sz w:val="16"/>
          <w:szCs w:val="16"/>
        </w:rPr>
        <w:t> </w:t>
      </w:r>
      <w:r w:rsidRPr="005813A9">
        <w:rPr>
          <w:rFonts w:cs="Arial"/>
          <w:color w:val="0D0D0D" w:themeColor="text1" w:themeTint="F2"/>
          <w:spacing w:val="-2"/>
          <w:sz w:val="16"/>
          <w:szCs w:val="16"/>
        </w:rPr>
        <w:t>vliv sezónnosti.</w:t>
      </w:r>
    </w:p>
  </w:footnote>
  <w:footnote w:id="35">
    <w:p w14:paraId="09E83647" w14:textId="1DB83558" w:rsidR="003474B6" w:rsidRPr="00D85B50" w:rsidRDefault="003474B6" w:rsidP="00082F89">
      <w:pPr>
        <w:pStyle w:val="Textpoznpodarou"/>
        <w:jc w:val="both"/>
        <w:rPr>
          <w:spacing w:val="-4"/>
          <w:sz w:val="16"/>
          <w:szCs w:val="16"/>
        </w:rPr>
      </w:pPr>
      <w:r w:rsidRPr="005813A9">
        <w:rPr>
          <w:rStyle w:val="Znakapoznpodarou"/>
          <w:rFonts w:cs="Arial"/>
          <w:color w:val="0D0D0D" w:themeColor="text1" w:themeTint="F2"/>
          <w:spacing w:val="-2"/>
          <w:sz w:val="16"/>
          <w:szCs w:val="16"/>
        </w:rPr>
        <w:footnoteRef/>
      </w:r>
      <w:r>
        <w:rPr>
          <w:rFonts w:cs="Arial"/>
          <w:color w:val="0D0D0D" w:themeColor="text1" w:themeTint="F2"/>
          <w:spacing w:val="-2"/>
          <w:sz w:val="16"/>
          <w:szCs w:val="16"/>
        </w:rPr>
        <w:t xml:space="preserve"> Shodným tempem vzrostla loni produkce rovněž v </w:t>
      </w:r>
      <w:r w:rsidRPr="00D97006">
        <w:rPr>
          <w:rFonts w:cs="Arial"/>
          <w:color w:val="0D0D0D" w:themeColor="text1" w:themeTint="F2"/>
          <w:spacing w:val="-2"/>
          <w:sz w:val="16"/>
          <w:szCs w:val="16"/>
        </w:rPr>
        <w:t>EU</w:t>
      </w:r>
      <w:r>
        <w:rPr>
          <w:rFonts w:cs="Arial"/>
          <w:color w:val="0D0D0D" w:themeColor="text1" w:themeTint="F2"/>
          <w:spacing w:val="-2"/>
          <w:sz w:val="16"/>
          <w:szCs w:val="16"/>
        </w:rPr>
        <w:t xml:space="preserve"> (o 2,6 %, v roce 2018 o 1,7 %). Nejdynamičtěji rostlo stavebnictví ve většině novějších členských států EU čerpajících pomoc z eurofondů – v Rumunsku (+27 %), Maďarsku (+22 %, za tři roky +92 %), mírnějšími tempy posilovalo i v ostatních novějších členských státech vyjma Slovenska (–3,3 %). V některých starších státech EU svižný růst stavebnictví zčásti kompenzoval pokles produkce v průmyslu (Rakousko, Nizozemsko, Německo, Portugalsko či Velká Británie).</w:t>
      </w:r>
    </w:p>
  </w:footnote>
  <w:footnote w:id="36">
    <w:p w14:paraId="0E1C9988" w14:textId="77777777" w:rsidR="003474B6" w:rsidRPr="00DE063B" w:rsidRDefault="003474B6" w:rsidP="00C81070">
      <w:pPr>
        <w:pStyle w:val="Textpoznpodarou"/>
        <w:jc w:val="both"/>
        <w:rPr>
          <w:rFonts w:cs="Arial"/>
          <w:color w:val="0D0D0D" w:themeColor="text1" w:themeTint="F2"/>
          <w:spacing w:val="-3"/>
          <w:sz w:val="16"/>
          <w:szCs w:val="16"/>
        </w:rPr>
      </w:pPr>
      <w:r w:rsidRPr="00DE063B">
        <w:rPr>
          <w:rStyle w:val="Znakapoznpodarou"/>
          <w:rFonts w:cs="Arial"/>
          <w:color w:val="0D0D0D" w:themeColor="text1" w:themeTint="F2"/>
          <w:spacing w:val="-3"/>
          <w:sz w:val="16"/>
          <w:szCs w:val="16"/>
        </w:rPr>
        <w:footnoteRef/>
      </w:r>
      <w:r>
        <w:rPr>
          <w:rFonts w:cs="Arial"/>
          <w:color w:val="0D0D0D" w:themeColor="text1" w:themeTint="F2"/>
          <w:spacing w:val="-3"/>
          <w:sz w:val="16"/>
          <w:szCs w:val="16"/>
        </w:rPr>
        <w:t xml:space="preserve"> Počet zahájených bytů v Praze činil loni 6,5 tis. (meziročně se zvýšil o více než polovinu). Srovnatelný objem výstavby byl dosažen naposledy v roce 2008. I přes pozitivní posun v nabídce bytů jejich četnost v metropoli </w:t>
      </w:r>
      <w:r w:rsidRPr="00330FD6">
        <w:rPr>
          <w:rFonts w:cs="Arial"/>
          <w:color w:val="0D0D0D" w:themeColor="text1" w:themeTint="F2"/>
          <w:spacing w:val="-3"/>
          <w:sz w:val="16"/>
          <w:szCs w:val="16"/>
        </w:rPr>
        <w:t>dále zaostával</w:t>
      </w:r>
      <w:r>
        <w:rPr>
          <w:rFonts w:cs="Arial"/>
          <w:color w:val="0D0D0D" w:themeColor="text1" w:themeTint="F2"/>
          <w:spacing w:val="-3"/>
          <w:sz w:val="16"/>
          <w:szCs w:val="16"/>
        </w:rPr>
        <w:t>a za přírůstkem</w:t>
      </w:r>
      <w:r w:rsidRPr="000E298B">
        <w:rPr>
          <w:color w:val="0D0D0D" w:themeColor="text1" w:themeTint="F2"/>
          <w:spacing w:val="-7"/>
        </w:rPr>
        <w:t xml:space="preserve"> </w:t>
      </w:r>
      <w:r>
        <w:rPr>
          <w:rFonts w:cs="Arial"/>
          <w:color w:val="0D0D0D" w:themeColor="text1" w:themeTint="F2"/>
          <w:spacing w:val="-3"/>
          <w:sz w:val="16"/>
          <w:szCs w:val="16"/>
        </w:rPr>
        <w:t xml:space="preserve">pracovních příležitostí </w:t>
      </w:r>
      <w:r>
        <w:rPr>
          <w:rFonts w:cs="Arial"/>
          <w:color w:val="0D0D0D" w:themeColor="text1" w:themeTint="F2"/>
          <w:spacing w:val="-2"/>
          <w:sz w:val="16"/>
          <w:szCs w:val="16"/>
        </w:rPr>
        <w:t>i </w:t>
      </w:r>
      <w:r>
        <w:rPr>
          <w:rFonts w:cs="Arial"/>
          <w:color w:val="0D0D0D" w:themeColor="text1" w:themeTint="F2"/>
          <w:spacing w:val="-3"/>
          <w:sz w:val="16"/>
          <w:szCs w:val="16"/>
        </w:rPr>
        <w:t>celkového</w:t>
      </w:r>
      <w:r w:rsidRPr="002357B5">
        <w:rPr>
          <w:rFonts w:cs="Arial"/>
          <w:color w:val="0D0D0D" w:themeColor="text1" w:themeTint="F2"/>
          <w:spacing w:val="-3"/>
          <w:sz w:val="16"/>
          <w:szCs w:val="16"/>
        </w:rPr>
        <w:t xml:space="preserve"> </w:t>
      </w:r>
      <w:r w:rsidRPr="00330FD6">
        <w:rPr>
          <w:rFonts w:cs="Arial"/>
          <w:color w:val="0D0D0D" w:themeColor="text1" w:themeTint="F2"/>
          <w:spacing w:val="-3"/>
          <w:sz w:val="16"/>
          <w:szCs w:val="16"/>
        </w:rPr>
        <w:t>počtu obyvatel</w:t>
      </w:r>
      <w:r>
        <w:rPr>
          <w:rFonts w:cs="Arial"/>
          <w:color w:val="0D0D0D" w:themeColor="text1" w:themeTint="F2"/>
          <w:spacing w:val="-3"/>
          <w:sz w:val="16"/>
          <w:szCs w:val="16"/>
        </w:rPr>
        <w:t xml:space="preserve"> (ten loni dosáhl 15,6 tis.)</w:t>
      </w:r>
    </w:p>
  </w:footnote>
  <w:footnote w:id="37">
    <w:p w14:paraId="7A3AA622" w14:textId="77777777" w:rsidR="003474B6" w:rsidRPr="00DE063B" w:rsidRDefault="003474B6" w:rsidP="00C81070">
      <w:pPr>
        <w:pStyle w:val="Textpoznpodarou"/>
        <w:jc w:val="both"/>
        <w:rPr>
          <w:rFonts w:cs="Arial"/>
          <w:color w:val="0D0D0D" w:themeColor="text1" w:themeTint="F2"/>
          <w:spacing w:val="-3"/>
          <w:sz w:val="16"/>
          <w:szCs w:val="16"/>
        </w:rPr>
      </w:pPr>
      <w:r w:rsidRPr="00DE063B">
        <w:rPr>
          <w:rStyle w:val="Znakapoznpodarou"/>
          <w:rFonts w:cs="Arial"/>
          <w:color w:val="0D0D0D" w:themeColor="text1" w:themeTint="F2"/>
          <w:spacing w:val="-3"/>
          <w:sz w:val="16"/>
          <w:szCs w:val="16"/>
        </w:rPr>
        <w:footnoteRef/>
      </w:r>
      <w:r w:rsidRPr="00DE063B">
        <w:rPr>
          <w:rFonts w:cs="Arial"/>
          <w:color w:val="0D0D0D" w:themeColor="text1" w:themeTint="F2"/>
          <w:spacing w:val="-3"/>
          <w:sz w:val="16"/>
          <w:szCs w:val="16"/>
        </w:rPr>
        <w:t xml:space="preserve"> </w:t>
      </w:r>
      <w:r>
        <w:rPr>
          <w:rFonts w:cs="Arial"/>
          <w:color w:val="0D0D0D" w:themeColor="text1" w:themeTint="F2"/>
          <w:spacing w:val="-3"/>
          <w:sz w:val="16"/>
          <w:szCs w:val="16"/>
        </w:rPr>
        <w:t>P</w:t>
      </w:r>
      <w:r w:rsidRPr="00F55DCD">
        <w:rPr>
          <w:rFonts w:cs="Arial"/>
          <w:color w:val="0D0D0D" w:themeColor="text1" w:themeTint="F2"/>
          <w:spacing w:val="-3"/>
          <w:sz w:val="16"/>
          <w:szCs w:val="16"/>
        </w:rPr>
        <w:t>růměrná orientační hodnota</w:t>
      </w:r>
      <w:r w:rsidRPr="00DE063B">
        <w:rPr>
          <w:rFonts w:cs="Arial"/>
          <w:color w:val="0D0D0D" w:themeColor="text1" w:themeTint="F2"/>
          <w:spacing w:val="-3"/>
          <w:sz w:val="16"/>
          <w:szCs w:val="16"/>
        </w:rPr>
        <w:t xml:space="preserve"> připadající </w:t>
      </w:r>
      <w:r>
        <w:rPr>
          <w:rFonts w:cs="Arial"/>
          <w:color w:val="0D0D0D" w:themeColor="text1" w:themeTint="F2"/>
          <w:spacing w:val="-3"/>
          <w:sz w:val="16"/>
          <w:szCs w:val="16"/>
        </w:rPr>
        <w:t>na jedno stavební povolení v roce 2019 činila 4,8 mil. korun (</w:t>
      </w:r>
      <w:r w:rsidRPr="00DE063B">
        <w:rPr>
          <w:rFonts w:cs="Arial"/>
          <w:color w:val="0D0D0D" w:themeColor="text1" w:themeTint="F2"/>
          <w:spacing w:val="-3"/>
          <w:sz w:val="16"/>
          <w:szCs w:val="16"/>
        </w:rPr>
        <w:t>o</w:t>
      </w:r>
      <w:r>
        <w:rPr>
          <w:rFonts w:cs="Arial"/>
          <w:color w:val="0D0D0D" w:themeColor="text1" w:themeTint="F2"/>
          <w:spacing w:val="-3"/>
          <w:sz w:val="16"/>
          <w:szCs w:val="16"/>
        </w:rPr>
        <w:t> rok dříve 4,4 mil.</w:t>
      </w:r>
      <w:r w:rsidRPr="00DE063B">
        <w:rPr>
          <w:rFonts w:cs="Arial"/>
          <w:color w:val="0D0D0D" w:themeColor="text1" w:themeTint="F2"/>
          <w:spacing w:val="-3"/>
          <w:sz w:val="16"/>
          <w:szCs w:val="16"/>
        </w:rPr>
        <w:t>). Nejrychleji meziročně rostla u</w:t>
      </w:r>
      <w:r>
        <w:rPr>
          <w:rFonts w:cs="Arial"/>
          <w:color w:val="0D0D0D" w:themeColor="text1" w:themeTint="F2"/>
          <w:spacing w:val="-3"/>
          <w:sz w:val="16"/>
          <w:szCs w:val="16"/>
        </w:rPr>
        <w:t xml:space="preserve"> nové výstavby bytových </w:t>
      </w:r>
      <w:r w:rsidRPr="00DE063B">
        <w:rPr>
          <w:rFonts w:cs="Arial"/>
          <w:color w:val="0D0D0D" w:themeColor="text1" w:themeTint="F2"/>
          <w:spacing w:val="-3"/>
          <w:sz w:val="16"/>
          <w:szCs w:val="16"/>
        </w:rPr>
        <w:t>budov</w:t>
      </w:r>
      <w:r>
        <w:rPr>
          <w:rFonts w:cs="Arial"/>
          <w:color w:val="0D0D0D" w:themeColor="text1" w:themeTint="F2"/>
          <w:spacing w:val="-3"/>
          <w:sz w:val="16"/>
          <w:szCs w:val="16"/>
        </w:rPr>
        <w:t xml:space="preserve"> (ze 4,7 na 5,8 mil. korun)</w:t>
      </w:r>
    </w:p>
  </w:footnote>
  <w:footnote w:id="38">
    <w:p w14:paraId="37045B3E" w14:textId="77777777" w:rsidR="003474B6" w:rsidRPr="00DE38E6" w:rsidRDefault="003474B6" w:rsidP="00C81070">
      <w:pPr>
        <w:spacing w:after="0" w:line="240" w:lineRule="auto"/>
      </w:pPr>
      <w:r w:rsidRPr="004A26AF">
        <w:rPr>
          <w:rStyle w:val="Znakapoznpodarou"/>
          <w:color w:val="0D0D0D" w:themeColor="text1" w:themeTint="F2"/>
          <w:sz w:val="16"/>
          <w:szCs w:val="16"/>
        </w:rPr>
        <w:footnoteRef/>
      </w:r>
      <w:r>
        <w:rPr>
          <w:color w:val="0D0D0D" w:themeColor="text1" w:themeTint="F2"/>
          <w:sz w:val="16"/>
          <w:szCs w:val="16"/>
        </w:rPr>
        <w:t xml:space="preserve"> </w:t>
      </w:r>
      <w:r w:rsidRPr="004A26AF">
        <w:rPr>
          <w:color w:val="0D0D0D" w:themeColor="text1" w:themeTint="F2"/>
          <w:sz w:val="16"/>
          <w:szCs w:val="16"/>
        </w:rPr>
        <w:t>Bez obchodu, peněžnictví, poji</w:t>
      </w:r>
      <w:r>
        <w:rPr>
          <w:color w:val="0D0D0D" w:themeColor="text1" w:themeTint="F2"/>
          <w:sz w:val="16"/>
          <w:szCs w:val="16"/>
        </w:rPr>
        <w:t>šťovnictví, vědy, výzkumu a veřejných</w:t>
      </w:r>
      <w:r w:rsidRPr="004A26AF">
        <w:rPr>
          <w:color w:val="0D0D0D" w:themeColor="text1" w:themeTint="F2"/>
          <w:sz w:val="16"/>
          <w:szCs w:val="16"/>
        </w:rPr>
        <w:t xml:space="preserve"> služeb. Všechny údaje za služby jsou </w:t>
      </w:r>
      <w:r>
        <w:rPr>
          <w:color w:val="0D0D0D" w:themeColor="text1" w:themeTint="F2"/>
          <w:sz w:val="16"/>
          <w:szCs w:val="16"/>
        </w:rPr>
        <w:t xml:space="preserve">ve stálých cenách, meziroční údaje jsou </w:t>
      </w:r>
      <w:r w:rsidRPr="004A26AF">
        <w:rPr>
          <w:color w:val="0D0D0D" w:themeColor="text1" w:themeTint="F2"/>
          <w:sz w:val="16"/>
          <w:szCs w:val="16"/>
        </w:rPr>
        <w:t>očištěny o</w:t>
      </w:r>
      <w:r>
        <w:rPr>
          <w:color w:val="0D0D0D" w:themeColor="text1" w:themeTint="F2"/>
          <w:sz w:val="16"/>
          <w:szCs w:val="16"/>
        </w:rPr>
        <w:t> </w:t>
      </w:r>
      <w:r w:rsidRPr="004A26AF">
        <w:rPr>
          <w:color w:val="0D0D0D" w:themeColor="text1" w:themeTint="F2"/>
          <w:sz w:val="16"/>
          <w:szCs w:val="16"/>
        </w:rPr>
        <w:t>kal</w:t>
      </w:r>
      <w:r>
        <w:rPr>
          <w:color w:val="0D0D0D" w:themeColor="text1" w:themeTint="F2"/>
          <w:sz w:val="16"/>
          <w:szCs w:val="16"/>
        </w:rPr>
        <w:t>endářní vlivy, mezičtvrtletní jsou očištěny o sezónní vlivy (včetně vlivu počtu pracovních dnů)</w:t>
      </w:r>
      <w:r w:rsidRPr="004A26AF">
        <w:rPr>
          <w:color w:val="0D0D0D" w:themeColor="text1" w:themeTint="F2"/>
          <w:sz w:val="16"/>
          <w:szCs w:val="16"/>
        </w:rPr>
        <w:t>.</w:t>
      </w:r>
    </w:p>
  </w:footnote>
  <w:footnote w:id="39">
    <w:p w14:paraId="3D2D1AC9" w14:textId="12E5275B" w:rsidR="003474B6" w:rsidRPr="00D85B50" w:rsidRDefault="003474B6" w:rsidP="00C81070">
      <w:pPr>
        <w:pStyle w:val="Textpoznpodarou"/>
        <w:jc w:val="both"/>
        <w:rPr>
          <w:spacing w:val="-4"/>
          <w:sz w:val="16"/>
          <w:szCs w:val="16"/>
        </w:rPr>
      </w:pPr>
      <w:r w:rsidRPr="005813A9">
        <w:rPr>
          <w:rStyle w:val="Znakapoznpodarou"/>
          <w:rFonts w:cs="Arial"/>
          <w:color w:val="0D0D0D" w:themeColor="text1" w:themeTint="F2"/>
          <w:spacing w:val="-2"/>
          <w:sz w:val="16"/>
          <w:szCs w:val="16"/>
        </w:rPr>
        <w:footnoteRef/>
      </w:r>
      <w:r>
        <w:rPr>
          <w:rFonts w:cs="Arial"/>
          <w:color w:val="0D0D0D" w:themeColor="text1" w:themeTint="F2"/>
          <w:spacing w:val="-2"/>
          <w:sz w:val="16"/>
          <w:szCs w:val="16"/>
        </w:rPr>
        <w:t xml:space="preserve"> </w:t>
      </w:r>
      <w:r w:rsidRPr="00C9754E">
        <w:rPr>
          <w:sz w:val="16"/>
          <w:szCs w:val="16"/>
        </w:rPr>
        <w:t xml:space="preserve">Segmentu filmové distribuce se naopak dařilo. Dle údajů Unie filmových distributorů vzrostly v roce 2019 tržby ze vstupného v kinech v ČR meziročně o 15,3 %. Navzdory </w:t>
      </w:r>
      <w:r>
        <w:rPr>
          <w:sz w:val="16"/>
          <w:szCs w:val="16"/>
        </w:rPr>
        <w:t>nižšímu</w:t>
      </w:r>
      <w:r w:rsidRPr="00C9754E">
        <w:rPr>
          <w:sz w:val="16"/>
          <w:szCs w:val="16"/>
        </w:rPr>
        <w:t xml:space="preserve"> počtu odehraných představení (</w:t>
      </w:r>
      <w:r w:rsidRPr="00C9754E">
        <w:rPr>
          <w:color w:val="0D0D0D" w:themeColor="text1" w:themeTint="F2"/>
          <w:spacing w:val="-3"/>
          <w:sz w:val="16"/>
          <w:szCs w:val="16"/>
        </w:rPr>
        <w:t>–</w:t>
      </w:r>
      <w:r w:rsidRPr="00C9754E">
        <w:rPr>
          <w:sz w:val="16"/>
          <w:szCs w:val="16"/>
        </w:rPr>
        <w:t xml:space="preserve">1,9 %) vzrostl </w:t>
      </w:r>
      <w:r>
        <w:rPr>
          <w:sz w:val="16"/>
          <w:szCs w:val="16"/>
        </w:rPr>
        <w:t>počet návštěvníků</w:t>
      </w:r>
      <w:r w:rsidRPr="00C9754E">
        <w:rPr>
          <w:sz w:val="16"/>
          <w:szCs w:val="16"/>
        </w:rPr>
        <w:t xml:space="preserve"> o osminu </w:t>
      </w:r>
      <w:r w:rsidRPr="00C9754E">
        <w:rPr>
          <w:color w:val="0D0D0D" w:themeColor="text1" w:themeTint="F2"/>
          <w:spacing w:val="-3"/>
          <w:sz w:val="16"/>
          <w:szCs w:val="16"/>
        </w:rPr>
        <w:t>– na</w:t>
      </w:r>
      <w:r w:rsidRPr="00C9754E">
        <w:rPr>
          <w:sz w:val="16"/>
          <w:szCs w:val="16"/>
        </w:rPr>
        <w:t xml:space="preserve"> 18,3 mil. </w:t>
      </w:r>
      <w:proofErr w:type="gramStart"/>
      <w:r w:rsidRPr="00C9754E">
        <w:rPr>
          <w:color w:val="0D0D0D" w:themeColor="text1" w:themeTint="F2"/>
          <w:spacing w:val="-4"/>
          <w:sz w:val="16"/>
          <w:szCs w:val="16"/>
        </w:rPr>
        <w:t>–</w:t>
      </w:r>
      <w:r>
        <w:rPr>
          <w:color w:val="0D0D0D" w:themeColor="text1" w:themeTint="F2"/>
          <w:spacing w:val="-4"/>
          <w:sz w:val="16"/>
          <w:szCs w:val="16"/>
        </w:rPr>
        <w:t>(</w:t>
      </w:r>
      <w:proofErr w:type="gramEnd"/>
      <w:r w:rsidRPr="00C9754E">
        <w:rPr>
          <w:sz w:val="16"/>
          <w:szCs w:val="16"/>
        </w:rPr>
        <w:t>vyšší hodnoty bylo dosaženo naposledy v roce 1993</w:t>
      </w:r>
      <w:r>
        <w:rPr>
          <w:sz w:val="16"/>
          <w:szCs w:val="16"/>
        </w:rPr>
        <w:t>)</w:t>
      </w:r>
      <w:r w:rsidRPr="00C9754E">
        <w:rPr>
          <w:sz w:val="16"/>
          <w:szCs w:val="16"/>
        </w:rPr>
        <w:t>.</w:t>
      </w:r>
    </w:p>
  </w:footnote>
  <w:footnote w:id="40">
    <w:p w14:paraId="7AEE47B7" w14:textId="77777777" w:rsidR="003474B6" w:rsidRPr="00C9754E" w:rsidRDefault="003474B6" w:rsidP="00DB613B">
      <w:pPr>
        <w:spacing w:after="0" w:line="240" w:lineRule="auto"/>
        <w:rPr>
          <w:rFonts w:eastAsia="Calibri"/>
          <w:sz w:val="16"/>
          <w:szCs w:val="16"/>
        </w:rPr>
      </w:pPr>
      <w:r w:rsidRPr="005C04EC">
        <w:rPr>
          <w:rStyle w:val="Znakapoznpodarou"/>
          <w:color w:val="0D0D0D" w:themeColor="text1" w:themeTint="F2"/>
          <w:spacing w:val="-3"/>
          <w:sz w:val="16"/>
          <w:szCs w:val="16"/>
        </w:rPr>
        <w:footnoteRef/>
      </w:r>
      <w:r>
        <w:rPr>
          <w:color w:val="0D0D0D" w:themeColor="text1" w:themeTint="F2"/>
          <w:spacing w:val="-3"/>
          <w:sz w:val="16"/>
          <w:szCs w:val="16"/>
        </w:rPr>
        <w:t xml:space="preserve"> V roce 2019 vzrostl počet </w:t>
      </w:r>
      <w:r w:rsidRPr="00183426">
        <w:rPr>
          <w:rFonts w:eastAsia="Calibri"/>
          <w:sz w:val="16"/>
          <w:szCs w:val="16"/>
        </w:rPr>
        <w:t xml:space="preserve">přenocování </w:t>
      </w:r>
      <w:r>
        <w:rPr>
          <w:rFonts w:eastAsia="Calibri"/>
          <w:sz w:val="16"/>
          <w:szCs w:val="16"/>
        </w:rPr>
        <w:t xml:space="preserve">nerezidentů </w:t>
      </w:r>
      <w:r w:rsidRPr="00183426">
        <w:rPr>
          <w:rFonts w:eastAsia="Calibri"/>
          <w:sz w:val="16"/>
          <w:szCs w:val="16"/>
        </w:rPr>
        <w:t xml:space="preserve">v hromadných ubytovacích zařízeních v ČR </w:t>
      </w:r>
      <w:r>
        <w:rPr>
          <w:rFonts w:eastAsia="Calibri"/>
          <w:sz w:val="16"/>
          <w:szCs w:val="16"/>
        </w:rPr>
        <w:t>o 1,6 % (o rok dříve o 1,9 %), u</w:t>
      </w:r>
      <w:r w:rsidRPr="00C9754E">
        <w:rPr>
          <w:sz w:val="16"/>
          <w:szCs w:val="16"/>
        </w:rPr>
        <w:t> </w:t>
      </w:r>
      <w:r>
        <w:rPr>
          <w:rFonts w:eastAsia="Calibri"/>
          <w:sz w:val="16"/>
          <w:szCs w:val="16"/>
        </w:rPr>
        <w:t xml:space="preserve">tuzemských hostů o 3,8 % (resp. 6,6 %). K růstu u nerezidentů přispěli hlavně hosté </w:t>
      </w:r>
      <w:r w:rsidRPr="005C04EC">
        <w:rPr>
          <w:color w:val="0D0D0D" w:themeColor="text1" w:themeTint="F2"/>
          <w:spacing w:val="-3"/>
          <w:sz w:val="16"/>
          <w:szCs w:val="16"/>
        </w:rPr>
        <w:t>z</w:t>
      </w:r>
      <w:r>
        <w:rPr>
          <w:color w:val="0D0D0D" w:themeColor="text1" w:themeTint="F2"/>
          <w:spacing w:val="-3"/>
          <w:sz w:val="16"/>
          <w:szCs w:val="16"/>
        </w:rPr>
        <w:t> Německa, Ukrajiny, Polska, Francie a USA</w:t>
      </w:r>
      <w:r>
        <w:rPr>
          <w:rFonts w:eastAsia="Calibri"/>
          <w:sz w:val="16"/>
          <w:szCs w:val="16"/>
        </w:rPr>
        <w:t>.</w:t>
      </w:r>
    </w:p>
  </w:footnote>
  <w:footnote w:id="41">
    <w:p w14:paraId="1668DDC2" w14:textId="77777777" w:rsidR="003474B6" w:rsidRDefault="003474B6" w:rsidP="00C81070">
      <w:pPr>
        <w:spacing w:after="0" w:line="240" w:lineRule="auto"/>
      </w:pPr>
      <w:r w:rsidRPr="00A85D8E">
        <w:rPr>
          <w:rStyle w:val="Znakapoznpodarou"/>
          <w:sz w:val="16"/>
          <w:szCs w:val="16"/>
        </w:rPr>
        <w:footnoteRef/>
      </w:r>
      <w:r>
        <w:rPr>
          <w:sz w:val="16"/>
          <w:szCs w:val="16"/>
        </w:rPr>
        <w:t xml:space="preserve"> Všechna</w:t>
      </w:r>
      <w:r w:rsidRPr="00A85D8E">
        <w:rPr>
          <w:sz w:val="16"/>
          <w:szCs w:val="16"/>
        </w:rPr>
        <w:t xml:space="preserve"> </w:t>
      </w:r>
      <w:r>
        <w:rPr>
          <w:sz w:val="16"/>
          <w:szCs w:val="16"/>
        </w:rPr>
        <w:t>meziroční tempa</w:t>
      </w:r>
      <w:r>
        <w:rPr>
          <w:color w:val="0D0D0D" w:themeColor="text1" w:themeTint="F2"/>
          <w:sz w:val="16"/>
          <w:szCs w:val="16"/>
        </w:rPr>
        <w:t xml:space="preserve"> tržeb</w:t>
      </w:r>
      <w:r w:rsidRPr="00A85D8E">
        <w:rPr>
          <w:color w:val="0D0D0D" w:themeColor="text1" w:themeTint="F2"/>
          <w:sz w:val="16"/>
          <w:szCs w:val="16"/>
        </w:rPr>
        <w:t xml:space="preserve"> za maloobchod</w:t>
      </w:r>
      <w:r w:rsidRPr="004A26AF">
        <w:rPr>
          <w:color w:val="0D0D0D" w:themeColor="text1" w:themeTint="F2"/>
          <w:sz w:val="16"/>
          <w:szCs w:val="16"/>
        </w:rPr>
        <w:t xml:space="preserve"> jsou </w:t>
      </w:r>
      <w:r>
        <w:rPr>
          <w:color w:val="0D0D0D" w:themeColor="text1" w:themeTint="F2"/>
          <w:sz w:val="16"/>
          <w:szCs w:val="16"/>
        </w:rPr>
        <w:t>uvedena ve stálých cenách a očištěna</w:t>
      </w:r>
      <w:r w:rsidRPr="004A26AF">
        <w:rPr>
          <w:color w:val="0D0D0D" w:themeColor="text1" w:themeTint="F2"/>
          <w:sz w:val="16"/>
          <w:szCs w:val="16"/>
        </w:rPr>
        <w:t xml:space="preserve"> o</w:t>
      </w:r>
      <w:r>
        <w:rPr>
          <w:color w:val="0D0D0D" w:themeColor="text1" w:themeTint="F2"/>
          <w:sz w:val="16"/>
          <w:szCs w:val="16"/>
        </w:rPr>
        <w:t> </w:t>
      </w:r>
      <w:r w:rsidRPr="004A26AF">
        <w:rPr>
          <w:color w:val="0D0D0D" w:themeColor="text1" w:themeTint="F2"/>
          <w:sz w:val="16"/>
          <w:szCs w:val="16"/>
        </w:rPr>
        <w:t>kal</w:t>
      </w:r>
      <w:r>
        <w:rPr>
          <w:color w:val="0D0D0D" w:themeColor="text1" w:themeTint="F2"/>
          <w:sz w:val="16"/>
          <w:szCs w:val="16"/>
        </w:rPr>
        <w:t>endářní vlivy, mezičtvrtletní tempa jsou očištěna o sezónní vlivy (včetně vlivu počtu pracovních dnů)</w:t>
      </w:r>
      <w:r w:rsidRPr="004A26AF">
        <w:rPr>
          <w:color w:val="0D0D0D" w:themeColor="text1" w:themeTint="F2"/>
          <w:sz w:val="16"/>
          <w:szCs w:val="16"/>
        </w:rPr>
        <w:t>.</w:t>
      </w:r>
    </w:p>
  </w:footnote>
  <w:footnote w:id="42">
    <w:p w14:paraId="47BCBE3E" w14:textId="77777777" w:rsidR="003474B6" w:rsidRPr="003279A7" w:rsidRDefault="003474B6" w:rsidP="00C715CC">
      <w:pPr>
        <w:pStyle w:val="Textpoznpodarou"/>
        <w:rPr>
          <w:sz w:val="16"/>
          <w:szCs w:val="16"/>
        </w:rPr>
      </w:pPr>
      <w:r w:rsidRPr="003279A7">
        <w:rPr>
          <w:rStyle w:val="Znakapoznpodarou"/>
          <w:sz w:val="16"/>
          <w:szCs w:val="16"/>
        </w:rPr>
        <w:footnoteRef/>
      </w:r>
      <w:r w:rsidRPr="003279A7">
        <w:rPr>
          <w:sz w:val="16"/>
          <w:szCs w:val="16"/>
        </w:rPr>
        <w:t xml:space="preserve"> Údaje </w:t>
      </w:r>
      <w:r>
        <w:rPr>
          <w:sz w:val="16"/>
          <w:szCs w:val="16"/>
        </w:rPr>
        <w:t xml:space="preserve">statistiky zahraničního obchodu </w:t>
      </w:r>
      <w:r w:rsidRPr="003279A7">
        <w:rPr>
          <w:sz w:val="16"/>
          <w:szCs w:val="16"/>
        </w:rPr>
        <w:t>v nominálním vyjádření zahrnující pouze obchod se zbožím. Hodnota vývozu je zachycena v</w:t>
      </w:r>
      <w:r>
        <w:rPr>
          <w:sz w:val="16"/>
          <w:szCs w:val="16"/>
        </w:rPr>
        <w:t> </w:t>
      </w:r>
      <w:r w:rsidRPr="003279A7">
        <w:rPr>
          <w:sz w:val="16"/>
          <w:szCs w:val="16"/>
        </w:rPr>
        <w:t>cenách</w:t>
      </w:r>
      <w:r>
        <w:rPr>
          <w:sz w:val="16"/>
          <w:szCs w:val="16"/>
        </w:rPr>
        <w:t xml:space="preserve"> </w:t>
      </w:r>
      <w:r w:rsidRPr="003279A7">
        <w:rPr>
          <w:sz w:val="16"/>
          <w:szCs w:val="16"/>
        </w:rPr>
        <w:t>FOB, tj.</w:t>
      </w:r>
      <w:r>
        <w:rPr>
          <w:sz w:val="16"/>
          <w:szCs w:val="16"/>
        </w:rPr>
        <w:t> </w:t>
      </w:r>
      <w:r w:rsidRPr="003279A7">
        <w:rPr>
          <w:sz w:val="16"/>
          <w:szCs w:val="16"/>
        </w:rPr>
        <w:t>včetně nákladů souvisejících s dopravou na hranice</w:t>
      </w:r>
      <w:r>
        <w:rPr>
          <w:sz w:val="16"/>
          <w:szCs w:val="16"/>
        </w:rPr>
        <w:t> </w:t>
      </w:r>
      <w:r w:rsidRPr="003279A7">
        <w:rPr>
          <w:sz w:val="16"/>
          <w:szCs w:val="16"/>
        </w:rPr>
        <w:t>ČR. Dovoz</w:t>
      </w:r>
      <w:r>
        <w:rPr>
          <w:sz w:val="16"/>
          <w:szCs w:val="16"/>
        </w:rPr>
        <w:t xml:space="preserve"> uvedený níže v této kapitole</w:t>
      </w:r>
      <w:r w:rsidRPr="003279A7">
        <w:rPr>
          <w:sz w:val="16"/>
          <w:szCs w:val="16"/>
        </w:rPr>
        <w:t xml:space="preserve"> je v cenách CIF, tj.</w:t>
      </w:r>
      <w:r>
        <w:rPr>
          <w:sz w:val="16"/>
          <w:szCs w:val="16"/>
        </w:rPr>
        <w:t> </w:t>
      </w:r>
      <w:r w:rsidRPr="003279A7">
        <w:rPr>
          <w:sz w:val="16"/>
          <w:szCs w:val="16"/>
        </w:rPr>
        <w:t>včetně nákladů souvisejících s dopravou v zahraničí na hranice</w:t>
      </w:r>
      <w:r>
        <w:rPr>
          <w:sz w:val="16"/>
          <w:szCs w:val="16"/>
        </w:rPr>
        <w:t> </w:t>
      </w:r>
      <w:r w:rsidRPr="003279A7">
        <w:rPr>
          <w:sz w:val="16"/>
          <w:szCs w:val="16"/>
        </w:rPr>
        <w:t>ČR. Data jsou platná k</w:t>
      </w:r>
      <w:r>
        <w:rPr>
          <w:sz w:val="16"/>
          <w:szCs w:val="16"/>
        </w:rPr>
        <w:t> 9. 3. 2020.</w:t>
      </w:r>
    </w:p>
  </w:footnote>
  <w:footnote w:id="43">
    <w:p w14:paraId="2EDB2917" w14:textId="77777777" w:rsidR="003474B6" w:rsidRPr="007A024B" w:rsidRDefault="003474B6" w:rsidP="00C715CC">
      <w:pPr>
        <w:pStyle w:val="Textpoznpodarou"/>
        <w:rPr>
          <w:sz w:val="16"/>
          <w:szCs w:val="16"/>
        </w:rPr>
      </w:pPr>
      <w:r w:rsidRPr="007A024B">
        <w:rPr>
          <w:rStyle w:val="Znakapoznpodarou"/>
          <w:sz w:val="16"/>
          <w:szCs w:val="16"/>
        </w:rPr>
        <w:footnoteRef/>
      </w:r>
      <w:r w:rsidRPr="007A024B">
        <w:rPr>
          <w:sz w:val="16"/>
          <w:szCs w:val="16"/>
        </w:rPr>
        <w:t xml:space="preserve"> </w:t>
      </w:r>
      <w:r>
        <w:rPr>
          <w:sz w:val="16"/>
          <w:szCs w:val="16"/>
        </w:rPr>
        <w:t xml:space="preserve">Z hlediska vývozu bylo </w:t>
      </w:r>
      <w:r w:rsidRPr="007A024B">
        <w:rPr>
          <w:spacing w:val="-4"/>
          <w:sz w:val="16"/>
          <w:szCs w:val="16"/>
        </w:rPr>
        <w:t>4</w:t>
      </w:r>
      <w:r>
        <w:rPr>
          <w:spacing w:val="-4"/>
          <w:sz w:val="16"/>
          <w:szCs w:val="16"/>
        </w:rPr>
        <w:t>. čtvrtlet</w:t>
      </w:r>
      <w:r w:rsidRPr="007A024B">
        <w:rPr>
          <w:spacing w:val="-4"/>
          <w:sz w:val="16"/>
          <w:szCs w:val="16"/>
        </w:rPr>
        <w:t>í 2018 nejlepším kvartálem příslušného roku, ale rovněž celé předchozí časové řady, překonalo jej pouze letošní 2</w:t>
      </w:r>
      <w:r>
        <w:rPr>
          <w:spacing w:val="-4"/>
          <w:sz w:val="16"/>
          <w:szCs w:val="16"/>
        </w:rPr>
        <w:t>. čtvrtlet</w:t>
      </w:r>
      <w:r w:rsidRPr="007A024B">
        <w:rPr>
          <w:spacing w:val="-4"/>
          <w:sz w:val="16"/>
          <w:szCs w:val="16"/>
        </w:rPr>
        <w:t>í, které bývá pravidelně nejsilnějším obdobím roku</w:t>
      </w:r>
      <w:r>
        <w:rPr>
          <w:spacing w:val="-4"/>
          <w:sz w:val="16"/>
          <w:szCs w:val="16"/>
        </w:rPr>
        <w:t>.</w:t>
      </w:r>
    </w:p>
  </w:footnote>
  <w:footnote w:id="44">
    <w:p w14:paraId="4ACA07B1" w14:textId="77777777" w:rsidR="003474B6" w:rsidRPr="007A024B" w:rsidRDefault="003474B6" w:rsidP="00C715CC">
      <w:pPr>
        <w:pStyle w:val="Textpoznpodarou"/>
        <w:rPr>
          <w:sz w:val="16"/>
          <w:szCs w:val="16"/>
        </w:rPr>
      </w:pPr>
      <w:r w:rsidRPr="007A024B">
        <w:rPr>
          <w:rStyle w:val="Znakapoznpodarou"/>
          <w:sz w:val="16"/>
          <w:szCs w:val="16"/>
        </w:rPr>
        <w:footnoteRef/>
      </w:r>
      <w:r w:rsidRPr="007A024B">
        <w:rPr>
          <w:sz w:val="16"/>
          <w:szCs w:val="16"/>
        </w:rPr>
        <w:t xml:space="preserve"> EU28 včetně velké Británie.</w:t>
      </w:r>
    </w:p>
  </w:footnote>
  <w:footnote w:id="45">
    <w:p w14:paraId="2592C89F" w14:textId="77777777" w:rsidR="003474B6" w:rsidRPr="00F44399" w:rsidRDefault="003474B6" w:rsidP="00C715CC">
      <w:pPr>
        <w:pStyle w:val="Textpoznpodarou"/>
        <w:rPr>
          <w:sz w:val="16"/>
          <w:szCs w:val="16"/>
        </w:rPr>
      </w:pPr>
      <w:r w:rsidRPr="00F44399">
        <w:rPr>
          <w:rStyle w:val="Znakapoznpodarou"/>
          <w:sz w:val="16"/>
          <w:szCs w:val="16"/>
        </w:rPr>
        <w:footnoteRef/>
      </w:r>
      <w:r w:rsidRPr="00F44399">
        <w:rPr>
          <w:sz w:val="16"/>
          <w:szCs w:val="16"/>
        </w:rPr>
        <w:t xml:space="preserve"> </w:t>
      </w:r>
      <w:r w:rsidRPr="00F44399">
        <w:rPr>
          <w:spacing w:val="-4"/>
          <w:sz w:val="16"/>
          <w:szCs w:val="16"/>
        </w:rPr>
        <w:t>Kromě vysoké srovnávací základny se v odvětví projevil přesun některých částí produkce z kategorie zboží do služeb.</w:t>
      </w:r>
    </w:p>
  </w:footnote>
  <w:footnote w:id="46">
    <w:p w14:paraId="3EE87FB5" w14:textId="77777777" w:rsidR="003474B6" w:rsidRPr="00302165" w:rsidRDefault="003474B6" w:rsidP="00302165">
      <w:pPr>
        <w:pStyle w:val="Textpoznpodarou"/>
        <w:rPr>
          <w:sz w:val="16"/>
          <w:szCs w:val="16"/>
        </w:rPr>
      </w:pPr>
      <w:r w:rsidRPr="00302165">
        <w:rPr>
          <w:rStyle w:val="Znakapoznpodarou"/>
          <w:sz w:val="16"/>
          <w:szCs w:val="16"/>
        </w:rPr>
        <w:footnoteRef/>
      </w:r>
      <w:r w:rsidRPr="00302165">
        <w:rPr>
          <w:sz w:val="16"/>
          <w:szCs w:val="16"/>
        </w:rPr>
        <w:t xml:space="preserve"> Jedná se o</w:t>
      </w:r>
      <w:r>
        <w:rPr>
          <w:sz w:val="16"/>
          <w:szCs w:val="16"/>
        </w:rPr>
        <w:t> heterogenní uskupení</w:t>
      </w:r>
      <w:r w:rsidRPr="00302165">
        <w:rPr>
          <w:sz w:val="16"/>
          <w:szCs w:val="16"/>
        </w:rPr>
        <w:t xml:space="preserve"> zahrnující služby výzkumu a</w:t>
      </w:r>
      <w:r>
        <w:rPr>
          <w:sz w:val="16"/>
          <w:szCs w:val="16"/>
        </w:rPr>
        <w:t> </w:t>
      </w:r>
      <w:r w:rsidRPr="00302165">
        <w:rPr>
          <w:sz w:val="16"/>
          <w:szCs w:val="16"/>
        </w:rPr>
        <w:t>vývoje, profesní a</w:t>
      </w:r>
      <w:r>
        <w:rPr>
          <w:sz w:val="16"/>
          <w:szCs w:val="16"/>
        </w:rPr>
        <w:t> </w:t>
      </w:r>
      <w:r w:rsidRPr="00302165">
        <w:rPr>
          <w:sz w:val="16"/>
          <w:szCs w:val="16"/>
        </w:rPr>
        <w:t>administrativní konzultační služby, služby související s</w:t>
      </w:r>
      <w:r>
        <w:rPr>
          <w:sz w:val="16"/>
          <w:szCs w:val="16"/>
        </w:rPr>
        <w:t> </w:t>
      </w:r>
      <w:r w:rsidRPr="00302165">
        <w:rPr>
          <w:sz w:val="16"/>
          <w:szCs w:val="16"/>
        </w:rPr>
        <w:t>odpady a</w:t>
      </w:r>
      <w:r>
        <w:rPr>
          <w:sz w:val="16"/>
          <w:szCs w:val="16"/>
        </w:rPr>
        <w:t> </w:t>
      </w:r>
      <w:r w:rsidRPr="00302165">
        <w:rPr>
          <w:sz w:val="16"/>
          <w:szCs w:val="16"/>
        </w:rPr>
        <w:t>znečištěním, zemědělské a</w:t>
      </w:r>
      <w:r>
        <w:rPr>
          <w:sz w:val="16"/>
          <w:szCs w:val="16"/>
        </w:rPr>
        <w:t> </w:t>
      </w:r>
      <w:r w:rsidRPr="00302165">
        <w:rPr>
          <w:sz w:val="16"/>
          <w:szCs w:val="16"/>
        </w:rPr>
        <w:t>důlní služby, operativní leasing a</w:t>
      </w:r>
      <w:r>
        <w:rPr>
          <w:sz w:val="16"/>
          <w:szCs w:val="16"/>
        </w:rPr>
        <w:t> </w:t>
      </w:r>
      <w:r w:rsidRPr="00302165">
        <w:rPr>
          <w:sz w:val="16"/>
          <w:szCs w:val="16"/>
        </w:rPr>
        <w:t>služby související s přenosem vody, plynu, páry, ropných produktů a</w:t>
      </w:r>
      <w:r>
        <w:rPr>
          <w:sz w:val="16"/>
          <w:szCs w:val="16"/>
        </w:rPr>
        <w:t> </w:t>
      </w:r>
      <w:r w:rsidRPr="00302165">
        <w:rPr>
          <w:sz w:val="16"/>
          <w:szCs w:val="16"/>
        </w:rPr>
        <w:t>klimatizovaného vzduchu.</w:t>
      </w:r>
    </w:p>
  </w:footnote>
  <w:footnote w:id="47">
    <w:p w14:paraId="7878171F" w14:textId="77777777" w:rsidR="003474B6" w:rsidRPr="0048372F" w:rsidRDefault="003474B6">
      <w:pPr>
        <w:pStyle w:val="Textpoznpodarou"/>
        <w:rPr>
          <w:sz w:val="16"/>
          <w:szCs w:val="16"/>
        </w:rPr>
      </w:pPr>
      <w:r w:rsidRPr="0048372F">
        <w:rPr>
          <w:rStyle w:val="Znakapoznpodarou"/>
          <w:sz w:val="16"/>
          <w:szCs w:val="16"/>
        </w:rPr>
        <w:footnoteRef/>
      </w:r>
      <w:r w:rsidRPr="0048372F">
        <w:rPr>
          <w:sz w:val="16"/>
          <w:szCs w:val="16"/>
        </w:rPr>
        <w:t xml:space="preserve"> Jde o</w:t>
      </w:r>
      <w:r>
        <w:rPr>
          <w:sz w:val="16"/>
          <w:szCs w:val="16"/>
        </w:rPr>
        <w:t> </w:t>
      </w:r>
      <w:r w:rsidRPr="0048372F">
        <w:rPr>
          <w:sz w:val="16"/>
          <w:szCs w:val="16"/>
        </w:rPr>
        <w:t>kompletaci výrobk</w:t>
      </w:r>
      <w:r>
        <w:rPr>
          <w:sz w:val="16"/>
          <w:szCs w:val="16"/>
        </w:rPr>
        <w:t>ů</w:t>
      </w:r>
      <w:r w:rsidRPr="0048372F">
        <w:rPr>
          <w:sz w:val="16"/>
          <w:szCs w:val="16"/>
        </w:rPr>
        <w:t xml:space="preserve"> z dodaných součástek.</w:t>
      </w:r>
    </w:p>
  </w:footnote>
  <w:footnote w:id="48">
    <w:p w14:paraId="5C8AD347" w14:textId="77777777" w:rsidR="003474B6" w:rsidRPr="004066D0" w:rsidRDefault="003474B6">
      <w:pPr>
        <w:pStyle w:val="Textpoznpodarou"/>
        <w:rPr>
          <w:sz w:val="16"/>
          <w:szCs w:val="16"/>
        </w:rPr>
      </w:pPr>
      <w:r w:rsidRPr="004066D0">
        <w:rPr>
          <w:rStyle w:val="Znakapoznpodarou"/>
          <w:sz w:val="16"/>
          <w:szCs w:val="16"/>
        </w:rPr>
        <w:footnoteRef/>
      </w:r>
      <w:r w:rsidRPr="004066D0">
        <w:rPr>
          <w:sz w:val="16"/>
          <w:szCs w:val="16"/>
        </w:rPr>
        <w:t xml:space="preserve"> Daně, sociální příspěvky a</w:t>
      </w:r>
      <w:r>
        <w:rPr>
          <w:sz w:val="16"/>
          <w:szCs w:val="16"/>
        </w:rPr>
        <w:t> </w:t>
      </w:r>
      <w:r w:rsidRPr="004066D0">
        <w:rPr>
          <w:sz w:val="16"/>
          <w:szCs w:val="16"/>
        </w:rPr>
        <w:t>dávky a</w:t>
      </w:r>
      <w:r>
        <w:rPr>
          <w:sz w:val="16"/>
          <w:szCs w:val="16"/>
        </w:rPr>
        <w:t> </w:t>
      </w:r>
      <w:r w:rsidRPr="004066D0">
        <w:rPr>
          <w:sz w:val="16"/>
          <w:szCs w:val="16"/>
        </w:rPr>
        <w:t>ostatní běžné transfery.</w:t>
      </w:r>
    </w:p>
  </w:footnote>
  <w:footnote w:id="49">
    <w:p w14:paraId="54D83A5C" w14:textId="77777777" w:rsidR="003474B6" w:rsidRPr="004066D0" w:rsidRDefault="003474B6">
      <w:pPr>
        <w:pStyle w:val="Textpoznpodarou"/>
        <w:rPr>
          <w:sz w:val="16"/>
          <w:szCs w:val="16"/>
        </w:rPr>
      </w:pPr>
      <w:r w:rsidRPr="004066D0">
        <w:rPr>
          <w:rStyle w:val="Znakapoznpodarou"/>
          <w:sz w:val="16"/>
          <w:szCs w:val="16"/>
        </w:rPr>
        <w:footnoteRef/>
      </w:r>
      <w:r w:rsidRPr="004066D0">
        <w:rPr>
          <w:sz w:val="16"/>
          <w:szCs w:val="16"/>
        </w:rPr>
        <w:t xml:space="preserve"> </w:t>
      </w:r>
      <w:r>
        <w:rPr>
          <w:sz w:val="16"/>
          <w:szCs w:val="16"/>
        </w:rPr>
        <w:t>S</w:t>
      </w:r>
      <w:r w:rsidRPr="004066D0">
        <w:rPr>
          <w:sz w:val="16"/>
          <w:szCs w:val="16"/>
        </w:rPr>
        <w:t>oučet salda běžných a kapitálových transferů očištěného o</w:t>
      </w:r>
      <w:r>
        <w:rPr>
          <w:sz w:val="16"/>
          <w:szCs w:val="16"/>
        </w:rPr>
        <w:t> </w:t>
      </w:r>
      <w:r w:rsidRPr="004066D0">
        <w:rPr>
          <w:sz w:val="16"/>
          <w:szCs w:val="16"/>
        </w:rPr>
        <w:t>čisté pořízení nefinančních aktiv</w:t>
      </w:r>
      <w:r>
        <w:rPr>
          <w:sz w:val="16"/>
          <w:szCs w:val="16"/>
        </w:rPr>
        <w:t>.</w:t>
      </w:r>
    </w:p>
  </w:footnote>
  <w:footnote w:id="50">
    <w:p w14:paraId="0B1A72E3" w14:textId="77777777" w:rsidR="003474B6" w:rsidRPr="00771080" w:rsidRDefault="003474B6" w:rsidP="00C715CC">
      <w:pPr>
        <w:pStyle w:val="Textpoznpodarou"/>
        <w:rPr>
          <w:sz w:val="16"/>
          <w:szCs w:val="16"/>
        </w:rPr>
      </w:pPr>
      <w:r w:rsidRPr="00771080">
        <w:rPr>
          <w:rStyle w:val="Znakapoznpodarou"/>
          <w:sz w:val="16"/>
          <w:szCs w:val="16"/>
        </w:rPr>
        <w:footnoteRef/>
      </w:r>
      <w:r w:rsidRPr="00771080">
        <w:rPr>
          <w:sz w:val="16"/>
          <w:szCs w:val="16"/>
        </w:rPr>
        <w:t xml:space="preserve"> Měřeno deflátorem HDP.</w:t>
      </w:r>
    </w:p>
  </w:footnote>
  <w:footnote w:id="51">
    <w:p w14:paraId="45458C2E" w14:textId="77777777" w:rsidR="003474B6" w:rsidRPr="0069077E" w:rsidRDefault="003474B6" w:rsidP="00C715CC">
      <w:pPr>
        <w:pStyle w:val="Textpoznpodarou"/>
        <w:rPr>
          <w:sz w:val="16"/>
          <w:szCs w:val="16"/>
        </w:rPr>
      </w:pPr>
      <w:r w:rsidRPr="0069077E">
        <w:rPr>
          <w:rStyle w:val="Znakapoznpodarou"/>
          <w:sz w:val="16"/>
          <w:szCs w:val="16"/>
        </w:rPr>
        <w:footnoteRef/>
      </w:r>
      <w:r w:rsidRPr="0069077E">
        <w:rPr>
          <w:sz w:val="16"/>
          <w:szCs w:val="16"/>
        </w:rPr>
        <w:t xml:space="preserve"> Individuální data.</w:t>
      </w:r>
    </w:p>
  </w:footnote>
  <w:footnote w:id="52">
    <w:p w14:paraId="00EBD8CF" w14:textId="77777777" w:rsidR="003474B6" w:rsidRPr="00C534AE" w:rsidRDefault="003474B6" w:rsidP="00C715CC">
      <w:pPr>
        <w:pStyle w:val="Textpoznpodarou"/>
        <w:rPr>
          <w:sz w:val="16"/>
          <w:szCs w:val="16"/>
        </w:rPr>
      </w:pPr>
      <w:r w:rsidRPr="00C534AE">
        <w:rPr>
          <w:rStyle w:val="Znakapoznpodarou"/>
          <w:sz w:val="16"/>
          <w:szCs w:val="16"/>
        </w:rPr>
        <w:footnoteRef/>
      </w:r>
      <w:r w:rsidRPr="00C534AE">
        <w:rPr>
          <w:sz w:val="16"/>
          <w:szCs w:val="16"/>
        </w:rPr>
        <w:t xml:space="preserve"> </w:t>
      </w:r>
      <w:r>
        <w:rPr>
          <w:sz w:val="16"/>
          <w:szCs w:val="16"/>
        </w:rPr>
        <w:t>S</w:t>
      </w:r>
      <w:r w:rsidRPr="00C534AE">
        <w:rPr>
          <w:sz w:val="16"/>
          <w:szCs w:val="16"/>
        </w:rPr>
        <w:t>tavební výrobky z jílovitých materiálů, cement, vápno</w:t>
      </w:r>
      <w:r>
        <w:rPr>
          <w:sz w:val="16"/>
          <w:szCs w:val="16"/>
        </w:rPr>
        <w:t>,</w:t>
      </w:r>
      <w:r w:rsidRPr="00C534AE">
        <w:rPr>
          <w:sz w:val="16"/>
          <w:szCs w:val="16"/>
        </w:rPr>
        <w:t xml:space="preserve"> sádra a</w:t>
      </w:r>
      <w:r>
        <w:rPr>
          <w:sz w:val="16"/>
          <w:szCs w:val="16"/>
        </w:rPr>
        <w:t> </w:t>
      </w:r>
      <w:r w:rsidRPr="00C534AE">
        <w:rPr>
          <w:sz w:val="16"/>
          <w:szCs w:val="16"/>
        </w:rPr>
        <w:t>výrobky z nich a</w:t>
      </w:r>
      <w:r>
        <w:rPr>
          <w:sz w:val="16"/>
          <w:szCs w:val="16"/>
        </w:rPr>
        <w:t> </w:t>
      </w:r>
      <w:r w:rsidRPr="00C534AE">
        <w:rPr>
          <w:sz w:val="16"/>
          <w:szCs w:val="16"/>
        </w:rPr>
        <w:t>řezaný, tvarovaný a</w:t>
      </w:r>
      <w:r>
        <w:rPr>
          <w:sz w:val="16"/>
          <w:szCs w:val="16"/>
        </w:rPr>
        <w:t> </w:t>
      </w:r>
      <w:r w:rsidRPr="00C534AE">
        <w:rPr>
          <w:sz w:val="16"/>
          <w:szCs w:val="16"/>
        </w:rPr>
        <w:t>upravený kámen</w:t>
      </w:r>
      <w:r>
        <w:rPr>
          <w:sz w:val="16"/>
          <w:szCs w:val="16"/>
        </w:rPr>
        <w:t>.</w:t>
      </w:r>
    </w:p>
  </w:footnote>
  <w:footnote w:id="53">
    <w:p w14:paraId="25D566E1" w14:textId="77777777" w:rsidR="003474B6" w:rsidRPr="009549E7" w:rsidRDefault="003474B6" w:rsidP="00C715CC">
      <w:pPr>
        <w:pStyle w:val="Textpoznpodarou"/>
        <w:rPr>
          <w:sz w:val="16"/>
          <w:szCs w:val="16"/>
        </w:rPr>
      </w:pPr>
      <w:r w:rsidRPr="009549E7">
        <w:rPr>
          <w:rStyle w:val="Znakapoznpodarou"/>
          <w:sz w:val="16"/>
          <w:szCs w:val="16"/>
        </w:rPr>
        <w:footnoteRef/>
      </w:r>
      <w:r w:rsidRPr="009549E7">
        <w:rPr>
          <w:sz w:val="16"/>
          <w:szCs w:val="16"/>
        </w:rPr>
        <w:t xml:space="preserve"> Africký mor prasat. Podle údajů Státní veterinární správy byl ke dni 13. 8. 2019 hlášen výskyt na Ukrajině, v Srbsku a v 10</w:t>
      </w:r>
      <w:r>
        <w:rPr>
          <w:sz w:val="16"/>
          <w:szCs w:val="16"/>
        </w:rPr>
        <w:t> </w:t>
      </w:r>
      <w:r w:rsidRPr="009549E7">
        <w:rPr>
          <w:sz w:val="16"/>
          <w:szCs w:val="16"/>
        </w:rPr>
        <w:t>členských státech EU: Belgii, Bulharsku, Estonsku, Itálii (výskyt pouze na Sardinii), Litvě, Lotyšsku, Maďarsku, Polsku, Rumunsku a Slovensku.</w:t>
      </w:r>
    </w:p>
  </w:footnote>
  <w:footnote w:id="54">
    <w:p w14:paraId="716F198F" w14:textId="77777777" w:rsidR="003474B6" w:rsidRPr="00940B11" w:rsidRDefault="003474B6" w:rsidP="00C715CC">
      <w:pPr>
        <w:pStyle w:val="Textpoznpodarou"/>
        <w:rPr>
          <w:sz w:val="16"/>
          <w:szCs w:val="16"/>
        </w:rPr>
      </w:pPr>
      <w:r w:rsidRPr="00940B11">
        <w:rPr>
          <w:rStyle w:val="Znakapoznpodarou"/>
          <w:sz w:val="16"/>
          <w:szCs w:val="16"/>
        </w:rPr>
        <w:footnoteRef/>
      </w:r>
      <w:r w:rsidRPr="00940B11">
        <w:rPr>
          <w:sz w:val="16"/>
          <w:szCs w:val="16"/>
        </w:rPr>
        <w:t xml:space="preserve"> SITC</w:t>
      </w:r>
      <w:r>
        <w:rPr>
          <w:sz w:val="16"/>
          <w:szCs w:val="16"/>
        </w:rPr>
        <w:t> </w:t>
      </w:r>
      <w:r w:rsidRPr="00940B11">
        <w:rPr>
          <w:sz w:val="16"/>
          <w:szCs w:val="16"/>
        </w:rPr>
        <w:t>6</w:t>
      </w:r>
      <w:r>
        <w:rPr>
          <w:sz w:val="16"/>
          <w:szCs w:val="16"/>
        </w:rPr>
        <w:t> </w:t>
      </w:r>
      <w:r w:rsidRPr="00940B11">
        <w:rPr>
          <w:sz w:val="16"/>
          <w:szCs w:val="16"/>
        </w:rPr>
        <w:t>– tržní výrobky tříděné hlavně podle materiálu.</w:t>
      </w:r>
    </w:p>
  </w:footnote>
  <w:footnote w:id="55">
    <w:p w14:paraId="4E34730B" w14:textId="77777777" w:rsidR="003474B6" w:rsidRPr="00940B11" w:rsidRDefault="003474B6" w:rsidP="00C715CC">
      <w:pPr>
        <w:pStyle w:val="Textpoznpodarou"/>
        <w:rPr>
          <w:sz w:val="16"/>
          <w:szCs w:val="16"/>
        </w:rPr>
      </w:pPr>
      <w:r w:rsidRPr="00940B11">
        <w:rPr>
          <w:rStyle w:val="Znakapoznpodarou"/>
          <w:sz w:val="16"/>
          <w:szCs w:val="16"/>
        </w:rPr>
        <w:footnoteRef/>
      </w:r>
      <w:r w:rsidRPr="00940B11">
        <w:rPr>
          <w:sz w:val="16"/>
          <w:szCs w:val="16"/>
        </w:rPr>
        <w:t xml:space="preserve"> SITC</w:t>
      </w:r>
      <w:r>
        <w:rPr>
          <w:sz w:val="16"/>
          <w:szCs w:val="16"/>
        </w:rPr>
        <w:t> </w:t>
      </w:r>
      <w:r w:rsidRPr="00940B11">
        <w:rPr>
          <w:sz w:val="16"/>
          <w:szCs w:val="16"/>
        </w:rPr>
        <w:t>2</w:t>
      </w:r>
      <w:r>
        <w:rPr>
          <w:sz w:val="16"/>
          <w:szCs w:val="16"/>
        </w:rPr>
        <w:t> </w:t>
      </w:r>
      <w:r w:rsidRPr="00940B11">
        <w:rPr>
          <w:sz w:val="16"/>
          <w:szCs w:val="16"/>
        </w:rPr>
        <w:t>– suroviny nepoživatelné s výjimkou paliv.</w:t>
      </w:r>
    </w:p>
  </w:footnote>
  <w:footnote w:id="56">
    <w:p w14:paraId="6918A951" w14:textId="77777777" w:rsidR="003474B6" w:rsidRPr="00363D19" w:rsidRDefault="003474B6" w:rsidP="00485E82">
      <w:pPr>
        <w:pStyle w:val="Textpoznpodarou"/>
        <w:jc w:val="both"/>
        <w:rPr>
          <w:spacing w:val="-4"/>
          <w:sz w:val="16"/>
          <w:szCs w:val="16"/>
        </w:rPr>
      </w:pPr>
      <w:r w:rsidRPr="00363D19">
        <w:rPr>
          <w:rStyle w:val="Znakapoznpodarou"/>
          <w:spacing w:val="-4"/>
          <w:sz w:val="16"/>
          <w:szCs w:val="16"/>
        </w:rPr>
        <w:footnoteRef/>
      </w:r>
      <w:r w:rsidRPr="00363D19">
        <w:rPr>
          <w:spacing w:val="-4"/>
          <w:sz w:val="16"/>
          <w:szCs w:val="16"/>
        </w:rPr>
        <w:t xml:space="preserve"> Pokud není uvedeno jinak, jsou v této kapitole údaje o</w:t>
      </w:r>
      <w:r>
        <w:rPr>
          <w:spacing w:val="-4"/>
          <w:sz w:val="16"/>
          <w:szCs w:val="16"/>
        </w:rPr>
        <w:t> </w:t>
      </w:r>
      <w:r w:rsidRPr="00363D19">
        <w:rPr>
          <w:spacing w:val="-4"/>
          <w:sz w:val="16"/>
          <w:szCs w:val="16"/>
        </w:rPr>
        <w:t>zaměstnanosti uvedeny v pojetí národních účtů po očištění o</w:t>
      </w:r>
      <w:r>
        <w:rPr>
          <w:spacing w:val="-4"/>
          <w:sz w:val="16"/>
          <w:szCs w:val="16"/>
        </w:rPr>
        <w:t> </w:t>
      </w:r>
      <w:r w:rsidRPr="00363D19">
        <w:rPr>
          <w:spacing w:val="-4"/>
          <w:sz w:val="16"/>
          <w:szCs w:val="16"/>
        </w:rPr>
        <w:t>sezónní vlivy.</w:t>
      </w:r>
    </w:p>
  </w:footnote>
  <w:footnote w:id="57">
    <w:p w14:paraId="72247B4A" w14:textId="77777777" w:rsidR="003474B6" w:rsidRPr="00363D19" w:rsidRDefault="003474B6" w:rsidP="00485E82">
      <w:pPr>
        <w:pStyle w:val="Textpoznpodarou"/>
        <w:jc w:val="both"/>
        <w:rPr>
          <w:spacing w:val="-4"/>
          <w:sz w:val="16"/>
          <w:szCs w:val="16"/>
        </w:rPr>
      </w:pPr>
      <w:r w:rsidRPr="00363D19">
        <w:rPr>
          <w:rStyle w:val="Znakapoznpodarou"/>
          <w:spacing w:val="-4"/>
          <w:sz w:val="16"/>
          <w:szCs w:val="16"/>
        </w:rPr>
        <w:footnoteRef/>
      </w:r>
      <w:r>
        <w:rPr>
          <w:spacing w:val="-4"/>
          <w:sz w:val="16"/>
          <w:szCs w:val="16"/>
        </w:rPr>
        <w:t xml:space="preserve"> To potvrzují také údaje</w:t>
      </w:r>
      <w:r w:rsidRPr="00363D19">
        <w:rPr>
          <w:spacing w:val="-4"/>
          <w:sz w:val="16"/>
          <w:szCs w:val="16"/>
        </w:rPr>
        <w:t xml:space="preserve"> podnikové statistiky</w:t>
      </w:r>
      <w:r>
        <w:rPr>
          <w:spacing w:val="-4"/>
          <w:sz w:val="16"/>
          <w:szCs w:val="16"/>
        </w:rPr>
        <w:t>. P</w:t>
      </w:r>
      <w:r w:rsidRPr="00363D19">
        <w:rPr>
          <w:spacing w:val="-4"/>
          <w:sz w:val="16"/>
          <w:szCs w:val="16"/>
        </w:rPr>
        <w:t>očet zaměstnanců v průmyslu ve 4</w:t>
      </w:r>
      <w:r>
        <w:rPr>
          <w:spacing w:val="-4"/>
          <w:sz w:val="16"/>
          <w:szCs w:val="16"/>
        </w:rPr>
        <w:t>. čtvrtletí meziročně klesl o 1,5</w:t>
      </w:r>
      <w:r w:rsidRPr="00363D19">
        <w:rPr>
          <w:spacing w:val="-4"/>
          <w:sz w:val="16"/>
          <w:szCs w:val="16"/>
        </w:rPr>
        <w:t> % (za celý</w:t>
      </w:r>
      <w:r>
        <w:rPr>
          <w:spacing w:val="-4"/>
          <w:sz w:val="16"/>
          <w:szCs w:val="16"/>
        </w:rPr>
        <w:t xml:space="preserve"> rok 2019 o 0,8 %</w:t>
      </w:r>
      <w:r w:rsidRPr="00363D19">
        <w:rPr>
          <w:spacing w:val="-4"/>
          <w:sz w:val="16"/>
          <w:szCs w:val="16"/>
        </w:rPr>
        <w:t>). V tomto pojetí ale nejsou do průmyslu zařazeni agenturní pracovníci a není zohledněn ani vliv šedé ekonomiky.</w:t>
      </w:r>
    </w:p>
  </w:footnote>
  <w:footnote w:id="58">
    <w:p w14:paraId="7C9AB12D" w14:textId="77777777" w:rsidR="003474B6" w:rsidRPr="00363D19" w:rsidRDefault="003474B6" w:rsidP="00485E82">
      <w:pPr>
        <w:pStyle w:val="Textpoznpodarou"/>
        <w:jc w:val="both"/>
        <w:rPr>
          <w:spacing w:val="-4"/>
          <w:sz w:val="16"/>
          <w:szCs w:val="16"/>
        </w:rPr>
      </w:pPr>
      <w:r w:rsidRPr="00363D19">
        <w:rPr>
          <w:rStyle w:val="Znakapoznpodarou"/>
          <w:spacing w:val="-4"/>
          <w:sz w:val="16"/>
          <w:szCs w:val="16"/>
        </w:rPr>
        <w:footnoteRef/>
      </w:r>
      <w:r>
        <w:rPr>
          <w:spacing w:val="-4"/>
          <w:sz w:val="16"/>
          <w:szCs w:val="16"/>
        </w:rPr>
        <w:t xml:space="preserve"> Mírný pokles počtu </w:t>
      </w:r>
      <w:proofErr w:type="spellStart"/>
      <w:r>
        <w:rPr>
          <w:spacing w:val="-4"/>
          <w:sz w:val="16"/>
          <w:szCs w:val="16"/>
        </w:rPr>
        <w:t>sebezaměstnaných</w:t>
      </w:r>
      <w:proofErr w:type="spellEnd"/>
      <w:r>
        <w:rPr>
          <w:spacing w:val="-4"/>
          <w:sz w:val="16"/>
          <w:szCs w:val="16"/>
        </w:rPr>
        <w:t xml:space="preserve"> v primárním sektoru, průmyslu a v uskupení o</w:t>
      </w:r>
      <w:r w:rsidRPr="00363D19">
        <w:rPr>
          <w:spacing w:val="-4"/>
          <w:sz w:val="16"/>
          <w:szCs w:val="16"/>
        </w:rPr>
        <w:t>bchod, doprava, ubytování a</w:t>
      </w:r>
      <w:r>
        <w:rPr>
          <w:spacing w:val="-4"/>
          <w:sz w:val="16"/>
          <w:szCs w:val="16"/>
        </w:rPr>
        <w:t> </w:t>
      </w:r>
      <w:r w:rsidRPr="00363D19">
        <w:rPr>
          <w:spacing w:val="-4"/>
          <w:sz w:val="16"/>
          <w:szCs w:val="16"/>
        </w:rPr>
        <w:t>pohostinství</w:t>
      </w:r>
      <w:r>
        <w:rPr>
          <w:spacing w:val="-4"/>
          <w:sz w:val="16"/>
          <w:szCs w:val="16"/>
        </w:rPr>
        <w:t xml:space="preserve"> byl z velké části kompenzován jejich navýšením ve stavebnictví a většině odvětví služeb (zejména v informačních </w:t>
      </w:r>
      <w:r w:rsidRPr="00363D19">
        <w:rPr>
          <w:spacing w:val="-4"/>
          <w:sz w:val="16"/>
          <w:szCs w:val="16"/>
        </w:rPr>
        <w:t>a</w:t>
      </w:r>
      <w:r>
        <w:rPr>
          <w:spacing w:val="-4"/>
          <w:sz w:val="16"/>
          <w:szCs w:val="16"/>
        </w:rPr>
        <w:t> </w:t>
      </w:r>
      <w:r w:rsidRPr="00363D19">
        <w:rPr>
          <w:spacing w:val="-4"/>
          <w:sz w:val="16"/>
          <w:szCs w:val="16"/>
        </w:rPr>
        <w:t>komunikační</w:t>
      </w:r>
      <w:r>
        <w:rPr>
          <w:spacing w:val="-4"/>
          <w:sz w:val="16"/>
          <w:szCs w:val="16"/>
        </w:rPr>
        <w:t>ch činnostech).</w:t>
      </w:r>
    </w:p>
  </w:footnote>
  <w:footnote w:id="59">
    <w:p w14:paraId="558C0FBF" w14:textId="77777777" w:rsidR="003474B6" w:rsidRPr="00363D19" w:rsidRDefault="003474B6" w:rsidP="00485E82">
      <w:pPr>
        <w:pStyle w:val="Textpoznpodarou"/>
        <w:jc w:val="both"/>
        <w:rPr>
          <w:spacing w:val="-4"/>
          <w:sz w:val="16"/>
          <w:szCs w:val="16"/>
        </w:rPr>
      </w:pPr>
      <w:r w:rsidRPr="00363D19">
        <w:rPr>
          <w:rStyle w:val="Znakapoznpodarou"/>
          <w:spacing w:val="-4"/>
          <w:sz w:val="16"/>
          <w:szCs w:val="16"/>
        </w:rPr>
        <w:footnoteRef/>
      </w:r>
      <w:r w:rsidRPr="00363D19">
        <w:rPr>
          <w:spacing w:val="-4"/>
          <w:sz w:val="16"/>
          <w:szCs w:val="16"/>
        </w:rPr>
        <w:t xml:space="preserve"> T</w:t>
      </w:r>
      <w:r>
        <w:rPr>
          <w:spacing w:val="-4"/>
          <w:sz w:val="16"/>
          <w:szCs w:val="16"/>
        </w:rPr>
        <w:t>a</w:t>
      </w:r>
      <w:r w:rsidRPr="00363D19">
        <w:rPr>
          <w:spacing w:val="-4"/>
          <w:sz w:val="16"/>
          <w:szCs w:val="16"/>
        </w:rPr>
        <w:t xml:space="preserve"> jsou vyjádřen</w:t>
      </w:r>
      <w:r>
        <w:rPr>
          <w:spacing w:val="-4"/>
          <w:sz w:val="16"/>
          <w:szCs w:val="16"/>
        </w:rPr>
        <w:t>a</w:t>
      </w:r>
      <w:r w:rsidRPr="00363D19">
        <w:rPr>
          <w:spacing w:val="-4"/>
          <w:sz w:val="16"/>
          <w:szCs w:val="16"/>
        </w:rPr>
        <w:t xml:space="preserve"> pomocí sezónně očištěných údajů jako rozdíl (v p. b.) mezi podílem podniků očekávajících v nejbližších třech měsících navýšení zaměstnanosti a podniků vyhlížejících naopak redukci stavu svých pracovníků.</w:t>
      </w:r>
    </w:p>
  </w:footnote>
  <w:footnote w:id="60">
    <w:p w14:paraId="7944EAB9" w14:textId="77777777" w:rsidR="003474B6" w:rsidRPr="00363D19" w:rsidRDefault="003474B6" w:rsidP="00485E82">
      <w:pPr>
        <w:pStyle w:val="Textpoznpodarou"/>
        <w:jc w:val="both"/>
        <w:rPr>
          <w:spacing w:val="-4"/>
          <w:sz w:val="16"/>
          <w:szCs w:val="16"/>
        </w:rPr>
      </w:pPr>
      <w:r w:rsidRPr="00363D19">
        <w:rPr>
          <w:rStyle w:val="Znakapoznpodarou"/>
          <w:spacing w:val="-4"/>
          <w:sz w:val="16"/>
          <w:szCs w:val="16"/>
        </w:rPr>
        <w:footnoteRef/>
      </w:r>
      <w:r w:rsidRPr="00363D19">
        <w:rPr>
          <w:spacing w:val="-4"/>
          <w:sz w:val="16"/>
          <w:szCs w:val="16"/>
        </w:rPr>
        <w:t xml:space="preserve"> V</w:t>
      </w:r>
      <w:r>
        <w:rPr>
          <w:spacing w:val="-4"/>
          <w:sz w:val="16"/>
          <w:szCs w:val="16"/>
        </w:rPr>
        <w:t> </w:t>
      </w:r>
      <w:r w:rsidRPr="00363D19">
        <w:rPr>
          <w:spacing w:val="-4"/>
          <w:sz w:val="16"/>
          <w:szCs w:val="16"/>
        </w:rPr>
        <w:t>rám</w:t>
      </w:r>
      <w:r w:rsidRPr="00E34647">
        <w:rPr>
          <w:spacing w:val="-4"/>
          <w:sz w:val="16"/>
          <w:szCs w:val="16"/>
        </w:rPr>
        <w:t>ci průmyslu měla negativ</w:t>
      </w:r>
      <w:r w:rsidRPr="00363D19">
        <w:rPr>
          <w:spacing w:val="-4"/>
          <w:sz w:val="16"/>
          <w:szCs w:val="16"/>
        </w:rPr>
        <w:t xml:space="preserve">ní očekávání zaměstnanosti hlavně odvětví kožedělného, obuvnického </w:t>
      </w:r>
      <w:r>
        <w:rPr>
          <w:spacing w:val="-4"/>
          <w:sz w:val="16"/>
          <w:szCs w:val="16"/>
        </w:rPr>
        <w:t>a </w:t>
      </w:r>
      <w:r w:rsidRPr="00363D19">
        <w:rPr>
          <w:spacing w:val="-4"/>
          <w:sz w:val="16"/>
          <w:szCs w:val="16"/>
        </w:rPr>
        <w:t>textilního průmyslu. Z větších odvětví pak zejm</w:t>
      </w:r>
      <w:r>
        <w:rPr>
          <w:spacing w:val="-4"/>
          <w:sz w:val="16"/>
          <w:szCs w:val="16"/>
        </w:rPr>
        <w:t>éna</w:t>
      </w:r>
      <w:r w:rsidRPr="00363D19">
        <w:rPr>
          <w:spacing w:val="-4"/>
          <w:sz w:val="16"/>
          <w:szCs w:val="16"/>
        </w:rPr>
        <w:t xml:space="preserve"> gumárenství a</w:t>
      </w:r>
      <w:r>
        <w:rPr>
          <w:spacing w:val="-4"/>
          <w:sz w:val="16"/>
          <w:szCs w:val="16"/>
        </w:rPr>
        <w:t> </w:t>
      </w:r>
      <w:proofErr w:type="spellStart"/>
      <w:r w:rsidRPr="00363D19">
        <w:rPr>
          <w:spacing w:val="-4"/>
          <w:sz w:val="16"/>
          <w:szCs w:val="16"/>
        </w:rPr>
        <w:t>plastikářství</w:t>
      </w:r>
      <w:proofErr w:type="spellEnd"/>
      <w:r w:rsidRPr="00363D19">
        <w:rPr>
          <w:spacing w:val="-4"/>
          <w:sz w:val="16"/>
          <w:szCs w:val="16"/>
        </w:rPr>
        <w:t>, strojírenství, kovovýroba, hutnictví a</w:t>
      </w:r>
      <w:r>
        <w:rPr>
          <w:spacing w:val="-4"/>
          <w:sz w:val="16"/>
          <w:szCs w:val="16"/>
        </w:rPr>
        <w:t> </w:t>
      </w:r>
      <w:r w:rsidRPr="00363D19">
        <w:rPr>
          <w:spacing w:val="-4"/>
          <w:sz w:val="16"/>
          <w:szCs w:val="16"/>
        </w:rPr>
        <w:t>slévárenství. Mírně negativní očekávání vyjadřovaly i</w:t>
      </w:r>
      <w:r>
        <w:rPr>
          <w:spacing w:val="-4"/>
          <w:sz w:val="16"/>
          <w:szCs w:val="16"/>
        </w:rPr>
        <w:t> </w:t>
      </w:r>
      <w:r w:rsidRPr="00363D19">
        <w:rPr>
          <w:spacing w:val="-4"/>
          <w:sz w:val="16"/>
          <w:szCs w:val="16"/>
        </w:rPr>
        <w:t>podniky ve výrobě dopravních prostředků (po většinu loňského roku). Pozitivní očekávání naopak převažovala v papírenském, tiskařském, chemickém či farmaceutickém průmyslu a</w:t>
      </w:r>
      <w:r>
        <w:rPr>
          <w:spacing w:val="-4"/>
          <w:sz w:val="16"/>
          <w:szCs w:val="16"/>
        </w:rPr>
        <w:t> </w:t>
      </w:r>
      <w:r w:rsidRPr="00363D19">
        <w:rPr>
          <w:spacing w:val="-4"/>
          <w:sz w:val="16"/>
          <w:szCs w:val="16"/>
        </w:rPr>
        <w:t>také v odvětví ostatního zpracovatelského průmyslu (zahrnující</w:t>
      </w:r>
      <w:r>
        <w:rPr>
          <w:spacing w:val="-4"/>
          <w:sz w:val="16"/>
          <w:szCs w:val="16"/>
        </w:rPr>
        <w:t>ho</w:t>
      </w:r>
      <w:r w:rsidRPr="00363D19">
        <w:rPr>
          <w:spacing w:val="-4"/>
          <w:sz w:val="16"/>
          <w:szCs w:val="16"/>
        </w:rPr>
        <w:t xml:space="preserve"> zejm</w:t>
      </w:r>
      <w:r>
        <w:rPr>
          <w:spacing w:val="-4"/>
          <w:sz w:val="16"/>
          <w:szCs w:val="16"/>
        </w:rPr>
        <w:t>éna</w:t>
      </w:r>
      <w:r w:rsidRPr="00363D19">
        <w:rPr>
          <w:spacing w:val="-4"/>
          <w:sz w:val="16"/>
          <w:szCs w:val="16"/>
        </w:rPr>
        <w:t xml:space="preserve"> výrobu lékařských a</w:t>
      </w:r>
      <w:r>
        <w:rPr>
          <w:spacing w:val="-4"/>
          <w:sz w:val="16"/>
          <w:szCs w:val="16"/>
        </w:rPr>
        <w:t> </w:t>
      </w:r>
      <w:r w:rsidRPr="00363D19">
        <w:rPr>
          <w:spacing w:val="-4"/>
          <w:sz w:val="16"/>
          <w:szCs w:val="16"/>
        </w:rPr>
        <w:t>dentálních nástrojů i</w:t>
      </w:r>
      <w:r>
        <w:rPr>
          <w:spacing w:val="-4"/>
          <w:sz w:val="16"/>
          <w:szCs w:val="16"/>
        </w:rPr>
        <w:t> </w:t>
      </w:r>
      <w:r w:rsidRPr="00363D19">
        <w:rPr>
          <w:spacing w:val="-4"/>
          <w:sz w:val="16"/>
          <w:szCs w:val="16"/>
        </w:rPr>
        <w:t>potřeb a</w:t>
      </w:r>
      <w:r>
        <w:rPr>
          <w:spacing w:val="-4"/>
          <w:sz w:val="16"/>
          <w:szCs w:val="16"/>
        </w:rPr>
        <w:t> </w:t>
      </w:r>
      <w:r w:rsidRPr="00363D19">
        <w:rPr>
          <w:spacing w:val="-4"/>
          <w:sz w:val="16"/>
          <w:szCs w:val="16"/>
        </w:rPr>
        <w:t>dále též hraček či sportovních potřeb).</w:t>
      </w:r>
    </w:p>
    <w:p w14:paraId="63EDC154" w14:textId="77777777" w:rsidR="003474B6" w:rsidRPr="00363D19" w:rsidRDefault="003474B6" w:rsidP="00485E82">
      <w:pPr>
        <w:pStyle w:val="Textpoznpodarou"/>
        <w:jc w:val="both"/>
        <w:rPr>
          <w:spacing w:val="-4"/>
          <w:sz w:val="16"/>
          <w:szCs w:val="16"/>
        </w:rPr>
      </w:pPr>
      <w:r w:rsidRPr="00363D19">
        <w:rPr>
          <w:spacing w:val="-4"/>
          <w:sz w:val="16"/>
          <w:szCs w:val="16"/>
        </w:rPr>
        <w:t>V rámc</w:t>
      </w:r>
      <w:r w:rsidRPr="00E34647">
        <w:rPr>
          <w:spacing w:val="-4"/>
          <w:sz w:val="16"/>
          <w:szCs w:val="16"/>
        </w:rPr>
        <w:t>i tržních služeb bylo n</w:t>
      </w:r>
      <w:r w:rsidRPr="00363D19">
        <w:rPr>
          <w:spacing w:val="-4"/>
          <w:sz w:val="16"/>
          <w:szCs w:val="16"/>
        </w:rPr>
        <w:t>egativní saldo očekávání zaměstnanosti patrné v dopravě, telekomunikacích, peněžnictví, činnostech v oblasti nemovitostí, v oblasti pronájmu a</w:t>
      </w:r>
      <w:r>
        <w:rPr>
          <w:spacing w:val="-4"/>
          <w:sz w:val="16"/>
          <w:szCs w:val="16"/>
        </w:rPr>
        <w:t> </w:t>
      </w:r>
      <w:r w:rsidRPr="00363D19">
        <w:rPr>
          <w:spacing w:val="-4"/>
          <w:sz w:val="16"/>
          <w:szCs w:val="16"/>
        </w:rPr>
        <w:t>operativního leasingu či u</w:t>
      </w:r>
      <w:r>
        <w:rPr>
          <w:spacing w:val="-4"/>
          <w:sz w:val="16"/>
          <w:szCs w:val="16"/>
        </w:rPr>
        <w:t> </w:t>
      </w:r>
      <w:r w:rsidRPr="00363D19">
        <w:rPr>
          <w:spacing w:val="-4"/>
          <w:sz w:val="16"/>
          <w:szCs w:val="16"/>
        </w:rPr>
        <w:t>cestovních kanceláří. Naopak předpokládaný nárůst zaměstnanosti indikovaly tradičně zejm. pracovní agentury, stravování a</w:t>
      </w:r>
      <w:r>
        <w:rPr>
          <w:spacing w:val="-4"/>
          <w:sz w:val="16"/>
          <w:szCs w:val="16"/>
        </w:rPr>
        <w:t> </w:t>
      </w:r>
      <w:r w:rsidRPr="00363D19">
        <w:rPr>
          <w:spacing w:val="-4"/>
          <w:sz w:val="16"/>
          <w:szCs w:val="16"/>
        </w:rPr>
        <w:t>pohostinství, skladování, právní a</w:t>
      </w:r>
      <w:r>
        <w:rPr>
          <w:spacing w:val="-4"/>
          <w:sz w:val="16"/>
          <w:szCs w:val="16"/>
        </w:rPr>
        <w:t> </w:t>
      </w:r>
      <w:r w:rsidRPr="00363D19">
        <w:rPr>
          <w:spacing w:val="-4"/>
          <w:sz w:val="16"/>
          <w:szCs w:val="16"/>
        </w:rPr>
        <w:t>účetnické činnosti, věda a</w:t>
      </w:r>
      <w:r>
        <w:rPr>
          <w:spacing w:val="-4"/>
          <w:sz w:val="16"/>
          <w:szCs w:val="16"/>
        </w:rPr>
        <w:t> </w:t>
      </w:r>
      <w:r w:rsidRPr="00363D19">
        <w:rPr>
          <w:spacing w:val="-4"/>
          <w:sz w:val="16"/>
          <w:szCs w:val="16"/>
        </w:rPr>
        <w:t>výzkum a</w:t>
      </w:r>
      <w:r>
        <w:rPr>
          <w:spacing w:val="-4"/>
          <w:sz w:val="16"/>
          <w:szCs w:val="16"/>
        </w:rPr>
        <w:t> </w:t>
      </w:r>
      <w:r w:rsidRPr="00363D19">
        <w:rPr>
          <w:spacing w:val="-4"/>
          <w:sz w:val="16"/>
          <w:szCs w:val="16"/>
        </w:rPr>
        <w:t>činnosti v</w:t>
      </w:r>
      <w:r>
        <w:rPr>
          <w:spacing w:val="-4"/>
          <w:sz w:val="16"/>
          <w:szCs w:val="16"/>
        </w:rPr>
        <w:t> </w:t>
      </w:r>
      <w:r w:rsidRPr="00363D19">
        <w:rPr>
          <w:spacing w:val="-4"/>
          <w:sz w:val="16"/>
          <w:szCs w:val="16"/>
        </w:rPr>
        <w:t>oblasti</w:t>
      </w:r>
      <w:r>
        <w:rPr>
          <w:spacing w:val="-4"/>
          <w:sz w:val="16"/>
          <w:szCs w:val="16"/>
        </w:rPr>
        <w:t> </w:t>
      </w:r>
      <w:r w:rsidRPr="00363D19">
        <w:rPr>
          <w:spacing w:val="-4"/>
          <w:sz w:val="16"/>
          <w:szCs w:val="16"/>
        </w:rPr>
        <w:t>IT.</w:t>
      </w:r>
    </w:p>
  </w:footnote>
  <w:footnote w:id="61">
    <w:p w14:paraId="331E92C0" w14:textId="77777777" w:rsidR="003474B6" w:rsidRPr="006A4CF3" w:rsidRDefault="003474B6" w:rsidP="00485E82">
      <w:pPr>
        <w:pStyle w:val="Textpoznpodarou"/>
        <w:jc w:val="both"/>
        <w:rPr>
          <w:spacing w:val="-2"/>
          <w:sz w:val="16"/>
          <w:szCs w:val="16"/>
        </w:rPr>
      </w:pPr>
      <w:r w:rsidRPr="00363D19">
        <w:rPr>
          <w:rStyle w:val="Znakapoznpodarou"/>
          <w:spacing w:val="-4"/>
          <w:sz w:val="16"/>
          <w:szCs w:val="16"/>
        </w:rPr>
        <w:footnoteRef/>
      </w:r>
      <w:r w:rsidRPr="00363D19">
        <w:rPr>
          <w:spacing w:val="-4"/>
          <w:sz w:val="16"/>
          <w:szCs w:val="16"/>
        </w:rPr>
        <w:t xml:space="preserve"> Podíleli se na něm</w:t>
      </w:r>
      <w:r>
        <w:rPr>
          <w:spacing w:val="-4"/>
          <w:sz w:val="16"/>
          <w:szCs w:val="16"/>
        </w:rPr>
        <w:t xml:space="preserve"> zejm.</w:t>
      </w:r>
      <w:r w:rsidRPr="00363D19">
        <w:rPr>
          <w:spacing w:val="-4"/>
          <w:sz w:val="16"/>
          <w:szCs w:val="16"/>
        </w:rPr>
        <w:t xml:space="preserve"> občané Ukrajiny (+23</w:t>
      </w:r>
      <w:r>
        <w:rPr>
          <w:spacing w:val="-4"/>
          <w:sz w:val="16"/>
          <w:szCs w:val="16"/>
        </w:rPr>
        <w:t> tis.</w:t>
      </w:r>
      <w:r w:rsidRPr="00363D19">
        <w:rPr>
          <w:spacing w:val="-4"/>
          <w:sz w:val="16"/>
          <w:szCs w:val="16"/>
        </w:rPr>
        <w:t>), Slovenska (+10,1), Ruska (+2,3), Polska (+1,5), Vi</w:t>
      </w:r>
      <w:r>
        <w:rPr>
          <w:spacing w:val="-4"/>
          <w:sz w:val="16"/>
          <w:szCs w:val="16"/>
        </w:rPr>
        <w:t>etnamu (+1,4), Bulharska a </w:t>
      </w:r>
      <w:r w:rsidRPr="00363D19">
        <w:rPr>
          <w:spacing w:val="-4"/>
          <w:sz w:val="16"/>
          <w:szCs w:val="16"/>
        </w:rPr>
        <w:t>Běloruska.</w:t>
      </w:r>
    </w:p>
  </w:footnote>
  <w:footnote w:id="62">
    <w:p w14:paraId="36F0A46B" w14:textId="77777777" w:rsidR="003474B6" w:rsidRPr="006A4CF3" w:rsidRDefault="003474B6" w:rsidP="00485E82">
      <w:pPr>
        <w:pStyle w:val="Textpoznpodarou"/>
        <w:jc w:val="both"/>
        <w:rPr>
          <w:spacing w:val="-2"/>
          <w:sz w:val="16"/>
          <w:szCs w:val="16"/>
        </w:rPr>
      </w:pPr>
      <w:r w:rsidRPr="006A4CF3">
        <w:rPr>
          <w:rStyle w:val="Znakapoznpodarou"/>
          <w:spacing w:val="-2"/>
          <w:sz w:val="16"/>
          <w:szCs w:val="16"/>
        </w:rPr>
        <w:footnoteRef/>
      </w:r>
      <w:r>
        <w:rPr>
          <w:spacing w:val="-2"/>
          <w:sz w:val="16"/>
          <w:szCs w:val="16"/>
        </w:rPr>
        <w:t xml:space="preserve"> Necelá polovina občanů Ukrajiny i všech občanů z tzv. „třetích zemí“ pracujících v ČR na zaměstnaneckých pozicích pro tento účel ovšem nepotřebuje </w:t>
      </w:r>
      <w:r w:rsidRPr="001A670E">
        <w:rPr>
          <w:spacing w:val="-2"/>
          <w:sz w:val="16"/>
          <w:szCs w:val="16"/>
        </w:rPr>
        <w:t>pracovní oprávnění</w:t>
      </w:r>
      <w:r>
        <w:rPr>
          <w:spacing w:val="-2"/>
          <w:sz w:val="16"/>
          <w:szCs w:val="16"/>
        </w:rPr>
        <w:t xml:space="preserve"> (</w:t>
      </w:r>
      <w:r>
        <w:rPr>
          <w:rFonts w:cs="Arial"/>
          <w:spacing w:val="-2"/>
          <w:sz w:val="16"/>
          <w:szCs w:val="16"/>
        </w:rPr>
        <w:t>zejména cizinci s povolením k trvalému pobytu na území ČR, azylanti či osoby, jimž byla udělena doplňková ochrana, a dále lidé, kteří pobývají na území ČR na základě povolení k dlouhodobému pobytu za účelem společného soužití rodiny).</w:t>
      </w:r>
    </w:p>
  </w:footnote>
  <w:footnote w:id="63">
    <w:p w14:paraId="48E08073" w14:textId="77777777" w:rsidR="003474B6" w:rsidRPr="006A4CF3" w:rsidRDefault="003474B6" w:rsidP="00485E82">
      <w:pPr>
        <w:pStyle w:val="Textpoznpodarou"/>
        <w:jc w:val="both"/>
        <w:rPr>
          <w:spacing w:val="-2"/>
          <w:sz w:val="16"/>
          <w:szCs w:val="16"/>
        </w:rPr>
      </w:pPr>
      <w:r w:rsidRPr="006A4CF3">
        <w:rPr>
          <w:rStyle w:val="Znakapoznpodarou"/>
          <w:spacing w:val="-2"/>
          <w:sz w:val="16"/>
          <w:szCs w:val="16"/>
        </w:rPr>
        <w:footnoteRef/>
      </w:r>
      <w:r>
        <w:rPr>
          <w:spacing w:val="-2"/>
          <w:sz w:val="16"/>
          <w:szCs w:val="16"/>
        </w:rPr>
        <w:t xml:space="preserve"> Všechny uváděné míry nezaměstnanosti vycházejí z údajů Výběrového šetření pracovních sil a vyjadřují skutečnost po sezónním očištění.</w:t>
      </w:r>
    </w:p>
  </w:footnote>
  <w:footnote w:id="64">
    <w:p w14:paraId="67ACA4F9" w14:textId="77777777" w:rsidR="003474B6" w:rsidRPr="006A4CF3" w:rsidRDefault="003474B6" w:rsidP="00485E82">
      <w:pPr>
        <w:pStyle w:val="Textpoznpodarou"/>
        <w:jc w:val="both"/>
        <w:rPr>
          <w:spacing w:val="-2"/>
          <w:sz w:val="16"/>
          <w:szCs w:val="16"/>
        </w:rPr>
      </w:pPr>
      <w:r w:rsidRPr="006A4CF3">
        <w:rPr>
          <w:rStyle w:val="Znakapoznpodarou"/>
          <w:spacing w:val="-2"/>
          <w:sz w:val="16"/>
          <w:szCs w:val="16"/>
        </w:rPr>
        <w:footnoteRef/>
      </w:r>
      <w:r>
        <w:rPr>
          <w:spacing w:val="-2"/>
          <w:sz w:val="16"/>
          <w:szCs w:val="16"/>
        </w:rPr>
        <w:t xml:space="preserve"> V tomto zpomalení se projevil i vliv meziročně nižšího počtu odpracovaných hodin (ve 4. čtvrtletí bylo o jeden pracovní den méně než ve stejném období předchozího roku), nižší objem přesčasové práce i mírné snížení role mimořádných odměn (patrné např. v těžbě a dobývání). Narostl naopak objem placené neodpracované doby, zejména vlivem vyšší nemocnosti.</w:t>
      </w:r>
    </w:p>
  </w:footnote>
  <w:footnote w:id="65">
    <w:p w14:paraId="6541E58E" w14:textId="77777777" w:rsidR="003474B6" w:rsidRPr="006A4CF3" w:rsidRDefault="003474B6" w:rsidP="00485E82">
      <w:pPr>
        <w:pStyle w:val="Textpoznpodarou"/>
        <w:jc w:val="both"/>
        <w:rPr>
          <w:spacing w:val="-2"/>
          <w:sz w:val="16"/>
          <w:szCs w:val="16"/>
        </w:rPr>
      </w:pPr>
      <w:r w:rsidRPr="006A4CF3">
        <w:rPr>
          <w:rStyle w:val="Znakapoznpodarou"/>
          <w:spacing w:val="-2"/>
          <w:sz w:val="16"/>
          <w:szCs w:val="16"/>
        </w:rPr>
        <w:footnoteRef/>
      </w:r>
      <w:r>
        <w:rPr>
          <w:spacing w:val="-2"/>
          <w:sz w:val="16"/>
          <w:szCs w:val="16"/>
        </w:rPr>
        <w:t xml:space="preserve"> Ve 4. čtvrtletí 2019 akceleroval i díky výplatě odměn na konci roku meziroční růst platů ve vzdělávání na 16,2 %. Výše průměrných hrubých měsíčních výdělků (41 674 korun) se zde již těsně přiblížila úrovni dlouhodobě nejlépe postaveného odvětví s převahou veřejného sektoru (veřejné správy, obrany a </w:t>
      </w:r>
      <w:r w:rsidRPr="00FF2199">
        <w:rPr>
          <w:spacing w:val="-2"/>
          <w:sz w:val="16"/>
          <w:szCs w:val="16"/>
        </w:rPr>
        <w:t>sociální</w:t>
      </w:r>
      <w:r>
        <w:rPr>
          <w:spacing w:val="-2"/>
          <w:sz w:val="16"/>
          <w:szCs w:val="16"/>
        </w:rPr>
        <w:t>ho</w:t>
      </w:r>
      <w:r w:rsidRPr="00FF2199">
        <w:rPr>
          <w:spacing w:val="-2"/>
          <w:sz w:val="16"/>
          <w:szCs w:val="16"/>
        </w:rPr>
        <w:t xml:space="preserve"> zabezpečení</w:t>
      </w:r>
      <w:r>
        <w:rPr>
          <w:spacing w:val="-2"/>
          <w:sz w:val="16"/>
          <w:szCs w:val="16"/>
        </w:rPr>
        <w:t>) a hladinu národního hospodářství překonala dokonce o rekordních 15 %.</w:t>
      </w:r>
    </w:p>
  </w:footnote>
  <w:footnote w:id="66">
    <w:p w14:paraId="2C107784" w14:textId="77777777" w:rsidR="003474B6" w:rsidRPr="006A4CF3" w:rsidRDefault="003474B6" w:rsidP="00485E82">
      <w:pPr>
        <w:pStyle w:val="Textpoznpodarou"/>
        <w:jc w:val="both"/>
        <w:rPr>
          <w:spacing w:val="-2"/>
          <w:sz w:val="16"/>
          <w:szCs w:val="16"/>
        </w:rPr>
      </w:pPr>
      <w:r w:rsidRPr="006A4CF3">
        <w:rPr>
          <w:rStyle w:val="Znakapoznpodarou"/>
          <w:spacing w:val="-2"/>
          <w:sz w:val="16"/>
          <w:szCs w:val="16"/>
        </w:rPr>
        <w:footnoteRef/>
      </w:r>
      <w:r>
        <w:rPr>
          <w:spacing w:val="-2"/>
          <w:sz w:val="16"/>
          <w:szCs w:val="16"/>
        </w:rPr>
        <w:t xml:space="preserve"> Dynamický růst mezd byl umožněn velmi dobrými hospodářskými výsledky finančního sektoru spojenými se silným tlakem na růst produktivity (počet zaměstnanců zde loni dle podnikových statistik meziročně klesl o 1,9 % a i v přechozích letech byl jejich růst spíše střídmý). Navíc relativní růstové tempo průměrných mezd se zde v období 2015 až 2018 nacházelo citelně pod úrovní národního hospodářství.</w:t>
      </w:r>
    </w:p>
  </w:footnote>
  <w:footnote w:id="67">
    <w:p w14:paraId="29A62E63" w14:textId="77777777" w:rsidR="003474B6" w:rsidRPr="004470E6" w:rsidRDefault="003474B6" w:rsidP="00DB5E3A">
      <w:pPr>
        <w:pStyle w:val="Textpoznpodarou"/>
        <w:rPr>
          <w:sz w:val="16"/>
          <w:szCs w:val="16"/>
        </w:rPr>
      </w:pPr>
      <w:r w:rsidRPr="004470E6">
        <w:rPr>
          <w:rStyle w:val="Znakapoznpodarou"/>
          <w:sz w:val="16"/>
          <w:szCs w:val="16"/>
        </w:rPr>
        <w:footnoteRef/>
      </w:r>
      <w:r w:rsidRPr="004470E6">
        <w:rPr>
          <w:sz w:val="16"/>
          <w:szCs w:val="16"/>
        </w:rPr>
        <w:t xml:space="preserve"> Není-li uvedeno jinak, je zdrojem údajů v této kapitole databáze ARAD České národní banky.</w:t>
      </w:r>
    </w:p>
  </w:footnote>
  <w:footnote w:id="68">
    <w:p w14:paraId="674E5A1D" w14:textId="77777777" w:rsidR="003474B6" w:rsidRPr="00AB3D25" w:rsidRDefault="003474B6" w:rsidP="00DB5E3A">
      <w:pPr>
        <w:pStyle w:val="Textpoznpodarou"/>
        <w:rPr>
          <w:sz w:val="16"/>
          <w:szCs w:val="16"/>
        </w:rPr>
      </w:pPr>
      <w:r w:rsidRPr="00AB3D25">
        <w:rPr>
          <w:rStyle w:val="Znakapoznpodarou"/>
          <w:sz w:val="16"/>
          <w:szCs w:val="16"/>
        </w:rPr>
        <w:footnoteRef/>
      </w:r>
      <w:r w:rsidRPr="00AB3D25">
        <w:rPr>
          <w:sz w:val="16"/>
          <w:szCs w:val="16"/>
        </w:rPr>
        <w:t xml:space="preserve"> Primárním příkladem je stavebnictví, u</w:t>
      </w:r>
      <w:r>
        <w:rPr>
          <w:sz w:val="16"/>
          <w:szCs w:val="16"/>
        </w:rPr>
        <w:t> </w:t>
      </w:r>
      <w:r w:rsidRPr="00AB3D25">
        <w:rPr>
          <w:sz w:val="16"/>
          <w:szCs w:val="16"/>
        </w:rPr>
        <w:t xml:space="preserve">kterého se často projevuje cyklus financování z evropských fondů. Během roku 2018 </w:t>
      </w:r>
      <w:r>
        <w:rPr>
          <w:sz w:val="16"/>
          <w:szCs w:val="16"/>
        </w:rPr>
        <w:t xml:space="preserve">zde </w:t>
      </w:r>
      <w:r w:rsidRPr="00AB3D25">
        <w:rPr>
          <w:sz w:val="16"/>
          <w:szCs w:val="16"/>
        </w:rPr>
        <w:t>objem poskytnutých úvěrů</w:t>
      </w:r>
      <w:r>
        <w:rPr>
          <w:sz w:val="16"/>
          <w:szCs w:val="16"/>
        </w:rPr>
        <w:t xml:space="preserve"> narostl</w:t>
      </w:r>
      <w:r w:rsidRPr="00AB3D25">
        <w:rPr>
          <w:sz w:val="16"/>
          <w:szCs w:val="16"/>
        </w:rPr>
        <w:t xml:space="preserve"> o</w:t>
      </w:r>
      <w:r>
        <w:rPr>
          <w:sz w:val="16"/>
          <w:szCs w:val="16"/>
        </w:rPr>
        <w:t> </w:t>
      </w:r>
      <w:r w:rsidRPr="00AB3D25">
        <w:rPr>
          <w:sz w:val="16"/>
          <w:szCs w:val="16"/>
        </w:rPr>
        <w:t>12,7</w:t>
      </w:r>
      <w:r>
        <w:rPr>
          <w:sz w:val="16"/>
          <w:szCs w:val="16"/>
        </w:rPr>
        <w:t> %</w:t>
      </w:r>
      <w:r w:rsidRPr="00AB3D25">
        <w:rPr>
          <w:sz w:val="16"/>
          <w:szCs w:val="16"/>
        </w:rPr>
        <w:t>.</w:t>
      </w:r>
    </w:p>
  </w:footnote>
  <w:footnote w:id="69">
    <w:p w14:paraId="697E5DC5" w14:textId="77777777" w:rsidR="003474B6" w:rsidRPr="007F5302" w:rsidRDefault="003474B6" w:rsidP="0067514E">
      <w:pPr>
        <w:pStyle w:val="Textpoznpodarou"/>
        <w:jc w:val="both"/>
        <w:rPr>
          <w:sz w:val="16"/>
          <w:szCs w:val="16"/>
        </w:rPr>
      </w:pPr>
      <w:r w:rsidRPr="007F5302">
        <w:rPr>
          <w:rStyle w:val="Znakapoznpodarou"/>
          <w:sz w:val="16"/>
          <w:szCs w:val="16"/>
        </w:rPr>
        <w:footnoteRef/>
      </w:r>
      <w:r w:rsidRPr="007F5302">
        <w:rPr>
          <w:sz w:val="16"/>
          <w:szCs w:val="16"/>
        </w:rPr>
        <w:t xml:space="preserve"> </w:t>
      </w:r>
      <w:r w:rsidRPr="007F5302">
        <w:rPr>
          <w:color w:val="0D0D0D" w:themeColor="text1" w:themeTint="F2"/>
          <w:sz w:val="16"/>
          <w:szCs w:val="16"/>
        </w:rPr>
        <w:t xml:space="preserve">Pokud není uvedeno jinak, vycházejí všechny údaje týkající se státního rozpočtu </w:t>
      </w:r>
      <w:r w:rsidRPr="007F5302">
        <w:rPr>
          <w:rFonts w:cs="Arial"/>
          <w:color w:val="0D0D0D" w:themeColor="text1" w:themeTint="F2"/>
          <w:sz w:val="16"/>
          <w:szCs w:val="16"/>
        </w:rPr>
        <w:t>z</w:t>
      </w:r>
      <w:r>
        <w:rPr>
          <w:rFonts w:cs="Arial"/>
          <w:color w:val="0D0D0D" w:themeColor="text1" w:themeTint="F2"/>
          <w:sz w:val="16"/>
          <w:szCs w:val="16"/>
        </w:rPr>
        <w:t> </w:t>
      </w:r>
      <w:r w:rsidRPr="007F5302">
        <w:rPr>
          <w:rFonts w:cs="Arial"/>
          <w:color w:val="0D0D0D" w:themeColor="text1" w:themeTint="F2"/>
          <w:sz w:val="16"/>
          <w:szCs w:val="16"/>
        </w:rPr>
        <w:t>dat Ministerstva financí o pokladním plnění.</w:t>
      </w:r>
    </w:p>
  </w:footnote>
  <w:footnote w:id="70">
    <w:p w14:paraId="2FE03E36" w14:textId="77777777" w:rsidR="003474B6" w:rsidRPr="007F5302" w:rsidRDefault="003474B6" w:rsidP="0067514E">
      <w:pPr>
        <w:pStyle w:val="Textpoznpodarou"/>
        <w:jc w:val="both"/>
        <w:rPr>
          <w:sz w:val="16"/>
          <w:szCs w:val="16"/>
        </w:rPr>
      </w:pPr>
      <w:r w:rsidRPr="003F67A6">
        <w:rPr>
          <w:rStyle w:val="Znakapoznpodarou"/>
          <w:sz w:val="16"/>
          <w:szCs w:val="16"/>
        </w:rPr>
        <w:footnoteRef/>
      </w:r>
      <w:r w:rsidRPr="003F67A6">
        <w:rPr>
          <w:sz w:val="16"/>
          <w:szCs w:val="16"/>
        </w:rPr>
        <w:t xml:space="preserve"> </w:t>
      </w:r>
      <w:r w:rsidRPr="003F67A6">
        <w:rPr>
          <w:color w:val="0D0D0D" w:themeColor="text1" w:themeTint="F2"/>
          <w:sz w:val="16"/>
          <w:szCs w:val="16"/>
        </w:rPr>
        <w:t>Dle propočtů</w:t>
      </w:r>
      <w:r>
        <w:rPr>
          <w:color w:val="0D0D0D" w:themeColor="text1" w:themeTint="F2"/>
          <w:sz w:val="16"/>
          <w:szCs w:val="16"/>
        </w:rPr>
        <w:t> </w:t>
      </w:r>
      <w:r w:rsidRPr="003F67A6">
        <w:rPr>
          <w:color w:val="0D0D0D" w:themeColor="text1" w:themeTint="F2"/>
          <w:sz w:val="16"/>
          <w:szCs w:val="16"/>
        </w:rPr>
        <w:t xml:space="preserve">MF skončilo </w:t>
      </w:r>
      <w:r w:rsidRPr="003F67A6">
        <w:rPr>
          <w:sz w:val="16"/>
          <w:szCs w:val="16"/>
        </w:rPr>
        <w:t>hospodaření</w:t>
      </w:r>
      <w:r>
        <w:rPr>
          <w:sz w:val="16"/>
          <w:szCs w:val="16"/>
        </w:rPr>
        <w:t> </w:t>
      </w:r>
      <w:r w:rsidRPr="003F67A6">
        <w:rPr>
          <w:sz w:val="16"/>
          <w:szCs w:val="16"/>
        </w:rPr>
        <w:t>SR</w:t>
      </w:r>
      <w:r w:rsidRPr="003F67A6">
        <w:rPr>
          <w:rStyle w:val="Zdraznn"/>
        </w:rPr>
        <w:t xml:space="preserve"> </w:t>
      </w:r>
      <w:r w:rsidRPr="003F67A6">
        <w:rPr>
          <w:iCs/>
          <w:sz w:val="16"/>
          <w:szCs w:val="16"/>
        </w:rPr>
        <w:t>očištěné o</w:t>
      </w:r>
      <w:r>
        <w:rPr>
          <w:iCs/>
          <w:sz w:val="16"/>
          <w:szCs w:val="16"/>
        </w:rPr>
        <w:t> </w:t>
      </w:r>
      <w:r w:rsidRPr="003F67A6">
        <w:rPr>
          <w:iCs/>
          <w:sz w:val="16"/>
          <w:szCs w:val="16"/>
        </w:rPr>
        <w:t>prostředky na programy a</w:t>
      </w:r>
      <w:r>
        <w:rPr>
          <w:iCs/>
          <w:sz w:val="16"/>
          <w:szCs w:val="16"/>
        </w:rPr>
        <w:t> </w:t>
      </w:r>
      <w:r w:rsidRPr="003F67A6">
        <w:rPr>
          <w:iCs/>
          <w:sz w:val="16"/>
          <w:szCs w:val="16"/>
        </w:rPr>
        <w:t>projekty z</w:t>
      </w:r>
      <w:r>
        <w:rPr>
          <w:iCs/>
          <w:sz w:val="16"/>
          <w:szCs w:val="16"/>
        </w:rPr>
        <w:t> </w:t>
      </w:r>
      <w:r w:rsidRPr="003F67A6">
        <w:rPr>
          <w:iCs/>
          <w:sz w:val="16"/>
          <w:szCs w:val="16"/>
        </w:rPr>
        <w:t>rozpo</w:t>
      </w:r>
      <w:r>
        <w:rPr>
          <w:iCs/>
          <w:sz w:val="16"/>
          <w:szCs w:val="16"/>
        </w:rPr>
        <w:t xml:space="preserve">čtu EU a finančních mechanismů </w:t>
      </w:r>
      <w:r w:rsidRPr="00A1332F">
        <w:rPr>
          <w:rStyle w:val="Zdraznn"/>
          <w:i w:val="0"/>
          <w:color w:val="0D0D0D" w:themeColor="text1" w:themeTint="F2"/>
          <w:sz w:val="16"/>
          <w:szCs w:val="16"/>
        </w:rPr>
        <w:t>(EHP a</w:t>
      </w:r>
      <w:r>
        <w:rPr>
          <w:rStyle w:val="Zdraznn"/>
          <w:i w:val="0"/>
          <w:color w:val="0D0D0D" w:themeColor="text1" w:themeTint="F2"/>
          <w:sz w:val="16"/>
          <w:szCs w:val="16"/>
        </w:rPr>
        <w:t> </w:t>
      </w:r>
      <w:r w:rsidRPr="00A1332F">
        <w:rPr>
          <w:rStyle w:val="Zdraznn"/>
          <w:i w:val="0"/>
          <w:color w:val="0D0D0D" w:themeColor="text1" w:themeTint="F2"/>
          <w:sz w:val="16"/>
          <w:szCs w:val="16"/>
        </w:rPr>
        <w:t>Norské fondy, Program švýcarsko</w:t>
      </w:r>
      <w:r>
        <w:rPr>
          <w:rStyle w:val="Zdraznn"/>
          <w:i w:val="0"/>
          <w:color w:val="0D0D0D" w:themeColor="text1" w:themeTint="F2"/>
          <w:sz w:val="16"/>
          <w:szCs w:val="16"/>
        </w:rPr>
        <w:noBreakHyphen/>
      </w:r>
      <w:r w:rsidRPr="00A1332F">
        <w:rPr>
          <w:rStyle w:val="Zdraznn"/>
          <w:i w:val="0"/>
          <w:color w:val="0D0D0D" w:themeColor="text1" w:themeTint="F2"/>
          <w:sz w:val="16"/>
          <w:szCs w:val="16"/>
        </w:rPr>
        <w:t>české spolupráce)</w:t>
      </w:r>
      <w:r>
        <w:rPr>
          <w:iCs/>
          <w:sz w:val="16"/>
          <w:szCs w:val="16"/>
        </w:rPr>
        <w:t xml:space="preserve">, </w:t>
      </w:r>
      <w:r w:rsidRPr="003F67A6">
        <w:rPr>
          <w:iCs/>
          <w:sz w:val="16"/>
          <w:szCs w:val="16"/>
        </w:rPr>
        <w:t>které byly předfinancovány ze</w:t>
      </w:r>
      <w:r>
        <w:rPr>
          <w:iCs/>
          <w:sz w:val="16"/>
          <w:szCs w:val="16"/>
        </w:rPr>
        <w:t> </w:t>
      </w:r>
      <w:r w:rsidRPr="003F67A6">
        <w:rPr>
          <w:iCs/>
          <w:sz w:val="16"/>
          <w:szCs w:val="16"/>
        </w:rPr>
        <w:t>SR a</w:t>
      </w:r>
      <w:r>
        <w:rPr>
          <w:iCs/>
          <w:sz w:val="16"/>
          <w:szCs w:val="16"/>
        </w:rPr>
        <w:t> </w:t>
      </w:r>
      <w:r w:rsidRPr="003F67A6">
        <w:rPr>
          <w:iCs/>
          <w:sz w:val="16"/>
          <w:szCs w:val="16"/>
        </w:rPr>
        <w:t>následně</w:t>
      </w:r>
      <w:r>
        <w:rPr>
          <w:iCs/>
          <w:sz w:val="16"/>
          <w:szCs w:val="16"/>
        </w:rPr>
        <w:t xml:space="preserve"> propláceny z rozpočtu EU a finančních mechanismů, v roce 2019 schodkem 27,7 mld. korun, meziročně o 24,2 mld. hlubším.</w:t>
      </w:r>
    </w:p>
  </w:footnote>
  <w:footnote w:id="71">
    <w:p w14:paraId="48BF69D2" w14:textId="77777777" w:rsidR="003474B6" w:rsidRPr="00A70614" w:rsidRDefault="003474B6" w:rsidP="0067514E">
      <w:pPr>
        <w:pStyle w:val="Textpoznpodarou"/>
        <w:jc w:val="both"/>
        <w:rPr>
          <w:color w:val="0D0D0D" w:themeColor="text1" w:themeTint="F2"/>
          <w:sz w:val="16"/>
          <w:szCs w:val="16"/>
        </w:rPr>
      </w:pPr>
      <w:r w:rsidRPr="003F67A6">
        <w:rPr>
          <w:rStyle w:val="Znakapoznpodarou"/>
          <w:sz w:val="16"/>
          <w:szCs w:val="16"/>
        </w:rPr>
        <w:footnoteRef/>
      </w:r>
      <w:r w:rsidRPr="003F67A6">
        <w:rPr>
          <w:sz w:val="16"/>
          <w:szCs w:val="16"/>
        </w:rPr>
        <w:t xml:space="preserve"> </w:t>
      </w:r>
      <w:r w:rsidRPr="003F67A6">
        <w:rPr>
          <w:color w:val="0D0D0D" w:themeColor="text1" w:themeTint="F2"/>
          <w:sz w:val="16"/>
          <w:szCs w:val="16"/>
        </w:rPr>
        <w:t xml:space="preserve">Dle </w:t>
      </w:r>
      <w:r>
        <w:rPr>
          <w:color w:val="0D0D0D" w:themeColor="text1" w:themeTint="F2"/>
          <w:sz w:val="16"/>
          <w:szCs w:val="16"/>
        </w:rPr>
        <w:t>údajů ČSÚ vzrostla v roce 2019 spotřeba motorového benzínu (včetně biosložek) meziročně o 0,7 %, motorové nafty o 1,5 % a leteckého petroleje o 3,9 %. V samotném 4. čtvrtletí bylo tempo spotřeby slabší, v případě motorové nafty i benzínu byl zaznamenán velmi mírný meziroční pokles (o 0,2 %, resp. 0,5 %).</w:t>
      </w:r>
    </w:p>
  </w:footnote>
  <w:footnote w:id="72">
    <w:p w14:paraId="724B6CB6" w14:textId="77777777" w:rsidR="003474B6" w:rsidRPr="007F5302" w:rsidRDefault="003474B6" w:rsidP="0067514E">
      <w:pPr>
        <w:pStyle w:val="Textpoznpodarou"/>
        <w:jc w:val="both"/>
        <w:rPr>
          <w:sz w:val="16"/>
          <w:szCs w:val="16"/>
        </w:rPr>
      </w:pPr>
      <w:r w:rsidRPr="007F5302">
        <w:rPr>
          <w:rStyle w:val="Znakapoznpodarou"/>
          <w:sz w:val="16"/>
          <w:szCs w:val="16"/>
        </w:rPr>
        <w:footnoteRef/>
      </w:r>
      <w:r w:rsidRPr="007F5302">
        <w:rPr>
          <w:sz w:val="16"/>
          <w:szCs w:val="16"/>
        </w:rPr>
        <w:t xml:space="preserve"> </w:t>
      </w:r>
      <w:r>
        <w:rPr>
          <w:color w:val="0D0D0D" w:themeColor="text1" w:themeTint="F2"/>
          <w:sz w:val="16"/>
          <w:szCs w:val="16"/>
        </w:rPr>
        <w:t>U daně z příjmů fyzických osob bylo předkrizové maximum (z roku 2007) překonáno již v roce 2015.</w:t>
      </w:r>
    </w:p>
  </w:footnote>
  <w:footnote w:id="73">
    <w:p w14:paraId="529670A3" w14:textId="77777777" w:rsidR="003474B6" w:rsidRPr="006D61C4" w:rsidRDefault="003474B6" w:rsidP="0067514E">
      <w:pPr>
        <w:pStyle w:val="Textpoznpodarou"/>
        <w:jc w:val="both"/>
        <w:rPr>
          <w:sz w:val="16"/>
          <w:szCs w:val="16"/>
        </w:rPr>
      </w:pPr>
      <w:r w:rsidRPr="006D61C4">
        <w:rPr>
          <w:rStyle w:val="Znakapoznpodarou"/>
          <w:sz w:val="16"/>
          <w:szCs w:val="16"/>
        </w:rPr>
        <w:footnoteRef/>
      </w:r>
      <w:r w:rsidRPr="006D61C4">
        <w:rPr>
          <w:sz w:val="16"/>
          <w:szCs w:val="16"/>
        </w:rPr>
        <w:t xml:space="preserve"> </w:t>
      </w:r>
      <w:r>
        <w:rPr>
          <w:sz w:val="16"/>
          <w:szCs w:val="16"/>
        </w:rPr>
        <w:t xml:space="preserve">V tomto nadstandardně vysokém </w:t>
      </w:r>
      <w:r>
        <w:rPr>
          <w:color w:val="0D0D0D" w:themeColor="text1" w:themeTint="F2"/>
          <w:spacing w:val="-2"/>
          <w:sz w:val="16"/>
          <w:szCs w:val="16"/>
        </w:rPr>
        <w:t>tempu růstu výdajů se promítl i </w:t>
      </w:r>
      <w:r w:rsidRPr="00D3653C">
        <w:rPr>
          <w:color w:val="0D0D0D" w:themeColor="text1" w:themeTint="F2"/>
          <w:spacing w:val="-2"/>
          <w:sz w:val="16"/>
          <w:szCs w:val="16"/>
        </w:rPr>
        <w:t xml:space="preserve">neplánovaný </w:t>
      </w:r>
      <w:r>
        <w:rPr>
          <w:color w:val="0D0D0D" w:themeColor="text1" w:themeTint="F2"/>
          <w:spacing w:val="-2"/>
          <w:sz w:val="16"/>
          <w:szCs w:val="16"/>
        </w:rPr>
        <w:t>(z pohledu celkového rozpočtu neutrální)</w:t>
      </w:r>
      <w:r w:rsidRPr="00D3653C">
        <w:rPr>
          <w:color w:val="0D0D0D" w:themeColor="text1" w:themeTint="F2"/>
          <w:spacing w:val="-2"/>
          <w:sz w:val="16"/>
          <w:szCs w:val="16"/>
        </w:rPr>
        <w:t xml:space="preserve"> přev</w:t>
      </w:r>
      <w:r>
        <w:rPr>
          <w:color w:val="0D0D0D" w:themeColor="text1" w:themeTint="F2"/>
          <w:spacing w:val="-2"/>
          <w:sz w:val="16"/>
          <w:szCs w:val="16"/>
        </w:rPr>
        <w:t>od 18,6 mld. korun související s</w:t>
      </w:r>
      <w:r>
        <w:rPr>
          <w:spacing w:val="-2"/>
          <w:sz w:val="16"/>
          <w:szCs w:val="16"/>
        </w:rPr>
        <w:t> </w:t>
      </w:r>
      <w:r w:rsidRPr="00D3653C">
        <w:rPr>
          <w:color w:val="0D0D0D" w:themeColor="text1" w:themeTint="F2"/>
          <w:spacing w:val="-2"/>
          <w:sz w:val="16"/>
          <w:szCs w:val="16"/>
        </w:rPr>
        <w:t>přebytkem hospodaření systému důchodového pojištění za rok 2018 (z</w:t>
      </w:r>
      <w:r>
        <w:rPr>
          <w:color w:val="0D0D0D" w:themeColor="text1" w:themeTint="F2"/>
          <w:spacing w:val="-2"/>
          <w:sz w:val="16"/>
          <w:szCs w:val="16"/>
        </w:rPr>
        <w:t> </w:t>
      </w:r>
      <w:r w:rsidRPr="00D3653C">
        <w:rPr>
          <w:color w:val="0D0D0D" w:themeColor="text1" w:themeTint="F2"/>
          <w:spacing w:val="-2"/>
          <w:sz w:val="16"/>
          <w:szCs w:val="16"/>
        </w:rPr>
        <w:t>kapitoly Všeobecná pokladní správa do kapitoly Operace státních finančních aktiv). Bez toho</w:t>
      </w:r>
      <w:r>
        <w:rPr>
          <w:color w:val="0D0D0D" w:themeColor="text1" w:themeTint="F2"/>
          <w:spacing w:val="-2"/>
          <w:sz w:val="16"/>
          <w:szCs w:val="16"/>
        </w:rPr>
        <w:t>to</w:t>
      </w:r>
      <w:r w:rsidRPr="00D3653C">
        <w:rPr>
          <w:color w:val="0D0D0D" w:themeColor="text1" w:themeTint="F2"/>
          <w:spacing w:val="-2"/>
          <w:sz w:val="16"/>
          <w:szCs w:val="16"/>
        </w:rPr>
        <w:t xml:space="preserve"> převodu by meziroční tempo výdajů činilo 9,4</w:t>
      </w:r>
      <w:r>
        <w:rPr>
          <w:color w:val="0D0D0D" w:themeColor="text1" w:themeTint="F2"/>
          <w:spacing w:val="-2"/>
          <w:sz w:val="16"/>
          <w:szCs w:val="16"/>
        </w:rPr>
        <w:t> %</w:t>
      </w:r>
      <w:r w:rsidRPr="00D3653C">
        <w:rPr>
          <w:color w:val="0D0D0D" w:themeColor="text1" w:themeTint="F2"/>
          <w:spacing w:val="-2"/>
          <w:sz w:val="16"/>
          <w:szCs w:val="16"/>
        </w:rPr>
        <w:t>.</w:t>
      </w:r>
    </w:p>
  </w:footnote>
  <w:footnote w:id="74">
    <w:p w14:paraId="706BF40E" w14:textId="77777777" w:rsidR="003474B6" w:rsidRPr="006D61C4" w:rsidRDefault="003474B6" w:rsidP="0067514E">
      <w:pPr>
        <w:pStyle w:val="Textpoznpodarou"/>
        <w:jc w:val="both"/>
        <w:rPr>
          <w:sz w:val="16"/>
          <w:szCs w:val="16"/>
        </w:rPr>
      </w:pPr>
      <w:r w:rsidRPr="006D61C4">
        <w:rPr>
          <w:rStyle w:val="Znakapoznpodarou"/>
          <w:sz w:val="16"/>
          <w:szCs w:val="16"/>
        </w:rPr>
        <w:footnoteRef/>
      </w:r>
      <w:r w:rsidRPr="006D61C4">
        <w:rPr>
          <w:sz w:val="16"/>
          <w:szCs w:val="16"/>
        </w:rPr>
        <w:t xml:space="preserve"> </w:t>
      </w:r>
      <w:r>
        <w:rPr>
          <w:color w:val="0D0D0D" w:themeColor="text1" w:themeTint="F2"/>
          <w:spacing w:val="-2"/>
          <w:sz w:val="16"/>
          <w:szCs w:val="16"/>
        </w:rPr>
        <w:t xml:space="preserve">Celkové výdaje </w:t>
      </w:r>
      <w:r w:rsidRPr="003C770C">
        <w:rPr>
          <w:spacing w:val="-2"/>
          <w:sz w:val="16"/>
          <w:szCs w:val="16"/>
        </w:rPr>
        <w:t>na financování společných programů</w:t>
      </w:r>
      <w:r>
        <w:rPr>
          <w:spacing w:val="-2"/>
          <w:sz w:val="16"/>
          <w:szCs w:val="16"/>
        </w:rPr>
        <w:t xml:space="preserve"> EU a ČR dosáhly loni 140,4 mld. korun a meziročně posílily o osminu. Tato položka zahrnuje i neinvestiční výdaje (např. přímé platby zemědělcům).</w:t>
      </w:r>
    </w:p>
  </w:footnote>
  <w:footnote w:id="75">
    <w:p w14:paraId="787EAAED" w14:textId="77777777" w:rsidR="003474B6" w:rsidRPr="006D61C4" w:rsidRDefault="003474B6" w:rsidP="0067514E">
      <w:pPr>
        <w:pStyle w:val="Textpoznpodarou"/>
        <w:jc w:val="both"/>
        <w:rPr>
          <w:sz w:val="16"/>
          <w:szCs w:val="16"/>
        </w:rPr>
      </w:pPr>
      <w:r w:rsidRPr="006D61C4">
        <w:rPr>
          <w:rStyle w:val="Znakapoznpodarou"/>
          <w:sz w:val="16"/>
          <w:szCs w:val="16"/>
        </w:rPr>
        <w:footnoteRef/>
      </w:r>
      <w:r w:rsidRPr="006D61C4">
        <w:rPr>
          <w:sz w:val="16"/>
          <w:szCs w:val="16"/>
        </w:rPr>
        <w:t xml:space="preserve"> </w:t>
      </w:r>
      <w:r>
        <w:rPr>
          <w:color w:val="0D0D0D" w:themeColor="text1" w:themeTint="F2"/>
          <w:spacing w:val="-2"/>
          <w:sz w:val="16"/>
          <w:szCs w:val="16"/>
        </w:rPr>
        <w:t>Šlo hlavně o meziroční na</w:t>
      </w:r>
      <w:r w:rsidRPr="00466BF5">
        <w:rPr>
          <w:spacing w:val="-2"/>
          <w:sz w:val="16"/>
          <w:szCs w:val="16"/>
        </w:rPr>
        <w:t>výšení objemu prost</w:t>
      </w:r>
      <w:r>
        <w:rPr>
          <w:spacing w:val="-2"/>
          <w:sz w:val="16"/>
          <w:szCs w:val="16"/>
        </w:rPr>
        <w:t>ředků na platy pedagogických</w:t>
      </w:r>
      <w:r w:rsidRPr="00466BF5">
        <w:rPr>
          <w:spacing w:val="-2"/>
          <w:sz w:val="16"/>
          <w:szCs w:val="16"/>
        </w:rPr>
        <w:t xml:space="preserve"> (+15</w:t>
      </w:r>
      <w:r>
        <w:rPr>
          <w:spacing w:val="-2"/>
          <w:sz w:val="16"/>
          <w:szCs w:val="16"/>
        </w:rPr>
        <w:t> %</w:t>
      </w:r>
      <w:r w:rsidRPr="00466BF5">
        <w:rPr>
          <w:spacing w:val="-2"/>
          <w:sz w:val="16"/>
          <w:szCs w:val="16"/>
        </w:rPr>
        <w:t>) a</w:t>
      </w:r>
      <w:r>
        <w:rPr>
          <w:spacing w:val="-2"/>
          <w:sz w:val="16"/>
          <w:szCs w:val="16"/>
        </w:rPr>
        <w:t> </w:t>
      </w:r>
      <w:r w:rsidRPr="00466BF5">
        <w:rPr>
          <w:spacing w:val="-2"/>
          <w:sz w:val="16"/>
          <w:szCs w:val="16"/>
        </w:rPr>
        <w:t>nepedagogických pracovníků (+10</w:t>
      </w:r>
      <w:r>
        <w:rPr>
          <w:spacing w:val="-2"/>
          <w:sz w:val="16"/>
          <w:szCs w:val="16"/>
        </w:rPr>
        <w:t> %</w:t>
      </w:r>
      <w:r w:rsidRPr="00466BF5">
        <w:rPr>
          <w:spacing w:val="-2"/>
          <w:sz w:val="16"/>
          <w:szCs w:val="16"/>
        </w:rPr>
        <w:t>).</w:t>
      </w:r>
    </w:p>
  </w:footnote>
  <w:footnote w:id="76">
    <w:p w14:paraId="2E705164" w14:textId="77777777" w:rsidR="003474B6" w:rsidRPr="006D61C4" w:rsidRDefault="003474B6" w:rsidP="0067514E">
      <w:pPr>
        <w:pStyle w:val="Textpoznpodarou"/>
        <w:jc w:val="both"/>
        <w:rPr>
          <w:sz w:val="16"/>
          <w:szCs w:val="16"/>
        </w:rPr>
      </w:pPr>
      <w:r w:rsidRPr="006D61C4">
        <w:rPr>
          <w:rStyle w:val="Znakapoznpodarou"/>
          <w:sz w:val="16"/>
          <w:szCs w:val="16"/>
        </w:rPr>
        <w:footnoteRef/>
      </w:r>
      <w:r>
        <w:rPr>
          <w:sz w:val="16"/>
          <w:szCs w:val="16"/>
        </w:rPr>
        <w:t xml:space="preserve"> Jde o saldo rozpočtové kapitoly Státní dluh. Za posledních šest let vzrostly tyto výdaje meziročně jen v roce 2018 (o 2,4 %).</w:t>
      </w:r>
    </w:p>
  </w:footnote>
  <w:footnote w:id="77">
    <w:p w14:paraId="25EF3695" w14:textId="77777777" w:rsidR="003474B6" w:rsidRPr="006D61C4" w:rsidRDefault="003474B6" w:rsidP="0067514E">
      <w:pPr>
        <w:pStyle w:val="Textpoznpodarou"/>
        <w:jc w:val="both"/>
        <w:rPr>
          <w:sz w:val="16"/>
          <w:szCs w:val="16"/>
        </w:rPr>
      </w:pPr>
      <w:r w:rsidRPr="006D61C4">
        <w:rPr>
          <w:rStyle w:val="Znakapoznpodarou"/>
          <w:sz w:val="16"/>
          <w:szCs w:val="16"/>
        </w:rPr>
        <w:footnoteRef/>
      </w:r>
      <w:r w:rsidRPr="006D61C4">
        <w:rPr>
          <w:sz w:val="16"/>
          <w:szCs w:val="16"/>
        </w:rPr>
        <w:t xml:space="preserve"> </w:t>
      </w:r>
      <w:r>
        <w:rPr>
          <w:color w:val="0D0D0D" w:themeColor="text1" w:themeTint="F2"/>
          <w:spacing w:val="-2"/>
          <w:sz w:val="16"/>
          <w:szCs w:val="16"/>
        </w:rPr>
        <w:t>Jednalo se o </w:t>
      </w:r>
      <w:r w:rsidRPr="008274EF">
        <w:rPr>
          <w:color w:val="0D0D0D" w:themeColor="text1" w:themeTint="F2"/>
          <w:spacing w:val="-2"/>
          <w:sz w:val="16"/>
          <w:szCs w:val="16"/>
        </w:rPr>
        <w:t>zvýšení základní výměry důchodu z</w:t>
      </w:r>
      <w:r>
        <w:rPr>
          <w:color w:val="0D0D0D" w:themeColor="text1" w:themeTint="F2"/>
          <w:spacing w:val="-2"/>
          <w:sz w:val="16"/>
          <w:szCs w:val="16"/>
        </w:rPr>
        <w:t> </w:t>
      </w:r>
      <w:r w:rsidRPr="008274EF">
        <w:rPr>
          <w:color w:val="0D0D0D" w:themeColor="text1" w:themeTint="F2"/>
          <w:spacing w:val="-2"/>
          <w:sz w:val="16"/>
          <w:szCs w:val="16"/>
        </w:rPr>
        <w:t>9 % na 10 % průměrné mzdy</w:t>
      </w:r>
      <w:r>
        <w:rPr>
          <w:color w:val="0D0D0D" w:themeColor="text1" w:themeTint="F2"/>
          <w:spacing w:val="-2"/>
          <w:sz w:val="16"/>
          <w:szCs w:val="16"/>
        </w:rPr>
        <w:t xml:space="preserve">, </w:t>
      </w:r>
      <w:r w:rsidRPr="008274EF">
        <w:rPr>
          <w:color w:val="0D0D0D" w:themeColor="text1" w:themeTint="F2"/>
          <w:spacing w:val="-2"/>
          <w:sz w:val="16"/>
          <w:szCs w:val="16"/>
        </w:rPr>
        <w:t>procentní výměry důchodů o</w:t>
      </w:r>
      <w:r>
        <w:rPr>
          <w:color w:val="0D0D0D" w:themeColor="text1" w:themeTint="F2"/>
          <w:spacing w:val="-2"/>
          <w:sz w:val="16"/>
          <w:szCs w:val="16"/>
        </w:rPr>
        <w:t> 3,4 % a dále o zvýšení o 1 000</w:t>
      </w:r>
      <w:r w:rsidRPr="003C770C">
        <w:rPr>
          <w:spacing w:val="-2"/>
          <w:sz w:val="16"/>
          <w:szCs w:val="16"/>
        </w:rPr>
        <w:t> </w:t>
      </w:r>
      <w:r>
        <w:rPr>
          <w:color w:val="0D0D0D" w:themeColor="text1" w:themeTint="F2"/>
          <w:spacing w:val="-2"/>
          <w:sz w:val="16"/>
          <w:szCs w:val="16"/>
        </w:rPr>
        <w:t xml:space="preserve">korun </w:t>
      </w:r>
      <w:r w:rsidRPr="008274EF">
        <w:rPr>
          <w:color w:val="0D0D0D" w:themeColor="text1" w:themeTint="F2"/>
          <w:spacing w:val="-2"/>
          <w:sz w:val="16"/>
          <w:szCs w:val="16"/>
        </w:rPr>
        <w:t>u</w:t>
      </w:r>
      <w:r>
        <w:rPr>
          <w:color w:val="0D0D0D" w:themeColor="text1" w:themeTint="F2"/>
          <w:spacing w:val="-2"/>
          <w:sz w:val="16"/>
          <w:szCs w:val="16"/>
        </w:rPr>
        <w:t> příjemců důchodů, kteří dosáhnou věku</w:t>
      </w:r>
      <w:r w:rsidRPr="008274EF">
        <w:rPr>
          <w:color w:val="0D0D0D" w:themeColor="text1" w:themeTint="F2"/>
          <w:spacing w:val="-2"/>
          <w:sz w:val="16"/>
          <w:szCs w:val="16"/>
        </w:rPr>
        <w:t xml:space="preserve"> 85</w:t>
      </w:r>
      <w:r>
        <w:rPr>
          <w:color w:val="0D0D0D" w:themeColor="text1" w:themeTint="F2"/>
          <w:spacing w:val="-2"/>
          <w:sz w:val="16"/>
          <w:szCs w:val="16"/>
        </w:rPr>
        <w:t> </w:t>
      </w:r>
      <w:r w:rsidRPr="008274EF">
        <w:rPr>
          <w:color w:val="0D0D0D" w:themeColor="text1" w:themeTint="F2"/>
          <w:spacing w:val="-2"/>
          <w:sz w:val="16"/>
          <w:szCs w:val="16"/>
        </w:rPr>
        <w:t>let.</w:t>
      </w:r>
      <w:r>
        <w:rPr>
          <w:color w:val="0D0D0D" w:themeColor="text1" w:themeTint="F2"/>
          <w:spacing w:val="-2"/>
          <w:sz w:val="16"/>
          <w:szCs w:val="16"/>
        </w:rPr>
        <w:t xml:space="preserve"> Dále je v</w:t>
      </w:r>
      <w:r w:rsidRPr="00257340">
        <w:rPr>
          <w:color w:val="0D0D0D" w:themeColor="text1" w:themeTint="F2"/>
          <w:spacing w:val="-2"/>
          <w:sz w:val="16"/>
          <w:szCs w:val="16"/>
        </w:rPr>
        <w:t>e valorizačním mechanismu od roku 2018 plně reflektován vliv růstu spotřebitelských cen (ev.</w:t>
      </w:r>
      <w:r>
        <w:rPr>
          <w:color w:val="0D0D0D" w:themeColor="text1" w:themeTint="F2"/>
          <w:spacing w:val="-2"/>
          <w:sz w:val="16"/>
          <w:szCs w:val="16"/>
        </w:rPr>
        <w:t> </w:t>
      </w:r>
      <w:r w:rsidRPr="00257340">
        <w:rPr>
          <w:color w:val="0D0D0D" w:themeColor="text1" w:themeTint="F2"/>
          <w:spacing w:val="-2"/>
          <w:sz w:val="16"/>
          <w:szCs w:val="16"/>
        </w:rPr>
        <w:t>růstu životních nákladů důchodců) a</w:t>
      </w:r>
      <w:r>
        <w:rPr>
          <w:color w:val="0D0D0D" w:themeColor="text1" w:themeTint="F2"/>
          <w:spacing w:val="-2"/>
          <w:sz w:val="16"/>
          <w:szCs w:val="16"/>
        </w:rPr>
        <w:t> </w:t>
      </w:r>
      <w:r w:rsidRPr="00257340">
        <w:rPr>
          <w:color w:val="0D0D0D" w:themeColor="text1" w:themeTint="F2"/>
          <w:spacing w:val="-2"/>
          <w:sz w:val="16"/>
          <w:szCs w:val="16"/>
        </w:rPr>
        <w:t xml:space="preserve">je zohledněna </w:t>
      </w:r>
      <w:r>
        <w:rPr>
          <w:color w:val="0D0D0D" w:themeColor="text1" w:themeTint="F2"/>
          <w:spacing w:val="-2"/>
          <w:sz w:val="16"/>
          <w:szCs w:val="16"/>
        </w:rPr>
        <w:t>i polovina růstu reálných mezd v ekonomice.</w:t>
      </w:r>
    </w:p>
  </w:footnote>
  <w:footnote w:id="78">
    <w:p w14:paraId="650DB005" w14:textId="77777777" w:rsidR="003474B6" w:rsidRDefault="003474B6" w:rsidP="0067514E">
      <w:pPr>
        <w:pStyle w:val="Textpoznpodarou"/>
        <w:jc w:val="both"/>
      </w:pPr>
      <w:r w:rsidRPr="000315DB">
        <w:rPr>
          <w:rStyle w:val="Znakapoznpodarou"/>
          <w:sz w:val="16"/>
          <w:szCs w:val="16"/>
        </w:rPr>
        <w:footnoteRef/>
      </w:r>
      <w:r>
        <w:rPr>
          <w:sz w:val="16"/>
          <w:szCs w:val="16"/>
        </w:rPr>
        <w:t xml:space="preserve"> Meziroční růst počtu příjemců trvale krácených (předčasných) důch</w:t>
      </w:r>
      <w:r w:rsidRPr="003770A8">
        <w:rPr>
          <w:color w:val="0D0D0D" w:themeColor="text1" w:themeTint="F2"/>
          <w:sz w:val="16"/>
          <w:szCs w:val="16"/>
        </w:rPr>
        <w:t xml:space="preserve">odů ve 4. čtvrtletí 2019 </w:t>
      </w:r>
      <w:r>
        <w:rPr>
          <w:sz w:val="16"/>
          <w:szCs w:val="16"/>
        </w:rPr>
        <w:t>činil 1,9 %, po roce 2014 toto tempo plynule klesá. Podíl předčasných důchodců na všech příjemcích starobních důchodů dosahoval v ČR 26,6 % (s významnými regionálními rozdíly).</w:t>
      </w:r>
    </w:p>
  </w:footnote>
  <w:footnote w:id="79">
    <w:p w14:paraId="59268B01" w14:textId="77777777" w:rsidR="003474B6" w:rsidRPr="006B5B53" w:rsidRDefault="003474B6" w:rsidP="0067514E">
      <w:pPr>
        <w:pStyle w:val="Textpoznpodarou"/>
        <w:jc w:val="both"/>
      </w:pPr>
      <w:r w:rsidRPr="000315DB">
        <w:rPr>
          <w:rStyle w:val="Znakapoznpodarou"/>
          <w:sz w:val="16"/>
          <w:szCs w:val="16"/>
        </w:rPr>
        <w:footnoteRef/>
      </w:r>
      <w:r w:rsidRPr="000315DB">
        <w:rPr>
          <w:sz w:val="16"/>
          <w:szCs w:val="16"/>
        </w:rPr>
        <w:t xml:space="preserve"> Je vyjádřeno jako </w:t>
      </w:r>
      <w:r w:rsidRPr="000315DB">
        <w:rPr>
          <w:rFonts w:cs="Arial"/>
          <w:color w:val="000000" w:themeColor="text1"/>
          <w:spacing w:val="-4"/>
          <w:sz w:val="16"/>
          <w:szCs w:val="16"/>
        </w:rPr>
        <w:t>rozdíl mezi příjmy a</w:t>
      </w:r>
      <w:r>
        <w:rPr>
          <w:rFonts w:cs="Arial"/>
          <w:color w:val="000000" w:themeColor="text1"/>
          <w:spacing w:val="-4"/>
          <w:sz w:val="16"/>
          <w:szCs w:val="16"/>
        </w:rPr>
        <w:t> </w:t>
      </w:r>
      <w:r w:rsidRPr="000315DB">
        <w:rPr>
          <w:rFonts w:cs="Arial"/>
          <w:color w:val="000000" w:themeColor="text1"/>
          <w:spacing w:val="-4"/>
          <w:sz w:val="16"/>
          <w:szCs w:val="16"/>
        </w:rPr>
        <w:t>výdaji na</w:t>
      </w:r>
      <w:r>
        <w:rPr>
          <w:rFonts w:cs="Arial"/>
          <w:color w:val="000000" w:themeColor="text1"/>
          <w:spacing w:val="-4"/>
          <w:sz w:val="16"/>
          <w:szCs w:val="16"/>
        </w:rPr>
        <w:t xml:space="preserve"> důchody ze SR</w:t>
      </w:r>
      <w:r w:rsidRPr="000315DB">
        <w:rPr>
          <w:rFonts w:cs="Arial"/>
          <w:color w:val="000000" w:themeColor="text1"/>
          <w:spacing w:val="-4"/>
          <w:sz w:val="16"/>
          <w:szCs w:val="16"/>
        </w:rPr>
        <w:t>.</w:t>
      </w:r>
      <w:r>
        <w:rPr>
          <w:rFonts w:cs="Arial"/>
          <w:color w:val="000000" w:themeColor="text1"/>
          <w:spacing w:val="-4"/>
          <w:sz w:val="16"/>
          <w:szCs w:val="16"/>
        </w:rPr>
        <w:t xml:space="preserve"> Ve výdajích jsou zahrnuty i prostředky</w:t>
      </w:r>
      <w:r w:rsidRPr="006B5B53">
        <w:rPr>
          <w:rFonts w:cs="Arial"/>
          <w:color w:val="000000" w:themeColor="text1"/>
          <w:spacing w:val="-4"/>
          <w:sz w:val="16"/>
          <w:szCs w:val="16"/>
        </w:rPr>
        <w:t xml:space="preserve"> na správu systému důchodového </w:t>
      </w:r>
      <w:r w:rsidRPr="004D1257">
        <w:rPr>
          <w:rFonts w:cs="Arial"/>
          <w:color w:val="0D0D0D" w:themeColor="text1" w:themeTint="F2"/>
          <w:spacing w:val="-4"/>
          <w:sz w:val="16"/>
          <w:szCs w:val="16"/>
        </w:rPr>
        <w:t>pojištění (v</w:t>
      </w:r>
      <w:r>
        <w:rPr>
          <w:rFonts w:cs="Arial"/>
          <w:color w:val="0D0D0D" w:themeColor="text1" w:themeTint="F2"/>
          <w:spacing w:val="-4"/>
          <w:sz w:val="16"/>
          <w:szCs w:val="16"/>
        </w:rPr>
        <w:t> </w:t>
      </w:r>
      <w:r w:rsidRPr="004D1257">
        <w:rPr>
          <w:rFonts w:cs="Arial"/>
          <w:color w:val="0D0D0D" w:themeColor="text1" w:themeTint="F2"/>
          <w:spacing w:val="-4"/>
          <w:sz w:val="16"/>
          <w:szCs w:val="16"/>
        </w:rPr>
        <w:t xml:space="preserve">roce 2019 dosáhly </w:t>
      </w:r>
      <w:r>
        <w:rPr>
          <w:rFonts w:cs="Arial"/>
          <w:color w:val="000000" w:themeColor="text1"/>
          <w:spacing w:val="-4"/>
          <w:sz w:val="16"/>
          <w:szCs w:val="16"/>
        </w:rPr>
        <w:t>dle údajů MF 6,3</w:t>
      </w:r>
      <w:r w:rsidRPr="006B5B53">
        <w:rPr>
          <w:rFonts w:cs="Arial"/>
          <w:color w:val="000000" w:themeColor="text1"/>
          <w:spacing w:val="-4"/>
          <w:sz w:val="16"/>
          <w:szCs w:val="16"/>
        </w:rPr>
        <w:t> mld. korun).</w:t>
      </w:r>
    </w:p>
  </w:footnote>
  <w:footnote w:id="80">
    <w:p w14:paraId="36AF8160" w14:textId="77777777" w:rsidR="003474B6" w:rsidRDefault="003474B6" w:rsidP="0067514E">
      <w:pPr>
        <w:pStyle w:val="Textpoznpodarou"/>
        <w:jc w:val="both"/>
      </w:pPr>
      <w:r w:rsidRPr="006B5B53">
        <w:rPr>
          <w:rStyle w:val="Znakapoznpodarou"/>
          <w:sz w:val="16"/>
          <w:szCs w:val="16"/>
        </w:rPr>
        <w:footnoteRef/>
      </w:r>
      <w:r>
        <w:rPr>
          <w:sz w:val="16"/>
          <w:szCs w:val="16"/>
        </w:rPr>
        <w:t xml:space="preserve"> Stál za tím </w:t>
      </w:r>
      <w:r w:rsidRPr="006B5B53">
        <w:rPr>
          <w:sz w:val="16"/>
          <w:szCs w:val="16"/>
        </w:rPr>
        <w:t>pokračující růst dočasné pracovní neschopnosti. Zvyšoval se i</w:t>
      </w:r>
      <w:r>
        <w:rPr>
          <w:sz w:val="16"/>
          <w:szCs w:val="16"/>
        </w:rPr>
        <w:t> </w:t>
      </w:r>
      <w:r w:rsidRPr="006B5B53">
        <w:rPr>
          <w:sz w:val="16"/>
          <w:szCs w:val="16"/>
        </w:rPr>
        <w:t>denní vyměřovací základ této dávky (odvozené mj.</w:t>
      </w:r>
      <w:r>
        <w:rPr>
          <w:sz w:val="16"/>
          <w:szCs w:val="16"/>
        </w:rPr>
        <w:t> </w:t>
      </w:r>
      <w:r w:rsidRPr="006B5B53">
        <w:rPr>
          <w:sz w:val="16"/>
          <w:szCs w:val="16"/>
        </w:rPr>
        <w:t>od výše předchozích vý</w:t>
      </w:r>
      <w:r>
        <w:rPr>
          <w:sz w:val="16"/>
          <w:szCs w:val="16"/>
        </w:rPr>
        <w:t xml:space="preserve">dělků). Růst objemu </w:t>
      </w:r>
      <w:r w:rsidRPr="006B5B53">
        <w:rPr>
          <w:sz w:val="16"/>
          <w:szCs w:val="16"/>
        </w:rPr>
        <w:t xml:space="preserve">nemocenských dávek byl </w:t>
      </w:r>
      <w:r>
        <w:rPr>
          <w:sz w:val="16"/>
          <w:szCs w:val="16"/>
        </w:rPr>
        <w:t xml:space="preserve">loni zčásti </w:t>
      </w:r>
      <w:r w:rsidRPr="006B5B53">
        <w:rPr>
          <w:sz w:val="16"/>
          <w:szCs w:val="16"/>
        </w:rPr>
        <w:t>ovlivněn i</w:t>
      </w:r>
      <w:r>
        <w:rPr>
          <w:sz w:val="16"/>
          <w:szCs w:val="16"/>
        </w:rPr>
        <w:t> </w:t>
      </w:r>
      <w:r w:rsidRPr="006B5B53">
        <w:rPr>
          <w:sz w:val="16"/>
          <w:szCs w:val="16"/>
        </w:rPr>
        <w:t>vyšším čerpáním p</w:t>
      </w:r>
      <w:r>
        <w:rPr>
          <w:sz w:val="16"/>
          <w:szCs w:val="16"/>
        </w:rPr>
        <w:t>eněžité pomoci v mateřství (+7,4 %</w:t>
      </w:r>
      <w:r w:rsidRPr="006B5B53">
        <w:rPr>
          <w:sz w:val="16"/>
          <w:szCs w:val="16"/>
        </w:rPr>
        <w:t>).</w:t>
      </w:r>
    </w:p>
  </w:footnote>
  <w:footnote w:id="81">
    <w:p w14:paraId="06031BD1" w14:textId="77777777" w:rsidR="003474B6" w:rsidRPr="00E9220F" w:rsidRDefault="003474B6" w:rsidP="0067514E">
      <w:pPr>
        <w:pStyle w:val="Textpoznpodarou"/>
        <w:rPr>
          <w:color w:val="0D0D0D" w:themeColor="text1" w:themeTint="F2"/>
          <w:spacing w:val="-2"/>
          <w:sz w:val="16"/>
          <w:szCs w:val="16"/>
        </w:rPr>
      </w:pPr>
      <w:r w:rsidRPr="00E9220F">
        <w:rPr>
          <w:rStyle w:val="Znakapoznpodarou"/>
          <w:color w:val="0D0D0D" w:themeColor="text1" w:themeTint="F2"/>
          <w:spacing w:val="-2"/>
          <w:sz w:val="16"/>
          <w:szCs w:val="16"/>
        </w:rPr>
        <w:footnoteRef/>
      </w:r>
      <w:r>
        <w:rPr>
          <w:color w:val="0D0D0D" w:themeColor="text1" w:themeTint="F2"/>
          <w:spacing w:val="-2"/>
          <w:sz w:val="16"/>
          <w:szCs w:val="16"/>
        </w:rPr>
        <w:t xml:space="preserve"> V roce 2019 již nebyla emise pokryta výhradně korunovými dluhopisy. MF vydalo také </w:t>
      </w:r>
      <w:proofErr w:type="spellStart"/>
      <w:r>
        <w:rPr>
          <w:color w:val="0D0D0D" w:themeColor="text1" w:themeTint="F2"/>
          <w:spacing w:val="-2"/>
          <w:sz w:val="16"/>
          <w:szCs w:val="16"/>
        </w:rPr>
        <w:t>eurodluhopis</w:t>
      </w:r>
      <w:proofErr w:type="spellEnd"/>
      <w:r>
        <w:rPr>
          <w:color w:val="0D0D0D" w:themeColor="text1" w:themeTint="F2"/>
          <w:spacing w:val="-2"/>
          <w:sz w:val="16"/>
          <w:szCs w:val="16"/>
        </w:rPr>
        <w:t xml:space="preserve"> (v hodně 1,0 mld. eur se splatností v roce 2021 a se záporným výnosem).</w:t>
      </w:r>
    </w:p>
  </w:footnote>
  <w:footnote w:id="82">
    <w:p w14:paraId="404ECF88" w14:textId="77777777" w:rsidR="003474B6" w:rsidRPr="00E9220F" w:rsidRDefault="003474B6" w:rsidP="0067514E">
      <w:pPr>
        <w:pStyle w:val="Textpoznpodarou"/>
        <w:rPr>
          <w:color w:val="0D0D0D" w:themeColor="text1" w:themeTint="F2"/>
          <w:spacing w:val="-2"/>
          <w:sz w:val="16"/>
          <w:szCs w:val="16"/>
        </w:rPr>
      </w:pPr>
      <w:r w:rsidRPr="00E9220F">
        <w:rPr>
          <w:rStyle w:val="Znakapoznpodarou"/>
          <w:color w:val="0D0D0D" w:themeColor="text1" w:themeTint="F2"/>
          <w:spacing w:val="-2"/>
          <w:sz w:val="16"/>
          <w:szCs w:val="16"/>
        </w:rPr>
        <w:footnoteRef/>
      </w:r>
      <w:r>
        <w:rPr>
          <w:color w:val="0D0D0D" w:themeColor="text1" w:themeTint="F2"/>
          <w:spacing w:val="-2"/>
          <w:sz w:val="16"/>
          <w:szCs w:val="16"/>
        </w:rPr>
        <w:t xml:space="preserve"> </w:t>
      </w:r>
      <w:r w:rsidRPr="00BC11EA">
        <w:rPr>
          <w:color w:val="0D0D0D" w:themeColor="text1" w:themeTint="F2"/>
          <w:spacing w:val="-3"/>
          <w:sz w:val="16"/>
          <w:szCs w:val="16"/>
        </w:rPr>
        <w:t>Tvorba hrubého fixního kapitálu vzrostla v roce 2019 o</w:t>
      </w:r>
      <w:r>
        <w:rPr>
          <w:color w:val="0D0D0D" w:themeColor="text1" w:themeTint="F2"/>
          <w:spacing w:val="-3"/>
          <w:sz w:val="16"/>
          <w:szCs w:val="16"/>
        </w:rPr>
        <w:t> </w:t>
      </w:r>
      <w:r w:rsidRPr="00BC11EA">
        <w:rPr>
          <w:color w:val="0D0D0D" w:themeColor="text1" w:themeTint="F2"/>
          <w:spacing w:val="-3"/>
          <w:sz w:val="16"/>
          <w:szCs w:val="16"/>
        </w:rPr>
        <w:t>3,4</w:t>
      </w:r>
      <w:r>
        <w:rPr>
          <w:color w:val="0D0D0D" w:themeColor="text1" w:themeTint="F2"/>
          <w:spacing w:val="-3"/>
          <w:sz w:val="16"/>
          <w:szCs w:val="16"/>
        </w:rPr>
        <w:t> %</w:t>
      </w:r>
      <w:r w:rsidRPr="00BC11EA">
        <w:rPr>
          <w:color w:val="0D0D0D" w:themeColor="text1" w:themeTint="F2"/>
          <w:spacing w:val="-3"/>
          <w:sz w:val="16"/>
          <w:szCs w:val="16"/>
        </w:rPr>
        <w:t>, na rekordních 120,4</w:t>
      </w:r>
      <w:r>
        <w:rPr>
          <w:color w:val="0D0D0D" w:themeColor="text1" w:themeTint="F2"/>
          <w:spacing w:val="-3"/>
          <w:sz w:val="16"/>
          <w:szCs w:val="16"/>
        </w:rPr>
        <w:t> mld.</w:t>
      </w:r>
      <w:r w:rsidRPr="00BC11EA">
        <w:rPr>
          <w:color w:val="0D0D0D" w:themeColor="text1" w:themeTint="F2"/>
          <w:spacing w:val="-3"/>
          <w:sz w:val="16"/>
          <w:szCs w:val="16"/>
        </w:rPr>
        <w:t xml:space="preserve"> korun. Objem investic se zvýšil třetím rokem v řadě.</w:t>
      </w:r>
    </w:p>
  </w:footnote>
  <w:footnote w:id="83">
    <w:p w14:paraId="3C7EA32E" w14:textId="5B78CF8D" w:rsidR="003474B6" w:rsidRPr="00E9220F" w:rsidRDefault="003474B6" w:rsidP="007A7033">
      <w:pPr>
        <w:pStyle w:val="Textpoznpodarou"/>
        <w:rPr>
          <w:color w:val="0D0D0D" w:themeColor="text1" w:themeTint="F2"/>
          <w:spacing w:val="-2"/>
          <w:sz w:val="16"/>
          <w:szCs w:val="16"/>
        </w:rPr>
      </w:pPr>
      <w:r w:rsidRPr="00E9220F">
        <w:rPr>
          <w:rStyle w:val="Znakapoznpodarou"/>
          <w:color w:val="0D0D0D" w:themeColor="text1" w:themeTint="F2"/>
          <w:spacing w:val="-2"/>
          <w:sz w:val="16"/>
          <w:szCs w:val="16"/>
        </w:rPr>
        <w:footnoteRef/>
      </w:r>
      <w:r w:rsidRPr="00E9220F">
        <w:rPr>
          <w:color w:val="0D0D0D" w:themeColor="text1" w:themeTint="F2"/>
          <w:spacing w:val="-2"/>
          <w:sz w:val="16"/>
          <w:szCs w:val="16"/>
        </w:rPr>
        <w:t xml:space="preserve"> Předběžné údaje o</w:t>
      </w:r>
      <w:r>
        <w:rPr>
          <w:color w:val="0D0D0D" w:themeColor="text1" w:themeTint="F2"/>
          <w:spacing w:val="-2"/>
          <w:sz w:val="16"/>
          <w:szCs w:val="16"/>
        </w:rPr>
        <w:t> </w:t>
      </w:r>
      <w:r w:rsidRPr="00E9220F">
        <w:rPr>
          <w:color w:val="0D0D0D" w:themeColor="text1" w:themeTint="F2"/>
          <w:spacing w:val="-2"/>
          <w:sz w:val="16"/>
          <w:szCs w:val="16"/>
        </w:rPr>
        <w:t>dluhu a</w:t>
      </w:r>
      <w:r>
        <w:rPr>
          <w:color w:val="0D0D0D" w:themeColor="text1" w:themeTint="F2"/>
          <w:spacing w:val="-2"/>
          <w:sz w:val="16"/>
          <w:szCs w:val="16"/>
        </w:rPr>
        <w:t> </w:t>
      </w:r>
      <w:r w:rsidRPr="00E9220F">
        <w:rPr>
          <w:color w:val="0D0D0D" w:themeColor="text1" w:themeTint="F2"/>
          <w:spacing w:val="-2"/>
          <w:sz w:val="16"/>
          <w:szCs w:val="16"/>
        </w:rPr>
        <w:t>deficitu</w:t>
      </w:r>
      <w:r>
        <w:rPr>
          <w:color w:val="0D0D0D" w:themeColor="text1" w:themeTint="F2"/>
          <w:spacing w:val="-2"/>
          <w:sz w:val="16"/>
          <w:szCs w:val="16"/>
        </w:rPr>
        <w:t xml:space="preserve"> sektoru vládních institucí za celý rok 2019 za všechny státy EU zveřejní</w:t>
      </w:r>
      <w:r w:rsidRPr="00E9220F">
        <w:rPr>
          <w:color w:val="0D0D0D" w:themeColor="text1" w:themeTint="F2"/>
          <w:spacing w:val="-2"/>
          <w:sz w:val="16"/>
          <w:szCs w:val="16"/>
        </w:rPr>
        <w:t xml:space="preserve"> </w:t>
      </w:r>
      <w:proofErr w:type="spellStart"/>
      <w:r w:rsidRPr="00E9220F">
        <w:rPr>
          <w:color w:val="0D0D0D" w:themeColor="text1" w:themeTint="F2"/>
          <w:spacing w:val="-2"/>
          <w:sz w:val="16"/>
          <w:szCs w:val="16"/>
        </w:rPr>
        <w:t>Eurostat</w:t>
      </w:r>
      <w:proofErr w:type="spellEnd"/>
      <w:r w:rsidRPr="00E9220F">
        <w:rPr>
          <w:color w:val="0D0D0D" w:themeColor="text1" w:themeTint="F2"/>
          <w:spacing w:val="-2"/>
          <w:sz w:val="16"/>
          <w:szCs w:val="16"/>
        </w:rPr>
        <w:t xml:space="preserve"> </w:t>
      </w:r>
      <w:r>
        <w:rPr>
          <w:color w:val="0D0D0D" w:themeColor="text1" w:themeTint="F2"/>
          <w:spacing w:val="-2"/>
          <w:sz w:val="16"/>
          <w:szCs w:val="16"/>
        </w:rPr>
        <w:t>23</w:t>
      </w:r>
      <w:r w:rsidRPr="00E9220F">
        <w:rPr>
          <w:color w:val="0D0D0D" w:themeColor="text1" w:themeTint="F2"/>
          <w:spacing w:val="-2"/>
          <w:sz w:val="16"/>
          <w:szCs w:val="16"/>
        </w:rPr>
        <w:t>.</w:t>
      </w:r>
      <w:r>
        <w:rPr>
          <w:color w:val="0D0D0D" w:themeColor="text1" w:themeTint="F2"/>
          <w:spacing w:val="-2"/>
          <w:sz w:val="16"/>
          <w:szCs w:val="16"/>
        </w:rPr>
        <w:t> dubna 2020.</w:t>
      </w:r>
    </w:p>
  </w:footnote>
  <w:footnote w:id="84">
    <w:p w14:paraId="028179DB" w14:textId="0EBF2F0E" w:rsidR="003474B6" w:rsidRPr="00E9220F" w:rsidRDefault="003474B6" w:rsidP="0067514E">
      <w:pPr>
        <w:pStyle w:val="Textpoznpodarou"/>
        <w:rPr>
          <w:color w:val="0D0D0D" w:themeColor="text1" w:themeTint="F2"/>
          <w:spacing w:val="-2"/>
          <w:sz w:val="16"/>
          <w:szCs w:val="16"/>
        </w:rPr>
      </w:pPr>
      <w:r w:rsidRPr="00E9220F">
        <w:rPr>
          <w:rStyle w:val="Znakapoznpodarou"/>
          <w:color w:val="0D0D0D" w:themeColor="text1" w:themeTint="F2"/>
          <w:spacing w:val="-2"/>
          <w:sz w:val="16"/>
          <w:szCs w:val="16"/>
        </w:rPr>
        <w:footnoteRef/>
      </w:r>
      <w:r>
        <w:rPr>
          <w:color w:val="0D0D0D" w:themeColor="text1" w:themeTint="F2"/>
          <w:spacing w:val="-2"/>
          <w:sz w:val="16"/>
          <w:szCs w:val="16"/>
        </w:rPr>
        <w:t xml:space="preserve"> Saldo se pohybovalo během tří čtvrtletí 2019 v pásmu –0,7 až –0,9 % HDP (po sezónním očištění). Ve 2. čtvrtletí 2018 se přitom saldo zredukovalo až na –0,5 %, což byla úroveň blízká nejlepšímu výsledku z konjunkturního období minulé dekády. Z větších ekonomik Unie dosáhly v 1. až 3. čtvrtletí 2019 přebytku jen Německo (+1,7 % HDP) a Nizozemsko (+2,1 %).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985C8" w14:textId="77777777" w:rsidR="003474B6" w:rsidRDefault="003474B6" w:rsidP="00937AE2">
    <w:pPr>
      <w:pStyle w:val="Zhlav"/>
    </w:pPr>
    <w:r>
      <w:t>Vývoj ekonomiky České republiky</w:t>
    </w:r>
  </w:p>
  <w:p w14:paraId="675E4C41" w14:textId="77777777" w:rsidR="003474B6" w:rsidRPr="006F5416" w:rsidRDefault="003474B6" w:rsidP="00937A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812FB" w14:textId="77777777" w:rsidR="003474B6" w:rsidRDefault="003474B6" w:rsidP="00937AE2">
    <w:pPr>
      <w:pStyle w:val="Zhlav"/>
    </w:pPr>
    <w:r>
      <w:t>Vývoj ekonomiky České republiky</w:t>
    </w:r>
  </w:p>
  <w:p w14:paraId="0CDCFD48" w14:textId="77777777" w:rsidR="003474B6" w:rsidRPr="006F5416" w:rsidRDefault="003474B6"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7D74947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C5946"/>
    <w:multiLevelType w:val="hybridMultilevel"/>
    <w:tmpl w:val="4C1C2D78"/>
    <w:lvl w:ilvl="0" w:tplc="B01A5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3"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C7C1667"/>
    <w:multiLevelType w:val="hybridMultilevel"/>
    <w:tmpl w:val="735E7570"/>
    <w:lvl w:ilvl="0" w:tplc="5588AF8E">
      <w:start w:val="1"/>
      <w:numFmt w:val="decimal"/>
      <w:lvlText w:val="%1."/>
      <w:lvlJc w:val="left"/>
      <w:pPr>
        <w:ind w:left="4800" w:hanging="360"/>
      </w:pPr>
      <w:rPr>
        <w:rFonts w:hint="default"/>
      </w:rPr>
    </w:lvl>
    <w:lvl w:ilvl="1" w:tplc="04050019" w:tentative="1">
      <w:start w:val="1"/>
      <w:numFmt w:val="lowerLetter"/>
      <w:lvlText w:val="%2."/>
      <w:lvlJc w:val="left"/>
      <w:pPr>
        <w:ind w:left="5520" w:hanging="360"/>
      </w:pPr>
    </w:lvl>
    <w:lvl w:ilvl="2" w:tplc="0405001B" w:tentative="1">
      <w:start w:val="1"/>
      <w:numFmt w:val="lowerRoman"/>
      <w:lvlText w:val="%3."/>
      <w:lvlJc w:val="right"/>
      <w:pPr>
        <w:ind w:left="6240" w:hanging="180"/>
      </w:pPr>
    </w:lvl>
    <w:lvl w:ilvl="3" w:tplc="0405000F" w:tentative="1">
      <w:start w:val="1"/>
      <w:numFmt w:val="decimal"/>
      <w:lvlText w:val="%4."/>
      <w:lvlJc w:val="left"/>
      <w:pPr>
        <w:ind w:left="6960" w:hanging="360"/>
      </w:pPr>
    </w:lvl>
    <w:lvl w:ilvl="4" w:tplc="04050019" w:tentative="1">
      <w:start w:val="1"/>
      <w:numFmt w:val="lowerLetter"/>
      <w:lvlText w:val="%5."/>
      <w:lvlJc w:val="left"/>
      <w:pPr>
        <w:ind w:left="7680" w:hanging="360"/>
      </w:pPr>
    </w:lvl>
    <w:lvl w:ilvl="5" w:tplc="0405001B" w:tentative="1">
      <w:start w:val="1"/>
      <w:numFmt w:val="lowerRoman"/>
      <w:lvlText w:val="%6."/>
      <w:lvlJc w:val="right"/>
      <w:pPr>
        <w:ind w:left="8400" w:hanging="180"/>
      </w:pPr>
    </w:lvl>
    <w:lvl w:ilvl="6" w:tplc="0405000F" w:tentative="1">
      <w:start w:val="1"/>
      <w:numFmt w:val="decimal"/>
      <w:lvlText w:val="%7."/>
      <w:lvlJc w:val="left"/>
      <w:pPr>
        <w:ind w:left="9120" w:hanging="360"/>
      </w:pPr>
    </w:lvl>
    <w:lvl w:ilvl="7" w:tplc="04050019" w:tentative="1">
      <w:start w:val="1"/>
      <w:numFmt w:val="lowerLetter"/>
      <w:lvlText w:val="%8."/>
      <w:lvlJc w:val="left"/>
      <w:pPr>
        <w:ind w:left="9840" w:hanging="360"/>
      </w:pPr>
    </w:lvl>
    <w:lvl w:ilvl="8" w:tplc="0405001B" w:tentative="1">
      <w:start w:val="1"/>
      <w:numFmt w:val="lowerRoman"/>
      <w:lvlText w:val="%9."/>
      <w:lvlJc w:val="right"/>
      <w:pPr>
        <w:ind w:left="10560" w:hanging="180"/>
      </w:pPr>
    </w:lvl>
  </w:abstractNum>
  <w:abstractNum w:abstractNumId="21" w15:restartNumberingAfterBreak="0">
    <w:nsid w:val="3D4D0562"/>
    <w:multiLevelType w:val="hybridMultilevel"/>
    <w:tmpl w:val="E8A8F2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24"/>
  </w:num>
  <w:num w:numId="14">
    <w:abstractNumId w:val="12"/>
  </w:num>
  <w:num w:numId="15">
    <w:abstractNumId w:val="18"/>
  </w:num>
  <w:num w:numId="16">
    <w:abstractNumId w:val="14"/>
  </w:num>
  <w:num w:numId="17">
    <w:abstractNumId w:val="25"/>
  </w:num>
  <w:num w:numId="18">
    <w:abstractNumId w:val="19"/>
  </w:num>
  <w:num w:numId="19">
    <w:abstractNumId w:val="26"/>
  </w:num>
  <w:num w:numId="20">
    <w:abstractNumId w:val="27"/>
  </w:num>
  <w:num w:numId="21">
    <w:abstractNumId w:val="23"/>
  </w:num>
  <w:num w:numId="22">
    <w:abstractNumId w:val="17"/>
  </w:num>
  <w:num w:numId="23">
    <w:abstractNumId w:val="15"/>
  </w:num>
  <w:num w:numId="24">
    <w:abstractNumId w:val="16"/>
  </w:num>
  <w:num w:numId="25">
    <w:abstractNumId w:val="11"/>
  </w:num>
  <w:num w:numId="26">
    <w:abstractNumId w:val="21"/>
  </w:num>
  <w:num w:numId="27">
    <w:abstractNumId w:val="20"/>
  </w:num>
  <w:num w:numId="28">
    <w:abstractNumId w:val="10"/>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828"/>
    <w:rsid w:val="000005AF"/>
    <w:rsid w:val="00000B55"/>
    <w:rsid w:val="0000209D"/>
    <w:rsid w:val="00002566"/>
    <w:rsid w:val="00003849"/>
    <w:rsid w:val="00003F5C"/>
    <w:rsid w:val="00004D5A"/>
    <w:rsid w:val="000056D5"/>
    <w:rsid w:val="00005D9E"/>
    <w:rsid w:val="000063D5"/>
    <w:rsid w:val="00006625"/>
    <w:rsid w:val="00006ABD"/>
    <w:rsid w:val="00006B67"/>
    <w:rsid w:val="00006C0B"/>
    <w:rsid w:val="000073A0"/>
    <w:rsid w:val="0000767A"/>
    <w:rsid w:val="00007ABE"/>
    <w:rsid w:val="00010256"/>
    <w:rsid w:val="00010702"/>
    <w:rsid w:val="0001128E"/>
    <w:rsid w:val="00011912"/>
    <w:rsid w:val="0001387D"/>
    <w:rsid w:val="00016420"/>
    <w:rsid w:val="00017B01"/>
    <w:rsid w:val="000205D1"/>
    <w:rsid w:val="00020F22"/>
    <w:rsid w:val="0002195D"/>
    <w:rsid w:val="000228AE"/>
    <w:rsid w:val="000233D1"/>
    <w:rsid w:val="000234D6"/>
    <w:rsid w:val="00023D29"/>
    <w:rsid w:val="00024348"/>
    <w:rsid w:val="00026389"/>
    <w:rsid w:val="000279E5"/>
    <w:rsid w:val="00031AE0"/>
    <w:rsid w:val="00031BB2"/>
    <w:rsid w:val="000322EF"/>
    <w:rsid w:val="00033FCD"/>
    <w:rsid w:val="00034DF7"/>
    <w:rsid w:val="00034E68"/>
    <w:rsid w:val="000350C8"/>
    <w:rsid w:val="00036195"/>
    <w:rsid w:val="000374B2"/>
    <w:rsid w:val="000376C0"/>
    <w:rsid w:val="000403A7"/>
    <w:rsid w:val="00040632"/>
    <w:rsid w:val="00041AFC"/>
    <w:rsid w:val="00041CEC"/>
    <w:rsid w:val="00044183"/>
    <w:rsid w:val="0004431D"/>
    <w:rsid w:val="0004694F"/>
    <w:rsid w:val="00046F2F"/>
    <w:rsid w:val="00047AD4"/>
    <w:rsid w:val="00047D54"/>
    <w:rsid w:val="00051506"/>
    <w:rsid w:val="000522E4"/>
    <w:rsid w:val="00053713"/>
    <w:rsid w:val="0005434E"/>
    <w:rsid w:val="00055CB6"/>
    <w:rsid w:val="000572DD"/>
    <w:rsid w:val="00057B1E"/>
    <w:rsid w:val="000610E1"/>
    <w:rsid w:val="000616AD"/>
    <w:rsid w:val="000622A6"/>
    <w:rsid w:val="00062EC5"/>
    <w:rsid w:val="00062F22"/>
    <w:rsid w:val="00063975"/>
    <w:rsid w:val="00063CEA"/>
    <w:rsid w:val="0006444D"/>
    <w:rsid w:val="000645FC"/>
    <w:rsid w:val="0006533F"/>
    <w:rsid w:val="00065348"/>
    <w:rsid w:val="00065A75"/>
    <w:rsid w:val="00066558"/>
    <w:rsid w:val="00070A87"/>
    <w:rsid w:val="000712B3"/>
    <w:rsid w:val="00072FF5"/>
    <w:rsid w:val="0007474E"/>
    <w:rsid w:val="00074988"/>
    <w:rsid w:val="0007512B"/>
    <w:rsid w:val="00075551"/>
    <w:rsid w:val="000767F5"/>
    <w:rsid w:val="00076D90"/>
    <w:rsid w:val="00077FF0"/>
    <w:rsid w:val="00081A55"/>
    <w:rsid w:val="0008263E"/>
    <w:rsid w:val="00082C19"/>
    <w:rsid w:val="00082F89"/>
    <w:rsid w:val="000837CD"/>
    <w:rsid w:val="00084BFF"/>
    <w:rsid w:val="00085395"/>
    <w:rsid w:val="00086896"/>
    <w:rsid w:val="00086AC1"/>
    <w:rsid w:val="00086D19"/>
    <w:rsid w:val="00087634"/>
    <w:rsid w:val="00087F2B"/>
    <w:rsid w:val="00090694"/>
    <w:rsid w:val="00090FC6"/>
    <w:rsid w:val="000913B1"/>
    <w:rsid w:val="00093241"/>
    <w:rsid w:val="00094A84"/>
    <w:rsid w:val="00095025"/>
    <w:rsid w:val="00095135"/>
    <w:rsid w:val="0009626E"/>
    <w:rsid w:val="00097191"/>
    <w:rsid w:val="000974D1"/>
    <w:rsid w:val="0009799E"/>
    <w:rsid w:val="000A07CB"/>
    <w:rsid w:val="000A0BC0"/>
    <w:rsid w:val="000A1183"/>
    <w:rsid w:val="000A212B"/>
    <w:rsid w:val="000A242D"/>
    <w:rsid w:val="000A256D"/>
    <w:rsid w:val="000A3A2C"/>
    <w:rsid w:val="000A3D9E"/>
    <w:rsid w:val="000A4A54"/>
    <w:rsid w:val="000A4ED9"/>
    <w:rsid w:val="000A5DB7"/>
    <w:rsid w:val="000A6D94"/>
    <w:rsid w:val="000A7377"/>
    <w:rsid w:val="000A7FF4"/>
    <w:rsid w:val="000B03CC"/>
    <w:rsid w:val="000B4212"/>
    <w:rsid w:val="000C0EA8"/>
    <w:rsid w:val="000C13A2"/>
    <w:rsid w:val="000C21E7"/>
    <w:rsid w:val="000C23EC"/>
    <w:rsid w:val="000C30C3"/>
    <w:rsid w:val="000C3408"/>
    <w:rsid w:val="000C35AB"/>
    <w:rsid w:val="000C3F7B"/>
    <w:rsid w:val="000C4769"/>
    <w:rsid w:val="000C4D56"/>
    <w:rsid w:val="000C5DFA"/>
    <w:rsid w:val="000C6AFD"/>
    <w:rsid w:val="000C6C90"/>
    <w:rsid w:val="000D0A26"/>
    <w:rsid w:val="000D3058"/>
    <w:rsid w:val="000D310A"/>
    <w:rsid w:val="000D3EF4"/>
    <w:rsid w:val="000D5637"/>
    <w:rsid w:val="000D6F4E"/>
    <w:rsid w:val="000E0E96"/>
    <w:rsid w:val="000E298B"/>
    <w:rsid w:val="000E2C7D"/>
    <w:rsid w:val="000E440D"/>
    <w:rsid w:val="000E4AC5"/>
    <w:rsid w:val="000E6253"/>
    <w:rsid w:val="000E6E4D"/>
    <w:rsid w:val="000E6FBD"/>
    <w:rsid w:val="000E6FCB"/>
    <w:rsid w:val="000F090B"/>
    <w:rsid w:val="000F3F3B"/>
    <w:rsid w:val="000F47E8"/>
    <w:rsid w:val="000F70E4"/>
    <w:rsid w:val="000F76EA"/>
    <w:rsid w:val="00100F5C"/>
    <w:rsid w:val="00101CDA"/>
    <w:rsid w:val="00102037"/>
    <w:rsid w:val="00103DCB"/>
    <w:rsid w:val="00104C4C"/>
    <w:rsid w:val="00105015"/>
    <w:rsid w:val="001055D2"/>
    <w:rsid w:val="001057C2"/>
    <w:rsid w:val="0011038E"/>
    <w:rsid w:val="001125EF"/>
    <w:rsid w:val="00112CAB"/>
    <w:rsid w:val="00116D3F"/>
    <w:rsid w:val="00117474"/>
    <w:rsid w:val="00117623"/>
    <w:rsid w:val="00117FEA"/>
    <w:rsid w:val="001200CF"/>
    <w:rsid w:val="001208E3"/>
    <w:rsid w:val="0012192F"/>
    <w:rsid w:val="00122994"/>
    <w:rsid w:val="00124B46"/>
    <w:rsid w:val="001257E0"/>
    <w:rsid w:val="00125D69"/>
    <w:rsid w:val="0012799C"/>
    <w:rsid w:val="00127BC2"/>
    <w:rsid w:val="00127E15"/>
    <w:rsid w:val="00130ADC"/>
    <w:rsid w:val="00130D9F"/>
    <w:rsid w:val="00132C4D"/>
    <w:rsid w:val="00133FC1"/>
    <w:rsid w:val="00134659"/>
    <w:rsid w:val="001405FA"/>
    <w:rsid w:val="00140D1A"/>
    <w:rsid w:val="00141184"/>
    <w:rsid w:val="00141315"/>
    <w:rsid w:val="00141AA0"/>
    <w:rsid w:val="001425C3"/>
    <w:rsid w:val="0014262D"/>
    <w:rsid w:val="00144588"/>
    <w:rsid w:val="001447DD"/>
    <w:rsid w:val="001459BC"/>
    <w:rsid w:val="00152F4F"/>
    <w:rsid w:val="001544A1"/>
    <w:rsid w:val="001553B8"/>
    <w:rsid w:val="001554C2"/>
    <w:rsid w:val="001571C0"/>
    <w:rsid w:val="0015753D"/>
    <w:rsid w:val="00157CC9"/>
    <w:rsid w:val="00160C21"/>
    <w:rsid w:val="001612F4"/>
    <w:rsid w:val="00161553"/>
    <w:rsid w:val="0016256B"/>
    <w:rsid w:val="00162F81"/>
    <w:rsid w:val="00163793"/>
    <w:rsid w:val="00165313"/>
    <w:rsid w:val="00167485"/>
    <w:rsid w:val="00167CB9"/>
    <w:rsid w:val="00167DD8"/>
    <w:rsid w:val="001705AD"/>
    <w:rsid w:val="001706D6"/>
    <w:rsid w:val="001714F2"/>
    <w:rsid w:val="00171FEA"/>
    <w:rsid w:val="00175B9F"/>
    <w:rsid w:val="001762F4"/>
    <w:rsid w:val="00181BBC"/>
    <w:rsid w:val="0018385F"/>
    <w:rsid w:val="00184017"/>
    <w:rsid w:val="001847BB"/>
    <w:rsid w:val="00184B08"/>
    <w:rsid w:val="00185010"/>
    <w:rsid w:val="00185C22"/>
    <w:rsid w:val="00186BA9"/>
    <w:rsid w:val="0019196C"/>
    <w:rsid w:val="00192F05"/>
    <w:rsid w:val="00194729"/>
    <w:rsid w:val="00194850"/>
    <w:rsid w:val="00195234"/>
    <w:rsid w:val="00196016"/>
    <w:rsid w:val="00196117"/>
    <w:rsid w:val="00197A70"/>
    <w:rsid w:val="00197C0F"/>
    <w:rsid w:val="001A0487"/>
    <w:rsid w:val="001A1F68"/>
    <w:rsid w:val="001A21FA"/>
    <w:rsid w:val="001A4EF0"/>
    <w:rsid w:val="001A552F"/>
    <w:rsid w:val="001B2CA9"/>
    <w:rsid w:val="001B3110"/>
    <w:rsid w:val="001B3E38"/>
    <w:rsid w:val="001B40F5"/>
    <w:rsid w:val="001B4729"/>
    <w:rsid w:val="001B4F0E"/>
    <w:rsid w:val="001B6310"/>
    <w:rsid w:val="001B6C09"/>
    <w:rsid w:val="001B6E12"/>
    <w:rsid w:val="001C05CD"/>
    <w:rsid w:val="001C0F17"/>
    <w:rsid w:val="001C1B24"/>
    <w:rsid w:val="001C1B66"/>
    <w:rsid w:val="001C31A2"/>
    <w:rsid w:val="001C4BB8"/>
    <w:rsid w:val="001C4FD0"/>
    <w:rsid w:val="001C5E46"/>
    <w:rsid w:val="001C6B3B"/>
    <w:rsid w:val="001C7E3F"/>
    <w:rsid w:val="001D0EF1"/>
    <w:rsid w:val="001D22C2"/>
    <w:rsid w:val="001D2C99"/>
    <w:rsid w:val="001D452E"/>
    <w:rsid w:val="001D54C1"/>
    <w:rsid w:val="001D556E"/>
    <w:rsid w:val="001D5DF2"/>
    <w:rsid w:val="001D68B2"/>
    <w:rsid w:val="001D7EFD"/>
    <w:rsid w:val="001D7F60"/>
    <w:rsid w:val="001E3306"/>
    <w:rsid w:val="001E504C"/>
    <w:rsid w:val="001E5A17"/>
    <w:rsid w:val="001E74C5"/>
    <w:rsid w:val="001F1236"/>
    <w:rsid w:val="001F2F90"/>
    <w:rsid w:val="001F4597"/>
    <w:rsid w:val="001F4826"/>
    <w:rsid w:val="001F7CE0"/>
    <w:rsid w:val="00200085"/>
    <w:rsid w:val="00203332"/>
    <w:rsid w:val="00203CD5"/>
    <w:rsid w:val="00203D8F"/>
    <w:rsid w:val="00203DA4"/>
    <w:rsid w:val="00205186"/>
    <w:rsid w:val="00206516"/>
    <w:rsid w:val="002071D5"/>
    <w:rsid w:val="002111E5"/>
    <w:rsid w:val="002118B9"/>
    <w:rsid w:val="002142C0"/>
    <w:rsid w:val="00217C5B"/>
    <w:rsid w:val="00220A43"/>
    <w:rsid w:val="0022139E"/>
    <w:rsid w:val="00222729"/>
    <w:rsid w:val="00223185"/>
    <w:rsid w:val="002233D6"/>
    <w:rsid w:val="0022441D"/>
    <w:rsid w:val="00224574"/>
    <w:rsid w:val="00224E3F"/>
    <w:rsid w:val="002252E0"/>
    <w:rsid w:val="002255F6"/>
    <w:rsid w:val="00226032"/>
    <w:rsid w:val="0022738D"/>
    <w:rsid w:val="00227605"/>
    <w:rsid w:val="00227850"/>
    <w:rsid w:val="00227A53"/>
    <w:rsid w:val="00227E2E"/>
    <w:rsid w:val="00227F53"/>
    <w:rsid w:val="00230C6E"/>
    <w:rsid w:val="00230E21"/>
    <w:rsid w:val="002316A8"/>
    <w:rsid w:val="002320C9"/>
    <w:rsid w:val="0023288F"/>
    <w:rsid w:val="00233603"/>
    <w:rsid w:val="002340EF"/>
    <w:rsid w:val="00234B82"/>
    <w:rsid w:val="00236443"/>
    <w:rsid w:val="00236700"/>
    <w:rsid w:val="00240391"/>
    <w:rsid w:val="00240AF3"/>
    <w:rsid w:val="002418D5"/>
    <w:rsid w:val="00241B06"/>
    <w:rsid w:val="002436BA"/>
    <w:rsid w:val="00244652"/>
    <w:rsid w:val="00244A15"/>
    <w:rsid w:val="002452D9"/>
    <w:rsid w:val="00247319"/>
    <w:rsid w:val="0024799E"/>
    <w:rsid w:val="00247E60"/>
    <w:rsid w:val="00251C53"/>
    <w:rsid w:val="00252AB9"/>
    <w:rsid w:val="00253C0F"/>
    <w:rsid w:val="002558C1"/>
    <w:rsid w:val="00256207"/>
    <w:rsid w:val="002575F3"/>
    <w:rsid w:val="002603E1"/>
    <w:rsid w:val="0026120E"/>
    <w:rsid w:val="00262582"/>
    <w:rsid w:val="0026291D"/>
    <w:rsid w:val="00264309"/>
    <w:rsid w:val="0026564B"/>
    <w:rsid w:val="00265C83"/>
    <w:rsid w:val="00265E85"/>
    <w:rsid w:val="00267B49"/>
    <w:rsid w:val="002700D9"/>
    <w:rsid w:val="0027025F"/>
    <w:rsid w:val="002709CC"/>
    <w:rsid w:val="00270D25"/>
    <w:rsid w:val="00271022"/>
    <w:rsid w:val="00271465"/>
    <w:rsid w:val="00271E47"/>
    <w:rsid w:val="002721F5"/>
    <w:rsid w:val="00272DF4"/>
    <w:rsid w:val="0027583D"/>
    <w:rsid w:val="00275DEF"/>
    <w:rsid w:val="002763A2"/>
    <w:rsid w:val="00276B33"/>
    <w:rsid w:val="002812E3"/>
    <w:rsid w:val="0028341F"/>
    <w:rsid w:val="002837AE"/>
    <w:rsid w:val="00283C13"/>
    <w:rsid w:val="00283F7B"/>
    <w:rsid w:val="0028431A"/>
    <w:rsid w:val="002853FA"/>
    <w:rsid w:val="00285412"/>
    <w:rsid w:val="00286220"/>
    <w:rsid w:val="00291640"/>
    <w:rsid w:val="0029237E"/>
    <w:rsid w:val="00292997"/>
    <w:rsid w:val="00293D24"/>
    <w:rsid w:val="0029509B"/>
    <w:rsid w:val="0029588F"/>
    <w:rsid w:val="00297256"/>
    <w:rsid w:val="00297A5C"/>
    <w:rsid w:val="00297D51"/>
    <w:rsid w:val="002A0122"/>
    <w:rsid w:val="002A016B"/>
    <w:rsid w:val="002A16D4"/>
    <w:rsid w:val="002A1E4F"/>
    <w:rsid w:val="002A230C"/>
    <w:rsid w:val="002A2AF7"/>
    <w:rsid w:val="002A3209"/>
    <w:rsid w:val="002A3EA2"/>
    <w:rsid w:val="002A51AC"/>
    <w:rsid w:val="002A532A"/>
    <w:rsid w:val="002A5846"/>
    <w:rsid w:val="002A5D97"/>
    <w:rsid w:val="002A603E"/>
    <w:rsid w:val="002A63B9"/>
    <w:rsid w:val="002A7089"/>
    <w:rsid w:val="002B1619"/>
    <w:rsid w:val="002B3EF4"/>
    <w:rsid w:val="002B4845"/>
    <w:rsid w:val="002B5567"/>
    <w:rsid w:val="002B5812"/>
    <w:rsid w:val="002B72AA"/>
    <w:rsid w:val="002C1110"/>
    <w:rsid w:val="002C1F09"/>
    <w:rsid w:val="002C22A4"/>
    <w:rsid w:val="002C260B"/>
    <w:rsid w:val="002C27A6"/>
    <w:rsid w:val="002C398D"/>
    <w:rsid w:val="002C40D2"/>
    <w:rsid w:val="002C43BD"/>
    <w:rsid w:val="002C5245"/>
    <w:rsid w:val="002C59D8"/>
    <w:rsid w:val="002D05CB"/>
    <w:rsid w:val="002D0E59"/>
    <w:rsid w:val="002D2C4F"/>
    <w:rsid w:val="002D3EBB"/>
    <w:rsid w:val="002D455C"/>
    <w:rsid w:val="002D6066"/>
    <w:rsid w:val="002E02A1"/>
    <w:rsid w:val="002E196A"/>
    <w:rsid w:val="002E20C7"/>
    <w:rsid w:val="002E20CD"/>
    <w:rsid w:val="002E222E"/>
    <w:rsid w:val="002E28D8"/>
    <w:rsid w:val="002E37D1"/>
    <w:rsid w:val="002E3BEE"/>
    <w:rsid w:val="002E4E4C"/>
    <w:rsid w:val="002E4EA7"/>
    <w:rsid w:val="002E5846"/>
    <w:rsid w:val="002E792B"/>
    <w:rsid w:val="002F1B09"/>
    <w:rsid w:val="002F1D56"/>
    <w:rsid w:val="002F1DCB"/>
    <w:rsid w:val="002F1DE4"/>
    <w:rsid w:val="002F333D"/>
    <w:rsid w:val="002F351A"/>
    <w:rsid w:val="002F46D6"/>
    <w:rsid w:val="002F498A"/>
    <w:rsid w:val="002F4AD8"/>
    <w:rsid w:val="002F5285"/>
    <w:rsid w:val="002F5820"/>
    <w:rsid w:val="002F64BB"/>
    <w:rsid w:val="00300C31"/>
    <w:rsid w:val="003017EC"/>
    <w:rsid w:val="00302165"/>
    <w:rsid w:val="00304771"/>
    <w:rsid w:val="003052D4"/>
    <w:rsid w:val="003060E9"/>
    <w:rsid w:val="00306C5B"/>
    <w:rsid w:val="00307529"/>
    <w:rsid w:val="00307DB3"/>
    <w:rsid w:val="00307ED2"/>
    <w:rsid w:val="0031076D"/>
    <w:rsid w:val="00311AA6"/>
    <w:rsid w:val="00311C4D"/>
    <w:rsid w:val="003121AB"/>
    <w:rsid w:val="00315169"/>
    <w:rsid w:val="003153C8"/>
    <w:rsid w:val="00315524"/>
    <w:rsid w:val="0032058C"/>
    <w:rsid w:val="003208D0"/>
    <w:rsid w:val="003209D6"/>
    <w:rsid w:val="003217B9"/>
    <w:rsid w:val="00321924"/>
    <w:rsid w:val="00321EB6"/>
    <w:rsid w:val="003220A5"/>
    <w:rsid w:val="00323A1C"/>
    <w:rsid w:val="00324B59"/>
    <w:rsid w:val="0032656E"/>
    <w:rsid w:val="0032788F"/>
    <w:rsid w:val="00332190"/>
    <w:rsid w:val="00332A98"/>
    <w:rsid w:val="00333973"/>
    <w:rsid w:val="00333CD0"/>
    <w:rsid w:val="0033448D"/>
    <w:rsid w:val="00334AD2"/>
    <w:rsid w:val="0033709C"/>
    <w:rsid w:val="003370C5"/>
    <w:rsid w:val="003373C6"/>
    <w:rsid w:val="00340BF3"/>
    <w:rsid w:val="00341D26"/>
    <w:rsid w:val="00341F05"/>
    <w:rsid w:val="0034335E"/>
    <w:rsid w:val="00344668"/>
    <w:rsid w:val="00346234"/>
    <w:rsid w:val="003462D9"/>
    <w:rsid w:val="0034723F"/>
    <w:rsid w:val="00347247"/>
    <w:rsid w:val="003474B6"/>
    <w:rsid w:val="00347DD4"/>
    <w:rsid w:val="00352B43"/>
    <w:rsid w:val="00352C28"/>
    <w:rsid w:val="0036077F"/>
    <w:rsid w:val="00360C86"/>
    <w:rsid w:val="00360F7A"/>
    <w:rsid w:val="00360FBC"/>
    <w:rsid w:val="00361537"/>
    <w:rsid w:val="0036242A"/>
    <w:rsid w:val="00362C23"/>
    <w:rsid w:val="00362E90"/>
    <w:rsid w:val="00364FA0"/>
    <w:rsid w:val="003657F3"/>
    <w:rsid w:val="00365844"/>
    <w:rsid w:val="00367F84"/>
    <w:rsid w:val="003712BC"/>
    <w:rsid w:val="00372164"/>
    <w:rsid w:val="003738BD"/>
    <w:rsid w:val="00374263"/>
    <w:rsid w:val="003746F0"/>
    <w:rsid w:val="00374A20"/>
    <w:rsid w:val="00374E21"/>
    <w:rsid w:val="00377B2E"/>
    <w:rsid w:val="003810F0"/>
    <w:rsid w:val="003818DC"/>
    <w:rsid w:val="00382513"/>
    <w:rsid w:val="00383388"/>
    <w:rsid w:val="003834F8"/>
    <w:rsid w:val="003838D0"/>
    <w:rsid w:val="003840C2"/>
    <w:rsid w:val="00384327"/>
    <w:rsid w:val="00384A89"/>
    <w:rsid w:val="00385086"/>
    <w:rsid w:val="00385D98"/>
    <w:rsid w:val="00390306"/>
    <w:rsid w:val="003908A6"/>
    <w:rsid w:val="0039109D"/>
    <w:rsid w:val="00391989"/>
    <w:rsid w:val="00391A6C"/>
    <w:rsid w:val="003927F6"/>
    <w:rsid w:val="00396739"/>
    <w:rsid w:val="003A04F6"/>
    <w:rsid w:val="003A0837"/>
    <w:rsid w:val="003A2B4D"/>
    <w:rsid w:val="003A2D12"/>
    <w:rsid w:val="003A2EBA"/>
    <w:rsid w:val="003A45E3"/>
    <w:rsid w:val="003A478C"/>
    <w:rsid w:val="003A4A38"/>
    <w:rsid w:val="003A5525"/>
    <w:rsid w:val="003A5889"/>
    <w:rsid w:val="003A6B38"/>
    <w:rsid w:val="003A6B83"/>
    <w:rsid w:val="003A6C97"/>
    <w:rsid w:val="003A722F"/>
    <w:rsid w:val="003A7373"/>
    <w:rsid w:val="003A7D09"/>
    <w:rsid w:val="003B039F"/>
    <w:rsid w:val="003B0DF4"/>
    <w:rsid w:val="003B1F9D"/>
    <w:rsid w:val="003B2A8D"/>
    <w:rsid w:val="003B2AD1"/>
    <w:rsid w:val="003B2D2E"/>
    <w:rsid w:val="003B461F"/>
    <w:rsid w:val="003B483F"/>
    <w:rsid w:val="003B4998"/>
    <w:rsid w:val="003B5A32"/>
    <w:rsid w:val="003B7B50"/>
    <w:rsid w:val="003C0B07"/>
    <w:rsid w:val="003C2CE7"/>
    <w:rsid w:val="003C3490"/>
    <w:rsid w:val="003C3608"/>
    <w:rsid w:val="003C3AE8"/>
    <w:rsid w:val="003C3D2C"/>
    <w:rsid w:val="003C4E13"/>
    <w:rsid w:val="003C6221"/>
    <w:rsid w:val="003C63D7"/>
    <w:rsid w:val="003C68CC"/>
    <w:rsid w:val="003C7E62"/>
    <w:rsid w:val="003D12B9"/>
    <w:rsid w:val="003D1E7A"/>
    <w:rsid w:val="003D242B"/>
    <w:rsid w:val="003D2492"/>
    <w:rsid w:val="003D29AA"/>
    <w:rsid w:val="003D2A99"/>
    <w:rsid w:val="003D6920"/>
    <w:rsid w:val="003E1EF8"/>
    <w:rsid w:val="003E2DFB"/>
    <w:rsid w:val="003E4C91"/>
    <w:rsid w:val="003E52D8"/>
    <w:rsid w:val="003E62F1"/>
    <w:rsid w:val="003F313C"/>
    <w:rsid w:val="003F37FC"/>
    <w:rsid w:val="003F4318"/>
    <w:rsid w:val="003F4B2C"/>
    <w:rsid w:val="003F551C"/>
    <w:rsid w:val="003F626D"/>
    <w:rsid w:val="003F72ED"/>
    <w:rsid w:val="003F7D23"/>
    <w:rsid w:val="00400050"/>
    <w:rsid w:val="004002C8"/>
    <w:rsid w:val="00400468"/>
    <w:rsid w:val="0040099D"/>
    <w:rsid w:val="004016CB"/>
    <w:rsid w:val="00401B23"/>
    <w:rsid w:val="00402ADB"/>
    <w:rsid w:val="0040368D"/>
    <w:rsid w:val="00403D1D"/>
    <w:rsid w:val="00403F57"/>
    <w:rsid w:val="00405318"/>
    <w:rsid w:val="004059D2"/>
    <w:rsid w:val="004066D0"/>
    <w:rsid w:val="00406C2E"/>
    <w:rsid w:val="00406CDA"/>
    <w:rsid w:val="00406EB0"/>
    <w:rsid w:val="00407711"/>
    <w:rsid w:val="00407C13"/>
    <w:rsid w:val="004103F6"/>
    <w:rsid w:val="00410638"/>
    <w:rsid w:val="00412511"/>
    <w:rsid w:val="004125C2"/>
    <w:rsid w:val="00412DFA"/>
    <w:rsid w:val="00413465"/>
    <w:rsid w:val="004149AC"/>
    <w:rsid w:val="0041501E"/>
    <w:rsid w:val="00415452"/>
    <w:rsid w:val="004159C3"/>
    <w:rsid w:val="00415A57"/>
    <w:rsid w:val="00416DAC"/>
    <w:rsid w:val="00420880"/>
    <w:rsid w:val="00421179"/>
    <w:rsid w:val="00430C96"/>
    <w:rsid w:val="00431BFF"/>
    <w:rsid w:val="00432199"/>
    <w:rsid w:val="00432A58"/>
    <w:rsid w:val="004331C3"/>
    <w:rsid w:val="00433C17"/>
    <w:rsid w:val="00434617"/>
    <w:rsid w:val="00435051"/>
    <w:rsid w:val="00435C69"/>
    <w:rsid w:val="004360FB"/>
    <w:rsid w:val="00437CED"/>
    <w:rsid w:val="004407BF"/>
    <w:rsid w:val="00440900"/>
    <w:rsid w:val="0044121D"/>
    <w:rsid w:val="00441BF6"/>
    <w:rsid w:val="00441D2B"/>
    <w:rsid w:val="0044279E"/>
    <w:rsid w:val="004441A0"/>
    <w:rsid w:val="00445861"/>
    <w:rsid w:val="00445A8E"/>
    <w:rsid w:val="00446D44"/>
    <w:rsid w:val="0045078A"/>
    <w:rsid w:val="0045086D"/>
    <w:rsid w:val="00450DAB"/>
    <w:rsid w:val="00451EF1"/>
    <w:rsid w:val="00452E60"/>
    <w:rsid w:val="0045321B"/>
    <w:rsid w:val="00456FE5"/>
    <w:rsid w:val="00457490"/>
    <w:rsid w:val="00457953"/>
    <w:rsid w:val="004604D8"/>
    <w:rsid w:val="00460656"/>
    <w:rsid w:val="00460FB3"/>
    <w:rsid w:val="00463D3C"/>
    <w:rsid w:val="00464851"/>
    <w:rsid w:val="0046746A"/>
    <w:rsid w:val="00467B14"/>
    <w:rsid w:val="004707FE"/>
    <w:rsid w:val="00470EDC"/>
    <w:rsid w:val="0047276D"/>
    <w:rsid w:val="00472AF6"/>
    <w:rsid w:val="00473482"/>
    <w:rsid w:val="00474A04"/>
    <w:rsid w:val="00476240"/>
    <w:rsid w:val="00476439"/>
    <w:rsid w:val="004769E1"/>
    <w:rsid w:val="0047735C"/>
    <w:rsid w:val="004776BC"/>
    <w:rsid w:val="00477820"/>
    <w:rsid w:val="00477B96"/>
    <w:rsid w:val="00480BAE"/>
    <w:rsid w:val="0048139F"/>
    <w:rsid w:val="00481E40"/>
    <w:rsid w:val="00482405"/>
    <w:rsid w:val="004826A7"/>
    <w:rsid w:val="0048368C"/>
    <w:rsid w:val="0048372F"/>
    <w:rsid w:val="00484ECE"/>
    <w:rsid w:val="00485E82"/>
    <w:rsid w:val="00486132"/>
    <w:rsid w:val="0048686D"/>
    <w:rsid w:val="00486A4D"/>
    <w:rsid w:val="004915CB"/>
    <w:rsid w:val="004924DC"/>
    <w:rsid w:val="00492879"/>
    <w:rsid w:val="00493E85"/>
    <w:rsid w:val="00495145"/>
    <w:rsid w:val="004979A5"/>
    <w:rsid w:val="004A0144"/>
    <w:rsid w:val="004A036E"/>
    <w:rsid w:val="004A14E4"/>
    <w:rsid w:val="004A204E"/>
    <w:rsid w:val="004A26A5"/>
    <w:rsid w:val="004A27F0"/>
    <w:rsid w:val="004A3212"/>
    <w:rsid w:val="004A37CD"/>
    <w:rsid w:val="004A40D9"/>
    <w:rsid w:val="004A49A5"/>
    <w:rsid w:val="004A4F8A"/>
    <w:rsid w:val="004A5494"/>
    <w:rsid w:val="004A5D4E"/>
    <w:rsid w:val="004A61C5"/>
    <w:rsid w:val="004A62A0"/>
    <w:rsid w:val="004A77DF"/>
    <w:rsid w:val="004B1417"/>
    <w:rsid w:val="004B305C"/>
    <w:rsid w:val="004B339A"/>
    <w:rsid w:val="004B4C83"/>
    <w:rsid w:val="004B55B7"/>
    <w:rsid w:val="004B5BFA"/>
    <w:rsid w:val="004B6468"/>
    <w:rsid w:val="004B6EF8"/>
    <w:rsid w:val="004B7125"/>
    <w:rsid w:val="004B756A"/>
    <w:rsid w:val="004B7FB1"/>
    <w:rsid w:val="004C0B3F"/>
    <w:rsid w:val="004C2794"/>
    <w:rsid w:val="004C2BB6"/>
    <w:rsid w:val="004C2C2D"/>
    <w:rsid w:val="004C3027"/>
    <w:rsid w:val="004C384C"/>
    <w:rsid w:val="004C3867"/>
    <w:rsid w:val="004C3DB0"/>
    <w:rsid w:val="004C439A"/>
    <w:rsid w:val="004C4720"/>
    <w:rsid w:val="004C4CD0"/>
    <w:rsid w:val="004C5060"/>
    <w:rsid w:val="004C5165"/>
    <w:rsid w:val="004C589C"/>
    <w:rsid w:val="004C5AE8"/>
    <w:rsid w:val="004C6E0E"/>
    <w:rsid w:val="004C70DC"/>
    <w:rsid w:val="004D0211"/>
    <w:rsid w:val="004D0794"/>
    <w:rsid w:val="004D2E03"/>
    <w:rsid w:val="004D3296"/>
    <w:rsid w:val="004D4056"/>
    <w:rsid w:val="004D4CB0"/>
    <w:rsid w:val="004D5B0F"/>
    <w:rsid w:val="004D7626"/>
    <w:rsid w:val="004E186A"/>
    <w:rsid w:val="004E1A40"/>
    <w:rsid w:val="004E200A"/>
    <w:rsid w:val="004E23FC"/>
    <w:rsid w:val="004E2409"/>
    <w:rsid w:val="004E261D"/>
    <w:rsid w:val="004E57BF"/>
    <w:rsid w:val="004E5F41"/>
    <w:rsid w:val="004E6DE6"/>
    <w:rsid w:val="004E765E"/>
    <w:rsid w:val="004E7815"/>
    <w:rsid w:val="004F06F5"/>
    <w:rsid w:val="004F12A4"/>
    <w:rsid w:val="004F253F"/>
    <w:rsid w:val="004F33A0"/>
    <w:rsid w:val="004F3BD2"/>
    <w:rsid w:val="004F46ED"/>
    <w:rsid w:val="004F4C99"/>
    <w:rsid w:val="004F6539"/>
    <w:rsid w:val="00503D54"/>
    <w:rsid w:val="005048E2"/>
    <w:rsid w:val="00505FC8"/>
    <w:rsid w:val="00506603"/>
    <w:rsid w:val="0050689D"/>
    <w:rsid w:val="005077F5"/>
    <w:rsid w:val="005108C0"/>
    <w:rsid w:val="0051094F"/>
    <w:rsid w:val="00511873"/>
    <w:rsid w:val="00512461"/>
    <w:rsid w:val="00512585"/>
    <w:rsid w:val="00512A2F"/>
    <w:rsid w:val="00513B7E"/>
    <w:rsid w:val="00513E9D"/>
    <w:rsid w:val="0051475D"/>
    <w:rsid w:val="00514B11"/>
    <w:rsid w:val="00515485"/>
    <w:rsid w:val="00515BE9"/>
    <w:rsid w:val="00515C74"/>
    <w:rsid w:val="0051630F"/>
    <w:rsid w:val="00517113"/>
    <w:rsid w:val="0052007E"/>
    <w:rsid w:val="00521CAD"/>
    <w:rsid w:val="0052200D"/>
    <w:rsid w:val="00522E01"/>
    <w:rsid w:val="0052337A"/>
    <w:rsid w:val="00524385"/>
    <w:rsid w:val="005246BE"/>
    <w:rsid w:val="00525137"/>
    <w:rsid w:val="005251DD"/>
    <w:rsid w:val="0053012B"/>
    <w:rsid w:val="005301A6"/>
    <w:rsid w:val="00530A68"/>
    <w:rsid w:val="00530AD4"/>
    <w:rsid w:val="00531C5A"/>
    <w:rsid w:val="00532CE7"/>
    <w:rsid w:val="00532D8B"/>
    <w:rsid w:val="0053324C"/>
    <w:rsid w:val="00534A28"/>
    <w:rsid w:val="00535018"/>
    <w:rsid w:val="0053595E"/>
    <w:rsid w:val="00537571"/>
    <w:rsid w:val="00540056"/>
    <w:rsid w:val="005410E2"/>
    <w:rsid w:val="00541508"/>
    <w:rsid w:val="00541AE3"/>
    <w:rsid w:val="00543498"/>
    <w:rsid w:val="00544011"/>
    <w:rsid w:val="00544BE5"/>
    <w:rsid w:val="005455F6"/>
    <w:rsid w:val="0054582F"/>
    <w:rsid w:val="005500F9"/>
    <w:rsid w:val="00550160"/>
    <w:rsid w:val="005523A8"/>
    <w:rsid w:val="00552F2C"/>
    <w:rsid w:val="00553A25"/>
    <w:rsid w:val="005547EB"/>
    <w:rsid w:val="005555E0"/>
    <w:rsid w:val="0055599F"/>
    <w:rsid w:val="00556D68"/>
    <w:rsid w:val="005570D6"/>
    <w:rsid w:val="00557E45"/>
    <w:rsid w:val="00561F44"/>
    <w:rsid w:val="00562B4D"/>
    <w:rsid w:val="00563EB8"/>
    <w:rsid w:val="005647BF"/>
    <w:rsid w:val="00564AF1"/>
    <w:rsid w:val="005655DB"/>
    <w:rsid w:val="00565E88"/>
    <w:rsid w:val="00570270"/>
    <w:rsid w:val="00570464"/>
    <w:rsid w:val="00570BC3"/>
    <w:rsid w:val="0057182A"/>
    <w:rsid w:val="00571E59"/>
    <w:rsid w:val="00572079"/>
    <w:rsid w:val="00572900"/>
    <w:rsid w:val="00573602"/>
    <w:rsid w:val="0057364B"/>
    <w:rsid w:val="00574773"/>
    <w:rsid w:val="005761EC"/>
    <w:rsid w:val="00577C07"/>
    <w:rsid w:val="00577DB1"/>
    <w:rsid w:val="00580AD3"/>
    <w:rsid w:val="00580DE7"/>
    <w:rsid w:val="005810E1"/>
    <w:rsid w:val="00583E52"/>
    <w:rsid w:val="00583FFD"/>
    <w:rsid w:val="0058519A"/>
    <w:rsid w:val="005856BD"/>
    <w:rsid w:val="00586BCA"/>
    <w:rsid w:val="00587038"/>
    <w:rsid w:val="00590B28"/>
    <w:rsid w:val="005911BE"/>
    <w:rsid w:val="00591273"/>
    <w:rsid w:val="00591E9E"/>
    <w:rsid w:val="005927A4"/>
    <w:rsid w:val="00593152"/>
    <w:rsid w:val="005956A3"/>
    <w:rsid w:val="00595958"/>
    <w:rsid w:val="00595CAB"/>
    <w:rsid w:val="0059622E"/>
    <w:rsid w:val="00597671"/>
    <w:rsid w:val="00597BBF"/>
    <w:rsid w:val="005A0948"/>
    <w:rsid w:val="005A0A03"/>
    <w:rsid w:val="005A10F2"/>
    <w:rsid w:val="005A21E0"/>
    <w:rsid w:val="005A28FF"/>
    <w:rsid w:val="005A2C09"/>
    <w:rsid w:val="005A3778"/>
    <w:rsid w:val="005A3DF8"/>
    <w:rsid w:val="005A5549"/>
    <w:rsid w:val="005A7CF8"/>
    <w:rsid w:val="005B0EDA"/>
    <w:rsid w:val="005B121D"/>
    <w:rsid w:val="005B26B0"/>
    <w:rsid w:val="005B41C9"/>
    <w:rsid w:val="005B44E6"/>
    <w:rsid w:val="005B4853"/>
    <w:rsid w:val="005B6CA1"/>
    <w:rsid w:val="005B770C"/>
    <w:rsid w:val="005C06ED"/>
    <w:rsid w:val="005C11B8"/>
    <w:rsid w:val="005C216C"/>
    <w:rsid w:val="005C2609"/>
    <w:rsid w:val="005C2B30"/>
    <w:rsid w:val="005C412B"/>
    <w:rsid w:val="005C43EC"/>
    <w:rsid w:val="005C45DD"/>
    <w:rsid w:val="005C4CB1"/>
    <w:rsid w:val="005D3F06"/>
    <w:rsid w:val="005D4B73"/>
    <w:rsid w:val="005D5645"/>
    <w:rsid w:val="005D5802"/>
    <w:rsid w:val="005D5AA9"/>
    <w:rsid w:val="005D66E6"/>
    <w:rsid w:val="005D7119"/>
    <w:rsid w:val="005D76C8"/>
    <w:rsid w:val="005D7890"/>
    <w:rsid w:val="005E19C1"/>
    <w:rsid w:val="005E2194"/>
    <w:rsid w:val="005E24F0"/>
    <w:rsid w:val="005E36FE"/>
    <w:rsid w:val="005E3F66"/>
    <w:rsid w:val="005E490F"/>
    <w:rsid w:val="005E4BC9"/>
    <w:rsid w:val="005E5314"/>
    <w:rsid w:val="005E7C78"/>
    <w:rsid w:val="005F04A7"/>
    <w:rsid w:val="005F114F"/>
    <w:rsid w:val="005F18C5"/>
    <w:rsid w:val="005F2A08"/>
    <w:rsid w:val="005F36CC"/>
    <w:rsid w:val="005F3EB1"/>
    <w:rsid w:val="005F413E"/>
    <w:rsid w:val="005F466B"/>
    <w:rsid w:val="005F46D8"/>
    <w:rsid w:val="005F480F"/>
    <w:rsid w:val="005F5469"/>
    <w:rsid w:val="005F63F3"/>
    <w:rsid w:val="005F6D7F"/>
    <w:rsid w:val="005F7174"/>
    <w:rsid w:val="00601ADE"/>
    <w:rsid w:val="00601EEF"/>
    <w:rsid w:val="0060255A"/>
    <w:rsid w:val="00604307"/>
    <w:rsid w:val="0060487F"/>
    <w:rsid w:val="00604EAD"/>
    <w:rsid w:val="0060513F"/>
    <w:rsid w:val="0060694B"/>
    <w:rsid w:val="006104FB"/>
    <w:rsid w:val="0061176D"/>
    <w:rsid w:val="0061200F"/>
    <w:rsid w:val="00612756"/>
    <w:rsid w:val="00612A2F"/>
    <w:rsid w:val="00612AAE"/>
    <w:rsid w:val="00612FD9"/>
    <w:rsid w:val="006139E0"/>
    <w:rsid w:val="00614D35"/>
    <w:rsid w:val="006156B4"/>
    <w:rsid w:val="00615DAF"/>
    <w:rsid w:val="00616E05"/>
    <w:rsid w:val="00617985"/>
    <w:rsid w:val="00620B77"/>
    <w:rsid w:val="0062131B"/>
    <w:rsid w:val="00621E26"/>
    <w:rsid w:val="0062263A"/>
    <w:rsid w:val="006227DF"/>
    <w:rsid w:val="006236C8"/>
    <w:rsid w:val="00624093"/>
    <w:rsid w:val="00625A84"/>
    <w:rsid w:val="00626079"/>
    <w:rsid w:val="00631698"/>
    <w:rsid w:val="00631E44"/>
    <w:rsid w:val="00634C57"/>
    <w:rsid w:val="00634CE7"/>
    <w:rsid w:val="006350D5"/>
    <w:rsid w:val="0063642C"/>
    <w:rsid w:val="00637858"/>
    <w:rsid w:val="006404A7"/>
    <w:rsid w:val="00640A38"/>
    <w:rsid w:val="00641787"/>
    <w:rsid w:val="0064179B"/>
    <w:rsid w:val="00642489"/>
    <w:rsid w:val="00644055"/>
    <w:rsid w:val="00644137"/>
    <w:rsid w:val="0064478C"/>
    <w:rsid w:val="00645160"/>
    <w:rsid w:val="006451E4"/>
    <w:rsid w:val="00645B33"/>
    <w:rsid w:val="006516CB"/>
    <w:rsid w:val="00653BD0"/>
    <w:rsid w:val="00654110"/>
    <w:rsid w:val="00656C5D"/>
    <w:rsid w:val="00656CFB"/>
    <w:rsid w:val="00657E87"/>
    <w:rsid w:val="00660D2D"/>
    <w:rsid w:val="00661C41"/>
    <w:rsid w:val="00661EC9"/>
    <w:rsid w:val="00662469"/>
    <w:rsid w:val="0066411C"/>
    <w:rsid w:val="00664205"/>
    <w:rsid w:val="00664647"/>
    <w:rsid w:val="00664803"/>
    <w:rsid w:val="006653CC"/>
    <w:rsid w:val="00665982"/>
    <w:rsid w:val="00665BA4"/>
    <w:rsid w:val="00666BF3"/>
    <w:rsid w:val="00667856"/>
    <w:rsid w:val="00667AF2"/>
    <w:rsid w:val="00670489"/>
    <w:rsid w:val="006710C9"/>
    <w:rsid w:val="00672586"/>
    <w:rsid w:val="006741CD"/>
    <w:rsid w:val="00674D89"/>
    <w:rsid w:val="0067514E"/>
    <w:rsid w:val="00675E37"/>
    <w:rsid w:val="00676736"/>
    <w:rsid w:val="006769A4"/>
    <w:rsid w:val="00676D76"/>
    <w:rsid w:val="00676F9F"/>
    <w:rsid w:val="00677591"/>
    <w:rsid w:val="00677594"/>
    <w:rsid w:val="0068032F"/>
    <w:rsid w:val="00680D37"/>
    <w:rsid w:val="0068174E"/>
    <w:rsid w:val="00681DCE"/>
    <w:rsid w:val="0068260E"/>
    <w:rsid w:val="006846B3"/>
    <w:rsid w:val="00684D59"/>
    <w:rsid w:val="00684E25"/>
    <w:rsid w:val="006858A4"/>
    <w:rsid w:val="00686718"/>
    <w:rsid w:val="00686BFA"/>
    <w:rsid w:val="00686DED"/>
    <w:rsid w:val="006875A0"/>
    <w:rsid w:val="00687D27"/>
    <w:rsid w:val="00691943"/>
    <w:rsid w:val="00693550"/>
    <w:rsid w:val="00695065"/>
    <w:rsid w:val="00695BEF"/>
    <w:rsid w:val="00696251"/>
    <w:rsid w:val="006966C7"/>
    <w:rsid w:val="006968C1"/>
    <w:rsid w:val="006977F6"/>
    <w:rsid w:val="00697A13"/>
    <w:rsid w:val="006A109C"/>
    <w:rsid w:val="006A5F4B"/>
    <w:rsid w:val="006A6565"/>
    <w:rsid w:val="006A7691"/>
    <w:rsid w:val="006A7EE2"/>
    <w:rsid w:val="006B0514"/>
    <w:rsid w:val="006B0F92"/>
    <w:rsid w:val="006B2785"/>
    <w:rsid w:val="006B27C7"/>
    <w:rsid w:val="006B344A"/>
    <w:rsid w:val="006B58C9"/>
    <w:rsid w:val="006B60ED"/>
    <w:rsid w:val="006B6CC5"/>
    <w:rsid w:val="006B74AC"/>
    <w:rsid w:val="006B78D8"/>
    <w:rsid w:val="006B79EA"/>
    <w:rsid w:val="006C0C5D"/>
    <w:rsid w:val="006C113F"/>
    <w:rsid w:val="006C123E"/>
    <w:rsid w:val="006C15A1"/>
    <w:rsid w:val="006C1752"/>
    <w:rsid w:val="006C28CA"/>
    <w:rsid w:val="006C2BBF"/>
    <w:rsid w:val="006C2FBD"/>
    <w:rsid w:val="006C4355"/>
    <w:rsid w:val="006C469D"/>
    <w:rsid w:val="006C46B5"/>
    <w:rsid w:val="006C484F"/>
    <w:rsid w:val="006C52EC"/>
    <w:rsid w:val="006C56D4"/>
    <w:rsid w:val="006C6681"/>
    <w:rsid w:val="006C683C"/>
    <w:rsid w:val="006C6924"/>
    <w:rsid w:val="006C6C1E"/>
    <w:rsid w:val="006C7076"/>
    <w:rsid w:val="006C7AEC"/>
    <w:rsid w:val="006C7CA6"/>
    <w:rsid w:val="006D18B3"/>
    <w:rsid w:val="006D1E89"/>
    <w:rsid w:val="006D317E"/>
    <w:rsid w:val="006D3E8A"/>
    <w:rsid w:val="006D61F6"/>
    <w:rsid w:val="006E1332"/>
    <w:rsid w:val="006E279A"/>
    <w:rsid w:val="006E313B"/>
    <w:rsid w:val="006E3A45"/>
    <w:rsid w:val="006E4078"/>
    <w:rsid w:val="006E53AD"/>
    <w:rsid w:val="006E58CB"/>
    <w:rsid w:val="006E7227"/>
    <w:rsid w:val="006E761A"/>
    <w:rsid w:val="006F0741"/>
    <w:rsid w:val="006F1C27"/>
    <w:rsid w:val="006F2A65"/>
    <w:rsid w:val="006F3DD6"/>
    <w:rsid w:val="006F40DF"/>
    <w:rsid w:val="006F42BB"/>
    <w:rsid w:val="006F438E"/>
    <w:rsid w:val="006F440B"/>
    <w:rsid w:val="006F48A3"/>
    <w:rsid w:val="006F5416"/>
    <w:rsid w:val="006F624B"/>
    <w:rsid w:val="006F6D87"/>
    <w:rsid w:val="0070398A"/>
    <w:rsid w:val="00705242"/>
    <w:rsid w:val="007055E0"/>
    <w:rsid w:val="007056ED"/>
    <w:rsid w:val="00705F4E"/>
    <w:rsid w:val="007065C5"/>
    <w:rsid w:val="007068E1"/>
    <w:rsid w:val="00706AA0"/>
    <w:rsid w:val="00706AD4"/>
    <w:rsid w:val="00707150"/>
    <w:rsid w:val="007124D7"/>
    <w:rsid w:val="00712C20"/>
    <w:rsid w:val="00713549"/>
    <w:rsid w:val="007140BE"/>
    <w:rsid w:val="007147AB"/>
    <w:rsid w:val="00715502"/>
    <w:rsid w:val="00715E4D"/>
    <w:rsid w:val="0071677A"/>
    <w:rsid w:val="00716F48"/>
    <w:rsid w:val="00717114"/>
    <w:rsid w:val="0071779F"/>
    <w:rsid w:val="007211F5"/>
    <w:rsid w:val="00721601"/>
    <w:rsid w:val="00722777"/>
    <w:rsid w:val="00723435"/>
    <w:rsid w:val="00723436"/>
    <w:rsid w:val="007240E2"/>
    <w:rsid w:val="0072454C"/>
    <w:rsid w:val="0072583E"/>
    <w:rsid w:val="00725BB5"/>
    <w:rsid w:val="00727C02"/>
    <w:rsid w:val="0073008E"/>
    <w:rsid w:val="00730AE8"/>
    <w:rsid w:val="00730F1B"/>
    <w:rsid w:val="0073186D"/>
    <w:rsid w:val="0073333D"/>
    <w:rsid w:val="007343D9"/>
    <w:rsid w:val="00734F71"/>
    <w:rsid w:val="00735448"/>
    <w:rsid w:val="007377BD"/>
    <w:rsid w:val="00737DEC"/>
    <w:rsid w:val="0074004D"/>
    <w:rsid w:val="00741493"/>
    <w:rsid w:val="007434E5"/>
    <w:rsid w:val="0074499B"/>
    <w:rsid w:val="007450BF"/>
    <w:rsid w:val="007471A1"/>
    <w:rsid w:val="007477BD"/>
    <w:rsid w:val="00747EE9"/>
    <w:rsid w:val="00752180"/>
    <w:rsid w:val="00752323"/>
    <w:rsid w:val="007532B7"/>
    <w:rsid w:val="00753CAB"/>
    <w:rsid w:val="00754A70"/>
    <w:rsid w:val="00754BC9"/>
    <w:rsid w:val="00755202"/>
    <w:rsid w:val="00755D3A"/>
    <w:rsid w:val="0075751D"/>
    <w:rsid w:val="0075763E"/>
    <w:rsid w:val="007578D3"/>
    <w:rsid w:val="007602CF"/>
    <w:rsid w:val="00760391"/>
    <w:rsid w:val="007609C6"/>
    <w:rsid w:val="007615F3"/>
    <w:rsid w:val="0076175D"/>
    <w:rsid w:val="00761CB5"/>
    <w:rsid w:val="007629D5"/>
    <w:rsid w:val="007635F8"/>
    <w:rsid w:val="00763B85"/>
    <w:rsid w:val="00764974"/>
    <w:rsid w:val="00764D18"/>
    <w:rsid w:val="0076521E"/>
    <w:rsid w:val="00765BCC"/>
    <w:rsid w:val="0076600D"/>
    <w:rsid w:val="007661E9"/>
    <w:rsid w:val="00766460"/>
    <w:rsid w:val="00767062"/>
    <w:rsid w:val="00767777"/>
    <w:rsid w:val="0077130E"/>
    <w:rsid w:val="007715EE"/>
    <w:rsid w:val="00771972"/>
    <w:rsid w:val="00772279"/>
    <w:rsid w:val="00772DAB"/>
    <w:rsid w:val="00772FF9"/>
    <w:rsid w:val="00774D2C"/>
    <w:rsid w:val="0077605B"/>
    <w:rsid w:val="00776169"/>
    <w:rsid w:val="00776527"/>
    <w:rsid w:val="00777040"/>
    <w:rsid w:val="00777CE6"/>
    <w:rsid w:val="00780EF1"/>
    <w:rsid w:val="00781A91"/>
    <w:rsid w:val="00781F36"/>
    <w:rsid w:val="00785778"/>
    <w:rsid w:val="00786C87"/>
    <w:rsid w:val="0078755E"/>
    <w:rsid w:val="007877C9"/>
    <w:rsid w:val="00790764"/>
    <w:rsid w:val="0079085F"/>
    <w:rsid w:val="00790E96"/>
    <w:rsid w:val="00791005"/>
    <w:rsid w:val="00793D78"/>
    <w:rsid w:val="0079453C"/>
    <w:rsid w:val="00794677"/>
    <w:rsid w:val="00795759"/>
    <w:rsid w:val="007A170B"/>
    <w:rsid w:val="007A20EB"/>
    <w:rsid w:val="007A282C"/>
    <w:rsid w:val="007A293C"/>
    <w:rsid w:val="007A2A3A"/>
    <w:rsid w:val="007A33E2"/>
    <w:rsid w:val="007A3CAF"/>
    <w:rsid w:val="007A4782"/>
    <w:rsid w:val="007A516D"/>
    <w:rsid w:val="007A5E65"/>
    <w:rsid w:val="007A65E1"/>
    <w:rsid w:val="007A6AAA"/>
    <w:rsid w:val="007A7033"/>
    <w:rsid w:val="007A775D"/>
    <w:rsid w:val="007B0834"/>
    <w:rsid w:val="007B0E83"/>
    <w:rsid w:val="007B11FA"/>
    <w:rsid w:val="007B1396"/>
    <w:rsid w:val="007B16D6"/>
    <w:rsid w:val="007B2011"/>
    <w:rsid w:val="007B2CFE"/>
    <w:rsid w:val="007B309B"/>
    <w:rsid w:val="007B3D5E"/>
    <w:rsid w:val="007B3DCB"/>
    <w:rsid w:val="007B5725"/>
    <w:rsid w:val="007B5C1F"/>
    <w:rsid w:val="007B6689"/>
    <w:rsid w:val="007B6747"/>
    <w:rsid w:val="007B6F72"/>
    <w:rsid w:val="007C10BD"/>
    <w:rsid w:val="007C1F0C"/>
    <w:rsid w:val="007C1FFB"/>
    <w:rsid w:val="007C2D94"/>
    <w:rsid w:val="007C5F92"/>
    <w:rsid w:val="007C6227"/>
    <w:rsid w:val="007C6BBD"/>
    <w:rsid w:val="007C6D89"/>
    <w:rsid w:val="007C6F5E"/>
    <w:rsid w:val="007D0382"/>
    <w:rsid w:val="007D1A1F"/>
    <w:rsid w:val="007D2E18"/>
    <w:rsid w:val="007D40DF"/>
    <w:rsid w:val="007D42E5"/>
    <w:rsid w:val="007D4458"/>
    <w:rsid w:val="007D6AF9"/>
    <w:rsid w:val="007E0535"/>
    <w:rsid w:val="007E0D4A"/>
    <w:rsid w:val="007E1788"/>
    <w:rsid w:val="007E1EE3"/>
    <w:rsid w:val="007E29B4"/>
    <w:rsid w:val="007E2F12"/>
    <w:rsid w:val="007E435A"/>
    <w:rsid w:val="007E445C"/>
    <w:rsid w:val="007E49F7"/>
    <w:rsid w:val="007E4C70"/>
    <w:rsid w:val="007E5B5F"/>
    <w:rsid w:val="007E78B6"/>
    <w:rsid w:val="007E7E61"/>
    <w:rsid w:val="007F0845"/>
    <w:rsid w:val="007F20F3"/>
    <w:rsid w:val="007F2353"/>
    <w:rsid w:val="007F2390"/>
    <w:rsid w:val="007F2CAC"/>
    <w:rsid w:val="007F4740"/>
    <w:rsid w:val="007F595A"/>
    <w:rsid w:val="007F708D"/>
    <w:rsid w:val="008006B3"/>
    <w:rsid w:val="0080158A"/>
    <w:rsid w:val="00801E13"/>
    <w:rsid w:val="00803008"/>
    <w:rsid w:val="00803069"/>
    <w:rsid w:val="0080346B"/>
    <w:rsid w:val="00804155"/>
    <w:rsid w:val="0080559E"/>
    <w:rsid w:val="00805AF3"/>
    <w:rsid w:val="0080734C"/>
    <w:rsid w:val="00807C82"/>
    <w:rsid w:val="008117CC"/>
    <w:rsid w:val="00813D58"/>
    <w:rsid w:val="00813DCA"/>
    <w:rsid w:val="008161A6"/>
    <w:rsid w:val="008165B8"/>
    <w:rsid w:val="00816905"/>
    <w:rsid w:val="00816D98"/>
    <w:rsid w:val="00816E42"/>
    <w:rsid w:val="00817040"/>
    <w:rsid w:val="00817A17"/>
    <w:rsid w:val="00817EC1"/>
    <w:rsid w:val="0082112D"/>
    <w:rsid w:val="00821FF6"/>
    <w:rsid w:val="00822574"/>
    <w:rsid w:val="00822980"/>
    <w:rsid w:val="00822F08"/>
    <w:rsid w:val="00825C4D"/>
    <w:rsid w:val="00826A08"/>
    <w:rsid w:val="00826AC0"/>
    <w:rsid w:val="00827186"/>
    <w:rsid w:val="00827C8E"/>
    <w:rsid w:val="00830569"/>
    <w:rsid w:val="00830AEA"/>
    <w:rsid w:val="00830E86"/>
    <w:rsid w:val="0083143E"/>
    <w:rsid w:val="008315B8"/>
    <w:rsid w:val="008315D5"/>
    <w:rsid w:val="00831CDE"/>
    <w:rsid w:val="00832F77"/>
    <w:rsid w:val="00834304"/>
    <w:rsid w:val="00834FAA"/>
    <w:rsid w:val="008354FB"/>
    <w:rsid w:val="00836086"/>
    <w:rsid w:val="0083630F"/>
    <w:rsid w:val="00836A06"/>
    <w:rsid w:val="008374BC"/>
    <w:rsid w:val="008379D6"/>
    <w:rsid w:val="00837E48"/>
    <w:rsid w:val="00840293"/>
    <w:rsid w:val="008402AD"/>
    <w:rsid w:val="008408D4"/>
    <w:rsid w:val="008417B5"/>
    <w:rsid w:val="00841901"/>
    <w:rsid w:val="008458BD"/>
    <w:rsid w:val="00846121"/>
    <w:rsid w:val="008461C2"/>
    <w:rsid w:val="008466C6"/>
    <w:rsid w:val="0084708F"/>
    <w:rsid w:val="008477C8"/>
    <w:rsid w:val="008478A6"/>
    <w:rsid w:val="008502F6"/>
    <w:rsid w:val="0085114D"/>
    <w:rsid w:val="008520A8"/>
    <w:rsid w:val="00852217"/>
    <w:rsid w:val="00853282"/>
    <w:rsid w:val="00855408"/>
    <w:rsid w:val="00855D03"/>
    <w:rsid w:val="00856D65"/>
    <w:rsid w:val="00861B41"/>
    <w:rsid w:val="00861B9F"/>
    <w:rsid w:val="00861BE3"/>
    <w:rsid w:val="008625D3"/>
    <w:rsid w:val="00863434"/>
    <w:rsid w:val="0086344F"/>
    <w:rsid w:val="008641AC"/>
    <w:rsid w:val="00865E4C"/>
    <w:rsid w:val="0086796D"/>
    <w:rsid w:val="00867DAB"/>
    <w:rsid w:val="0087000B"/>
    <w:rsid w:val="008701E4"/>
    <w:rsid w:val="008704E9"/>
    <w:rsid w:val="00870ECD"/>
    <w:rsid w:val="0087347C"/>
    <w:rsid w:val="008734E7"/>
    <w:rsid w:val="0087368D"/>
    <w:rsid w:val="008740CC"/>
    <w:rsid w:val="00874FE8"/>
    <w:rsid w:val="00875A32"/>
    <w:rsid w:val="00876086"/>
    <w:rsid w:val="00876E83"/>
    <w:rsid w:val="008772BC"/>
    <w:rsid w:val="00880A0E"/>
    <w:rsid w:val="00881CD7"/>
    <w:rsid w:val="00882911"/>
    <w:rsid w:val="00882F6E"/>
    <w:rsid w:val="00884E02"/>
    <w:rsid w:val="00885D40"/>
    <w:rsid w:val="008873D4"/>
    <w:rsid w:val="00891EDF"/>
    <w:rsid w:val="00892872"/>
    <w:rsid w:val="0089296D"/>
    <w:rsid w:val="00893E85"/>
    <w:rsid w:val="00893EBE"/>
    <w:rsid w:val="00894031"/>
    <w:rsid w:val="00894C5D"/>
    <w:rsid w:val="00895508"/>
    <w:rsid w:val="008967E9"/>
    <w:rsid w:val="00896A5C"/>
    <w:rsid w:val="008972D2"/>
    <w:rsid w:val="0089754C"/>
    <w:rsid w:val="008A0ADD"/>
    <w:rsid w:val="008A0D27"/>
    <w:rsid w:val="008A1C59"/>
    <w:rsid w:val="008A37E2"/>
    <w:rsid w:val="008A388E"/>
    <w:rsid w:val="008A394E"/>
    <w:rsid w:val="008A3CBA"/>
    <w:rsid w:val="008A4B59"/>
    <w:rsid w:val="008A63E1"/>
    <w:rsid w:val="008A66B7"/>
    <w:rsid w:val="008A68BB"/>
    <w:rsid w:val="008A6AA5"/>
    <w:rsid w:val="008A7127"/>
    <w:rsid w:val="008B3537"/>
    <w:rsid w:val="008B3690"/>
    <w:rsid w:val="008B3A80"/>
    <w:rsid w:val="008B3AEC"/>
    <w:rsid w:val="008B3C07"/>
    <w:rsid w:val="008B3F7B"/>
    <w:rsid w:val="008B5324"/>
    <w:rsid w:val="008B6106"/>
    <w:rsid w:val="008B7C02"/>
    <w:rsid w:val="008B7D2B"/>
    <w:rsid w:val="008B7EF9"/>
    <w:rsid w:val="008C0049"/>
    <w:rsid w:val="008C0E88"/>
    <w:rsid w:val="008C1717"/>
    <w:rsid w:val="008C4B50"/>
    <w:rsid w:val="008C5A37"/>
    <w:rsid w:val="008C7569"/>
    <w:rsid w:val="008D033D"/>
    <w:rsid w:val="008D0DBD"/>
    <w:rsid w:val="008D117E"/>
    <w:rsid w:val="008D127E"/>
    <w:rsid w:val="008D1CA8"/>
    <w:rsid w:val="008D1E0A"/>
    <w:rsid w:val="008D1E6A"/>
    <w:rsid w:val="008D2A16"/>
    <w:rsid w:val="008D33F5"/>
    <w:rsid w:val="008D35E4"/>
    <w:rsid w:val="008D6C3A"/>
    <w:rsid w:val="008E0001"/>
    <w:rsid w:val="008E292B"/>
    <w:rsid w:val="008E2C57"/>
    <w:rsid w:val="008E31FF"/>
    <w:rsid w:val="008E3287"/>
    <w:rsid w:val="008E6DCB"/>
    <w:rsid w:val="008E6F06"/>
    <w:rsid w:val="008E7B8E"/>
    <w:rsid w:val="008E7FC9"/>
    <w:rsid w:val="008F0107"/>
    <w:rsid w:val="008F029B"/>
    <w:rsid w:val="008F0589"/>
    <w:rsid w:val="008F2A5D"/>
    <w:rsid w:val="008F3636"/>
    <w:rsid w:val="008F3FC9"/>
    <w:rsid w:val="008F5383"/>
    <w:rsid w:val="008F585B"/>
    <w:rsid w:val="009003A8"/>
    <w:rsid w:val="009005E4"/>
    <w:rsid w:val="00900977"/>
    <w:rsid w:val="009021DA"/>
    <w:rsid w:val="00902500"/>
    <w:rsid w:val="00902EFF"/>
    <w:rsid w:val="00903A8E"/>
    <w:rsid w:val="0090432C"/>
    <w:rsid w:val="00904F96"/>
    <w:rsid w:val="009052A3"/>
    <w:rsid w:val="00905314"/>
    <w:rsid w:val="009056D7"/>
    <w:rsid w:val="00905B8D"/>
    <w:rsid w:val="00906401"/>
    <w:rsid w:val="009065CB"/>
    <w:rsid w:val="009067EA"/>
    <w:rsid w:val="00906B79"/>
    <w:rsid w:val="0090786F"/>
    <w:rsid w:val="0091001E"/>
    <w:rsid w:val="00910C18"/>
    <w:rsid w:val="009110F7"/>
    <w:rsid w:val="0091155E"/>
    <w:rsid w:val="00912437"/>
    <w:rsid w:val="00912A92"/>
    <w:rsid w:val="00915D07"/>
    <w:rsid w:val="009162AE"/>
    <w:rsid w:val="00917251"/>
    <w:rsid w:val="0091728D"/>
    <w:rsid w:val="009203CC"/>
    <w:rsid w:val="00920EC4"/>
    <w:rsid w:val="0092180B"/>
    <w:rsid w:val="00921F14"/>
    <w:rsid w:val="00923CB0"/>
    <w:rsid w:val="00923D8C"/>
    <w:rsid w:val="00924871"/>
    <w:rsid w:val="00924AC8"/>
    <w:rsid w:val="00925429"/>
    <w:rsid w:val="00925615"/>
    <w:rsid w:val="0092597A"/>
    <w:rsid w:val="00926520"/>
    <w:rsid w:val="00926CF0"/>
    <w:rsid w:val="009273A9"/>
    <w:rsid w:val="00930251"/>
    <w:rsid w:val="0093033E"/>
    <w:rsid w:val="009305FC"/>
    <w:rsid w:val="00930FB1"/>
    <w:rsid w:val="0093139F"/>
    <w:rsid w:val="00932443"/>
    <w:rsid w:val="00932B32"/>
    <w:rsid w:val="00933F4A"/>
    <w:rsid w:val="009341F1"/>
    <w:rsid w:val="00934FF2"/>
    <w:rsid w:val="009358D7"/>
    <w:rsid w:val="00935BD4"/>
    <w:rsid w:val="00935DFE"/>
    <w:rsid w:val="00935F70"/>
    <w:rsid w:val="009373B2"/>
    <w:rsid w:val="00937AE2"/>
    <w:rsid w:val="0094061F"/>
    <w:rsid w:val="00940F0F"/>
    <w:rsid w:val="0094416B"/>
    <w:rsid w:val="0094427A"/>
    <w:rsid w:val="00944C7C"/>
    <w:rsid w:val="00945245"/>
    <w:rsid w:val="00945523"/>
    <w:rsid w:val="00950921"/>
    <w:rsid w:val="00951D68"/>
    <w:rsid w:val="00951E5B"/>
    <w:rsid w:val="00952B7B"/>
    <w:rsid w:val="00954F39"/>
    <w:rsid w:val="009555FD"/>
    <w:rsid w:val="0095664B"/>
    <w:rsid w:val="009568DC"/>
    <w:rsid w:val="00957445"/>
    <w:rsid w:val="0095759C"/>
    <w:rsid w:val="009618EE"/>
    <w:rsid w:val="009624D2"/>
    <w:rsid w:val="009628D9"/>
    <w:rsid w:val="009637AE"/>
    <w:rsid w:val="00963A06"/>
    <w:rsid w:val="00964068"/>
    <w:rsid w:val="009640F6"/>
    <w:rsid w:val="0096469D"/>
    <w:rsid w:val="00964776"/>
    <w:rsid w:val="00964A4E"/>
    <w:rsid w:val="00964B35"/>
    <w:rsid w:val="009651C7"/>
    <w:rsid w:val="00965797"/>
    <w:rsid w:val="00965A10"/>
    <w:rsid w:val="009670A3"/>
    <w:rsid w:val="009674BE"/>
    <w:rsid w:val="00970FB5"/>
    <w:rsid w:val="00971710"/>
    <w:rsid w:val="00971B87"/>
    <w:rsid w:val="00971C77"/>
    <w:rsid w:val="00972FCD"/>
    <w:rsid w:val="00973324"/>
    <w:rsid w:val="009741AE"/>
    <w:rsid w:val="009741FC"/>
    <w:rsid w:val="00974782"/>
    <w:rsid w:val="00974923"/>
    <w:rsid w:val="00975909"/>
    <w:rsid w:val="00977C3D"/>
    <w:rsid w:val="00980D3D"/>
    <w:rsid w:val="0098103E"/>
    <w:rsid w:val="0098157D"/>
    <w:rsid w:val="00983101"/>
    <w:rsid w:val="00983E41"/>
    <w:rsid w:val="009845E1"/>
    <w:rsid w:val="00986246"/>
    <w:rsid w:val="00987A30"/>
    <w:rsid w:val="00990312"/>
    <w:rsid w:val="0099182E"/>
    <w:rsid w:val="00992CF3"/>
    <w:rsid w:val="00993194"/>
    <w:rsid w:val="0099321E"/>
    <w:rsid w:val="00994868"/>
    <w:rsid w:val="00994D28"/>
    <w:rsid w:val="00994F2C"/>
    <w:rsid w:val="009957CC"/>
    <w:rsid w:val="009968D6"/>
    <w:rsid w:val="00997953"/>
    <w:rsid w:val="009A0BFF"/>
    <w:rsid w:val="009A10A0"/>
    <w:rsid w:val="009A1CAB"/>
    <w:rsid w:val="009A2359"/>
    <w:rsid w:val="009A24F1"/>
    <w:rsid w:val="009A27E0"/>
    <w:rsid w:val="009A4D57"/>
    <w:rsid w:val="009A51A5"/>
    <w:rsid w:val="009A60D1"/>
    <w:rsid w:val="009A6225"/>
    <w:rsid w:val="009A64F5"/>
    <w:rsid w:val="009B00D2"/>
    <w:rsid w:val="009B05B3"/>
    <w:rsid w:val="009B284F"/>
    <w:rsid w:val="009B3764"/>
    <w:rsid w:val="009B52AC"/>
    <w:rsid w:val="009B59EA"/>
    <w:rsid w:val="009B66CE"/>
    <w:rsid w:val="009B6FD3"/>
    <w:rsid w:val="009B72BE"/>
    <w:rsid w:val="009B78A4"/>
    <w:rsid w:val="009B7DB2"/>
    <w:rsid w:val="009C03DB"/>
    <w:rsid w:val="009C1750"/>
    <w:rsid w:val="009C2E29"/>
    <w:rsid w:val="009C3E8F"/>
    <w:rsid w:val="009C554B"/>
    <w:rsid w:val="009C5E83"/>
    <w:rsid w:val="009C7126"/>
    <w:rsid w:val="009C719E"/>
    <w:rsid w:val="009C7799"/>
    <w:rsid w:val="009D07A9"/>
    <w:rsid w:val="009D0AE2"/>
    <w:rsid w:val="009D0D9F"/>
    <w:rsid w:val="009D0EBB"/>
    <w:rsid w:val="009D3ACD"/>
    <w:rsid w:val="009D4F21"/>
    <w:rsid w:val="009D587D"/>
    <w:rsid w:val="009D7731"/>
    <w:rsid w:val="009E1120"/>
    <w:rsid w:val="009E1393"/>
    <w:rsid w:val="009E1922"/>
    <w:rsid w:val="009E1A3D"/>
    <w:rsid w:val="009E4715"/>
    <w:rsid w:val="009E4A58"/>
    <w:rsid w:val="009E5273"/>
    <w:rsid w:val="009E57A8"/>
    <w:rsid w:val="009E5B85"/>
    <w:rsid w:val="009E5DDB"/>
    <w:rsid w:val="009F2921"/>
    <w:rsid w:val="009F4982"/>
    <w:rsid w:val="009F4CA7"/>
    <w:rsid w:val="009F4F6A"/>
    <w:rsid w:val="009F55BA"/>
    <w:rsid w:val="009F7D36"/>
    <w:rsid w:val="00A00E71"/>
    <w:rsid w:val="00A0306F"/>
    <w:rsid w:val="00A03B10"/>
    <w:rsid w:val="00A03E2E"/>
    <w:rsid w:val="00A04616"/>
    <w:rsid w:val="00A04717"/>
    <w:rsid w:val="00A05D8F"/>
    <w:rsid w:val="00A05EE4"/>
    <w:rsid w:val="00A06F99"/>
    <w:rsid w:val="00A1053B"/>
    <w:rsid w:val="00A10D66"/>
    <w:rsid w:val="00A113A4"/>
    <w:rsid w:val="00A14114"/>
    <w:rsid w:val="00A16413"/>
    <w:rsid w:val="00A16545"/>
    <w:rsid w:val="00A16AED"/>
    <w:rsid w:val="00A16C37"/>
    <w:rsid w:val="00A16E1D"/>
    <w:rsid w:val="00A171D5"/>
    <w:rsid w:val="00A17A15"/>
    <w:rsid w:val="00A17D5B"/>
    <w:rsid w:val="00A201E1"/>
    <w:rsid w:val="00A20FE1"/>
    <w:rsid w:val="00A21B4D"/>
    <w:rsid w:val="00A22073"/>
    <w:rsid w:val="00A223E0"/>
    <w:rsid w:val="00A23E43"/>
    <w:rsid w:val="00A24726"/>
    <w:rsid w:val="00A24DEB"/>
    <w:rsid w:val="00A24ED9"/>
    <w:rsid w:val="00A25216"/>
    <w:rsid w:val="00A2597D"/>
    <w:rsid w:val="00A2628E"/>
    <w:rsid w:val="00A266BF"/>
    <w:rsid w:val="00A2731E"/>
    <w:rsid w:val="00A309AC"/>
    <w:rsid w:val="00A30F65"/>
    <w:rsid w:val="00A3279E"/>
    <w:rsid w:val="00A35900"/>
    <w:rsid w:val="00A40EAC"/>
    <w:rsid w:val="00A418BC"/>
    <w:rsid w:val="00A41FCF"/>
    <w:rsid w:val="00A42936"/>
    <w:rsid w:val="00A43CF8"/>
    <w:rsid w:val="00A43DF2"/>
    <w:rsid w:val="00A445A8"/>
    <w:rsid w:val="00A44B0D"/>
    <w:rsid w:val="00A44D21"/>
    <w:rsid w:val="00A45087"/>
    <w:rsid w:val="00A45489"/>
    <w:rsid w:val="00A45CED"/>
    <w:rsid w:val="00A465E9"/>
    <w:rsid w:val="00A468E7"/>
    <w:rsid w:val="00A46DE0"/>
    <w:rsid w:val="00A478BA"/>
    <w:rsid w:val="00A50D73"/>
    <w:rsid w:val="00A52A88"/>
    <w:rsid w:val="00A52CAD"/>
    <w:rsid w:val="00A53FC7"/>
    <w:rsid w:val="00A55569"/>
    <w:rsid w:val="00A566A0"/>
    <w:rsid w:val="00A601E7"/>
    <w:rsid w:val="00A60AC1"/>
    <w:rsid w:val="00A626FF"/>
    <w:rsid w:val="00A62CE1"/>
    <w:rsid w:val="00A65469"/>
    <w:rsid w:val="00A65528"/>
    <w:rsid w:val="00A655D3"/>
    <w:rsid w:val="00A662D9"/>
    <w:rsid w:val="00A6741E"/>
    <w:rsid w:val="00A67E29"/>
    <w:rsid w:val="00A7016A"/>
    <w:rsid w:val="00A7018D"/>
    <w:rsid w:val="00A7191D"/>
    <w:rsid w:val="00A722F9"/>
    <w:rsid w:val="00A72D42"/>
    <w:rsid w:val="00A746C9"/>
    <w:rsid w:val="00A74C2A"/>
    <w:rsid w:val="00A75E40"/>
    <w:rsid w:val="00A77D1D"/>
    <w:rsid w:val="00A81652"/>
    <w:rsid w:val="00A83150"/>
    <w:rsid w:val="00A83398"/>
    <w:rsid w:val="00A83D6E"/>
    <w:rsid w:val="00A8521A"/>
    <w:rsid w:val="00A857C0"/>
    <w:rsid w:val="00A85ACB"/>
    <w:rsid w:val="00A90F2C"/>
    <w:rsid w:val="00A90FED"/>
    <w:rsid w:val="00A91482"/>
    <w:rsid w:val="00A9189D"/>
    <w:rsid w:val="00A91E71"/>
    <w:rsid w:val="00A925B1"/>
    <w:rsid w:val="00A92A3E"/>
    <w:rsid w:val="00A934F9"/>
    <w:rsid w:val="00A940E3"/>
    <w:rsid w:val="00A95F1A"/>
    <w:rsid w:val="00A96116"/>
    <w:rsid w:val="00A9614E"/>
    <w:rsid w:val="00A96C0F"/>
    <w:rsid w:val="00AA0E80"/>
    <w:rsid w:val="00AA17CD"/>
    <w:rsid w:val="00AA1D85"/>
    <w:rsid w:val="00AA212F"/>
    <w:rsid w:val="00AA2996"/>
    <w:rsid w:val="00AA2AF4"/>
    <w:rsid w:val="00AA4282"/>
    <w:rsid w:val="00AA4790"/>
    <w:rsid w:val="00AA52BF"/>
    <w:rsid w:val="00AA559A"/>
    <w:rsid w:val="00AA6C31"/>
    <w:rsid w:val="00AA7752"/>
    <w:rsid w:val="00AA7CE8"/>
    <w:rsid w:val="00AB1457"/>
    <w:rsid w:val="00AB2AF1"/>
    <w:rsid w:val="00AB3EC7"/>
    <w:rsid w:val="00AB5A64"/>
    <w:rsid w:val="00AB5CA1"/>
    <w:rsid w:val="00AB6456"/>
    <w:rsid w:val="00AC044E"/>
    <w:rsid w:val="00AC2118"/>
    <w:rsid w:val="00AC2395"/>
    <w:rsid w:val="00AC2960"/>
    <w:rsid w:val="00AC2AC4"/>
    <w:rsid w:val="00AC4284"/>
    <w:rsid w:val="00AC45BD"/>
    <w:rsid w:val="00AC50BB"/>
    <w:rsid w:val="00AD0B22"/>
    <w:rsid w:val="00AD0EE7"/>
    <w:rsid w:val="00AD168E"/>
    <w:rsid w:val="00AD306C"/>
    <w:rsid w:val="00AD44CD"/>
    <w:rsid w:val="00AD5AD2"/>
    <w:rsid w:val="00AD6462"/>
    <w:rsid w:val="00AD66C5"/>
    <w:rsid w:val="00AD68C4"/>
    <w:rsid w:val="00AD71F9"/>
    <w:rsid w:val="00AE09B3"/>
    <w:rsid w:val="00AE1A83"/>
    <w:rsid w:val="00AE30BE"/>
    <w:rsid w:val="00AE3E6A"/>
    <w:rsid w:val="00AE6414"/>
    <w:rsid w:val="00AE7269"/>
    <w:rsid w:val="00AE797C"/>
    <w:rsid w:val="00AE7CE7"/>
    <w:rsid w:val="00AE7FAB"/>
    <w:rsid w:val="00AF0DE4"/>
    <w:rsid w:val="00AF1E87"/>
    <w:rsid w:val="00AF436B"/>
    <w:rsid w:val="00AF5179"/>
    <w:rsid w:val="00AF5CC2"/>
    <w:rsid w:val="00AF6776"/>
    <w:rsid w:val="00AF6F98"/>
    <w:rsid w:val="00B00913"/>
    <w:rsid w:val="00B01593"/>
    <w:rsid w:val="00B01FF9"/>
    <w:rsid w:val="00B023F2"/>
    <w:rsid w:val="00B038CA"/>
    <w:rsid w:val="00B06DB4"/>
    <w:rsid w:val="00B0799C"/>
    <w:rsid w:val="00B102CE"/>
    <w:rsid w:val="00B10A4D"/>
    <w:rsid w:val="00B10C90"/>
    <w:rsid w:val="00B11002"/>
    <w:rsid w:val="00B121B2"/>
    <w:rsid w:val="00B141B6"/>
    <w:rsid w:val="00B14BC1"/>
    <w:rsid w:val="00B16DD1"/>
    <w:rsid w:val="00B16EB8"/>
    <w:rsid w:val="00B17E71"/>
    <w:rsid w:val="00B17FDE"/>
    <w:rsid w:val="00B20632"/>
    <w:rsid w:val="00B2379C"/>
    <w:rsid w:val="00B23D5D"/>
    <w:rsid w:val="00B2687D"/>
    <w:rsid w:val="00B3108D"/>
    <w:rsid w:val="00B32DDB"/>
    <w:rsid w:val="00B32F57"/>
    <w:rsid w:val="00B3345C"/>
    <w:rsid w:val="00B34528"/>
    <w:rsid w:val="00B34CC9"/>
    <w:rsid w:val="00B3563B"/>
    <w:rsid w:val="00B36BDC"/>
    <w:rsid w:val="00B37D3A"/>
    <w:rsid w:val="00B37D96"/>
    <w:rsid w:val="00B402FC"/>
    <w:rsid w:val="00B422E2"/>
    <w:rsid w:val="00B42D5F"/>
    <w:rsid w:val="00B43216"/>
    <w:rsid w:val="00B439DA"/>
    <w:rsid w:val="00B4411A"/>
    <w:rsid w:val="00B45FE8"/>
    <w:rsid w:val="00B46604"/>
    <w:rsid w:val="00B47089"/>
    <w:rsid w:val="00B47587"/>
    <w:rsid w:val="00B52151"/>
    <w:rsid w:val="00B530CD"/>
    <w:rsid w:val="00B53C7D"/>
    <w:rsid w:val="00B53E56"/>
    <w:rsid w:val="00B55A97"/>
    <w:rsid w:val="00B55F5E"/>
    <w:rsid w:val="00B5642C"/>
    <w:rsid w:val="00B56B6F"/>
    <w:rsid w:val="00B5752E"/>
    <w:rsid w:val="00B60AC1"/>
    <w:rsid w:val="00B61FF6"/>
    <w:rsid w:val="00B62316"/>
    <w:rsid w:val="00B63A11"/>
    <w:rsid w:val="00B64425"/>
    <w:rsid w:val="00B64C24"/>
    <w:rsid w:val="00B65CEF"/>
    <w:rsid w:val="00B6608F"/>
    <w:rsid w:val="00B67749"/>
    <w:rsid w:val="00B679FB"/>
    <w:rsid w:val="00B71FBF"/>
    <w:rsid w:val="00B734A0"/>
    <w:rsid w:val="00B73A14"/>
    <w:rsid w:val="00B748BD"/>
    <w:rsid w:val="00B7680F"/>
    <w:rsid w:val="00B76B48"/>
    <w:rsid w:val="00B76D1E"/>
    <w:rsid w:val="00B77543"/>
    <w:rsid w:val="00B77584"/>
    <w:rsid w:val="00B80EC6"/>
    <w:rsid w:val="00B81288"/>
    <w:rsid w:val="00B81D70"/>
    <w:rsid w:val="00B833B9"/>
    <w:rsid w:val="00B83E07"/>
    <w:rsid w:val="00B84CF6"/>
    <w:rsid w:val="00B85016"/>
    <w:rsid w:val="00B8561A"/>
    <w:rsid w:val="00B86643"/>
    <w:rsid w:val="00B868F7"/>
    <w:rsid w:val="00B90131"/>
    <w:rsid w:val="00B92951"/>
    <w:rsid w:val="00B92D1D"/>
    <w:rsid w:val="00B92D7E"/>
    <w:rsid w:val="00B930CE"/>
    <w:rsid w:val="00B938C5"/>
    <w:rsid w:val="00B940A8"/>
    <w:rsid w:val="00B9554A"/>
    <w:rsid w:val="00B95940"/>
    <w:rsid w:val="00B95ACA"/>
    <w:rsid w:val="00B97ACC"/>
    <w:rsid w:val="00B97FE2"/>
    <w:rsid w:val="00BA0E0B"/>
    <w:rsid w:val="00BA201A"/>
    <w:rsid w:val="00BA3787"/>
    <w:rsid w:val="00BA46E8"/>
    <w:rsid w:val="00BA4E19"/>
    <w:rsid w:val="00BA6436"/>
    <w:rsid w:val="00BA64F2"/>
    <w:rsid w:val="00BA684E"/>
    <w:rsid w:val="00BA6C2B"/>
    <w:rsid w:val="00BA7B64"/>
    <w:rsid w:val="00BB02A3"/>
    <w:rsid w:val="00BB0351"/>
    <w:rsid w:val="00BB15C3"/>
    <w:rsid w:val="00BB1AF4"/>
    <w:rsid w:val="00BB2202"/>
    <w:rsid w:val="00BB3C6B"/>
    <w:rsid w:val="00BB3FD6"/>
    <w:rsid w:val="00BB453F"/>
    <w:rsid w:val="00BB46F3"/>
    <w:rsid w:val="00BB4A71"/>
    <w:rsid w:val="00BB4CB1"/>
    <w:rsid w:val="00BB4F98"/>
    <w:rsid w:val="00BB5AB2"/>
    <w:rsid w:val="00BB5ABF"/>
    <w:rsid w:val="00BB6EA2"/>
    <w:rsid w:val="00BB7B5B"/>
    <w:rsid w:val="00BB7EB1"/>
    <w:rsid w:val="00BC003F"/>
    <w:rsid w:val="00BC327F"/>
    <w:rsid w:val="00BC3512"/>
    <w:rsid w:val="00BC50BE"/>
    <w:rsid w:val="00BC5332"/>
    <w:rsid w:val="00BC5715"/>
    <w:rsid w:val="00BC5C12"/>
    <w:rsid w:val="00BC7154"/>
    <w:rsid w:val="00BC731E"/>
    <w:rsid w:val="00BC7614"/>
    <w:rsid w:val="00BD25BB"/>
    <w:rsid w:val="00BD2AF8"/>
    <w:rsid w:val="00BD366B"/>
    <w:rsid w:val="00BD3C09"/>
    <w:rsid w:val="00BD410B"/>
    <w:rsid w:val="00BD4A73"/>
    <w:rsid w:val="00BD6C75"/>
    <w:rsid w:val="00BD6D50"/>
    <w:rsid w:val="00BD73D2"/>
    <w:rsid w:val="00BE0AD1"/>
    <w:rsid w:val="00BE0EF9"/>
    <w:rsid w:val="00BE10A1"/>
    <w:rsid w:val="00BE18B9"/>
    <w:rsid w:val="00BE190A"/>
    <w:rsid w:val="00BE2495"/>
    <w:rsid w:val="00BE24DD"/>
    <w:rsid w:val="00BE386D"/>
    <w:rsid w:val="00BE557B"/>
    <w:rsid w:val="00BE7F5F"/>
    <w:rsid w:val="00BF02C8"/>
    <w:rsid w:val="00BF1578"/>
    <w:rsid w:val="00BF15CA"/>
    <w:rsid w:val="00BF1D12"/>
    <w:rsid w:val="00BF1D3A"/>
    <w:rsid w:val="00BF2B5B"/>
    <w:rsid w:val="00BF2D41"/>
    <w:rsid w:val="00BF3274"/>
    <w:rsid w:val="00BF32DC"/>
    <w:rsid w:val="00BF4329"/>
    <w:rsid w:val="00BF4E43"/>
    <w:rsid w:val="00BF5C4C"/>
    <w:rsid w:val="00BF77FC"/>
    <w:rsid w:val="00C006D6"/>
    <w:rsid w:val="00C00BD7"/>
    <w:rsid w:val="00C01410"/>
    <w:rsid w:val="00C04B78"/>
    <w:rsid w:val="00C052AA"/>
    <w:rsid w:val="00C06EE3"/>
    <w:rsid w:val="00C07749"/>
    <w:rsid w:val="00C11244"/>
    <w:rsid w:val="00C11D48"/>
    <w:rsid w:val="00C1493E"/>
    <w:rsid w:val="00C15DBD"/>
    <w:rsid w:val="00C2010D"/>
    <w:rsid w:val="00C20CB5"/>
    <w:rsid w:val="00C21430"/>
    <w:rsid w:val="00C21E61"/>
    <w:rsid w:val="00C21F94"/>
    <w:rsid w:val="00C234DB"/>
    <w:rsid w:val="00C2479A"/>
    <w:rsid w:val="00C24903"/>
    <w:rsid w:val="00C2590D"/>
    <w:rsid w:val="00C25D9C"/>
    <w:rsid w:val="00C27913"/>
    <w:rsid w:val="00C300E2"/>
    <w:rsid w:val="00C31F21"/>
    <w:rsid w:val="00C32631"/>
    <w:rsid w:val="00C33301"/>
    <w:rsid w:val="00C33311"/>
    <w:rsid w:val="00C33B68"/>
    <w:rsid w:val="00C35570"/>
    <w:rsid w:val="00C35A2A"/>
    <w:rsid w:val="00C36A79"/>
    <w:rsid w:val="00C401A9"/>
    <w:rsid w:val="00C401D2"/>
    <w:rsid w:val="00C4031A"/>
    <w:rsid w:val="00C405D4"/>
    <w:rsid w:val="00C419D5"/>
    <w:rsid w:val="00C42EBB"/>
    <w:rsid w:val="00C4513B"/>
    <w:rsid w:val="00C475E8"/>
    <w:rsid w:val="00C50E79"/>
    <w:rsid w:val="00C5197D"/>
    <w:rsid w:val="00C525FB"/>
    <w:rsid w:val="00C5390B"/>
    <w:rsid w:val="00C54257"/>
    <w:rsid w:val="00C54697"/>
    <w:rsid w:val="00C550CE"/>
    <w:rsid w:val="00C553A5"/>
    <w:rsid w:val="00C55402"/>
    <w:rsid w:val="00C5603B"/>
    <w:rsid w:val="00C61F47"/>
    <w:rsid w:val="00C62828"/>
    <w:rsid w:val="00C715CC"/>
    <w:rsid w:val="00C719A3"/>
    <w:rsid w:val="00C71D2F"/>
    <w:rsid w:val="00C72984"/>
    <w:rsid w:val="00C73885"/>
    <w:rsid w:val="00C73C93"/>
    <w:rsid w:val="00C7435A"/>
    <w:rsid w:val="00C747B1"/>
    <w:rsid w:val="00C75510"/>
    <w:rsid w:val="00C755F9"/>
    <w:rsid w:val="00C75752"/>
    <w:rsid w:val="00C770C9"/>
    <w:rsid w:val="00C81070"/>
    <w:rsid w:val="00C8174E"/>
    <w:rsid w:val="00C82191"/>
    <w:rsid w:val="00C83134"/>
    <w:rsid w:val="00C831E7"/>
    <w:rsid w:val="00C832F3"/>
    <w:rsid w:val="00C845A4"/>
    <w:rsid w:val="00C85545"/>
    <w:rsid w:val="00C855B5"/>
    <w:rsid w:val="00C85F0E"/>
    <w:rsid w:val="00C90CF4"/>
    <w:rsid w:val="00C91C20"/>
    <w:rsid w:val="00C922DE"/>
    <w:rsid w:val="00C92843"/>
    <w:rsid w:val="00C92EB6"/>
    <w:rsid w:val="00C93389"/>
    <w:rsid w:val="00C948E6"/>
    <w:rsid w:val="00C94CDD"/>
    <w:rsid w:val="00CA0346"/>
    <w:rsid w:val="00CA1BD6"/>
    <w:rsid w:val="00CA37FF"/>
    <w:rsid w:val="00CA423A"/>
    <w:rsid w:val="00CA47BC"/>
    <w:rsid w:val="00CA5EAD"/>
    <w:rsid w:val="00CA6AB4"/>
    <w:rsid w:val="00CA7255"/>
    <w:rsid w:val="00CB2351"/>
    <w:rsid w:val="00CB4930"/>
    <w:rsid w:val="00CB4BA9"/>
    <w:rsid w:val="00CB4C63"/>
    <w:rsid w:val="00CB5A48"/>
    <w:rsid w:val="00CB5E10"/>
    <w:rsid w:val="00CB613B"/>
    <w:rsid w:val="00CB6152"/>
    <w:rsid w:val="00CB64E1"/>
    <w:rsid w:val="00CB6E4D"/>
    <w:rsid w:val="00CC0834"/>
    <w:rsid w:val="00CC20FE"/>
    <w:rsid w:val="00CC2E7D"/>
    <w:rsid w:val="00CC612B"/>
    <w:rsid w:val="00CC655F"/>
    <w:rsid w:val="00CC66F9"/>
    <w:rsid w:val="00CC6FE5"/>
    <w:rsid w:val="00CC7458"/>
    <w:rsid w:val="00CC76BD"/>
    <w:rsid w:val="00CC7A87"/>
    <w:rsid w:val="00CD10A5"/>
    <w:rsid w:val="00CD1129"/>
    <w:rsid w:val="00CD1A80"/>
    <w:rsid w:val="00CD1CB5"/>
    <w:rsid w:val="00CD2076"/>
    <w:rsid w:val="00CD24CE"/>
    <w:rsid w:val="00CD29B5"/>
    <w:rsid w:val="00CD2B78"/>
    <w:rsid w:val="00CD3FAB"/>
    <w:rsid w:val="00CD5456"/>
    <w:rsid w:val="00CD5C3E"/>
    <w:rsid w:val="00CD6331"/>
    <w:rsid w:val="00CE14BE"/>
    <w:rsid w:val="00CE17A4"/>
    <w:rsid w:val="00CE1BA9"/>
    <w:rsid w:val="00CE2D8F"/>
    <w:rsid w:val="00CE3E48"/>
    <w:rsid w:val="00CE47B8"/>
    <w:rsid w:val="00CE62FA"/>
    <w:rsid w:val="00CE670B"/>
    <w:rsid w:val="00CE6833"/>
    <w:rsid w:val="00CF020B"/>
    <w:rsid w:val="00CF2E4D"/>
    <w:rsid w:val="00CF4205"/>
    <w:rsid w:val="00CF4908"/>
    <w:rsid w:val="00CF51EC"/>
    <w:rsid w:val="00CF545D"/>
    <w:rsid w:val="00CF5873"/>
    <w:rsid w:val="00CF73AE"/>
    <w:rsid w:val="00CF7777"/>
    <w:rsid w:val="00D0085A"/>
    <w:rsid w:val="00D0197F"/>
    <w:rsid w:val="00D0242D"/>
    <w:rsid w:val="00D02716"/>
    <w:rsid w:val="00D03A72"/>
    <w:rsid w:val="00D040DD"/>
    <w:rsid w:val="00D04134"/>
    <w:rsid w:val="00D05C65"/>
    <w:rsid w:val="00D06B56"/>
    <w:rsid w:val="00D06D68"/>
    <w:rsid w:val="00D075BE"/>
    <w:rsid w:val="00D10C15"/>
    <w:rsid w:val="00D11476"/>
    <w:rsid w:val="00D12C25"/>
    <w:rsid w:val="00D133B4"/>
    <w:rsid w:val="00D13986"/>
    <w:rsid w:val="00D14C5B"/>
    <w:rsid w:val="00D15FED"/>
    <w:rsid w:val="00D16712"/>
    <w:rsid w:val="00D214EF"/>
    <w:rsid w:val="00D215B0"/>
    <w:rsid w:val="00D21D6D"/>
    <w:rsid w:val="00D21D83"/>
    <w:rsid w:val="00D235B7"/>
    <w:rsid w:val="00D23FAE"/>
    <w:rsid w:val="00D25F28"/>
    <w:rsid w:val="00D26071"/>
    <w:rsid w:val="00D269B9"/>
    <w:rsid w:val="00D27973"/>
    <w:rsid w:val="00D31537"/>
    <w:rsid w:val="00D31E1E"/>
    <w:rsid w:val="00D322A0"/>
    <w:rsid w:val="00D32824"/>
    <w:rsid w:val="00D334E2"/>
    <w:rsid w:val="00D350B1"/>
    <w:rsid w:val="00D35AD6"/>
    <w:rsid w:val="00D35BBB"/>
    <w:rsid w:val="00D35E1A"/>
    <w:rsid w:val="00D36B0A"/>
    <w:rsid w:val="00D36DFB"/>
    <w:rsid w:val="00D36E1C"/>
    <w:rsid w:val="00D373AF"/>
    <w:rsid w:val="00D40556"/>
    <w:rsid w:val="00D41F74"/>
    <w:rsid w:val="00D43034"/>
    <w:rsid w:val="00D43ED2"/>
    <w:rsid w:val="00D50F46"/>
    <w:rsid w:val="00D5384E"/>
    <w:rsid w:val="00D544E7"/>
    <w:rsid w:val="00D5499F"/>
    <w:rsid w:val="00D5560A"/>
    <w:rsid w:val="00D56FBF"/>
    <w:rsid w:val="00D57677"/>
    <w:rsid w:val="00D60415"/>
    <w:rsid w:val="00D60E3C"/>
    <w:rsid w:val="00D61FAB"/>
    <w:rsid w:val="00D63BE5"/>
    <w:rsid w:val="00D6475F"/>
    <w:rsid w:val="00D66223"/>
    <w:rsid w:val="00D667B8"/>
    <w:rsid w:val="00D70289"/>
    <w:rsid w:val="00D70822"/>
    <w:rsid w:val="00D72076"/>
    <w:rsid w:val="00D726A9"/>
    <w:rsid w:val="00D743E0"/>
    <w:rsid w:val="00D75AC1"/>
    <w:rsid w:val="00D77252"/>
    <w:rsid w:val="00D8084C"/>
    <w:rsid w:val="00D81809"/>
    <w:rsid w:val="00D82EF1"/>
    <w:rsid w:val="00D84F43"/>
    <w:rsid w:val="00D85114"/>
    <w:rsid w:val="00D85821"/>
    <w:rsid w:val="00D8598C"/>
    <w:rsid w:val="00D87C06"/>
    <w:rsid w:val="00D915EA"/>
    <w:rsid w:val="00D919ED"/>
    <w:rsid w:val="00D922A1"/>
    <w:rsid w:val="00D928BE"/>
    <w:rsid w:val="00D95302"/>
    <w:rsid w:val="00D95C5D"/>
    <w:rsid w:val="00D97D00"/>
    <w:rsid w:val="00DA096C"/>
    <w:rsid w:val="00DA1AB6"/>
    <w:rsid w:val="00DA544C"/>
    <w:rsid w:val="00DA5F8E"/>
    <w:rsid w:val="00DA6364"/>
    <w:rsid w:val="00DA7114"/>
    <w:rsid w:val="00DA7C0C"/>
    <w:rsid w:val="00DB03DD"/>
    <w:rsid w:val="00DB08A9"/>
    <w:rsid w:val="00DB2DFA"/>
    <w:rsid w:val="00DB2EC8"/>
    <w:rsid w:val="00DB321D"/>
    <w:rsid w:val="00DB459B"/>
    <w:rsid w:val="00DB47FD"/>
    <w:rsid w:val="00DB5E3A"/>
    <w:rsid w:val="00DB5E9A"/>
    <w:rsid w:val="00DB613B"/>
    <w:rsid w:val="00DB657E"/>
    <w:rsid w:val="00DB7342"/>
    <w:rsid w:val="00DB7489"/>
    <w:rsid w:val="00DC17D0"/>
    <w:rsid w:val="00DC2B41"/>
    <w:rsid w:val="00DC3128"/>
    <w:rsid w:val="00DC435B"/>
    <w:rsid w:val="00DC53D8"/>
    <w:rsid w:val="00DC56FE"/>
    <w:rsid w:val="00DC5B3B"/>
    <w:rsid w:val="00DC6C2D"/>
    <w:rsid w:val="00DC7B1A"/>
    <w:rsid w:val="00DD04B0"/>
    <w:rsid w:val="00DD129F"/>
    <w:rsid w:val="00DD13FC"/>
    <w:rsid w:val="00DD1A3F"/>
    <w:rsid w:val="00DD29B5"/>
    <w:rsid w:val="00DD32DD"/>
    <w:rsid w:val="00DD5287"/>
    <w:rsid w:val="00DD5B36"/>
    <w:rsid w:val="00DE0D8B"/>
    <w:rsid w:val="00DE1237"/>
    <w:rsid w:val="00DE140F"/>
    <w:rsid w:val="00DE2491"/>
    <w:rsid w:val="00DE5CA6"/>
    <w:rsid w:val="00DE7AC8"/>
    <w:rsid w:val="00DF2C5D"/>
    <w:rsid w:val="00DF3643"/>
    <w:rsid w:val="00DF42FF"/>
    <w:rsid w:val="00DF4369"/>
    <w:rsid w:val="00DF4423"/>
    <w:rsid w:val="00DF4ADF"/>
    <w:rsid w:val="00DF5D1E"/>
    <w:rsid w:val="00DF77E4"/>
    <w:rsid w:val="00DF7F88"/>
    <w:rsid w:val="00E01C0E"/>
    <w:rsid w:val="00E0368F"/>
    <w:rsid w:val="00E03D73"/>
    <w:rsid w:val="00E03F9A"/>
    <w:rsid w:val="00E04694"/>
    <w:rsid w:val="00E12191"/>
    <w:rsid w:val="00E129E7"/>
    <w:rsid w:val="00E12ABE"/>
    <w:rsid w:val="00E12B1E"/>
    <w:rsid w:val="00E1444C"/>
    <w:rsid w:val="00E17262"/>
    <w:rsid w:val="00E20016"/>
    <w:rsid w:val="00E2009B"/>
    <w:rsid w:val="00E20BB9"/>
    <w:rsid w:val="00E20BCC"/>
    <w:rsid w:val="00E2251C"/>
    <w:rsid w:val="00E2363D"/>
    <w:rsid w:val="00E23C6A"/>
    <w:rsid w:val="00E253A2"/>
    <w:rsid w:val="00E260F6"/>
    <w:rsid w:val="00E27127"/>
    <w:rsid w:val="00E27233"/>
    <w:rsid w:val="00E30F15"/>
    <w:rsid w:val="00E31771"/>
    <w:rsid w:val="00E3186D"/>
    <w:rsid w:val="00E31A3E"/>
    <w:rsid w:val="00E32080"/>
    <w:rsid w:val="00E3309D"/>
    <w:rsid w:val="00E35A53"/>
    <w:rsid w:val="00E3724A"/>
    <w:rsid w:val="00E378B1"/>
    <w:rsid w:val="00E417BE"/>
    <w:rsid w:val="00E41CD5"/>
    <w:rsid w:val="00E4372D"/>
    <w:rsid w:val="00E43A9E"/>
    <w:rsid w:val="00E44243"/>
    <w:rsid w:val="00E453F9"/>
    <w:rsid w:val="00E45D7D"/>
    <w:rsid w:val="00E4623F"/>
    <w:rsid w:val="00E4665D"/>
    <w:rsid w:val="00E47854"/>
    <w:rsid w:val="00E47EBA"/>
    <w:rsid w:val="00E50156"/>
    <w:rsid w:val="00E504EB"/>
    <w:rsid w:val="00E5076C"/>
    <w:rsid w:val="00E50D2E"/>
    <w:rsid w:val="00E50D7D"/>
    <w:rsid w:val="00E53470"/>
    <w:rsid w:val="00E539F6"/>
    <w:rsid w:val="00E54698"/>
    <w:rsid w:val="00E54FB4"/>
    <w:rsid w:val="00E5539A"/>
    <w:rsid w:val="00E55791"/>
    <w:rsid w:val="00E55E1A"/>
    <w:rsid w:val="00E578A2"/>
    <w:rsid w:val="00E60043"/>
    <w:rsid w:val="00E61740"/>
    <w:rsid w:val="00E61EB5"/>
    <w:rsid w:val="00E6324D"/>
    <w:rsid w:val="00E65084"/>
    <w:rsid w:val="00E6519D"/>
    <w:rsid w:val="00E66062"/>
    <w:rsid w:val="00E6660E"/>
    <w:rsid w:val="00E67305"/>
    <w:rsid w:val="00E67696"/>
    <w:rsid w:val="00E70C5F"/>
    <w:rsid w:val="00E71A58"/>
    <w:rsid w:val="00E72A26"/>
    <w:rsid w:val="00E72A7A"/>
    <w:rsid w:val="00E7335A"/>
    <w:rsid w:val="00E747DC"/>
    <w:rsid w:val="00E74A2D"/>
    <w:rsid w:val="00E75C94"/>
    <w:rsid w:val="00E76B9B"/>
    <w:rsid w:val="00E76E61"/>
    <w:rsid w:val="00E77CC0"/>
    <w:rsid w:val="00E80B3D"/>
    <w:rsid w:val="00E80CA3"/>
    <w:rsid w:val="00E82618"/>
    <w:rsid w:val="00E84E09"/>
    <w:rsid w:val="00E90CA8"/>
    <w:rsid w:val="00E930A1"/>
    <w:rsid w:val="00E93820"/>
    <w:rsid w:val="00E94A86"/>
    <w:rsid w:val="00E953F6"/>
    <w:rsid w:val="00E96143"/>
    <w:rsid w:val="00E96833"/>
    <w:rsid w:val="00E97506"/>
    <w:rsid w:val="00EA0C68"/>
    <w:rsid w:val="00EA1D0E"/>
    <w:rsid w:val="00EA2841"/>
    <w:rsid w:val="00EA32BC"/>
    <w:rsid w:val="00EA35A7"/>
    <w:rsid w:val="00EA3B32"/>
    <w:rsid w:val="00EA3D05"/>
    <w:rsid w:val="00EA4402"/>
    <w:rsid w:val="00EA4B8D"/>
    <w:rsid w:val="00EA513E"/>
    <w:rsid w:val="00EA7419"/>
    <w:rsid w:val="00EB0E32"/>
    <w:rsid w:val="00EB3E60"/>
    <w:rsid w:val="00EB4511"/>
    <w:rsid w:val="00EB48D7"/>
    <w:rsid w:val="00EB4A8E"/>
    <w:rsid w:val="00EB4BC5"/>
    <w:rsid w:val="00EB5BF7"/>
    <w:rsid w:val="00EB5E79"/>
    <w:rsid w:val="00EB6FAC"/>
    <w:rsid w:val="00EB7BAC"/>
    <w:rsid w:val="00EC03D7"/>
    <w:rsid w:val="00EC13A7"/>
    <w:rsid w:val="00EC2EB6"/>
    <w:rsid w:val="00ED0EF0"/>
    <w:rsid w:val="00ED12B9"/>
    <w:rsid w:val="00ED16B8"/>
    <w:rsid w:val="00ED1DF0"/>
    <w:rsid w:val="00ED2386"/>
    <w:rsid w:val="00ED2EA1"/>
    <w:rsid w:val="00ED3F10"/>
    <w:rsid w:val="00ED4D04"/>
    <w:rsid w:val="00ED566D"/>
    <w:rsid w:val="00ED5907"/>
    <w:rsid w:val="00ED5F5B"/>
    <w:rsid w:val="00ED62C6"/>
    <w:rsid w:val="00ED64C1"/>
    <w:rsid w:val="00EE2EB4"/>
    <w:rsid w:val="00EE3446"/>
    <w:rsid w:val="00EE3E78"/>
    <w:rsid w:val="00EE41FD"/>
    <w:rsid w:val="00EE460E"/>
    <w:rsid w:val="00EE4B1B"/>
    <w:rsid w:val="00EE5FBA"/>
    <w:rsid w:val="00EE6E06"/>
    <w:rsid w:val="00EE7179"/>
    <w:rsid w:val="00EF150D"/>
    <w:rsid w:val="00EF1F5A"/>
    <w:rsid w:val="00EF47BF"/>
    <w:rsid w:val="00EF59B1"/>
    <w:rsid w:val="00EF5A13"/>
    <w:rsid w:val="00EF5FF9"/>
    <w:rsid w:val="00EF77D4"/>
    <w:rsid w:val="00EF7CC7"/>
    <w:rsid w:val="00F00853"/>
    <w:rsid w:val="00F00866"/>
    <w:rsid w:val="00F0160B"/>
    <w:rsid w:val="00F0193E"/>
    <w:rsid w:val="00F03F8D"/>
    <w:rsid w:val="00F04811"/>
    <w:rsid w:val="00F0488C"/>
    <w:rsid w:val="00F073ED"/>
    <w:rsid w:val="00F07C4C"/>
    <w:rsid w:val="00F10F11"/>
    <w:rsid w:val="00F11159"/>
    <w:rsid w:val="00F115E4"/>
    <w:rsid w:val="00F12CFB"/>
    <w:rsid w:val="00F13E60"/>
    <w:rsid w:val="00F13FDB"/>
    <w:rsid w:val="00F15AAA"/>
    <w:rsid w:val="00F15BEF"/>
    <w:rsid w:val="00F17898"/>
    <w:rsid w:val="00F207C2"/>
    <w:rsid w:val="00F21337"/>
    <w:rsid w:val="00F219A1"/>
    <w:rsid w:val="00F23E20"/>
    <w:rsid w:val="00F24407"/>
    <w:rsid w:val="00F24FAA"/>
    <w:rsid w:val="00F25040"/>
    <w:rsid w:val="00F27071"/>
    <w:rsid w:val="00F27331"/>
    <w:rsid w:val="00F27EE5"/>
    <w:rsid w:val="00F27FD6"/>
    <w:rsid w:val="00F307CB"/>
    <w:rsid w:val="00F30C65"/>
    <w:rsid w:val="00F321D2"/>
    <w:rsid w:val="00F32649"/>
    <w:rsid w:val="00F33523"/>
    <w:rsid w:val="00F3364D"/>
    <w:rsid w:val="00F33914"/>
    <w:rsid w:val="00F349BF"/>
    <w:rsid w:val="00F34DDC"/>
    <w:rsid w:val="00F36191"/>
    <w:rsid w:val="00F37EDC"/>
    <w:rsid w:val="00F437CC"/>
    <w:rsid w:val="00F44537"/>
    <w:rsid w:val="00F46185"/>
    <w:rsid w:val="00F46423"/>
    <w:rsid w:val="00F4696A"/>
    <w:rsid w:val="00F47067"/>
    <w:rsid w:val="00F525AB"/>
    <w:rsid w:val="00F525EB"/>
    <w:rsid w:val="00F52CB5"/>
    <w:rsid w:val="00F53A68"/>
    <w:rsid w:val="00F54934"/>
    <w:rsid w:val="00F55A92"/>
    <w:rsid w:val="00F62BFF"/>
    <w:rsid w:val="00F63AAE"/>
    <w:rsid w:val="00F63DDE"/>
    <w:rsid w:val="00F63FB7"/>
    <w:rsid w:val="00F6421B"/>
    <w:rsid w:val="00F647F1"/>
    <w:rsid w:val="00F649D2"/>
    <w:rsid w:val="00F6602B"/>
    <w:rsid w:val="00F7150B"/>
    <w:rsid w:val="00F717E4"/>
    <w:rsid w:val="00F71DE6"/>
    <w:rsid w:val="00F72D71"/>
    <w:rsid w:val="00F7381C"/>
    <w:rsid w:val="00F73A0C"/>
    <w:rsid w:val="00F7549F"/>
    <w:rsid w:val="00F756DB"/>
    <w:rsid w:val="00F767A8"/>
    <w:rsid w:val="00F84E7D"/>
    <w:rsid w:val="00F85066"/>
    <w:rsid w:val="00F87A4D"/>
    <w:rsid w:val="00F93688"/>
    <w:rsid w:val="00F939F3"/>
    <w:rsid w:val="00F93C6E"/>
    <w:rsid w:val="00F93F2C"/>
    <w:rsid w:val="00F9644E"/>
    <w:rsid w:val="00FA0105"/>
    <w:rsid w:val="00FA05A0"/>
    <w:rsid w:val="00FA0AEF"/>
    <w:rsid w:val="00FA17CC"/>
    <w:rsid w:val="00FA1F01"/>
    <w:rsid w:val="00FA26DF"/>
    <w:rsid w:val="00FA32BC"/>
    <w:rsid w:val="00FA48A4"/>
    <w:rsid w:val="00FA4CB7"/>
    <w:rsid w:val="00FA5112"/>
    <w:rsid w:val="00FA5526"/>
    <w:rsid w:val="00FA5D4D"/>
    <w:rsid w:val="00FA6CB6"/>
    <w:rsid w:val="00FA70D3"/>
    <w:rsid w:val="00FA7AEC"/>
    <w:rsid w:val="00FB0AEA"/>
    <w:rsid w:val="00FB0EE2"/>
    <w:rsid w:val="00FB1A79"/>
    <w:rsid w:val="00FB208B"/>
    <w:rsid w:val="00FB2B2D"/>
    <w:rsid w:val="00FB542E"/>
    <w:rsid w:val="00FB564F"/>
    <w:rsid w:val="00FB7DBB"/>
    <w:rsid w:val="00FC05F8"/>
    <w:rsid w:val="00FC0E5F"/>
    <w:rsid w:val="00FC1266"/>
    <w:rsid w:val="00FC1A95"/>
    <w:rsid w:val="00FC1ED4"/>
    <w:rsid w:val="00FC3BEC"/>
    <w:rsid w:val="00FC440B"/>
    <w:rsid w:val="00FC56DE"/>
    <w:rsid w:val="00FC63D9"/>
    <w:rsid w:val="00FC64DE"/>
    <w:rsid w:val="00FC684B"/>
    <w:rsid w:val="00FC7D98"/>
    <w:rsid w:val="00FD1135"/>
    <w:rsid w:val="00FD3265"/>
    <w:rsid w:val="00FD3CF7"/>
    <w:rsid w:val="00FD4916"/>
    <w:rsid w:val="00FD4D12"/>
    <w:rsid w:val="00FD4F73"/>
    <w:rsid w:val="00FD595E"/>
    <w:rsid w:val="00FE27C7"/>
    <w:rsid w:val="00FE2C7E"/>
    <w:rsid w:val="00FE2F78"/>
    <w:rsid w:val="00FE3137"/>
    <w:rsid w:val="00FE346B"/>
    <w:rsid w:val="00FE346F"/>
    <w:rsid w:val="00FE48E4"/>
    <w:rsid w:val="00FE634C"/>
    <w:rsid w:val="00FE6E69"/>
    <w:rsid w:val="00FE6F59"/>
    <w:rsid w:val="00FF1136"/>
    <w:rsid w:val="00FF3D76"/>
    <w:rsid w:val="00FF5B8C"/>
    <w:rsid w:val="00FF63E6"/>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74EEB6EC"/>
  <w15:docId w15:val="{02E7EBF8-5A4E-462D-AC4B-706FC6EE8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semiHidden/>
    <w:unhideWhenUsed/>
    <w:rsid w:val="00E76E61"/>
    <w:pPr>
      <w:spacing w:line="240" w:lineRule="auto"/>
    </w:pPr>
    <w:rPr>
      <w:szCs w:val="20"/>
    </w:rPr>
  </w:style>
  <w:style w:type="character" w:customStyle="1" w:styleId="TextkomenteChar">
    <w:name w:val="Text komentáře Char"/>
    <w:basedOn w:val="Standardnpsmoodstavce"/>
    <w:link w:val="Textkomente"/>
    <w:uiPriority w:val="99"/>
    <w:semiHidden/>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d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 w:type="character" w:customStyle="1" w:styleId="odkaz-style-wrapper">
    <w:name w:val="odkaz-style-wrapper"/>
    <w:basedOn w:val="Standardnpsmoodstavce"/>
    <w:rsid w:val="00524385"/>
  </w:style>
  <w:style w:type="character" w:customStyle="1" w:styleId="tabulka">
    <w:name w:val="tabulka"/>
    <w:basedOn w:val="Standardnpsmoodstavce"/>
    <w:rsid w:val="00744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64961210">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2" Type="http://schemas.openxmlformats.org/officeDocument/2006/relationships/customXml" Target="../customXml/item2.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header" Target="header2.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https://d.docs.live.net/dc6bece553a4e0ca/Plocha/Pr&#225;ce/Anal&#253;za/Q/2019Q4/Makroanal&#253;za%20grafy.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d.docs.live.net/dc6bece553a4e0ca/Plocha/Pr&#225;ce/Anal&#253;za/Q/2019Q4/Makroanal&#253;za%20grafy.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Dokumenty\Anal&#253;za\Q\2019Q4\Makroanal&#253;za%20grafy.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JKAM%20CSU\PUBLIKACE\PUBLIKACE\2019\QMakro\celorok-QMakro\Trh%20pr&#225;ce\Grafy-trh%20pr&#225;ce-rok-2019.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JKAM%20CSU\PUBLIKACE\PUBLIKACE\2019\QMakro\celorok-QMakro\Trh%20pr&#225;ce\Grafy-trh%20pr&#225;ce-rok-2019.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JKAM%20CSU\PUBLIKACE\PUBLIKACE\2019\QMakro\celorok\Trh%20pr&#225;ce\Grafy-trh%20pr&#225;ce-rok-2019.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Dokumenty\Anal&#253;za\Q\2019Q4\Makroanal&#253;za%20grafy.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JKAM%20CSU\PUBLIKACE\PUBLIKACE\2019\QMakro\celorok\Grafy-st&#225;tn&#237;%20rozpo&#269;et-rok-2019.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JKAM%20CSU\PUBLIKACE\PUBLIKACE\2019\QMakro\celorok\Grafy-st&#225;tn&#237;%20rozpo&#269;et-rok-201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d.docs.live.net/dc6bece553a4e0ca/Plocha/Pr&#225;ce/Anal&#253;za/Q/2019Q4/Makroanal&#253;za%20graf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d.docs.live.net/dc6bece553a4e0ca/Plocha/Pr&#225;ce/Anal&#253;za/Q/2019Q4/Makroanal&#253;za%20grafy.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celorok-QMakro-2019\Odv&#283;tv&#237;\Odv&#283;tv&#237;%20grafy-rok-201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JKAM%20CSU\PUBLIKACE\PUBLIKACE\2019\QMakro\celorok-QMakro\Odv&#283;tv&#237;\Odv&#283;tv&#237;%20grafy-rok-201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JKAM%20CSU\PUBLIKACE\PUBLIKACE\2019\QMakro\celorok-QMakro\Odv&#283;tv&#237;\Odv&#283;tv&#237;%20grafy-rok-2019.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JKAM%20CSU\PUBLIKACE\PUBLIKACE\2019\QMakro\celorok-QMakro\Odv&#283;tv&#237;\Odv&#283;tv&#237;%20grafy-rok-2019.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Dokumenty\Anal&#253;za\Q\2019Q4\Makroanal&#253;za%20grafy.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Dokumenty\Anal&#253;za\Q\2019Q4\Makroanal&#253;za%20graf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324257007767645E-2"/>
          <c:y val="2.3046636085626952E-2"/>
          <c:w val="0.92008633063154344"/>
          <c:h val="0.74192840256671611"/>
        </c:manualLayout>
      </c:layout>
      <c:barChart>
        <c:barDir val="col"/>
        <c:grouping val="clustered"/>
        <c:varyColors val="0"/>
        <c:ser>
          <c:idx val="0"/>
          <c:order val="0"/>
          <c:tx>
            <c:strRef>
              <c:f>'[Makroanalýza grafy.xlsx]souhrnná výkonnost 1'!$C$4</c:f>
              <c:strCache>
                <c:ptCount val="1"/>
                <c:pt idx="0">
                  <c:v>ČR meziroční změna</c:v>
                </c:pt>
              </c:strCache>
            </c:strRef>
          </c:tx>
          <c:spPr>
            <a:solidFill>
              <a:srgbClr val="A6A6A6"/>
            </a:solidFill>
            <a:ln>
              <a:noFill/>
            </a:ln>
          </c:spPr>
          <c:invertIfNegative val="0"/>
          <c:cat>
            <c:multiLvlStrRef>
              <c:f>'[Makroanalýza grafy.xlsx]souhrnná výkonnost 1'!$A$13:$B$36</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2014</c:v>
                  </c:pt>
                  <c:pt idx="4">
                    <c:v>2015</c:v>
                  </c:pt>
                  <c:pt idx="8">
                    <c:v>2016</c:v>
                  </c:pt>
                  <c:pt idx="12">
                    <c:v>2017</c:v>
                  </c:pt>
                  <c:pt idx="16">
                    <c:v>2018</c:v>
                  </c:pt>
                  <c:pt idx="20">
                    <c:v>2019</c:v>
                  </c:pt>
                </c:lvl>
              </c:multiLvlStrCache>
            </c:multiLvlStrRef>
          </c:cat>
          <c:val>
            <c:numRef>
              <c:f>'[Makroanalýza grafy.xlsx]souhrnná výkonnost 1'!$C$13:$C$36</c:f>
              <c:numCache>
                <c:formatCode>#\ ##0.0</c:formatCode>
                <c:ptCount val="24"/>
                <c:pt idx="0">
                  <c:v>1.6119594488480402</c:v>
                </c:pt>
                <c:pt idx="1">
                  <c:v>2.4036725914780845</c:v>
                </c:pt>
                <c:pt idx="2">
                  <c:v>3.4025591515868712</c:v>
                </c:pt>
                <c:pt idx="3">
                  <c:v>3.4265917926533689</c:v>
                </c:pt>
                <c:pt idx="4">
                  <c:v>5.2291028386835023</c:v>
                </c:pt>
                <c:pt idx="5">
                  <c:v>5.8032839302925225</c:v>
                </c:pt>
                <c:pt idx="6">
                  <c:v>5.6129957330324913</c:v>
                </c:pt>
                <c:pt idx="7">
                  <c:v>4.9021515966682472</c:v>
                </c:pt>
                <c:pt idx="8">
                  <c:v>3.5397876725335777</c:v>
                </c:pt>
                <c:pt idx="9">
                  <c:v>2.3880974325794</c:v>
                </c:pt>
                <c:pt idx="10">
                  <c:v>1.7456220336081003</c:v>
                </c:pt>
                <c:pt idx="11">
                  <c:v>1.7908390550106787</c:v>
                </c:pt>
                <c:pt idx="12">
                  <c:v>2.9314543599314931</c:v>
                </c:pt>
                <c:pt idx="13">
                  <c:v>5.0765771064926923</c:v>
                </c:pt>
                <c:pt idx="14">
                  <c:v>5.1042926824662658</c:v>
                </c:pt>
                <c:pt idx="15">
                  <c:v>5.0625427043875106</c:v>
                </c:pt>
                <c:pt idx="16">
                  <c:v>4.1134039034848087</c:v>
                </c:pt>
                <c:pt idx="17" formatCode="General">
                  <c:v>2.2285818121587511</c:v>
                </c:pt>
                <c:pt idx="18" formatCode="General">
                  <c:v>2.3691205820336023</c:v>
                </c:pt>
                <c:pt idx="19">
                  <c:v>2.6297732768110222</c:v>
                </c:pt>
                <c:pt idx="20">
                  <c:v>2.7820874256218957</c:v>
                </c:pt>
                <c:pt idx="21" formatCode="General">
                  <c:v>2.6856608272710361</c:v>
                </c:pt>
                <c:pt idx="22" formatCode="General">
                  <c:v>2.4784474877561706</c:v>
                </c:pt>
                <c:pt idx="23" formatCode="General">
                  <c:v>2.0441326449706025</c:v>
                </c:pt>
              </c:numCache>
            </c:numRef>
          </c:val>
          <c:extLst>
            <c:ext xmlns:c16="http://schemas.microsoft.com/office/drawing/2014/chart" uri="{C3380CC4-5D6E-409C-BE32-E72D297353CC}">
              <c16:uniqueId val="{00000000-73CD-4A37-B748-74D62484A047}"/>
            </c:ext>
          </c:extLst>
        </c:ser>
        <c:ser>
          <c:idx val="1"/>
          <c:order val="1"/>
          <c:tx>
            <c:strRef>
              <c:f>'[Makroanalýza grafy.xlsx]souhrnná výkonnost 1'!$D$4</c:f>
              <c:strCache>
                <c:ptCount val="1"/>
                <c:pt idx="0">
                  <c:v>EU28 meziroční změna</c:v>
                </c:pt>
              </c:strCache>
            </c:strRef>
          </c:tx>
          <c:spPr>
            <a:solidFill>
              <a:srgbClr val="808080"/>
            </a:solidFill>
            <a:ln>
              <a:noFill/>
            </a:ln>
          </c:spPr>
          <c:invertIfNegative val="0"/>
          <c:cat>
            <c:multiLvlStrRef>
              <c:f>'[Makroanalýza grafy.xlsx]souhrnná výkonnost 1'!$A$13:$B$36</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2014</c:v>
                  </c:pt>
                  <c:pt idx="4">
                    <c:v>2015</c:v>
                  </c:pt>
                  <c:pt idx="8">
                    <c:v>2016</c:v>
                  </c:pt>
                  <c:pt idx="12">
                    <c:v>2017</c:v>
                  </c:pt>
                  <c:pt idx="16">
                    <c:v>2018</c:v>
                  </c:pt>
                  <c:pt idx="20">
                    <c:v>2019</c:v>
                  </c:pt>
                </c:lvl>
              </c:multiLvlStrCache>
            </c:multiLvlStrRef>
          </c:cat>
          <c:val>
            <c:numRef>
              <c:f>'[Makroanalýza grafy.xlsx]souhrnná výkonnost 1'!$D$13:$D$36</c:f>
              <c:numCache>
                <c:formatCode>#\ ##0.0</c:formatCode>
                <c:ptCount val="24"/>
                <c:pt idx="0">
                  <c:v>1.8</c:v>
                </c:pt>
                <c:pt idx="1">
                  <c:v>1.6</c:v>
                </c:pt>
                <c:pt idx="2">
                  <c:v>1.7</c:v>
                </c:pt>
                <c:pt idx="3">
                  <c:v>1.9</c:v>
                </c:pt>
                <c:pt idx="4">
                  <c:v>2.1</c:v>
                </c:pt>
                <c:pt idx="5">
                  <c:v>2.2999999999999998</c:v>
                </c:pt>
                <c:pt idx="6">
                  <c:v>2.2999999999999998</c:v>
                </c:pt>
                <c:pt idx="7">
                  <c:v>2.2999999999999998</c:v>
                </c:pt>
                <c:pt idx="8">
                  <c:v>2.1</c:v>
                </c:pt>
                <c:pt idx="9">
                  <c:v>2</c:v>
                </c:pt>
                <c:pt idx="10">
                  <c:v>1.9</c:v>
                </c:pt>
                <c:pt idx="11">
                  <c:v>2.1</c:v>
                </c:pt>
                <c:pt idx="12">
                  <c:v>2.2999999999999998</c:v>
                </c:pt>
                <c:pt idx="13">
                  <c:v>2.6</c:v>
                </c:pt>
                <c:pt idx="14">
                  <c:v>2.9</c:v>
                </c:pt>
                <c:pt idx="15">
                  <c:v>2.8</c:v>
                </c:pt>
                <c:pt idx="16">
                  <c:v>2.5</c:v>
                </c:pt>
                <c:pt idx="17">
                  <c:v>2.2000000000000002</c:v>
                </c:pt>
                <c:pt idx="18">
                  <c:v>1.8</c:v>
                </c:pt>
                <c:pt idx="19">
                  <c:v>1.5</c:v>
                </c:pt>
                <c:pt idx="20">
                  <c:v>1.7</c:v>
                </c:pt>
                <c:pt idx="21">
                  <c:v>1.4</c:v>
                </c:pt>
                <c:pt idx="22">
                  <c:v>1.5</c:v>
                </c:pt>
                <c:pt idx="23" formatCode="General">
                  <c:v>1.2</c:v>
                </c:pt>
              </c:numCache>
            </c:numRef>
          </c:val>
          <c:extLst>
            <c:ext xmlns:c16="http://schemas.microsoft.com/office/drawing/2014/chart" uri="{C3380CC4-5D6E-409C-BE32-E72D297353CC}">
              <c16:uniqueId val="{00000001-73CD-4A37-B748-74D62484A047}"/>
            </c:ext>
          </c:extLst>
        </c:ser>
        <c:dLbls>
          <c:showLegendKey val="0"/>
          <c:showVal val="0"/>
          <c:showCatName val="0"/>
          <c:showSerName val="0"/>
          <c:showPercent val="0"/>
          <c:showBubbleSize val="0"/>
        </c:dLbls>
        <c:gapWidth val="100"/>
        <c:axId val="267753344"/>
        <c:axId val="267767808"/>
      </c:barChart>
      <c:lineChart>
        <c:grouping val="standard"/>
        <c:varyColors val="0"/>
        <c:ser>
          <c:idx val="2"/>
          <c:order val="2"/>
          <c:tx>
            <c:strRef>
              <c:f>'[Makroanalýza grafy.xlsx]souhrnná výkonnost 1'!$E$4</c:f>
              <c:strCache>
                <c:ptCount val="1"/>
                <c:pt idx="0">
                  <c:v>ČR mezičtvrtletní změna</c:v>
                </c:pt>
              </c:strCache>
            </c:strRef>
          </c:tx>
          <c:spPr>
            <a:ln w="19050">
              <a:noFill/>
            </a:ln>
          </c:spPr>
          <c:marker>
            <c:symbol val="dash"/>
            <c:size val="8"/>
            <c:spPr>
              <a:solidFill>
                <a:srgbClr val="0071BC"/>
              </a:solidFill>
              <a:ln>
                <a:noFill/>
              </a:ln>
            </c:spPr>
          </c:marker>
          <c:cat>
            <c:multiLvlStrRef>
              <c:f>'[Makroanalýza grafy.xlsx]souhrnná výkonnost 1'!$A$13:$B$36</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2014</c:v>
                  </c:pt>
                  <c:pt idx="4">
                    <c:v>2015</c:v>
                  </c:pt>
                  <c:pt idx="8">
                    <c:v>2016</c:v>
                  </c:pt>
                  <c:pt idx="12">
                    <c:v>2017</c:v>
                  </c:pt>
                  <c:pt idx="16">
                    <c:v>2018</c:v>
                  </c:pt>
                  <c:pt idx="20">
                    <c:v>2019</c:v>
                  </c:pt>
                </c:lvl>
              </c:multiLvlStrCache>
            </c:multiLvlStrRef>
          </c:cat>
          <c:val>
            <c:numRef>
              <c:f>'[Makroanalýza grafy.xlsx]souhrnná výkonnost 1'!$E$13:$E$36</c:f>
              <c:numCache>
                <c:formatCode>#\ ##0.0</c:formatCode>
                <c:ptCount val="24"/>
                <c:pt idx="0">
                  <c:v>-0.13593182138201598</c:v>
                </c:pt>
                <c:pt idx="1">
                  <c:v>0.93023660386803897</c:v>
                </c:pt>
                <c:pt idx="2">
                  <c:v>1.2827633226979032</c:v>
                </c:pt>
                <c:pt idx="3">
                  <c:v>1.3132218465657672</c:v>
                </c:pt>
                <c:pt idx="4">
                  <c:v>1.6044918247373232</c:v>
                </c:pt>
                <c:pt idx="5">
                  <c:v>1.4809609934735306</c:v>
                </c:pt>
                <c:pt idx="6">
                  <c:v>1.100605324096577</c:v>
                </c:pt>
                <c:pt idx="7">
                  <c:v>0.63131798439482623</c:v>
                </c:pt>
                <c:pt idx="8">
                  <c:v>0.28495459804372558</c:v>
                </c:pt>
                <c:pt idx="9">
                  <c:v>0.35217142431780246</c:v>
                </c:pt>
                <c:pt idx="10">
                  <c:v>0.46620881346103715</c:v>
                </c:pt>
                <c:pt idx="11">
                  <c:v>0.67603979520221458</c:v>
                </c:pt>
                <c:pt idx="12">
                  <c:v>1.4086957434134035</c:v>
                </c:pt>
                <c:pt idx="13">
                  <c:v>2.4435411317384563</c:v>
                </c:pt>
                <c:pt idx="14">
                  <c:v>0.49270833333332575</c:v>
                </c:pt>
                <c:pt idx="15">
                  <c:v>0.63604882673431007</c:v>
                </c:pt>
                <c:pt idx="16">
                  <c:v>0.49256592776798414</c:v>
                </c:pt>
                <c:pt idx="17">
                  <c:v>0.58894948263854019</c:v>
                </c:pt>
                <c:pt idx="18">
                  <c:v>0.63086071068421745</c:v>
                </c:pt>
                <c:pt idx="19">
                  <c:v>0.89228876676017421</c:v>
                </c:pt>
                <c:pt idx="20">
                  <c:v>0.6417082200326405</c:v>
                </c:pt>
                <c:pt idx="21" formatCode="General">
                  <c:v>0.4945804104272753</c:v>
                </c:pt>
                <c:pt idx="22" formatCode="General">
                  <c:v>0.42779383125697734</c:v>
                </c:pt>
                <c:pt idx="23" formatCode="General">
                  <c:v>0.4646962377140369</c:v>
                </c:pt>
              </c:numCache>
            </c:numRef>
          </c:val>
          <c:smooth val="0"/>
          <c:extLst>
            <c:ext xmlns:c16="http://schemas.microsoft.com/office/drawing/2014/chart" uri="{C3380CC4-5D6E-409C-BE32-E72D297353CC}">
              <c16:uniqueId val="{00000002-73CD-4A37-B748-74D62484A047}"/>
            </c:ext>
          </c:extLst>
        </c:ser>
        <c:ser>
          <c:idx val="3"/>
          <c:order val="3"/>
          <c:tx>
            <c:strRef>
              <c:f>'[Makroanalýza grafy.xlsx]souhrnná výkonnost 1'!$F$4</c:f>
              <c:strCache>
                <c:ptCount val="1"/>
                <c:pt idx="0">
                  <c:v>EU28 mezičtvrtletní změna</c:v>
                </c:pt>
              </c:strCache>
            </c:strRef>
          </c:tx>
          <c:spPr>
            <a:ln w="19050">
              <a:noFill/>
            </a:ln>
          </c:spPr>
          <c:marker>
            <c:symbol val="dash"/>
            <c:size val="8"/>
            <c:spPr>
              <a:solidFill>
                <a:srgbClr val="BD1B21"/>
              </a:solidFill>
              <a:ln>
                <a:noFill/>
              </a:ln>
            </c:spPr>
          </c:marker>
          <c:cat>
            <c:multiLvlStrRef>
              <c:f>'[Makroanalýza grafy.xlsx]souhrnná výkonnost 1'!$A$13:$B$36</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2014</c:v>
                  </c:pt>
                  <c:pt idx="4">
                    <c:v>2015</c:v>
                  </c:pt>
                  <c:pt idx="8">
                    <c:v>2016</c:v>
                  </c:pt>
                  <c:pt idx="12">
                    <c:v>2017</c:v>
                  </c:pt>
                  <c:pt idx="16">
                    <c:v>2018</c:v>
                  </c:pt>
                  <c:pt idx="20">
                    <c:v>2019</c:v>
                  </c:pt>
                </c:lvl>
              </c:multiLvlStrCache>
            </c:multiLvlStrRef>
          </c:cat>
          <c:val>
            <c:numRef>
              <c:f>'[Makroanalýza grafy.xlsx]souhrnná výkonnost 1'!$F$13:$F$36</c:f>
              <c:numCache>
                <c:formatCode>#\ ##0.0</c:formatCode>
                <c:ptCount val="24"/>
                <c:pt idx="0">
                  <c:v>0.5</c:v>
                </c:pt>
                <c:pt idx="1">
                  <c:v>0.3</c:v>
                </c:pt>
                <c:pt idx="2">
                  <c:v>0.5</c:v>
                </c:pt>
                <c:pt idx="3">
                  <c:v>0.5</c:v>
                </c:pt>
                <c:pt idx="4">
                  <c:v>0.8</c:v>
                </c:pt>
                <c:pt idx="5">
                  <c:v>0.5</c:v>
                </c:pt>
                <c:pt idx="6">
                  <c:v>0.5</c:v>
                </c:pt>
                <c:pt idx="7">
                  <c:v>0.5</c:v>
                </c:pt>
                <c:pt idx="8">
                  <c:v>0.5</c:v>
                </c:pt>
                <c:pt idx="9">
                  <c:v>0.4</c:v>
                </c:pt>
                <c:pt idx="10">
                  <c:v>0.4</c:v>
                </c:pt>
                <c:pt idx="11">
                  <c:v>0.8</c:v>
                </c:pt>
                <c:pt idx="12">
                  <c:v>0.7</c:v>
                </c:pt>
                <c:pt idx="13">
                  <c:v>0.7</c:v>
                </c:pt>
                <c:pt idx="14">
                  <c:v>0.7</c:v>
                </c:pt>
                <c:pt idx="15">
                  <c:v>0.7</c:v>
                </c:pt>
                <c:pt idx="16">
                  <c:v>0.3</c:v>
                </c:pt>
                <c:pt idx="17">
                  <c:v>0.5</c:v>
                </c:pt>
                <c:pt idx="18">
                  <c:v>0.3</c:v>
                </c:pt>
                <c:pt idx="19">
                  <c:v>0.4</c:v>
                </c:pt>
                <c:pt idx="20">
                  <c:v>0.5</c:v>
                </c:pt>
                <c:pt idx="21">
                  <c:v>0.2</c:v>
                </c:pt>
                <c:pt idx="22">
                  <c:v>0.4</c:v>
                </c:pt>
                <c:pt idx="23" formatCode="General">
                  <c:v>0.1</c:v>
                </c:pt>
              </c:numCache>
            </c:numRef>
          </c:val>
          <c:smooth val="0"/>
          <c:extLst>
            <c:ext xmlns:c16="http://schemas.microsoft.com/office/drawing/2014/chart" uri="{C3380CC4-5D6E-409C-BE32-E72D297353CC}">
              <c16:uniqueId val="{00000003-73CD-4A37-B748-74D62484A047}"/>
            </c:ext>
          </c:extLst>
        </c:ser>
        <c:dLbls>
          <c:showLegendKey val="0"/>
          <c:showVal val="0"/>
          <c:showCatName val="0"/>
          <c:showSerName val="0"/>
          <c:showPercent val="0"/>
          <c:showBubbleSize val="0"/>
        </c:dLbls>
        <c:marker val="1"/>
        <c:smooth val="0"/>
        <c:axId val="267753344"/>
        <c:axId val="267767808"/>
      </c:lineChart>
      <c:catAx>
        <c:axId val="267753344"/>
        <c:scaling>
          <c:orientation val="minMax"/>
        </c:scaling>
        <c:delete val="0"/>
        <c:axPos val="b"/>
        <c:numFmt formatCode="General" sourceLinked="0"/>
        <c:majorTickMark val="out"/>
        <c:minorTickMark val="none"/>
        <c:tickLblPos val="low"/>
        <c:spPr>
          <a:ln>
            <a:solidFill>
              <a:schemeClr val="tx1"/>
            </a:solidFill>
          </a:ln>
        </c:spPr>
        <c:txPr>
          <a:bodyPr rot="0" vert="horz"/>
          <a:lstStyle/>
          <a:p>
            <a:pPr>
              <a:defRPr/>
            </a:pPr>
            <a:endParaRPr lang="cs-CZ"/>
          </a:p>
        </c:txPr>
        <c:crossAx val="267767808"/>
        <c:crosses val="autoZero"/>
        <c:auto val="1"/>
        <c:lblAlgn val="ctr"/>
        <c:lblOffset val="100"/>
        <c:noMultiLvlLbl val="0"/>
      </c:catAx>
      <c:valAx>
        <c:axId val="267767808"/>
        <c:scaling>
          <c:orientation val="minMax"/>
          <c:max val="6"/>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267753344"/>
        <c:crosses val="autoZero"/>
        <c:crossBetween val="between"/>
      </c:valAx>
      <c:spPr>
        <a:ln>
          <a:solidFill>
            <a:schemeClr val="tx1"/>
          </a:solidFill>
        </a:ln>
      </c:spPr>
    </c:plotArea>
    <c:legend>
      <c:legendPos val="b"/>
      <c:layout>
        <c:manualLayout>
          <c:xMode val="edge"/>
          <c:yMode val="edge"/>
          <c:x val="5.8431906450523471E-2"/>
          <c:y val="0.89437255125717996"/>
          <c:w val="0.91838441404930771"/>
          <c:h val="9.0301755758791014E-2"/>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070373184734885E-2"/>
          <c:y val="2.9569886214146503E-2"/>
          <c:w val="0.90493308848362042"/>
          <c:h val="0.73556653157716956"/>
        </c:manualLayout>
      </c:layout>
      <c:barChart>
        <c:barDir val="col"/>
        <c:grouping val="clustered"/>
        <c:varyColors val="0"/>
        <c:ser>
          <c:idx val="0"/>
          <c:order val="0"/>
          <c:tx>
            <c:strRef>
              <c:f>'[Makroanalýza grafy.xlsx]Ceny 1'!$C$5</c:f>
              <c:strCache>
                <c:ptCount val="1"/>
                <c:pt idx="0">
                  <c:v>Realizované ceny starších bytů, ČR</c:v>
                </c:pt>
              </c:strCache>
            </c:strRef>
          </c:tx>
          <c:spPr>
            <a:solidFill>
              <a:schemeClr val="bg1">
                <a:lumMod val="65000"/>
              </a:schemeClr>
            </a:solidFill>
            <a:ln w="19050">
              <a:noFill/>
            </a:ln>
          </c:spPr>
          <c:invertIfNegative val="0"/>
          <c:cat>
            <c:multiLvlStrRef>
              <c:f>'[Makroanalýza grafy.xlsx]Ceny 1'!$A$14:$B$37</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2014</c:v>
                  </c:pt>
                  <c:pt idx="4">
                    <c:v>2015</c:v>
                  </c:pt>
                  <c:pt idx="8">
                    <c:v>2016</c:v>
                  </c:pt>
                  <c:pt idx="12">
                    <c:v>2017</c:v>
                  </c:pt>
                  <c:pt idx="16">
                    <c:v>2018</c:v>
                  </c:pt>
                  <c:pt idx="20">
                    <c:v>2019</c:v>
                  </c:pt>
                </c:lvl>
              </c:multiLvlStrCache>
            </c:multiLvlStrRef>
          </c:cat>
          <c:val>
            <c:numRef>
              <c:f>'[Makroanalýza grafy.xlsx]Ceny 1'!$C$14:$C$37</c:f>
              <c:numCache>
                <c:formatCode>General</c:formatCode>
                <c:ptCount val="24"/>
                <c:pt idx="0">
                  <c:v>1.2000000000000028</c:v>
                </c:pt>
                <c:pt idx="1">
                  <c:v>2.5</c:v>
                </c:pt>
                <c:pt idx="2">
                  <c:v>4.5</c:v>
                </c:pt>
                <c:pt idx="3">
                  <c:v>5.7000000000000028</c:v>
                </c:pt>
                <c:pt idx="4">
                  <c:v>4.2999999999999972</c:v>
                </c:pt>
                <c:pt idx="5">
                  <c:v>4.9000000000000057</c:v>
                </c:pt>
                <c:pt idx="6">
                  <c:v>6</c:v>
                </c:pt>
                <c:pt idx="7">
                  <c:v>6.7999999999999972</c:v>
                </c:pt>
                <c:pt idx="8">
                  <c:v>8.9000000000000057</c:v>
                </c:pt>
                <c:pt idx="9">
                  <c:v>10.299999999999997</c:v>
                </c:pt>
                <c:pt idx="10">
                  <c:v>12.299999999999997</c:v>
                </c:pt>
                <c:pt idx="11">
                  <c:v>14.599999999999994</c:v>
                </c:pt>
                <c:pt idx="12">
                  <c:v>17.200000000000003</c:v>
                </c:pt>
                <c:pt idx="13">
                  <c:v>18.700000000000003</c:v>
                </c:pt>
                <c:pt idx="14">
                  <c:v>15.799999999999997</c:v>
                </c:pt>
                <c:pt idx="15">
                  <c:v>12</c:v>
                </c:pt>
                <c:pt idx="16">
                  <c:v>9.2000000000000028</c:v>
                </c:pt>
                <c:pt idx="17">
                  <c:v>8</c:v>
                </c:pt>
                <c:pt idx="18">
                  <c:v>9.4000000000000057</c:v>
                </c:pt>
                <c:pt idx="19">
                  <c:v>11.400000000000006</c:v>
                </c:pt>
                <c:pt idx="20">
                  <c:v>11.299999999999997</c:v>
                </c:pt>
                <c:pt idx="21">
                  <c:v>10.599999999999994</c:v>
                </c:pt>
                <c:pt idx="22">
                  <c:v>9.5</c:v>
                </c:pt>
                <c:pt idx="23">
                  <c:v>9.4000000000000057</c:v>
                </c:pt>
              </c:numCache>
            </c:numRef>
          </c:val>
          <c:extLst>
            <c:ext xmlns:c16="http://schemas.microsoft.com/office/drawing/2014/chart" uri="{C3380CC4-5D6E-409C-BE32-E72D297353CC}">
              <c16:uniqueId val="{00000000-F79A-4F05-B1F7-1FDF48C7249B}"/>
            </c:ext>
          </c:extLst>
        </c:ser>
        <c:ser>
          <c:idx val="1"/>
          <c:order val="1"/>
          <c:tx>
            <c:strRef>
              <c:f>'[Makroanalýza grafy.xlsx]Ceny 1'!$D$5</c:f>
              <c:strCache>
                <c:ptCount val="1"/>
                <c:pt idx="0">
                  <c:v>Realizované ceny starších bytů, Praha</c:v>
                </c:pt>
              </c:strCache>
            </c:strRef>
          </c:tx>
          <c:spPr>
            <a:solidFill>
              <a:prstClr val="black">
                <a:lumMod val="50000"/>
                <a:lumOff val="50000"/>
              </a:prstClr>
            </a:solidFill>
            <a:ln w="19050">
              <a:noFill/>
            </a:ln>
          </c:spPr>
          <c:invertIfNegative val="0"/>
          <c:cat>
            <c:multiLvlStrRef>
              <c:f>'[Makroanalýza grafy.xlsx]Ceny 1'!$A$14:$B$37</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2014</c:v>
                  </c:pt>
                  <c:pt idx="4">
                    <c:v>2015</c:v>
                  </c:pt>
                  <c:pt idx="8">
                    <c:v>2016</c:v>
                  </c:pt>
                  <c:pt idx="12">
                    <c:v>2017</c:v>
                  </c:pt>
                  <c:pt idx="16">
                    <c:v>2018</c:v>
                  </c:pt>
                  <c:pt idx="20">
                    <c:v>2019</c:v>
                  </c:pt>
                </c:lvl>
              </c:multiLvlStrCache>
            </c:multiLvlStrRef>
          </c:cat>
          <c:val>
            <c:numRef>
              <c:f>'[Makroanalýza grafy.xlsx]Ceny 1'!$D$14:$D$37</c:f>
              <c:numCache>
                <c:formatCode>General</c:formatCode>
                <c:ptCount val="24"/>
                <c:pt idx="0">
                  <c:v>2</c:v>
                </c:pt>
                <c:pt idx="1">
                  <c:v>2.0999999999999943</c:v>
                </c:pt>
                <c:pt idx="2">
                  <c:v>3.2000000000000028</c:v>
                </c:pt>
                <c:pt idx="3">
                  <c:v>5.2000000000000028</c:v>
                </c:pt>
                <c:pt idx="4">
                  <c:v>5</c:v>
                </c:pt>
                <c:pt idx="5">
                  <c:v>5.9000000000000057</c:v>
                </c:pt>
                <c:pt idx="6">
                  <c:v>5.5999999999999943</c:v>
                </c:pt>
                <c:pt idx="7">
                  <c:v>4.5999999999999943</c:v>
                </c:pt>
                <c:pt idx="8">
                  <c:v>5.7999999999999972</c:v>
                </c:pt>
                <c:pt idx="9">
                  <c:v>7.5</c:v>
                </c:pt>
                <c:pt idx="10">
                  <c:v>9.4000000000000057</c:v>
                </c:pt>
                <c:pt idx="11">
                  <c:v>13.900000000000006</c:v>
                </c:pt>
                <c:pt idx="12">
                  <c:v>16.200000000000003</c:v>
                </c:pt>
                <c:pt idx="13">
                  <c:v>19</c:v>
                </c:pt>
                <c:pt idx="14">
                  <c:v>16.400000000000006</c:v>
                </c:pt>
                <c:pt idx="15">
                  <c:v>11.099999999999994</c:v>
                </c:pt>
                <c:pt idx="16">
                  <c:v>8.2999999999999972</c:v>
                </c:pt>
                <c:pt idx="17">
                  <c:v>4</c:v>
                </c:pt>
                <c:pt idx="18">
                  <c:v>6</c:v>
                </c:pt>
                <c:pt idx="19">
                  <c:v>8.7000000000000028</c:v>
                </c:pt>
                <c:pt idx="20">
                  <c:v>9.4000000000000057</c:v>
                </c:pt>
                <c:pt idx="21">
                  <c:v>8.7000000000000028</c:v>
                </c:pt>
                <c:pt idx="22">
                  <c:v>6.5</c:v>
                </c:pt>
                <c:pt idx="23">
                  <c:v>7.2000000000000028</c:v>
                </c:pt>
              </c:numCache>
            </c:numRef>
          </c:val>
          <c:extLst>
            <c:ext xmlns:c16="http://schemas.microsoft.com/office/drawing/2014/chart" uri="{C3380CC4-5D6E-409C-BE32-E72D297353CC}">
              <c16:uniqueId val="{00000001-F79A-4F05-B1F7-1FDF48C7249B}"/>
            </c:ext>
          </c:extLst>
        </c:ser>
        <c:dLbls>
          <c:showLegendKey val="0"/>
          <c:showVal val="0"/>
          <c:showCatName val="0"/>
          <c:showSerName val="0"/>
          <c:showPercent val="0"/>
          <c:showBubbleSize val="0"/>
        </c:dLbls>
        <c:gapWidth val="95"/>
        <c:axId val="270057856"/>
        <c:axId val="270059392"/>
      </c:barChart>
      <c:lineChart>
        <c:grouping val="standard"/>
        <c:varyColors val="0"/>
        <c:ser>
          <c:idx val="2"/>
          <c:order val="2"/>
          <c:tx>
            <c:strRef>
              <c:f>'[Makroanalýza grafy.xlsx]Ceny 1'!$E$5</c:f>
              <c:strCache>
                <c:ptCount val="1"/>
                <c:pt idx="0">
                  <c:v>Nabídkové ceny bytů, ČR</c:v>
                </c:pt>
              </c:strCache>
            </c:strRef>
          </c:tx>
          <c:spPr>
            <a:ln w="19050">
              <a:solidFill>
                <a:schemeClr val="accent2"/>
              </a:solidFill>
            </a:ln>
          </c:spPr>
          <c:marker>
            <c:symbol val="none"/>
          </c:marker>
          <c:cat>
            <c:multiLvlStrRef>
              <c:f>'[Makroanalýza grafy.xlsx]Ceny 1'!$A$14:$B$37</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2014</c:v>
                  </c:pt>
                  <c:pt idx="4">
                    <c:v>2015</c:v>
                  </c:pt>
                  <c:pt idx="8">
                    <c:v>2016</c:v>
                  </c:pt>
                  <c:pt idx="12">
                    <c:v>2017</c:v>
                  </c:pt>
                  <c:pt idx="16">
                    <c:v>2018</c:v>
                  </c:pt>
                  <c:pt idx="20">
                    <c:v>2019</c:v>
                  </c:pt>
                </c:lvl>
              </c:multiLvlStrCache>
            </c:multiLvlStrRef>
          </c:cat>
          <c:val>
            <c:numRef>
              <c:f>'[Makroanalýza grafy.xlsx]Ceny 1'!$E$14:$E$37</c:f>
              <c:numCache>
                <c:formatCode>0.0</c:formatCode>
                <c:ptCount val="24"/>
                <c:pt idx="0">
                  <c:v>3.0082987551867131</c:v>
                </c:pt>
                <c:pt idx="1">
                  <c:v>4.1407867494824018</c:v>
                </c:pt>
                <c:pt idx="2">
                  <c:v>4.6201232032854209</c:v>
                </c:pt>
                <c:pt idx="3">
                  <c:v>2.7411167512690384</c:v>
                </c:pt>
                <c:pt idx="4">
                  <c:v>3.6253776435045406</c:v>
                </c:pt>
                <c:pt idx="5">
                  <c:v>4.9701789264413518</c:v>
                </c:pt>
                <c:pt idx="6">
                  <c:v>6.0843964671246207</c:v>
                </c:pt>
                <c:pt idx="7">
                  <c:v>9.5849802371541539</c:v>
                </c:pt>
                <c:pt idx="8">
                  <c:v>10.204081632653059</c:v>
                </c:pt>
                <c:pt idx="9">
                  <c:v>10.321969696969703</c:v>
                </c:pt>
                <c:pt idx="10">
                  <c:v>9.8982423681776162</c:v>
                </c:pt>
                <c:pt idx="11">
                  <c:v>9.9188458070333638</c:v>
                </c:pt>
                <c:pt idx="12">
                  <c:v>9.5238095238095202</c:v>
                </c:pt>
                <c:pt idx="13" formatCode="General">
                  <c:v>9.5278969957081507</c:v>
                </c:pt>
                <c:pt idx="14" formatCode="General">
                  <c:v>12.542087542087534</c:v>
                </c:pt>
                <c:pt idx="15" formatCode="General">
                  <c:v>12.469237079573411</c:v>
                </c:pt>
                <c:pt idx="16" formatCode="General">
                  <c:v>12.801932367149751</c:v>
                </c:pt>
                <c:pt idx="17" formatCode="General">
                  <c:v>12.2257053291536</c:v>
                </c:pt>
                <c:pt idx="18" formatCode="General">
                  <c:v>9.4988780852655328</c:v>
                </c:pt>
                <c:pt idx="19" formatCode="General">
                  <c:v>8.4609773887673203</c:v>
                </c:pt>
                <c:pt idx="20" formatCode="General">
                  <c:v>7.4232690935046435</c:v>
                </c:pt>
                <c:pt idx="21" formatCode="General">
                  <c:v>5.7262569832402361</c:v>
                </c:pt>
                <c:pt idx="22" formatCode="General">
                  <c:v>5.1912568306010893</c:v>
                </c:pt>
                <c:pt idx="23" formatCode="General">
                  <c:v>5.5144586415601999</c:v>
                </c:pt>
              </c:numCache>
            </c:numRef>
          </c:val>
          <c:smooth val="0"/>
          <c:extLst>
            <c:ext xmlns:c16="http://schemas.microsoft.com/office/drawing/2014/chart" uri="{C3380CC4-5D6E-409C-BE32-E72D297353CC}">
              <c16:uniqueId val="{00000002-F79A-4F05-B1F7-1FDF48C7249B}"/>
            </c:ext>
          </c:extLst>
        </c:ser>
        <c:ser>
          <c:idx val="3"/>
          <c:order val="3"/>
          <c:tx>
            <c:strRef>
              <c:f>'[Makroanalýza grafy.xlsx]Ceny 1'!$F$5</c:f>
              <c:strCache>
                <c:ptCount val="1"/>
                <c:pt idx="0">
                  <c:v>Nabídkové ceny bytů, Praha</c:v>
                </c:pt>
              </c:strCache>
            </c:strRef>
          </c:tx>
          <c:spPr>
            <a:ln>
              <a:solidFill>
                <a:schemeClr val="accent1"/>
              </a:solidFill>
            </a:ln>
          </c:spPr>
          <c:marker>
            <c:symbol val="none"/>
          </c:marker>
          <c:cat>
            <c:multiLvlStrRef>
              <c:f>'[Makroanalýza grafy.xlsx]Ceny 1'!$A$14:$B$37</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2014</c:v>
                  </c:pt>
                  <c:pt idx="4">
                    <c:v>2015</c:v>
                  </c:pt>
                  <c:pt idx="8">
                    <c:v>2016</c:v>
                  </c:pt>
                  <c:pt idx="12">
                    <c:v>2017</c:v>
                  </c:pt>
                  <c:pt idx="16">
                    <c:v>2018</c:v>
                  </c:pt>
                  <c:pt idx="20">
                    <c:v>2019</c:v>
                  </c:pt>
                </c:lvl>
              </c:multiLvlStrCache>
            </c:multiLvlStrRef>
          </c:cat>
          <c:val>
            <c:numRef>
              <c:f>'[Makroanalýza grafy.xlsx]Ceny 1'!$F$14:$F$37</c:f>
              <c:numCache>
                <c:formatCode>0.0</c:formatCode>
                <c:ptCount val="24"/>
                <c:pt idx="0">
                  <c:v>3.8310412573673931</c:v>
                </c:pt>
                <c:pt idx="1">
                  <c:v>5.2785923753665749</c:v>
                </c:pt>
                <c:pt idx="2">
                  <c:v>6.6731141199226212</c:v>
                </c:pt>
                <c:pt idx="3">
                  <c:v>5.1428571428571486</c:v>
                </c:pt>
                <c:pt idx="4">
                  <c:v>5.7710501419110631</c:v>
                </c:pt>
                <c:pt idx="5">
                  <c:v>6.4995357474466111</c:v>
                </c:pt>
                <c:pt idx="6">
                  <c:v>6.7089755213055353</c:v>
                </c:pt>
                <c:pt idx="7">
                  <c:v>8.7862318840579601</c:v>
                </c:pt>
                <c:pt idx="8">
                  <c:v>10.196779964221831</c:v>
                </c:pt>
                <c:pt idx="9">
                  <c:v>10.549258936355706</c:v>
                </c:pt>
                <c:pt idx="10">
                  <c:v>9.7706032285471416</c:v>
                </c:pt>
                <c:pt idx="11">
                  <c:v>11.323896752706073</c:v>
                </c:pt>
                <c:pt idx="12">
                  <c:v>13.636363636363633</c:v>
                </c:pt>
                <c:pt idx="13" formatCode="General">
                  <c:v>14.589905362776037</c:v>
                </c:pt>
                <c:pt idx="14" formatCode="General">
                  <c:v>18.266253869969059</c:v>
                </c:pt>
                <c:pt idx="15" formatCode="General">
                  <c:v>18.773373223635023</c:v>
                </c:pt>
                <c:pt idx="16" formatCode="General">
                  <c:v>15.071428571428566</c:v>
                </c:pt>
                <c:pt idx="17" formatCode="General">
                  <c:v>14.246386785960075</c:v>
                </c:pt>
                <c:pt idx="18" formatCode="General">
                  <c:v>10.732984293193702</c:v>
                </c:pt>
                <c:pt idx="19" formatCode="General">
                  <c:v>8.7531486146095574</c:v>
                </c:pt>
                <c:pt idx="20" formatCode="General">
                  <c:v>8.3178150217256395</c:v>
                </c:pt>
                <c:pt idx="21" formatCode="General">
                  <c:v>4.9397590361445713</c:v>
                </c:pt>
                <c:pt idx="22" formatCode="General">
                  <c:v>3.3096926713948127</c:v>
                </c:pt>
                <c:pt idx="23" formatCode="General">
                  <c:v>2.9530978575564695</c:v>
                </c:pt>
              </c:numCache>
            </c:numRef>
          </c:val>
          <c:smooth val="0"/>
          <c:extLst>
            <c:ext xmlns:c16="http://schemas.microsoft.com/office/drawing/2014/chart" uri="{C3380CC4-5D6E-409C-BE32-E72D297353CC}">
              <c16:uniqueId val="{00000003-F79A-4F05-B1F7-1FDF48C7249B}"/>
            </c:ext>
          </c:extLst>
        </c:ser>
        <c:dLbls>
          <c:showLegendKey val="0"/>
          <c:showVal val="0"/>
          <c:showCatName val="0"/>
          <c:showSerName val="0"/>
          <c:showPercent val="0"/>
          <c:showBubbleSize val="0"/>
        </c:dLbls>
        <c:marker val="1"/>
        <c:smooth val="0"/>
        <c:axId val="270057856"/>
        <c:axId val="270059392"/>
      </c:lineChart>
      <c:catAx>
        <c:axId val="270057856"/>
        <c:scaling>
          <c:orientation val="minMax"/>
        </c:scaling>
        <c:delete val="0"/>
        <c:axPos val="b"/>
        <c:numFmt formatCode="General" sourceLinked="0"/>
        <c:majorTickMark val="out"/>
        <c:minorTickMark val="none"/>
        <c:tickLblPos val="low"/>
        <c:spPr>
          <a:ln>
            <a:solidFill>
              <a:schemeClr val="tx1"/>
            </a:solidFill>
          </a:ln>
        </c:spPr>
        <c:txPr>
          <a:bodyPr rot="0" vert="horz"/>
          <a:lstStyle/>
          <a:p>
            <a:pPr>
              <a:defRPr/>
            </a:pPr>
            <a:endParaRPr lang="cs-CZ"/>
          </a:p>
        </c:txPr>
        <c:crossAx val="270059392"/>
        <c:crosses val="autoZero"/>
        <c:auto val="1"/>
        <c:lblAlgn val="ctr"/>
        <c:lblOffset val="100"/>
        <c:noMultiLvlLbl val="0"/>
      </c:catAx>
      <c:valAx>
        <c:axId val="270059392"/>
        <c:scaling>
          <c:orientation val="minMax"/>
          <c:min val="-6"/>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270057856"/>
        <c:crosses val="autoZero"/>
        <c:crossBetween val="between"/>
        <c:majorUnit val="2"/>
      </c:valAx>
      <c:spPr>
        <a:ln>
          <a:solidFill>
            <a:schemeClr val="tx1"/>
          </a:solidFill>
        </a:ln>
      </c:spPr>
    </c:plotArea>
    <c:legend>
      <c:legendPos val="b"/>
      <c:layout>
        <c:manualLayout>
          <c:xMode val="edge"/>
          <c:yMode val="edge"/>
          <c:x val="7.3334810874704504E-2"/>
          <c:y val="0.88817854328492629"/>
          <c:w val="0.89999282337048292"/>
          <c:h val="9.8380614657210319E-2"/>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1510469436001351E-2"/>
          <c:y val="2.181131592422042E-2"/>
          <c:w val="0.90860161263086792"/>
          <c:h val="0.71663233141956562"/>
        </c:manualLayout>
      </c:layout>
      <c:barChart>
        <c:barDir val="col"/>
        <c:grouping val="clustered"/>
        <c:varyColors val="0"/>
        <c:ser>
          <c:idx val="0"/>
          <c:order val="0"/>
          <c:tx>
            <c:strRef>
              <c:f>'Ceny 4'!$C$5</c:f>
              <c:strCache>
                <c:ptCount val="1"/>
                <c:pt idx="0">
                  <c:v>Celkem</c:v>
                </c:pt>
              </c:strCache>
            </c:strRef>
          </c:tx>
          <c:spPr>
            <a:solidFill>
              <a:schemeClr val="bg1">
                <a:lumMod val="65000"/>
              </a:schemeClr>
            </a:solidFill>
            <a:ln w="19050">
              <a:noFill/>
            </a:ln>
          </c:spPr>
          <c:invertIfNegative val="0"/>
          <c:cat>
            <c:multiLvlStrRef>
              <c:f>'Ceny 4'!$A$18:$B$89</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2014</c:v>
                  </c:pt>
                  <c:pt idx="12">
                    <c:v>2015</c:v>
                  </c:pt>
                  <c:pt idx="24">
                    <c:v>2016</c:v>
                  </c:pt>
                  <c:pt idx="36">
                    <c:v>2017</c:v>
                  </c:pt>
                  <c:pt idx="48">
                    <c:v>2018</c:v>
                  </c:pt>
                  <c:pt idx="60">
                    <c:v>2019</c:v>
                  </c:pt>
                </c:lvl>
              </c:multiLvlStrCache>
            </c:multiLvlStrRef>
          </c:cat>
          <c:val>
            <c:numRef>
              <c:f>'Ceny 4'!$C$18:$C$89</c:f>
              <c:numCache>
                <c:formatCode>0.0</c:formatCode>
                <c:ptCount val="72"/>
                <c:pt idx="0">
                  <c:v>-0.70000000000000284</c:v>
                </c:pt>
                <c:pt idx="1">
                  <c:v>-0.70000000000000284</c:v>
                </c:pt>
                <c:pt idx="2">
                  <c:v>-0.79999999999999716</c:v>
                </c:pt>
                <c:pt idx="3">
                  <c:v>-0.29999999999999716</c:v>
                </c:pt>
                <c:pt idx="4">
                  <c:v>-9.9999999999994316E-2</c:v>
                </c:pt>
                <c:pt idx="5">
                  <c:v>-0.20000000000000284</c:v>
                </c:pt>
                <c:pt idx="6">
                  <c:v>-9.9999999999994316E-2</c:v>
                </c:pt>
                <c:pt idx="7">
                  <c:v>0</c:v>
                </c:pt>
                <c:pt idx="8">
                  <c:v>-0.29999999999999716</c:v>
                </c:pt>
                <c:pt idx="9">
                  <c:v>-0.29999999999999716</c:v>
                </c:pt>
                <c:pt idx="10">
                  <c:v>-1.7000000000000028</c:v>
                </c:pt>
                <c:pt idx="11">
                  <c:v>-3.7000000000000028</c:v>
                </c:pt>
                <c:pt idx="12">
                  <c:v>-3.5</c:v>
                </c:pt>
                <c:pt idx="13">
                  <c:v>-3.5999999999999943</c:v>
                </c:pt>
                <c:pt idx="14">
                  <c:v>-2.9000000000000057</c:v>
                </c:pt>
                <c:pt idx="15">
                  <c:v>-2.5999999999999943</c:v>
                </c:pt>
                <c:pt idx="16">
                  <c:v>-2.0999999999999943</c:v>
                </c:pt>
                <c:pt idx="17">
                  <c:v>-2.2999999999999972</c:v>
                </c:pt>
                <c:pt idx="18">
                  <c:v>-3</c:v>
                </c:pt>
                <c:pt idx="19">
                  <c:v>-3.7000000000000028</c:v>
                </c:pt>
                <c:pt idx="20">
                  <c:v>-4.2000000000000028</c:v>
                </c:pt>
                <c:pt idx="21">
                  <c:v>-3.9000000000000057</c:v>
                </c:pt>
                <c:pt idx="22">
                  <c:v>-3.7000000000000028</c:v>
                </c:pt>
                <c:pt idx="23">
                  <c:v>-2.9000000000000057</c:v>
                </c:pt>
                <c:pt idx="24">
                  <c:v>-3.4000000000000057</c:v>
                </c:pt>
                <c:pt idx="25">
                  <c:v>-4</c:v>
                </c:pt>
                <c:pt idx="26">
                  <c:v>-4.5</c:v>
                </c:pt>
                <c:pt idx="27">
                  <c:v>-4.7000000000000028</c:v>
                </c:pt>
                <c:pt idx="28">
                  <c:v>-4.7999999999999972</c:v>
                </c:pt>
                <c:pt idx="29">
                  <c:v>-4.4000000000000057</c:v>
                </c:pt>
                <c:pt idx="30">
                  <c:v>-4</c:v>
                </c:pt>
                <c:pt idx="31">
                  <c:v>-3.4000000000000057</c:v>
                </c:pt>
                <c:pt idx="32">
                  <c:v>-2.4000000000000057</c:v>
                </c:pt>
                <c:pt idx="33">
                  <c:v>-1.7000000000000028</c:v>
                </c:pt>
                <c:pt idx="34">
                  <c:v>-1.2999999999999972</c:v>
                </c:pt>
                <c:pt idx="35">
                  <c:v>-0.40000000000000568</c:v>
                </c:pt>
                <c:pt idx="36" formatCode="General">
                  <c:v>2.0999999999999943</c:v>
                </c:pt>
                <c:pt idx="37" formatCode="General">
                  <c:v>3.0999999999999943</c:v>
                </c:pt>
                <c:pt idx="38">
                  <c:v>3</c:v>
                </c:pt>
                <c:pt idx="39">
                  <c:v>3.2000000000000028</c:v>
                </c:pt>
                <c:pt idx="40" formatCode="General">
                  <c:v>2.2999999999999972</c:v>
                </c:pt>
                <c:pt idx="41" formatCode="General">
                  <c:v>1.2999999999999972</c:v>
                </c:pt>
                <c:pt idx="42" formatCode="General">
                  <c:v>1.1000000000000001</c:v>
                </c:pt>
                <c:pt idx="43" formatCode="General">
                  <c:v>1.4</c:v>
                </c:pt>
                <c:pt idx="44" formatCode="General">
                  <c:v>1.7</c:v>
                </c:pt>
                <c:pt idx="45" formatCode="General">
                  <c:v>1.1000000000000001</c:v>
                </c:pt>
                <c:pt idx="46" formatCode="General">
                  <c:v>0.9</c:v>
                </c:pt>
                <c:pt idx="47" formatCode="General">
                  <c:v>0.7</c:v>
                </c:pt>
                <c:pt idx="48" formatCode="General">
                  <c:v>0.5</c:v>
                </c:pt>
                <c:pt idx="49" formatCode="General">
                  <c:v>-0.3</c:v>
                </c:pt>
                <c:pt idx="50" formatCode="General">
                  <c:v>0.1</c:v>
                </c:pt>
                <c:pt idx="51" formatCode="General">
                  <c:v>0</c:v>
                </c:pt>
                <c:pt idx="52" formatCode="General">
                  <c:v>1.5</c:v>
                </c:pt>
                <c:pt idx="53" formatCode="General">
                  <c:v>2.9</c:v>
                </c:pt>
                <c:pt idx="54" formatCode="General">
                  <c:v>3.4</c:v>
                </c:pt>
                <c:pt idx="55" formatCode="General">
                  <c:v>3.3</c:v>
                </c:pt>
                <c:pt idx="56" formatCode="General">
                  <c:v>3.2</c:v>
                </c:pt>
                <c:pt idx="57" formatCode="General">
                  <c:v>3.9</c:v>
                </c:pt>
                <c:pt idx="58" formatCode="General">
                  <c:v>3.9</c:v>
                </c:pt>
                <c:pt idx="59" formatCode="General">
                  <c:v>2.4</c:v>
                </c:pt>
                <c:pt idx="60" formatCode="General">
                  <c:v>2.9</c:v>
                </c:pt>
                <c:pt idx="61" formatCode="General">
                  <c:v>3.6</c:v>
                </c:pt>
                <c:pt idx="62" formatCode="General">
                  <c:v>3.8</c:v>
                </c:pt>
                <c:pt idx="63" formatCode="General">
                  <c:v>4.3</c:v>
                </c:pt>
                <c:pt idx="64" formatCode="General">
                  <c:v>3.8</c:v>
                </c:pt>
                <c:pt idx="65" formatCode="General">
                  <c:v>2.5</c:v>
                </c:pt>
                <c:pt idx="66" formatCode="General">
                  <c:v>2.1</c:v>
                </c:pt>
                <c:pt idx="67" formatCode="General">
                  <c:v>2.1</c:v>
                </c:pt>
                <c:pt idx="68" formatCode="General">
                  <c:v>1.9</c:v>
                </c:pt>
                <c:pt idx="69" formatCode="General">
                  <c:v>0.9</c:v>
                </c:pt>
                <c:pt idx="70" formatCode="General">
                  <c:v>0.9</c:v>
                </c:pt>
                <c:pt idx="71" formatCode="General">
                  <c:v>2.1</c:v>
                </c:pt>
              </c:numCache>
            </c:numRef>
          </c:val>
          <c:extLst>
            <c:ext xmlns:c16="http://schemas.microsoft.com/office/drawing/2014/chart" uri="{C3380CC4-5D6E-409C-BE32-E72D297353CC}">
              <c16:uniqueId val="{00000000-78B1-4C4B-A0D9-7B249D2424D5}"/>
            </c:ext>
          </c:extLst>
        </c:ser>
        <c:dLbls>
          <c:showLegendKey val="0"/>
          <c:showVal val="0"/>
          <c:showCatName val="0"/>
          <c:showSerName val="0"/>
          <c:showPercent val="0"/>
          <c:showBubbleSize val="0"/>
        </c:dLbls>
        <c:gapWidth val="96"/>
        <c:axId val="271374208"/>
        <c:axId val="271375744"/>
      </c:barChart>
      <c:lineChart>
        <c:grouping val="standard"/>
        <c:varyColors val="0"/>
        <c:ser>
          <c:idx val="1"/>
          <c:order val="1"/>
          <c:tx>
            <c:strRef>
              <c:f>'Ceny 4'!$D$5</c:f>
              <c:strCache>
                <c:ptCount val="1"/>
                <c:pt idx="0">
                  <c:v>Těžba a dobývání</c:v>
                </c:pt>
              </c:strCache>
            </c:strRef>
          </c:tx>
          <c:spPr>
            <a:ln w="19050">
              <a:solidFill>
                <a:srgbClr val="7DBB2D"/>
              </a:solidFill>
            </a:ln>
          </c:spPr>
          <c:marker>
            <c:symbol val="none"/>
          </c:marker>
          <c:cat>
            <c:multiLvlStrRef>
              <c:f>'Ceny 4'!$A$18:$B$89</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2014</c:v>
                  </c:pt>
                  <c:pt idx="12">
                    <c:v>2015</c:v>
                  </c:pt>
                  <c:pt idx="24">
                    <c:v>2016</c:v>
                  </c:pt>
                  <c:pt idx="36">
                    <c:v>2017</c:v>
                  </c:pt>
                  <c:pt idx="48">
                    <c:v>2018</c:v>
                  </c:pt>
                  <c:pt idx="60">
                    <c:v>2019</c:v>
                  </c:pt>
                </c:lvl>
              </c:multiLvlStrCache>
            </c:multiLvlStrRef>
          </c:cat>
          <c:val>
            <c:numRef>
              <c:f>'Ceny 4'!$D$18:$D$89</c:f>
              <c:numCache>
                <c:formatCode>0.0</c:formatCode>
                <c:ptCount val="72"/>
                <c:pt idx="0">
                  <c:v>-3</c:v>
                </c:pt>
                <c:pt idx="1">
                  <c:v>-3.0999999999999943</c:v>
                </c:pt>
                <c:pt idx="2">
                  <c:v>-4</c:v>
                </c:pt>
                <c:pt idx="3">
                  <c:v>-4.0999999999999943</c:v>
                </c:pt>
                <c:pt idx="4">
                  <c:v>-4.5999999999999943</c:v>
                </c:pt>
                <c:pt idx="5">
                  <c:v>-4.7999999999999972</c:v>
                </c:pt>
                <c:pt idx="6">
                  <c:v>-3</c:v>
                </c:pt>
                <c:pt idx="7">
                  <c:v>-3.5999999999999943</c:v>
                </c:pt>
                <c:pt idx="8">
                  <c:v>-1.9000000000000057</c:v>
                </c:pt>
                <c:pt idx="9">
                  <c:v>-2.0999999999999943</c:v>
                </c:pt>
                <c:pt idx="10">
                  <c:v>-2.2999999999999972</c:v>
                </c:pt>
                <c:pt idx="11">
                  <c:v>-2.7999999999999972</c:v>
                </c:pt>
                <c:pt idx="12">
                  <c:v>-0.90000000000000568</c:v>
                </c:pt>
                <c:pt idx="13">
                  <c:v>-1.5</c:v>
                </c:pt>
                <c:pt idx="14">
                  <c:v>-0.90000000000000568</c:v>
                </c:pt>
                <c:pt idx="15">
                  <c:v>-0.90000000000000568</c:v>
                </c:pt>
                <c:pt idx="16">
                  <c:v>0.29999999999999716</c:v>
                </c:pt>
                <c:pt idx="17">
                  <c:v>0.59999999999999432</c:v>
                </c:pt>
                <c:pt idx="18">
                  <c:v>0.40000000000000568</c:v>
                </c:pt>
                <c:pt idx="19">
                  <c:v>-0.29999999999999716</c:v>
                </c:pt>
                <c:pt idx="20">
                  <c:v>-1.7000000000000028</c:v>
                </c:pt>
                <c:pt idx="21">
                  <c:v>-1.4000000000000057</c:v>
                </c:pt>
                <c:pt idx="22">
                  <c:v>-0.59999999999999432</c:v>
                </c:pt>
                <c:pt idx="23">
                  <c:v>-0.5</c:v>
                </c:pt>
                <c:pt idx="24">
                  <c:v>-6.5999999999999943</c:v>
                </c:pt>
                <c:pt idx="25">
                  <c:v>-6.0999999999999943</c:v>
                </c:pt>
                <c:pt idx="26">
                  <c:v>-6.5</c:v>
                </c:pt>
                <c:pt idx="27">
                  <c:v>-7</c:v>
                </c:pt>
                <c:pt idx="28">
                  <c:v>-7.0999999999999943</c:v>
                </c:pt>
                <c:pt idx="29">
                  <c:v>-7.2999999999999972</c:v>
                </c:pt>
                <c:pt idx="30">
                  <c:v>-6.5999999999999943</c:v>
                </c:pt>
                <c:pt idx="31">
                  <c:v>-6</c:v>
                </c:pt>
                <c:pt idx="32">
                  <c:v>-4.9000000000000057</c:v>
                </c:pt>
                <c:pt idx="33">
                  <c:v>-5.2000000000000028</c:v>
                </c:pt>
                <c:pt idx="34">
                  <c:v>-5.2999999999999972</c:v>
                </c:pt>
                <c:pt idx="35">
                  <c:v>-5.0999999999999943</c:v>
                </c:pt>
                <c:pt idx="36" formatCode="General">
                  <c:v>2.2999999999999972</c:v>
                </c:pt>
                <c:pt idx="37" formatCode="General">
                  <c:v>5.7999999999999972</c:v>
                </c:pt>
                <c:pt idx="38">
                  <c:v>6.2000000000000028</c:v>
                </c:pt>
                <c:pt idx="39">
                  <c:v>6.4000000000000057</c:v>
                </c:pt>
                <c:pt idx="40" formatCode="General">
                  <c:v>4.2999999999999972</c:v>
                </c:pt>
                <c:pt idx="41" formatCode="General">
                  <c:v>4.0999999999999943</c:v>
                </c:pt>
                <c:pt idx="42" formatCode="General">
                  <c:v>2.9</c:v>
                </c:pt>
                <c:pt idx="43" formatCode="General">
                  <c:v>1.7</c:v>
                </c:pt>
                <c:pt idx="44" formatCode="General">
                  <c:v>1.9</c:v>
                </c:pt>
                <c:pt idx="45" formatCode="General">
                  <c:v>3.4</c:v>
                </c:pt>
                <c:pt idx="46" formatCode="General">
                  <c:v>3.3</c:v>
                </c:pt>
                <c:pt idx="47" formatCode="General">
                  <c:v>3.6</c:v>
                </c:pt>
                <c:pt idx="48" formatCode="General">
                  <c:v>6.7</c:v>
                </c:pt>
                <c:pt idx="49" formatCode="General">
                  <c:v>5</c:v>
                </c:pt>
                <c:pt idx="50" formatCode="General">
                  <c:v>4.3</c:v>
                </c:pt>
                <c:pt idx="51" formatCode="General">
                  <c:v>4.5999999999999996</c:v>
                </c:pt>
                <c:pt idx="52" formatCode="General">
                  <c:v>7.4</c:v>
                </c:pt>
                <c:pt idx="53" formatCode="General">
                  <c:v>8</c:v>
                </c:pt>
                <c:pt idx="54" formatCode="General">
                  <c:v>8.4</c:v>
                </c:pt>
                <c:pt idx="55" formatCode="General">
                  <c:v>10.1</c:v>
                </c:pt>
                <c:pt idx="56" formatCode="General">
                  <c:v>9.9</c:v>
                </c:pt>
                <c:pt idx="57" formatCode="General">
                  <c:v>9</c:v>
                </c:pt>
                <c:pt idx="58" formatCode="General">
                  <c:v>9.1999999999999993</c:v>
                </c:pt>
                <c:pt idx="59" formatCode="General">
                  <c:v>8.3000000000000007</c:v>
                </c:pt>
                <c:pt idx="60" formatCode="General">
                  <c:v>7.9</c:v>
                </c:pt>
                <c:pt idx="61" formatCode="General">
                  <c:v>7.4</c:v>
                </c:pt>
                <c:pt idx="62" formatCode="General">
                  <c:v>8</c:v>
                </c:pt>
                <c:pt idx="63" formatCode="General">
                  <c:v>8.4</c:v>
                </c:pt>
                <c:pt idx="64" formatCode="General">
                  <c:v>7.5</c:v>
                </c:pt>
                <c:pt idx="65" formatCode="General">
                  <c:v>7.1</c:v>
                </c:pt>
                <c:pt idx="66" formatCode="General">
                  <c:v>6.9</c:v>
                </c:pt>
                <c:pt idx="67" formatCode="General">
                  <c:v>6.8</c:v>
                </c:pt>
                <c:pt idx="68" formatCode="General">
                  <c:v>6.6</c:v>
                </c:pt>
                <c:pt idx="69" formatCode="General">
                  <c:v>3.6</c:v>
                </c:pt>
                <c:pt idx="70" formatCode="General">
                  <c:v>3.2</c:v>
                </c:pt>
                <c:pt idx="71" formatCode="General">
                  <c:v>4.3</c:v>
                </c:pt>
              </c:numCache>
            </c:numRef>
          </c:val>
          <c:smooth val="0"/>
          <c:extLst>
            <c:ext xmlns:c16="http://schemas.microsoft.com/office/drawing/2014/chart" uri="{C3380CC4-5D6E-409C-BE32-E72D297353CC}">
              <c16:uniqueId val="{00000001-78B1-4C4B-A0D9-7B249D2424D5}"/>
            </c:ext>
          </c:extLst>
        </c:ser>
        <c:ser>
          <c:idx val="2"/>
          <c:order val="2"/>
          <c:tx>
            <c:strRef>
              <c:f>'Ceny 4'!$E$5</c:f>
              <c:strCache>
                <c:ptCount val="1"/>
                <c:pt idx="0">
                  <c:v>Zpracovatelský průmysl</c:v>
                </c:pt>
              </c:strCache>
            </c:strRef>
          </c:tx>
          <c:spPr>
            <a:ln w="19050">
              <a:solidFill>
                <a:srgbClr val="BD1B21"/>
              </a:solidFill>
            </a:ln>
          </c:spPr>
          <c:marker>
            <c:symbol val="none"/>
          </c:marker>
          <c:cat>
            <c:multiLvlStrRef>
              <c:f>'Ceny 4'!$A$18:$B$89</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2014</c:v>
                  </c:pt>
                  <c:pt idx="12">
                    <c:v>2015</c:v>
                  </c:pt>
                  <c:pt idx="24">
                    <c:v>2016</c:v>
                  </c:pt>
                  <c:pt idx="36">
                    <c:v>2017</c:v>
                  </c:pt>
                  <c:pt idx="48">
                    <c:v>2018</c:v>
                  </c:pt>
                  <c:pt idx="60">
                    <c:v>2019</c:v>
                  </c:pt>
                </c:lvl>
              </c:multiLvlStrCache>
            </c:multiLvlStrRef>
          </c:cat>
          <c:val>
            <c:numRef>
              <c:f>'Ceny 4'!$E$18:$E$89</c:f>
              <c:numCache>
                <c:formatCode>0.0</c:formatCode>
                <c:ptCount val="72"/>
                <c:pt idx="0">
                  <c:v>1.0999999999999943</c:v>
                </c:pt>
                <c:pt idx="1">
                  <c:v>1.2000000000000028</c:v>
                </c:pt>
                <c:pt idx="2">
                  <c:v>1</c:v>
                </c:pt>
                <c:pt idx="3">
                  <c:v>1.5999999999999943</c:v>
                </c:pt>
                <c:pt idx="4">
                  <c:v>1.9000000000000057</c:v>
                </c:pt>
                <c:pt idx="5">
                  <c:v>1.9000000000000057</c:v>
                </c:pt>
                <c:pt idx="6">
                  <c:v>1.7999999999999972</c:v>
                </c:pt>
                <c:pt idx="7">
                  <c:v>2.0999999999999943</c:v>
                </c:pt>
                <c:pt idx="8">
                  <c:v>1.5</c:v>
                </c:pt>
                <c:pt idx="9">
                  <c:v>1.5</c:v>
                </c:pt>
                <c:pt idx="10">
                  <c:v>-9.9999999999994316E-2</c:v>
                </c:pt>
                <c:pt idx="11">
                  <c:v>-2.7999999999999972</c:v>
                </c:pt>
                <c:pt idx="12">
                  <c:v>-4.2999999999999972</c:v>
                </c:pt>
                <c:pt idx="13">
                  <c:v>-4.4000000000000057</c:v>
                </c:pt>
                <c:pt idx="14">
                  <c:v>-3.5</c:v>
                </c:pt>
                <c:pt idx="15">
                  <c:v>-3.0999999999999943</c:v>
                </c:pt>
                <c:pt idx="16">
                  <c:v>-2.7000000000000028</c:v>
                </c:pt>
                <c:pt idx="17">
                  <c:v>-2.7999999999999972</c:v>
                </c:pt>
                <c:pt idx="18">
                  <c:v>-3.5999999999999943</c:v>
                </c:pt>
                <c:pt idx="19">
                  <c:v>-4.7000000000000028</c:v>
                </c:pt>
                <c:pt idx="20">
                  <c:v>-5.2000000000000028</c:v>
                </c:pt>
                <c:pt idx="21">
                  <c:v>-4.9000000000000057</c:v>
                </c:pt>
                <c:pt idx="22">
                  <c:v>-4.5999999999999943</c:v>
                </c:pt>
                <c:pt idx="23">
                  <c:v>-3.5</c:v>
                </c:pt>
                <c:pt idx="24">
                  <c:v>-3.2999999999999972</c:v>
                </c:pt>
                <c:pt idx="25">
                  <c:v>-4.0999999999999943</c:v>
                </c:pt>
                <c:pt idx="26">
                  <c:v>-4.5999999999999943</c:v>
                </c:pt>
                <c:pt idx="27">
                  <c:v>-4.9000000000000057</c:v>
                </c:pt>
                <c:pt idx="28">
                  <c:v>-5</c:v>
                </c:pt>
                <c:pt idx="29">
                  <c:v>-4.5</c:v>
                </c:pt>
                <c:pt idx="30">
                  <c:v>-4</c:v>
                </c:pt>
                <c:pt idx="31">
                  <c:v>-3.2000000000000028</c:v>
                </c:pt>
                <c:pt idx="32">
                  <c:v>-2</c:v>
                </c:pt>
                <c:pt idx="33">
                  <c:v>-1.0999999999999943</c:v>
                </c:pt>
                <c:pt idx="34">
                  <c:v>-0.59999999999999432</c:v>
                </c:pt>
                <c:pt idx="35">
                  <c:v>0.59999999999999432</c:v>
                </c:pt>
                <c:pt idx="36" formatCode="General">
                  <c:v>2.5999999999999943</c:v>
                </c:pt>
                <c:pt idx="37" formatCode="General">
                  <c:v>4</c:v>
                </c:pt>
                <c:pt idx="38">
                  <c:v>3.7999999999999972</c:v>
                </c:pt>
                <c:pt idx="39">
                  <c:v>4</c:v>
                </c:pt>
                <c:pt idx="40" formatCode="General">
                  <c:v>2.7999999999999972</c:v>
                </c:pt>
                <c:pt idx="41" formatCode="General">
                  <c:v>1.5</c:v>
                </c:pt>
                <c:pt idx="42" formatCode="General">
                  <c:v>1.4</c:v>
                </c:pt>
                <c:pt idx="43" formatCode="General">
                  <c:v>2</c:v>
                </c:pt>
                <c:pt idx="44" formatCode="General">
                  <c:v>2.1</c:v>
                </c:pt>
                <c:pt idx="45" formatCode="General">
                  <c:v>1.4</c:v>
                </c:pt>
                <c:pt idx="46" formatCode="General">
                  <c:v>1.1000000000000001</c:v>
                </c:pt>
                <c:pt idx="47" formatCode="General">
                  <c:v>0.9</c:v>
                </c:pt>
                <c:pt idx="48" formatCode="General">
                  <c:v>0.2</c:v>
                </c:pt>
                <c:pt idx="49" formatCode="General">
                  <c:v>-0.9</c:v>
                </c:pt>
                <c:pt idx="50" formatCode="General">
                  <c:v>-0.5</c:v>
                </c:pt>
                <c:pt idx="51" formatCode="General">
                  <c:v>-0.5</c:v>
                </c:pt>
                <c:pt idx="52" formatCode="General">
                  <c:v>1.3</c:v>
                </c:pt>
                <c:pt idx="53" formatCode="General">
                  <c:v>2.8</c:v>
                </c:pt>
                <c:pt idx="54" formatCode="General">
                  <c:v>3.4</c:v>
                </c:pt>
                <c:pt idx="55" formatCode="General">
                  <c:v>3.2</c:v>
                </c:pt>
                <c:pt idx="56" formatCode="General">
                  <c:v>3</c:v>
                </c:pt>
                <c:pt idx="57" formatCode="General">
                  <c:v>3.8</c:v>
                </c:pt>
                <c:pt idx="58" formatCode="General">
                  <c:v>3.9</c:v>
                </c:pt>
                <c:pt idx="59" formatCode="General">
                  <c:v>2.2000000000000002</c:v>
                </c:pt>
                <c:pt idx="60" formatCode="General">
                  <c:v>1.9</c:v>
                </c:pt>
                <c:pt idx="61" formatCode="General">
                  <c:v>2.9</c:v>
                </c:pt>
                <c:pt idx="62" formatCode="General">
                  <c:v>3</c:v>
                </c:pt>
                <c:pt idx="63" formatCode="General">
                  <c:v>3.5</c:v>
                </c:pt>
                <c:pt idx="64" formatCode="General">
                  <c:v>2.9</c:v>
                </c:pt>
                <c:pt idx="65" formatCode="General">
                  <c:v>1.4</c:v>
                </c:pt>
                <c:pt idx="66" formatCode="General">
                  <c:v>0.9</c:v>
                </c:pt>
                <c:pt idx="67" formatCode="General">
                  <c:v>0.8</c:v>
                </c:pt>
                <c:pt idx="68" formatCode="General">
                  <c:v>0.7</c:v>
                </c:pt>
                <c:pt idx="69" formatCode="General">
                  <c:v>-0.4</c:v>
                </c:pt>
                <c:pt idx="70" formatCode="General">
                  <c:v>-0.7</c:v>
                </c:pt>
                <c:pt idx="71" formatCode="General">
                  <c:v>0.8</c:v>
                </c:pt>
              </c:numCache>
            </c:numRef>
          </c:val>
          <c:smooth val="0"/>
          <c:extLst>
            <c:ext xmlns:c16="http://schemas.microsoft.com/office/drawing/2014/chart" uri="{C3380CC4-5D6E-409C-BE32-E72D297353CC}">
              <c16:uniqueId val="{00000002-78B1-4C4B-A0D9-7B249D2424D5}"/>
            </c:ext>
          </c:extLst>
        </c:ser>
        <c:ser>
          <c:idx val="3"/>
          <c:order val="3"/>
          <c:tx>
            <c:strRef>
              <c:f>'Ceny 4'!$F$5</c:f>
              <c:strCache>
                <c:ptCount val="1"/>
                <c:pt idx="0">
                  <c:v>Elektřina, plyn, pára a klim. vzduch</c:v>
                </c:pt>
              </c:strCache>
            </c:strRef>
          </c:tx>
          <c:spPr>
            <a:ln w="19050">
              <a:solidFill>
                <a:srgbClr val="F8A124"/>
              </a:solidFill>
            </a:ln>
          </c:spPr>
          <c:marker>
            <c:symbol val="none"/>
          </c:marker>
          <c:cat>
            <c:multiLvlStrRef>
              <c:f>'Ceny 4'!$A$18:$B$89</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2014</c:v>
                  </c:pt>
                  <c:pt idx="12">
                    <c:v>2015</c:v>
                  </c:pt>
                  <c:pt idx="24">
                    <c:v>2016</c:v>
                  </c:pt>
                  <c:pt idx="36">
                    <c:v>2017</c:v>
                  </c:pt>
                  <c:pt idx="48">
                    <c:v>2018</c:v>
                  </c:pt>
                  <c:pt idx="60">
                    <c:v>2019</c:v>
                  </c:pt>
                </c:lvl>
              </c:multiLvlStrCache>
            </c:multiLvlStrRef>
          </c:cat>
          <c:val>
            <c:numRef>
              <c:f>'Ceny 4'!$F$18:$F$89</c:f>
              <c:numCache>
                <c:formatCode>0.0</c:formatCode>
                <c:ptCount val="72"/>
                <c:pt idx="0">
                  <c:v>-8.7999999999999972</c:v>
                </c:pt>
                <c:pt idx="1">
                  <c:v>-8.7999999999999972</c:v>
                </c:pt>
                <c:pt idx="2">
                  <c:v>-8.7999999999999972</c:v>
                </c:pt>
                <c:pt idx="3">
                  <c:v>-8.5999999999999943</c:v>
                </c:pt>
                <c:pt idx="4">
                  <c:v>-8.5999999999999943</c:v>
                </c:pt>
                <c:pt idx="5">
                  <c:v>-8.7000000000000028</c:v>
                </c:pt>
                <c:pt idx="6">
                  <c:v>-8.7000000000000028</c:v>
                </c:pt>
                <c:pt idx="7">
                  <c:v>-8.5999999999999943</c:v>
                </c:pt>
                <c:pt idx="8">
                  <c:v>-8.5999999999999943</c:v>
                </c:pt>
                <c:pt idx="9">
                  <c:v>-8.9000000000000057</c:v>
                </c:pt>
                <c:pt idx="10">
                  <c:v>-8.9000000000000057</c:v>
                </c:pt>
                <c:pt idx="11">
                  <c:v>-8.5999999999999943</c:v>
                </c:pt>
                <c:pt idx="12">
                  <c:v>-0.79999999999999716</c:v>
                </c:pt>
                <c:pt idx="13">
                  <c:v>-0.79999999999999716</c:v>
                </c:pt>
                <c:pt idx="14">
                  <c:v>-0.79999999999999716</c:v>
                </c:pt>
                <c:pt idx="15">
                  <c:v>-0.70000000000000284</c:v>
                </c:pt>
                <c:pt idx="16">
                  <c:v>-0.70000000000000284</c:v>
                </c:pt>
                <c:pt idx="17">
                  <c:v>-0.70000000000000284</c:v>
                </c:pt>
                <c:pt idx="18">
                  <c:v>-0.70000000000000284</c:v>
                </c:pt>
                <c:pt idx="19">
                  <c:v>-0.79999999999999716</c:v>
                </c:pt>
                <c:pt idx="20">
                  <c:v>-0.79999999999999716</c:v>
                </c:pt>
                <c:pt idx="21">
                  <c:v>-0.90000000000000568</c:v>
                </c:pt>
                <c:pt idx="22">
                  <c:v>-0.90000000000000568</c:v>
                </c:pt>
                <c:pt idx="23">
                  <c:v>-0.90000000000000568</c:v>
                </c:pt>
                <c:pt idx="24">
                  <c:v>-4</c:v>
                </c:pt>
                <c:pt idx="25">
                  <c:v>-4.0999999999999943</c:v>
                </c:pt>
                <c:pt idx="26">
                  <c:v>-4.0999999999999943</c:v>
                </c:pt>
                <c:pt idx="27">
                  <c:v>-4</c:v>
                </c:pt>
                <c:pt idx="28">
                  <c:v>-4</c:v>
                </c:pt>
                <c:pt idx="29">
                  <c:v>-4.0999999999999943</c:v>
                </c:pt>
                <c:pt idx="30">
                  <c:v>-4</c:v>
                </c:pt>
                <c:pt idx="31">
                  <c:v>-4</c:v>
                </c:pt>
                <c:pt idx="32">
                  <c:v>-4.0999999999999943</c:v>
                </c:pt>
                <c:pt idx="33">
                  <c:v>-4.0999999999999943</c:v>
                </c:pt>
                <c:pt idx="34">
                  <c:v>-4.0999999999999943</c:v>
                </c:pt>
                <c:pt idx="35">
                  <c:v>-4.0999999999999943</c:v>
                </c:pt>
                <c:pt idx="36" formatCode="General">
                  <c:v>-1.0999999999999943</c:v>
                </c:pt>
                <c:pt idx="37" formatCode="General">
                  <c:v>-1.2000000000000028</c:v>
                </c:pt>
                <c:pt idx="38">
                  <c:v>-1.2000000000000028</c:v>
                </c:pt>
                <c:pt idx="39">
                  <c:v>-1.4000000000000057</c:v>
                </c:pt>
                <c:pt idx="40" formatCode="General">
                  <c:v>-1.2999999999999972</c:v>
                </c:pt>
                <c:pt idx="41" formatCode="General">
                  <c:v>-1.0999999999999943</c:v>
                </c:pt>
                <c:pt idx="42" formatCode="General">
                  <c:v>-1.1000000000000001</c:v>
                </c:pt>
                <c:pt idx="43" formatCode="General">
                  <c:v>-1.3</c:v>
                </c:pt>
                <c:pt idx="44" formatCode="General">
                  <c:v>-1.1000000000000001</c:v>
                </c:pt>
                <c:pt idx="45" formatCode="General">
                  <c:v>-1.1000000000000001</c:v>
                </c:pt>
                <c:pt idx="46" formatCode="General">
                  <c:v>-1.1000000000000001</c:v>
                </c:pt>
                <c:pt idx="47" formatCode="General">
                  <c:v>-1.1000000000000001</c:v>
                </c:pt>
                <c:pt idx="48" formatCode="General">
                  <c:v>1.5</c:v>
                </c:pt>
                <c:pt idx="49" formatCode="General">
                  <c:v>1.6</c:v>
                </c:pt>
                <c:pt idx="50" formatCode="General">
                  <c:v>1.6</c:v>
                </c:pt>
                <c:pt idx="51" formatCode="General">
                  <c:v>1.7</c:v>
                </c:pt>
                <c:pt idx="52" formatCode="General">
                  <c:v>1.7</c:v>
                </c:pt>
                <c:pt idx="53" formatCode="General">
                  <c:v>2.2999999999999998</c:v>
                </c:pt>
                <c:pt idx="54" formatCode="General">
                  <c:v>2.2999999999999998</c:v>
                </c:pt>
                <c:pt idx="55" formatCode="General">
                  <c:v>2.6</c:v>
                </c:pt>
                <c:pt idx="56" formatCode="General">
                  <c:v>2.7</c:v>
                </c:pt>
                <c:pt idx="57" formatCode="General">
                  <c:v>2.8</c:v>
                </c:pt>
                <c:pt idx="58" formatCode="General">
                  <c:v>2.8</c:v>
                </c:pt>
                <c:pt idx="59" formatCode="General">
                  <c:v>2.8</c:v>
                </c:pt>
                <c:pt idx="60" formatCode="General">
                  <c:v>7.2</c:v>
                </c:pt>
                <c:pt idx="61" formatCode="General">
                  <c:v>7.5</c:v>
                </c:pt>
                <c:pt idx="62" formatCode="General">
                  <c:v>8.4</c:v>
                </c:pt>
                <c:pt idx="63" formatCode="General">
                  <c:v>8.1999999999999993</c:v>
                </c:pt>
                <c:pt idx="64" formatCode="General">
                  <c:v>8.6</c:v>
                </c:pt>
                <c:pt idx="65" formatCode="General">
                  <c:v>7.9</c:v>
                </c:pt>
                <c:pt idx="66" formatCode="General">
                  <c:v>8</c:v>
                </c:pt>
                <c:pt idx="67" formatCode="General">
                  <c:v>7.7</c:v>
                </c:pt>
                <c:pt idx="68" formatCode="General">
                  <c:v>7.7</c:v>
                </c:pt>
                <c:pt idx="69" formatCode="General">
                  <c:v>7.5</c:v>
                </c:pt>
                <c:pt idx="70" formatCode="General">
                  <c:v>8.6999999999999993</c:v>
                </c:pt>
                <c:pt idx="71" formatCode="General">
                  <c:v>8.8000000000000007</c:v>
                </c:pt>
              </c:numCache>
            </c:numRef>
          </c:val>
          <c:smooth val="0"/>
          <c:extLst>
            <c:ext xmlns:c16="http://schemas.microsoft.com/office/drawing/2014/chart" uri="{C3380CC4-5D6E-409C-BE32-E72D297353CC}">
              <c16:uniqueId val="{00000003-78B1-4C4B-A0D9-7B249D2424D5}"/>
            </c:ext>
          </c:extLst>
        </c:ser>
        <c:ser>
          <c:idx val="4"/>
          <c:order val="4"/>
          <c:tx>
            <c:strRef>
              <c:f>'Ceny 4'!$G$5</c:f>
              <c:strCache>
                <c:ptCount val="1"/>
                <c:pt idx="0">
                  <c:v>Zás. vodou; odpadní vody</c:v>
                </c:pt>
              </c:strCache>
            </c:strRef>
          </c:tx>
          <c:spPr>
            <a:ln w="19050">
              <a:solidFill>
                <a:schemeClr val="accent1"/>
              </a:solidFill>
            </a:ln>
          </c:spPr>
          <c:marker>
            <c:symbol val="none"/>
          </c:marker>
          <c:cat>
            <c:multiLvlStrRef>
              <c:f>'Ceny 4'!$A$18:$B$89</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2014</c:v>
                  </c:pt>
                  <c:pt idx="12">
                    <c:v>2015</c:v>
                  </c:pt>
                  <c:pt idx="24">
                    <c:v>2016</c:v>
                  </c:pt>
                  <c:pt idx="36">
                    <c:v>2017</c:v>
                  </c:pt>
                  <c:pt idx="48">
                    <c:v>2018</c:v>
                  </c:pt>
                  <c:pt idx="60">
                    <c:v>2019</c:v>
                  </c:pt>
                </c:lvl>
              </c:multiLvlStrCache>
            </c:multiLvlStrRef>
          </c:cat>
          <c:val>
            <c:numRef>
              <c:f>'Ceny 4'!$G$18:$G$89</c:f>
              <c:numCache>
                <c:formatCode>General</c:formatCode>
                <c:ptCount val="72"/>
                <c:pt idx="0">
                  <c:v>3.4000000000000057</c:v>
                </c:pt>
                <c:pt idx="1">
                  <c:v>3.4000000000000057</c:v>
                </c:pt>
                <c:pt idx="2">
                  <c:v>3.4000000000000057</c:v>
                </c:pt>
                <c:pt idx="3">
                  <c:v>3.4000000000000057</c:v>
                </c:pt>
                <c:pt idx="4">
                  <c:v>3.4000000000000057</c:v>
                </c:pt>
                <c:pt idx="5">
                  <c:v>3.4000000000000057</c:v>
                </c:pt>
                <c:pt idx="6">
                  <c:v>3.4000000000000057</c:v>
                </c:pt>
                <c:pt idx="7">
                  <c:v>3.4000000000000057</c:v>
                </c:pt>
                <c:pt idx="8">
                  <c:v>3.4000000000000057</c:v>
                </c:pt>
                <c:pt idx="9">
                  <c:v>3.4000000000000057</c:v>
                </c:pt>
                <c:pt idx="10">
                  <c:v>3.4000000000000057</c:v>
                </c:pt>
                <c:pt idx="11">
                  <c:v>3.4000000000000057</c:v>
                </c:pt>
                <c:pt idx="12">
                  <c:v>3.4000000000000057</c:v>
                </c:pt>
                <c:pt idx="13">
                  <c:v>3.4000000000000057</c:v>
                </c:pt>
                <c:pt idx="14">
                  <c:v>3.4000000000000057</c:v>
                </c:pt>
                <c:pt idx="15">
                  <c:v>3.4000000000000057</c:v>
                </c:pt>
                <c:pt idx="16">
                  <c:v>3.4000000000000057</c:v>
                </c:pt>
                <c:pt idx="17">
                  <c:v>3.4000000000000057</c:v>
                </c:pt>
                <c:pt idx="18">
                  <c:v>3.4000000000000057</c:v>
                </c:pt>
                <c:pt idx="19">
                  <c:v>3.4000000000000057</c:v>
                </c:pt>
                <c:pt idx="20">
                  <c:v>3.4000000000000057</c:v>
                </c:pt>
                <c:pt idx="21">
                  <c:v>3.4000000000000057</c:v>
                </c:pt>
                <c:pt idx="22">
                  <c:v>3.4000000000000057</c:v>
                </c:pt>
                <c:pt idx="23">
                  <c:v>3.4000000000000057</c:v>
                </c:pt>
                <c:pt idx="24">
                  <c:v>0.5</c:v>
                </c:pt>
                <c:pt idx="25">
                  <c:v>0.5</c:v>
                </c:pt>
                <c:pt idx="26">
                  <c:v>0.5</c:v>
                </c:pt>
                <c:pt idx="27">
                  <c:v>1.5999999999999943</c:v>
                </c:pt>
                <c:pt idx="28">
                  <c:v>1.5999999999999943</c:v>
                </c:pt>
                <c:pt idx="29">
                  <c:v>1.5999999999999943</c:v>
                </c:pt>
                <c:pt idx="30">
                  <c:v>1.5999999999999943</c:v>
                </c:pt>
                <c:pt idx="31">
                  <c:v>1.5999999999999943</c:v>
                </c:pt>
                <c:pt idx="32">
                  <c:v>1.5999999999999943</c:v>
                </c:pt>
                <c:pt idx="33">
                  <c:v>1.5999999999999943</c:v>
                </c:pt>
                <c:pt idx="34">
                  <c:v>1.5999999999999943</c:v>
                </c:pt>
                <c:pt idx="35">
                  <c:v>1.5999999999999943</c:v>
                </c:pt>
                <c:pt idx="36">
                  <c:v>2.0999999999999943</c:v>
                </c:pt>
                <c:pt idx="37">
                  <c:v>2.0999999999999943</c:v>
                </c:pt>
                <c:pt idx="38" formatCode="0.0">
                  <c:v>2.0999999999999943</c:v>
                </c:pt>
                <c:pt idx="39" formatCode="0.0">
                  <c:v>1</c:v>
                </c:pt>
                <c:pt idx="40">
                  <c:v>1</c:v>
                </c:pt>
                <c:pt idx="41">
                  <c:v>1</c:v>
                </c:pt>
                <c:pt idx="42">
                  <c:v>1</c:v>
                </c:pt>
                <c:pt idx="43">
                  <c:v>1</c:v>
                </c:pt>
                <c:pt idx="44">
                  <c:v>1</c:v>
                </c:pt>
                <c:pt idx="45">
                  <c:v>1</c:v>
                </c:pt>
                <c:pt idx="46">
                  <c:v>1</c:v>
                </c:pt>
                <c:pt idx="47">
                  <c:v>1</c:v>
                </c:pt>
                <c:pt idx="48">
                  <c:v>1.9</c:v>
                </c:pt>
                <c:pt idx="49">
                  <c:v>1.9</c:v>
                </c:pt>
                <c:pt idx="50">
                  <c:v>1.9</c:v>
                </c:pt>
                <c:pt idx="51">
                  <c:v>1.9</c:v>
                </c:pt>
                <c:pt idx="52">
                  <c:v>1.9</c:v>
                </c:pt>
                <c:pt idx="53">
                  <c:v>1.9</c:v>
                </c:pt>
                <c:pt idx="54">
                  <c:v>1.9</c:v>
                </c:pt>
                <c:pt idx="55">
                  <c:v>1.9</c:v>
                </c:pt>
                <c:pt idx="56">
                  <c:v>1.9</c:v>
                </c:pt>
                <c:pt idx="57">
                  <c:v>1.9</c:v>
                </c:pt>
                <c:pt idx="58">
                  <c:v>1.9</c:v>
                </c:pt>
                <c:pt idx="59">
                  <c:v>1.9</c:v>
                </c:pt>
                <c:pt idx="60">
                  <c:v>2.9</c:v>
                </c:pt>
                <c:pt idx="61">
                  <c:v>2.9</c:v>
                </c:pt>
                <c:pt idx="62">
                  <c:v>2.9</c:v>
                </c:pt>
                <c:pt idx="63">
                  <c:v>2.9</c:v>
                </c:pt>
                <c:pt idx="64">
                  <c:v>2.9</c:v>
                </c:pt>
                <c:pt idx="65">
                  <c:v>2.9</c:v>
                </c:pt>
                <c:pt idx="66">
                  <c:v>2.9</c:v>
                </c:pt>
                <c:pt idx="67">
                  <c:v>2.9</c:v>
                </c:pt>
                <c:pt idx="68">
                  <c:v>2.9</c:v>
                </c:pt>
                <c:pt idx="69">
                  <c:v>2.9</c:v>
                </c:pt>
                <c:pt idx="70">
                  <c:v>2.9</c:v>
                </c:pt>
                <c:pt idx="71">
                  <c:v>2.9</c:v>
                </c:pt>
              </c:numCache>
            </c:numRef>
          </c:val>
          <c:smooth val="0"/>
          <c:extLst>
            <c:ext xmlns:c16="http://schemas.microsoft.com/office/drawing/2014/chart" uri="{C3380CC4-5D6E-409C-BE32-E72D297353CC}">
              <c16:uniqueId val="{00000004-78B1-4C4B-A0D9-7B249D2424D5}"/>
            </c:ext>
          </c:extLst>
        </c:ser>
        <c:dLbls>
          <c:showLegendKey val="0"/>
          <c:showVal val="0"/>
          <c:showCatName val="0"/>
          <c:showSerName val="0"/>
          <c:showPercent val="0"/>
          <c:showBubbleSize val="0"/>
        </c:dLbls>
        <c:marker val="1"/>
        <c:smooth val="0"/>
        <c:axId val="271374208"/>
        <c:axId val="271375744"/>
      </c:lineChart>
      <c:catAx>
        <c:axId val="271374208"/>
        <c:scaling>
          <c:orientation val="minMax"/>
        </c:scaling>
        <c:delete val="0"/>
        <c:axPos val="b"/>
        <c:numFmt formatCode="General" sourceLinked="0"/>
        <c:majorTickMark val="out"/>
        <c:minorTickMark val="none"/>
        <c:tickLblPos val="low"/>
        <c:spPr>
          <a:ln>
            <a:solidFill>
              <a:schemeClr val="tx1"/>
            </a:solidFill>
          </a:ln>
        </c:spPr>
        <c:crossAx val="271375744"/>
        <c:crosses val="autoZero"/>
        <c:auto val="1"/>
        <c:lblAlgn val="ctr"/>
        <c:lblOffset val="100"/>
        <c:noMultiLvlLbl val="0"/>
      </c:catAx>
      <c:valAx>
        <c:axId val="271375744"/>
        <c:scaling>
          <c:orientation val="minMax"/>
          <c:max val="12"/>
          <c:min val="-10"/>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271374208"/>
        <c:crosses val="autoZero"/>
        <c:crossBetween val="between"/>
        <c:majorUnit val="2"/>
      </c:valAx>
      <c:spPr>
        <a:ln>
          <a:solidFill>
            <a:schemeClr val="tx1"/>
          </a:solidFill>
        </a:ln>
      </c:spPr>
    </c:plotArea>
    <c:legend>
      <c:legendPos val="b"/>
      <c:layout>
        <c:manualLayout>
          <c:xMode val="edge"/>
          <c:yMode val="edge"/>
          <c:x val="6.1319022289766968E-2"/>
          <c:y val="0.86223931272106069"/>
          <c:w val="0.90901046943600139"/>
          <c:h val="0.12109402425765226"/>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3488731014312048E-2"/>
          <c:y val="1.6549886621315374E-2"/>
          <c:w val="0.83420125451377358"/>
          <c:h val="0.65992692395395358"/>
        </c:manualLayout>
      </c:layout>
      <c:barChart>
        <c:barDir val="col"/>
        <c:grouping val="stacked"/>
        <c:varyColors val="0"/>
        <c:ser>
          <c:idx val="0"/>
          <c:order val="0"/>
          <c:tx>
            <c:strRef>
              <c:f>'Trh práce 1'!$AC$7</c:f>
              <c:strCache>
                <c:ptCount val="1"/>
                <c:pt idx="0">
                  <c:v>Zemědělství, lesnictví a rybářství</c:v>
                </c:pt>
              </c:strCache>
            </c:strRef>
          </c:tx>
          <c:spPr>
            <a:solidFill>
              <a:srgbClr val="7DBB2D"/>
            </a:solidFill>
            <a:ln>
              <a:noFill/>
            </a:ln>
          </c:spPr>
          <c:invertIfNegative val="0"/>
          <c:cat>
            <c:multiLvlStrRef>
              <c:f>'Trh práce 1'!$AA$8:$AB$47</c:f>
              <c:multiLvlStrCache>
                <c:ptCount val="4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 1'!$AC$8:$AC$47</c:f>
              <c:numCache>
                <c:formatCode>#\ ##0.0</c:formatCode>
                <c:ptCount val="40"/>
                <c:pt idx="0">
                  <c:v>-0.23222275006944557</c:v>
                </c:pt>
                <c:pt idx="1">
                  <c:v>-0.17702219112179116</c:v>
                </c:pt>
                <c:pt idx="2">
                  <c:v>-0.14250343705609567</c:v>
                </c:pt>
                <c:pt idx="3">
                  <c:v>-0.13702544848549178</c:v>
                </c:pt>
                <c:pt idx="4">
                  <c:v>0.1037453953799244</c:v>
                </c:pt>
                <c:pt idx="5">
                  <c:v>9.5690938460221892E-2</c:v>
                </c:pt>
                <c:pt idx="6">
                  <c:v>5.9112721211504203E-2</c:v>
                </c:pt>
                <c:pt idx="7">
                  <c:v>4.0223421388449546E-2</c:v>
                </c:pt>
                <c:pt idx="8">
                  <c:v>2.8804620165849455E-2</c:v>
                </c:pt>
                <c:pt idx="9">
                  <c:v>3.177048919427123E-2</c:v>
                </c:pt>
                <c:pt idx="10">
                  <c:v>6.237877948427753E-2</c:v>
                </c:pt>
                <c:pt idx="11">
                  <c:v>7.8876524967668338E-2</c:v>
                </c:pt>
                <c:pt idx="12">
                  <c:v>3.4897043795591033E-2</c:v>
                </c:pt>
                <c:pt idx="13">
                  <c:v>7.6139985329269341E-2</c:v>
                </c:pt>
                <c:pt idx="14">
                  <c:v>1.9508115947107659E-2</c:v>
                </c:pt>
                <c:pt idx="15">
                  <c:v>9.8416227024961307E-4</c:v>
                </c:pt>
                <c:pt idx="16">
                  <c:v>-9.957760523367349E-3</c:v>
                </c:pt>
                <c:pt idx="17">
                  <c:v>-7.2593422082177228E-2</c:v>
                </c:pt>
                <c:pt idx="18">
                  <c:v>-3.1543675502894435E-2</c:v>
                </c:pt>
                <c:pt idx="19">
                  <c:v>-7.4973080531714953E-3</c:v>
                </c:pt>
                <c:pt idx="20">
                  <c:v>-2.5406394237287376E-2</c:v>
                </c:pt>
                <c:pt idx="21">
                  <c:v>-3.2519642707587761E-2</c:v>
                </c:pt>
                <c:pt idx="22">
                  <c:v>-4.2746377552347073E-2</c:v>
                </c:pt>
                <c:pt idx="23">
                  <c:v>-7.6345605918714074E-2</c:v>
                </c:pt>
                <c:pt idx="24">
                  <c:v>-0.12683499341762042</c:v>
                </c:pt>
                <c:pt idx="25">
                  <c:v>-5.8796404821536856E-2</c:v>
                </c:pt>
                <c:pt idx="26">
                  <c:v>-5.7660818239794312E-2</c:v>
                </c:pt>
                <c:pt idx="27">
                  <c:v>5.9750731023664044E-2</c:v>
                </c:pt>
                <c:pt idx="28">
                  <c:v>0.10980047025694589</c:v>
                </c:pt>
                <c:pt idx="29">
                  <c:v>3.9673148008215947E-2</c:v>
                </c:pt>
                <c:pt idx="30">
                  <c:v>4.4749740495190864E-2</c:v>
                </c:pt>
                <c:pt idx="31">
                  <c:v>-8.0513245505165226E-2</c:v>
                </c:pt>
                <c:pt idx="32">
                  <c:v>-4.9594408084622732E-2</c:v>
                </c:pt>
                <c:pt idx="33">
                  <c:v>-3.6268874254650578E-2</c:v>
                </c:pt>
                <c:pt idx="34">
                  <c:v>-3.4145790790807366E-2</c:v>
                </c:pt>
                <c:pt idx="35">
                  <c:v>8.1553326472674614E-3</c:v>
                </c:pt>
                <c:pt idx="36">
                  <c:v>1.998992344675227E-2</c:v>
                </c:pt>
                <c:pt idx="37">
                  <c:v>-3.1167959337801001E-2</c:v>
                </c:pt>
                <c:pt idx="38">
                  <c:v>-6.7747190069060145E-2</c:v>
                </c:pt>
                <c:pt idx="39">
                  <c:v>-9.3795432163190626E-2</c:v>
                </c:pt>
              </c:numCache>
            </c:numRef>
          </c:val>
          <c:extLst>
            <c:ext xmlns:c16="http://schemas.microsoft.com/office/drawing/2014/chart" uri="{C3380CC4-5D6E-409C-BE32-E72D297353CC}">
              <c16:uniqueId val="{00000000-80D1-4BD7-89D3-D93415D2B3B8}"/>
            </c:ext>
          </c:extLst>
        </c:ser>
        <c:ser>
          <c:idx val="1"/>
          <c:order val="1"/>
          <c:tx>
            <c:strRef>
              <c:f>'Trh práce 1'!$AD$7</c:f>
              <c:strCache>
                <c:ptCount val="1"/>
                <c:pt idx="0">
                  <c:v>Zpracovatelský průmysl</c:v>
                </c:pt>
              </c:strCache>
            </c:strRef>
          </c:tx>
          <c:spPr>
            <a:solidFill>
              <a:srgbClr val="A6CDE8"/>
            </a:solidFill>
            <a:ln>
              <a:noFill/>
            </a:ln>
          </c:spPr>
          <c:invertIfNegative val="0"/>
          <c:cat>
            <c:multiLvlStrRef>
              <c:f>'Trh práce 1'!$AA$8:$AB$47</c:f>
              <c:multiLvlStrCache>
                <c:ptCount val="4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 1'!$AD$8:$AD$47</c:f>
              <c:numCache>
                <c:formatCode>#\ ##0.0</c:formatCode>
                <c:ptCount val="40"/>
                <c:pt idx="0">
                  <c:v>-1.8445397057469495</c:v>
                </c:pt>
                <c:pt idx="1">
                  <c:v>-0.84745414755720305</c:v>
                </c:pt>
                <c:pt idx="2">
                  <c:v>-0.30166542154199055</c:v>
                </c:pt>
                <c:pt idx="3">
                  <c:v>-0.14324221591641931</c:v>
                </c:pt>
                <c:pt idx="4">
                  <c:v>0.97895076203027409</c:v>
                </c:pt>
                <c:pt idx="5">
                  <c:v>1.0641212428356823</c:v>
                </c:pt>
                <c:pt idx="6">
                  <c:v>0.95618180752734216</c:v>
                </c:pt>
                <c:pt idx="7">
                  <c:v>0.5768511843825882</c:v>
                </c:pt>
                <c:pt idx="8">
                  <c:v>0.15618372903976085</c:v>
                </c:pt>
                <c:pt idx="9">
                  <c:v>0.13240673035543943</c:v>
                </c:pt>
                <c:pt idx="10">
                  <c:v>0.31011051427221831</c:v>
                </c:pt>
                <c:pt idx="11">
                  <c:v>0.41899305405892623</c:v>
                </c:pt>
                <c:pt idx="12">
                  <c:v>-4.4405396456619534E-2</c:v>
                </c:pt>
                <c:pt idx="13">
                  <c:v>4.3158507126686806E-2</c:v>
                </c:pt>
                <c:pt idx="14">
                  <c:v>-0.10553280483596787</c:v>
                </c:pt>
                <c:pt idx="15">
                  <c:v>-5.7317610619337468E-2</c:v>
                </c:pt>
                <c:pt idx="16">
                  <c:v>0.20769043377309043</c:v>
                </c:pt>
                <c:pt idx="17">
                  <c:v>0.19941112781211218</c:v>
                </c:pt>
                <c:pt idx="18">
                  <c:v>0.39457126264967202</c:v>
                </c:pt>
                <c:pt idx="19">
                  <c:v>0.53106915941992727</c:v>
                </c:pt>
                <c:pt idx="20">
                  <c:v>0.90470735488586451</c:v>
                </c:pt>
                <c:pt idx="21">
                  <c:v>0.96187925091846294</c:v>
                </c:pt>
                <c:pt idx="22">
                  <c:v>0.80659111223260493</c:v>
                </c:pt>
                <c:pt idx="23">
                  <c:v>0.97639755522586114</c:v>
                </c:pt>
                <c:pt idx="24">
                  <c:v>0.88338166621127856</c:v>
                </c:pt>
                <c:pt idx="25">
                  <c:v>0.66590302024601555</c:v>
                </c:pt>
                <c:pt idx="26">
                  <c:v>0.72234156147423934</c:v>
                </c:pt>
                <c:pt idx="27">
                  <c:v>0.58981738346396817</c:v>
                </c:pt>
                <c:pt idx="28">
                  <c:v>0.19983341803764565</c:v>
                </c:pt>
                <c:pt idx="29">
                  <c:v>0.32012257424933233</c:v>
                </c:pt>
                <c:pt idx="30">
                  <c:v>0.43319496242521982</c:v>
                </c:pt>
                <c:pt idx="31">
                  <c:v>0.42405404961421206</c:v>
                </c:pt>
                <c:pt idx="32">
                  <c:v>0.458169516510046</c:v>
                </c:pt>
                <c:pt idx="33">
                  <c:v>0.37335936790891328</c:v>
                </c:pt>
                <c:pt idx="34">
                  <c:v>0.19923035052246851</c:v>
                </c:pt>
                <c:pt idx="35">
                  <c:v>0.17982694682034051</c:v>
                </c:pt>
                <c:pt idx="36">
                  <c:v>0.26239092464892816</c:v>
                </c:pt>
                <c:pt idx="37">
                  <c:v>0.1448849044720501</c:v>
                </c:pt>
                <c:pt idx="38">
                  <c:v>-6.9795103494350363E-2</c:v>
                </c:pt>
                <c:pt idx="39">
                  <c:v>-0.47627849151571522</c:v>
                </c:pt>
              </c:numCache>
            </c:numRef>
          </c:val>
          <c:extLst>
            <c:ext xmlns:c16="http://schemas.microsoft.com/office/drawing/2014/chart" uri="{C3380CC4-5D6E-409C-BE32-E72D297353CC}">
              <c16:uniqueId val="{00000001-80D1-4BD7-89D3-D93415D2B3B8}"/>
            </c:ext>
          </c:extLst>
        </c:ser>
        <c:ser>
          <c:idx val="2"/>
          <c:order val="2"/>
          <c:tx>
            <c:strRef>
              <c:f>'Trh práce 1'!$AE$7</c:f>
              <c:strCache>
                <c:ptCount val="1"/>
                <c:pt idx="0">
                  <c:v>Stavebnictví</c:v>
                </c:pt>
              </c:strCache>
            </c:strRef>
          </c:tx>
          <c:spPr>
            <a:solidFill>
              <a:srgbClr val="48AEE7"/>
            </a:solidFill>
            <a:ln w="19050">
              <a:noFill/>
            </a:ln>
          </c:spPr>
          <c:invertIfNegative val="0"/>
          <c:cat>
            <c:multiLvlStrRef>
              <c:f>'Trh práce 1'!$AA$8:$AB$47</c:f>
              <c:multiLvlStrCache>
                <c:ptCount val="4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 1'!$AE$8:$AE$47</c:f>
              <c:numCache>
                <c:formatCode>#\ ##0.0</c:formatCode>
                <c:ptCount val="40"/>
                <c:pt idx="0">
                  <c:v>9.387358550188811E-2</c:v>
                </c:pt>
                <c:pt idx="1">
                  <c:v>0.14259143360406704</c:v>
                </c:pt>
                <c:pt idx="2">
                  <c:v>0.18371660463360129</c:v>
                </c:pt>
                <c:pt idx="3">
                  <c:v>0.1878450552621217</c:v>
                </c:pt>
                <c:pt idx="4">
                  <c:v>-0.46459117644017811</c:v>
                </c:pt>
                <c:pt idx="5">
                  <c:v>-0.4616879929060313</c:v>
                </c:pt>
                <c:pt idx="6">
                  <c:v>-0.50318816056641913</c:v>
                </c:pt>
                <c:pt idx="7">
                  <c:v>-0.48534290072386538</c:v>
                </c:pt>
                <c:pt idx="8">
                  <c:v>-8.5917913180643249E-2</c:v>
                </c:pt>
                <c:pt idx="9">
                  <c:v>-5.8137026020918761E-2</c:v>
                </c:pt>
                <c:pt idx="10">
                  <c:v>-0.1483774780108863</c:v>
                </c:pt>
                <c:pt idx="11">
                  <c:v>-0.16295719235324882</c:v>
                </c:pt>
                <c:pt idx="12">
                  <c:v>-0.2112283521210945</c:v>
                </c:pt>
                <c:pt idx="13">
                  <c:v>-0.32386665444105767</c:v>
                </c:pt>
                <c:pt idx="14">
                  <c:v>-0.19405752472914969</c:v>
                </c:pt>
                <c:pt idx="15">
                  <c:v>-9.30623842748034E-2</c:v>
                </c:pt>
                <c:pt idx="16">
                  <c:v>-0.43150295601258509</c:v>
                </c:pt>
                <c:pt idx="17">
                  <c:v>-0.30664293593782627</c:v>
                </c:pt>
                <c:pt idx="18">
                  <c:v>-0.36558411945062813</c:v>
                </c:pt>
                <c:pt idx="19">
                  <c:v>-0.44482059984761591</c:v>
                </c:pt>
                <c:pt idx="20">
                  <c:v>-9.9424868399593299E-3</c:v>
                </c:pt>
                <c:pt idx="21">
                  <c:v>-3.353955912543732E-3</c:v>
                </c:pt>
                <c:pt idx="22">
                  <c:v>-5.6760622044817514E-2</c:v>
                </c:pt>
                <c:pt idx="23">
                  <c:v>-7.885928207070847E-2</c:v>
                </c:pt>
                <c:pt idx="24">
                  <c:v>-0.17401000397426594</c:v>
                </c:pt>
                <c:pt idx="25">
                  <c:v>-0.19657276720170863</c:v>
                </c:pt>
                <c:pt idx="26">
                  <c:v>-9.6037081884339681E-2</c:v>
                </c:pt>
                <c:pt idx="27">
                  <c:v>-6.2672903197279528E-2</c:v>
                </c:pt>
                <c:pt idx="28">
                  <c:v>-3.5906224401297321E-3</c:v>
                </c:pt>
                <c:pt idx="29">
                  <c:v>3.1746122268193882E-3</c:v>
                </c:pt>
                <c:pt idx="30">
                  <c:v>5.6715927469711346E-2</c:v>
                </c:pt>
                <c:pt idx="31">
                  <c:v>-8.3930904378625562E-2</c:v>
                </c:pt>
                <c:pt idx="32">
                  <c:v>9.0907396982439395E-2</c:v>
                </c:pt>
                <c:pt idx="33">
                  <c:v>3.6175107775191812E-2</c:v>
                </c:pt>
                <c:pt idx="34">
                  <c:v>3.0662286765776824E-2</c:v>
                </c:pt>
                <c:pt idx="35">
                  <c:v>0.1033567386415107</c:v>
                </c:pt>
                <c:pt idx="36">
                  <c:v>6.199101491882452E-2</c:v>
                </c:pt>
                <c:pt idx="37">
                  <c:v>9.138298137207336E-2</c:v>
                </c:pt>
                <c:pt idx="38">
                  <c:v>0.11484919885073513</c:v>
                </c:pt>
                <c:pt idx="39">
                  <c:v>0.1802343598429938</c:v>
                </c:pt>
              </c:numCache>
            </c:numRef>
          </c:val>
          <c:extLst>
            <c:ext xmlns:c16="http://schemas.microsoft.com/office/drawing/2014/chart" uri="{C3380CC4-5D6E-409C-BE32-E72D297353CC}">
              <c16:uniqueId val="{00000002-80D1-4BD7-89D3-D93415D2B3B8}"/>
            </c:ext>
          </c:extLst>
        </c:ser>
        <c:ser>
          <c:idx val="3"/>
          <c:order val="3"/>
          <c:tx>
            <c:strRef>
              <c:f>'Trh práce 1'!$AF$7</c:f>
              <c:strCache>
                <c:ptCount val="1"/>
                <c:pt idx="0">
                  <c:v>Obchod, doprava, ubytování a pohost.</c:v>
                </c:pt>
              </c:strCache>
            </c:strRef>
          </c:tx>
          <c:spPr>
            <a:solidFill>
              <a:srgbClr val="FDDEB3"/>
            </a:solidFill>
            <a:ln w="19050">
              <a:noFill/>
            </a:ln>
          </c:spPr>
          <c:invertIfNegative val="0"/>
          <c:cat>
            <c:multiLvlStrRef>
              <c:f>'Trh práce 1'!$AA$8:$AB$47</c:f>
              <c:multiLvlStrCache>
                <c:ptCount val="4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 1'!$AF$8:$AF$47</c:f>
              <c:numCache>
                <c:formatCode>#\ ##0.0</c:formatCode>
                <c:ptCount val="40"/>
                <c:pt idx="0">
                  <c:v>-0.36020586170372859</c:v>
                </c:pt>
                <c:pt idx="1">
                  <c:v>-0.12853367400426938</c:v>
                </c:pt>
                <c:pt idx="2">
                  <c:v>0.13275641462376633</c:v>
                </c:pt>
                <c:pt idx="3">
                  <c:v>0.29832589360603395</c:v>
                </c:pt>
                <c:pt idx="4">
                  <c:v>-6.8329822215403707E-2</c:v>
                </c:pt>
                <c:pt idx="5">
                  <c:v>-7.5578817344047838E-2</c:v>
                </c:pt>
                <c:pt idx="6">
                  <c:v>-9.226004151702058E-2</c:v>
                </c:pt>
                <c:pt idx="7">
                  <c:v>-0.1522180456464855</c:v>
                </c:pt>
                <c:pt idx="8">
                  <c:v>-0.13386609977903038</c:v>
                </c:pt>
                <c:pt idx="9">
                  <c:v>-9.5588593345255934E-2</c:v>
                </c:pt>
                <c:pt idx="10">
                  <c:v>-9.2577400810211111E-2</c:v>
                </c:pt>
                <c:pt idx="11">
                  <c:v>-0.19122243914977163</c:v>
                </c:pt>
                <c:pt idx="12">
                  <c:v>0.21176431354457628</c:v>
                </c:pt>
                <c:pt idx="13">
                  <c:v>0.1456797227737798</c:v>
                </c:pt>
                <c:pt idx="14">
                  <c:v>1.7303364195265018E-2</c:v>
                </c:pt>
                <c:pt idx="15">
                  <c:v>2.2222384062236263E-2</c:v>
                </c:pt>
                <c:pt idx="16">
                  <c:v>-7.053413704051871E-2</c:v>
                </c:pt>
                <c:pt idx="17">
                  <c:v>-0.25891457624497549</c:v>
                </c:pt>
                <c:pt idx="18">
                  <c:v>-0.1085542947481155</c:v>
                </c:pt>
                <c:pt idx="19">
                  <c:v>0.17354005176094336</c:v>
                </c:pt>
                <c:pt idx="20">
                  <c:v>0.11952598309777195</c:v>
                </c:pt>
                <c:pt idx="21">
                  <c:v>0.37489773866877718</c:v>
                </c:pt>
                <c:pt idx="22">
                  <c:v>0.24119355235297801</c:v>
                </c:pt>
                <c:pt idx="23">
                  <c:v>7.7144526246092138E-2</c:v>
                </c:pt>
                <c:pt idx="24">
                  <c:v>0.14837520802801801</c:v>
                </c:pt>
                <c:pt idx="25">
                  <c:v>0.19616793949638001</c:v>
                </c:pt>
                <c:pt idx="26">
                  <c:v>1.7240391808152546E-2</c:v>
                </c:pt>
                <c:pt idx="27">
                  <c:v>6.7594456331789829E-2</c:v>
                </c:pt>
                <c:pt idx="28">
                  <c:v>0.34445146653053038</c:v>
                </c:pt>
                <c:pt idx="29">
                  <c:v>0.15720983901674454</c:v>
                </c:pt>
                <c:pt idx="30">
                  <c:v>0.4899108898949312</c:v>
                </c:pt>
                <c:pt idx="31">
                  <c:v>0.35079152790688539</c:v>
                </c:pt>
                <c:pt idx="32">
                  <c:v>0.23711208844405207</c:v>
                </c:pt>
                <c:pt idx="33">
                  <c:v>0.4946556857367726</c:v>
                </c:pt>
                <c:pt idx="34">
                  <c:v>0.32977792382414767</c:v>
                </c:pt>
                <c:pt idx="35">
                  <c:v>0.3623723378564368</c:v>
                </c:pt>
                <c:pt idx="36">
                  <c:v>0.42364544625649564</c:v>
                </c:pt>
                <c:pt idx="37">
                  <c:v>0.10943826669261016</c:v>
                </c:pt>
                <c:pt idx="38">
                  <c:v>-6.5108887187830408E-2</c:v>
                </c:pt>
                <c:pt idx="39">
                  <c:v>-0.13120325746121608</c:v>
                </c:pt>
              </c:numCache>
            </c:numRef>
          </c:val>
          <c:extLst>
            <c:ext xmlns:c16="http://schemas.microsoft.com/office/drawing/2014/chart" uri="{C3380CC4-5D6E-409C-BE32-E72D297353CC}">
              <c16:uniqueId val="{00000003-80D1-4BD7-89D3-D93415D2B3B8}"/>
            </c:ext>
          </c:extLst>
        </c:ser>
        <c:ser>
          <c:idx val="4"/>
          <c:order val="4"/>
          <c:tx>
            <c:strRef>
              <c:f>'Trh práce 1'!$AG$7</c:f>
              <c:strCache>
                <c:ptCount val="1"/>
                <c:pt idx="0">
                  <c:v>Informační a komunikač. čin.</c:v>
                </c:pt>
              </c:strCache>
            </c:strRef>
          </c:tx>
          <c:spPr>
            <a:solidFill>
              <a:srgbClr val="F8A124"/>
            </a:solidFill>
            <a:ln w="19050">
              <a:noFill/>
            </a:ln>
          </c:spPr>
          <c:invertIfNegative val="0"/>
          <c:cat>
            <c:multiLvlStrRef>
              <c:f>'Trh práce 1'!$AA$8:$AB$47</c:f>
              <c:multiLvlStrCache>
                <c:ptCount val="4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 1'!$AG$8:$AG$47</c:f>
              <c:numCache>
                <c:formatCode>#\ ##0.0</c:formatCode>
                <c:ptCount val="40"/>
                <c:pt idx="0">
                  <c:v>-6.5149774021976622E-2</c:v>
                </c:pt>
                <c:pt idx="1">
                  <c:v>-7.6291207174423364E-2</c:v>
                </c:pt>
                <c:pt idx="2">
                  <c:v>-6.7461209804364208E-2</c:v>
                </c:pt>
                <c:pt idx="3">
                  <c:v>-8.1706086235047659E-2</c:v>
                </c:pt>
                <c:pt idx="4">
                  <c:v>-4.2740879497316732E-2</c:v>
                </c:pt>
                <c:pt idx="5">
                  <c:v>-8.5021220663353964E-2</c:v>
                </c:pt>
                <c:pt idx="6">
                  <c:v>-0.13312200601268986</c:v>
                </c:pt>
                <c:pt idx="7">
                  <c:v>-0.16262881353526068</c:v>
                </c:pt>
                <c:pt idx="8">
                  <c:v>2.0452867349167209E-2</c:v>
                </c:pt>
                <c:pt idx="9">
                  <c:v>3.5175177132847339E-2</c:v>
                </c:pt>
                <c:pt idx="10">
                  <c:v>5.3501494475079202E-2</c:v>
                </c:pt>
                <c:pt idx="11">
                  <c:v>7.2421004792777327E-2</c:v>
                </c:pt>
                <c:pt idx="12">
                  <c:v>4.0772769030798621E-2</c:v>
                </c:pt>
                <c:pt idx="13">
                  <c:v>7.3946489774753668E-2</c:v>
                </c:pt>
                <c:pt idx="14">
                  <c:v>3.1102747927780131E-2</c:v>
                </c:pt>
                <c:pt idx="15">
                  <c:v>3.2260839218782318E-2</c:v>
                </c:pt>
                <c:pt idx="16">
                  <c:v>0.10151383644655047</c:v>
                </c:pt>
                <c:pt idx="17">
                  <c:v>6.5783495760869989E-2</c:v>
                </c:pt>
                <c:pt idx="18">
                  <c:v>8.4444228559494197E-2</c:v>
                </c:pt>
                <c:pt idx="19">
                  <c:v>8.3631389044563922E-2</c:v>
                </c:pt>
                <c:pt idx="20">
                  <c:v>8.1544111434449038E-3</c:v>
                </c:pt>
                <c:pt idx="21">
                  <c:v>5.1741144428598618E-2</c:v>
                </c:pt>
                <c:pt idx="22">
                  <c:v>7.441036092445602E-2</c:v>
                </c:pt>
                <c:pt idx="23">
                  <c:v>0.1002157864318393</c:v>
                </c:pt>
                <c:pt idx="24">
                  <c:v>0.13486891129933629</c:v>
                </c:pt>
                <c:pt idx="25">
                  <c:v>0.11759280964307371</c:v>
                </c:pt>
                <c:pt idx="26">
                  <c:v>0.14031441923503124</c:v>
                </c:pt>
                <c:pt idx="27">
                  <c:v>0.17559947785397279</c:v>
                </c:pt>
                <c:pt idx="28">
                  <c:v>9.0644117557743126E-2</c:v>
                </c:pt>
                <c:pt idx="29">
                  <c:v>7.406161218975052E-2</c:v>
                </c:pt>
                <c:pt idx="30">
                  <c:v>8.9214571776702667E-2</c:v>
                </c:pt>
                <c:pt idx="31">
                  <c:v>6.8674173054007012E-2</c:v>
                </c:pt>
                <c:pt idx="32">
                  <c:v>9.412585762094812E-2</c:v>
                </c:pt>
                <c:pt idx="33">
                  <c:v>0.10668750032818362</c:v>
                </c:pt>
                <c:pt idx="34">
                  <c:v>0.10715034840628693</c:v>
                </c:pt>
                <c:pt idx="35">
                  <c:v>0.13284999643436834</c:v>
                </c:pt>
                <c:pt idx="36">
                  <c:v>0.14821842125221787</c:v>
                </c:pt>
                <c:pt idx="37">
                  <c:v>8.0206778201240558E-2</c:v>
                </c:pt>
                <c:pt idx="38">
                  <c:v>0.13577112519559195</c:v>
                </c:pt>
                <c:pt idx="39">
                  <c:v>0.15148881857415711</c:v>
                </c:pt>
              </c:numCache>
            </c:numRef>
          </c:val>
          <c:extLst>
            <c:ext xmlns:c16="http://schemas.microsoft.com/office/drawing/2014/chart" uri="{C3380CC4-5D6E-409C-BE32-E72D297353CC}">
              <c16:uniqueId val="{00000004-80D1-4BD7-89D3-D93415D2B3B8}"/>
            </c:ext>
          </c:extLst>
        </c:ser>
        <c:ser>
          <c:idx val="5"/>
          <c:order val="5"/>
          <c:tx>
            <c:strRef>
              <c:f>'Trh práce 1'!$AH$7</c:f>
              <c:strCache>
                <c:ptCount val="1"/>
                <c:pt idx="0">
                  <c:v>Profesní, vědec., techn. a admin. čin.</c:v>
                </c:pt>
              </c:strCache>
            </c:strRef>
          </c:tx>
          <c:spPr>
            <a:solidFill>
              <a:srgbClr val="E8C0BE"/>
            </a:solidFill>
            <a:ln w="19050">
              <a:noFill/>
            </a:ln>
          </c:spPr>
          <c:invertIfNegative val="0"/>
          <c:cat>
            <c:multiLvlStrRef>
              <c:f>'Trh práce 1'!$AA$8:$AB$47</c:f>
              <c:multiLvlStrCache>
                <c:ptCount val="4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 1'!$AH$8:$AH$47</c:f>
              <c:numCache>
                <c:formatCode>#\ ##0.0</c:formatCode>
                <c:ptCount val="40"/>
                <c:pt idx="0">
                  <c:v>-0.14466145378390899</c:v>
                </c:pt>
                <c:pt idx="1">
                  <c:v>-5.9633055325984424E-2</c:v>
                </c:pt>
                <c:pt idx="2">
                  <c:v>-1.1086007332124065E-2</c:v>
                </c:pt>
                <c:pt idx="3">
                  <c:v>-4.8017127490306996E-2</c:v>
                </c:pt>
                <c:pt idx="4">
                  <c:v>-0.20814589945627768</c:v>
                </c:pt>
                <c:pt idx="5">
                  <c:v>-0.2444929211671909</c:v>
                </c:pt>
                <c:pt idx="6">
                  <c:v>-0.38620574265486762</c:v>
                </c:pt>
                <c:pt idx="7">
                  <c:v>-0.28641442112187154</c:v>
                </c:pt>
                <c:pt idx="8">
                  <c:v>0.11845205716961922</c:v>
                </c:pt>
                <c:pt idx="9">
                  <c:v>0.13220878338226641</c:v>
                </c:pt>
                <c:pt idx="10">
                  <c:v>0.20877472066275349</c:v>
                </c:pt>
                <c:pt idx="11">
                  <c:v>0.25063308789776856</c:v>
                </c:pt>
                <c:pt idx="12">
                  <c:v>4.9745160268345343E-2</c:v>
                </c:pt>
                <c:pt idx="13">
                  <c:v>0.1597497122766191</c:v>
                </c:pt>
                <c:pt idx="14">
                  <c:v>0.21476644296967162</c:v>
                </c:pt>
                <c:pt idx="15">
                  <c:v>0.19659625510506271</c:v>
                </c:pt>
                <c:pt idx="16">
                  <c:v>0.32279740363249154</c:v>
                </c:pt>
                <c:pt idx="17">
                  <c:v>0.2331663822001481</c:v>
                </c:pt>
                <c:pt idx="18">
                  <c:v>0.12619436764468428</c:v>
                </c:pt>
                <c:pt idx="19">
                  <c:v>7.9184166944782405E-2</c:v>
                </c:pt>
                <c:pt idx="20">
                  <c:v>0.1111161325691107</c:v>
                </c:pt>
                <c:pt idx="21">
                  <c:v>0.1162900854121157</c:v>
                </c:pt>
                <c:pt idx="22">
                  <c:v>0.22348517646709484</c:v>
                </c:pt>
                <c:pt idx="23">
                  <c:v>0.33878119053158823</c:v>
                </c:pt>
                <c:pt idx="24">
                  <c:v>0.28107069226756642</c:v>
                </c:pt>
                <c:pt idx="25">
                  <c:v>0.26149942013250738</c:v>
                </c:pt>
                <c:pt idx="26">
                  <c:v>0.25212626677828454</c:v>
                </c:pt>
                <c:pt idx="27">
                  <c:v>0.25247952076376445</c:v>
                </c:pt>
                <c:pt idx="28">
                  <c:v>0.21874148301492455</c:v>
                </c:pt>
                <c:pt idx="29">
                  <c:v>0.15224831930896096</c:v>
                </c:pt>
                <c:pt idx="30">
                  <c:v>9.899645477968369E-2</c:v>
                </c:pt>
                <c:pt idx="31">
                  <c:v>-3.5385042700909856E-2</c:v>
                </c:pt>
                <c:pt idx="32">
                  <c:v>0.34514696601738587</c:v>
                </c:pt>
                <c:pt idx="33">
                  <c:v>0.34022229406818549</c:v>
                </c:pt>
                <c:pt idx="34">
                  <c:v>0.27519681797741252</c:v>
                </c:pt>
                <c:pt idx="35">
                  <c:v>0.4022366465272123</c:v>
                </c:pt>
                <c:pt idx="36">
                  <c:v>2.3809890264962812E-2</c:v>
                </c:pt>
                <c:pt idx="37">
                  <c:v>2.5819611285752314E-3</c:v>
                </c:pt>
                <c:pt idx="38">
                  <c:v>7.3798681992440251E-5</c:v>
                </c:pt>
                <c:pt idx="39">
                  <c:v>-0.17048699140250534</c:v>
                </c:pt>
              </c:numCache>
            </c:numRef>
          </c:val>
          <c:extLst>
            <c:ext xmlns:c16="http://schemas.microsoft.com/office/drawing/2014/chart" uri="{C3380CC4-5D6E-409C-BE32-E72D297353CC}">
              <c16:uniqueId val="{00000005-80D1-4BD7-89D3-D93415D2B3B8}"/>
            </c:ext>
          </c:extLst>
        </c:ser>
        <c:ser>
          <c:idx val="6"/>
          <c:order val="6"/>
          <c:tx>
            <c:strRef>
              <c:f>'Trh práce 1'!$AI$7</c:f>
              <c:strCache>
                <c:ptCount val="1"/>
                <c:pt idx="0">
                  <c:v>Veř.spr.,obrana, vzděl.,zdrav.a soc.péče</c:v>
                </c:pt>
              </c:strCache>
            </c:strRef>
          </c:tx>
          <c:spPr>
            <a:solidFill>
              <a:srgbClr val="D58D8B"/>
            </a:solidFill>
            <a:ln>
              <a:noFill/>
            </a:ln>
          </c:spPr>
          <c:invertIfNegative val="0"/>
          <c:cat>
            <c:multiLvlStrRef>
              <c:f>'Trh práce 1'!$AA$8:$AB$47</c:f>
              <c:multiLvlStrCache>
                <c:ptCount val="4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 1'!$AI$8:$AI$47</c:f>
              <c:numCache>
                <c:formatCode>#\ ##0.0</c:formatCode>
                <c:ptCount val="40"/>
                <c:pt idx="0">
                  <c:v>-1.6350180324922726E-2</c:v>
                </c:pt>
                <c:pt idx="1">
                  <c:v>-4.5849021226043764E-2</c:v>
                </c:pt>
                <c:pt idx="2">
                  <c:v>-4.0523984173199502E-2</c:v>
                </c:pt>
                <c:pt idx="3">
                  <c:v>-3.1932475248383371E-2</c:v>
                </c:pt>
                <c:pt idx="4">
                  <c:v>-9.5506907227863813E-2</c:v>
                </c:pt>
                <c:pt idx="5">
                  <c:v>-0.1383104234632955</c:v>
                </c:pt>
                <c:pt idx="6">
                  <c:v>-0.17645028898347198</c:v>
                </c:pt>
                <c:pt idx="7">
                  <c:v>-0.12798540599628724</c:v>
                </c:pt>
                <c:pt idx="8">
                  <c:v>-0.43655266623256417</c:v>
                </c:pt>
                <c:pt idx="9">
                  <c:v>-0.32948273684650758</c:v>
                </c:pt>
                <c:pt idx="10">
                  <c:v>-6.1942841381147244E-2</c:v>
                </c:pt>
                <c:pt idx="11">
                  <c:v>4.6658513510212274E-2</c:v>
                </c:pt>
                <c:pt idx="12">
                  <c:v>0.15564716746372542</c:v>
                </c:pt>
                <c:pt idx="13">
                  <c:v>0.36566163730412671</c:v>
                </c:pt>
                <c:pt idx="14">
                  <c:v>0.18966770650896297</c:v>
                </c:pt>
                <c:pt idx="15">
                  <c:v>0.15604876957077865</c:v>
                </c:pt>
                <c:pt idx="16">
                  <c:v>0.27053891834616883</c:v>
                </c:pt>
                <c:pt idx="17">
                  <c:v>0.15953282727926973</c:v>
                </c:pt>
                <c:pt idx="18">
                  <c:v>0.34979261606607437</c:v>
                </c:pt>
                <c:pt idx="19">
                  <c:v>0.3530031736636311</c:v>
                </c:pt>
                <c:pt idx="20">
                  <c:v>0.24091863862597104</c:v>
                </c:pt>
                <c:pt idx="21">
                  <c:v>0.23116797886105511</c:v>
                </c:pt>
                <c:pt idx="22">
                  <c:v>0.10859573556508476</c:v>
                </c:pt>
                <c:pt idx="23">
                  <c:v>0.11701259916842215</c:v>
                </c:pt>
                <c:pt idx="24">
                  <c:v>0.35147420452569472</c:v>
                </c:pt>
                <c:pt idx="25">
                  <c:v>0.3579255240398278</c:v>
                </c:pt>
                <c:pt idx="26">
                  <c:v>0.45544332587599407</c:v>
                </c:pt>
                <c:pt idx="27">
                  <c:v>0.56982357385502003</c:v>
                </c:pt>
                <c:pt idx="28">
                  <c:v>0.51153000432975859</c:v>
                </c:pt>
                <c:pt idx="29">
                  <c:v>0.56363624266583745</c:v>
                </c:pt>
                <c:pt idx="30">
                  <c:v>0.64341997422520825</c:v>
                </c:pt>
                <c:pt idx="31">
                  <c:v>0.65113010272047789</c:v>
                </c:pt>
                <c:pt idx="32">
                  <c:v>0.23568166149360376</c:v>
                </c:pt>
                <c:pt idx="33">
                  <c:v>0.26710319338624</c:v>
                </c:pt>
                <c:pt idx="34">
                  <c:v>0.15582626293786339</c:v>
                </c:pt>
                <c:pt idx="35">
                  <c:v>0.13238450941112251</c:v>
                </c:pt>
                <c:pt idx="36">
                  <c:v>0.45637477360669765</c:v>
                </c:pt>
                <c:pt idx="37">
                  <c:v>0.37051142195054565</c:v>
                </c:pt>
                <c:pt idx="38">
                  <c:v>0.43360415604658264</c:v>
                </c:pt>
                <c:pt idx="39">
                  <c:v>0.42853477741853035</c:v>
                </c:pt>
              </c:numCache>
            </c:numRef>
          </c:val>
          <c:extLst>
            <c:ext xmlns:c16="http://schemas.microsoft.com/office/drawing/2014/chart" uri="{C3380CC4-5D6E-409C-BE32-E72D297353CC}">
              <c16:uniqueId val="{00000006-80D1-4BD7-89D3-D93415D2B3B8}"/>
            </c:ext>
          </c:extLst>
        </c:ser>
        <c:ser>
          <c:idx val="7"/>
          <c:order val="7"/>
          <c:tx>
            <c:strRef>
              <c:f>'Trh práce 1'!$AJ$7</c:f>
              <c:strCache>
                <c:ptCount val="1"/>
                <c:pt idx="0">
                  <c:v>Ostatní odvětví*</c:v>
                </c:pt>
              </c:strCache>
            </c:strRef>
          </c:tx>
          <c:spPr>
            <a:solidFill>
              <a:schemeClr val="bg1">
                <a:lumMod val="85000"/>
              </a:schemeClr>
            </a:solidFill>
            <a:ln>
              <a:noFill/>
            </a:ln>
          </c:spPr>
          <c:invertIfNegative val="0"/>
          <c:cat>
            <c:multiLvlStrRef>
              <c:f>'Trh práce 1'!$AA$8:$AB$47</c:f>
              <c:multiLvlStrCache>
                <c:ptCount val="4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 1'!$AJ$8:$AJ$47</c:f>
              <c:numCache>
                <c:formatCode>#\ ##0.0</c:formatCode>
                <c:ptCount val="40"/>
                <c:pt idx="0">
                  <c:v>-0.1919167565411827</c:v>
                </c:pt>
                <c:pt idx="1">
                  <c:v>-3.8262914515721808E-2</c:v>
                </c:pt>
                <c:pt idx="2">
                  <c:v>4.6096524270874649E-2</c:v>
                </c:pt>
                <c:pt idx="3">
                  <c:v>4.9102594819516579E-2</c:v>
                </c:pt>
                <c:pt idx="4">
                  <c:v>-0.13338410094866282</c:v>
                </c:pt>
                <c:pt idx="5">
                  <c:v>-0.15119722547769443</c:v>
                </c:pt>
                <c:pt idx="6">
                  <c:v>-0.15212252354495906</c:v>
                </c:pt>
                <c:pt idx="7">
                  <c:v>-0.13638500281563989</c:v>
                </c:pt>
                <c:pt idx="8">
                  <c:v>0.26931923097215715</c:v>
                </c:pt>
                <c:pt idx="9">
                  <c:v>0.32105019578933652</c:v>
                </c:pt>
                <c:pt idx="10">
                  <c:v>0.32895492954844063</c:v>
                </c:pt>
                <c:pt idx="11">
                  <c:v>0.4005401979282377</c:v>
                </c:pt>
                <c:pt idx="12">
                  <c:v>0.23332187302239876</c:v>
                </c:pt>
                <c:pt idx="13">
                  <c:v>0.15289256851610614</c:v>
                </c:pt>
                <c:pt idx="14">
                  <c:v>-7.2835548944801556E-2</c:v>
                </c:pt>
                <c:pt idx="15">
                  <c:v>-0.23094351833677418</c:v>
                </c:pt>
                <c:pt idx="16">
                  <c:v>0.16050961605523087</c:v>
                </c:pt>
                <c:pt idx="17">
                  <c:v>3.822978810924068E-2</c:v>
                </c:pt>
                <c:pt idx="18">
                  <c:v>0.16444402403690977</c:v>
                </c:pt>
                <c:pt idx="19">
                  <c:v>0.21779581504593729</c:v>
                </c:pt>
                <c:pt idx="20">
                  <c:v>-9.3844500291790034E-2</c:v>
                </c:pt>
                <c:pt idx="21">
                  <c:v>4.4248681512857657E-2</c:v>
                </c:pt>
                <c:pt idx="22">
                  <c:v>-7.6228108118039234E-4</c:v>
                </c:pt>
                <c:pt idx="23">
                  <c:v>-9.6493986857956113E-2</c:v>
                </c:pt>
                <c:pt idx="24">
                  <c:v>0.10669198191708645</c:v>
                </c:pt>
                <c:pt idx="25">
                  <c:v>6.5331480636127343E-2</c:v>
                </c:pt>
                <c:pt idx="26">
                  <c:v>9.622992743029217E-2</c:v>
                </c:pt>
                <c:pt idx="27">
                  <c:v>0.16268040087588326</c:v>
                </c:pt>
                <c:pt idx="28">
                  <c:v>3.7625139399231622E-3</c:v>
                </c:pt>
                <c:pt idx="29">
                  <c:v>5.6876884926009626E-2</c:v>
                </c:pt>
                <c:pt idx="30">
                  <c:v>0.10630912459744621</c:v>
                </c:pt>
                <c:pt idx="31">
                  <c:v>0.11559617471449846</c:v>
                </c:pt>
                <c:pt idx="32">
                  <c:v>8.6973722868706513E-2</c:v>
                </c:pt>
                <c:pt idx="33">
                  <c:v>0.10284307467037421</c:v>
                </c:pt>
                <c:pt idx="34">
                  <c:v>-9.5153682138267318E-2</c:v>
                </c:pt>
                <c:pt idx="35">
                  <c:v>-8.0268582288516049E-2</c:v>
                </c:pt>
                <c:pt idx="36">
                  <c:v>-5.4629234206059543E-2</c:v>
                </c:pt>
                <c:pt idx="37">
                  <c:v>1.8922086556558474E-2</c:v>
                </c:pt>
                <c:pt idx="38">
                  <c:v>0.10627010206911397</c:v>
                </c:pt>
                <c:pt idx="39">
                  <c:v>0.11327177778295903</c:v>
                </c:pt>
              </c:numCache>
            </c:numRef>
          </c:val>
          <c:extLst>
            <c:ext xmlns:c16="http://schemas.microsoft.com/office/drawing/2014/chart" uri="{C3380CC4-5D6E-409C-BE32-E72D297353CC}">
              <c16:uniqueId val="{00000007-80D1-4BD7-89D3-D93415D2B3B8}"/>
            </c:ext>
          </c:extLst>
        </c:ser>
        <c:dLbls>
          <c:showLegendKey val="0"/>
          <c:showVal val="0"/>
          <c:showCatName val="0"/>
          <c:showSerName val="0"/>
          <c:showPercent val="0"/>
          <c:showBubbleSize val="0"/>
        </c:dLbls>
        <c:gapWidth val="47"/>
        <c:overlap val="100"/>
        <c:axId val="101898496"/>
        <c:axId val="101781504"/>
      </c:barChart>
      <c:lineChart>
        <c:grouping val="standard"/>
        <c:varyColors val="0"/>
        <c:ser>
          <c:idx val="8"/>
          <c:order val="8"/>
          <c:tx>
            <c:strRef>
              <c:f>'Trh práce 1'!$AK$7</c:f>
              <c:strCache>
                <c:ptCount val="1"/>
                <c:pt idx="0">
                  <c:v>Zaměstnanost celkem</c:v>
                </c:pt>
              </c:strCache>
            </c:strRef>
          </c:tx>
          <c:spPr>
            <a:ln w="22225">
              <a:solidFill>
                <a:schemeClr val="tx1">
                  <a:lumMod val="95000"/>
                  <a:lumOff val="5000"/>
                </a:schemeClr>
              </a:solidFill>
            </a:ln>
          </c:spPr>
          <c:marker>
            <c:symbol val="none"/>
          </c:marker>
          <c:cat>
            <c:multiLvlStrRef>
              <c:f>'Trh práce 1'!$AA$8:$AB$47</c:f>
              <c:multiLvlStrCache>
                <c:ptCount val="4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 1'!$AK$8:$AK$47</c:f>
              <c:numCache>
                <c:formatCode>#\ ##0.0</c:formatCode>
                <c:ptCount val="40"/>
                <c:pt idx="0">
                  <c:v>-2.7611728966902263</c:v>
                </c:pt>
                <c:pt idx="1">
                  <c:v>-1.2304547773213699</c:v>
                </c:pt>
                <c:pt idx="2">
                  <c:v>-0.2006705163795317</c:v>
                </c:pt>
                <c:pt idx="3">
                  <c:v>9.3350190312023074E-2</c:v>
                </c:pt>
                <c:pt idx="4">
                  <c:v>6.9997371624495486E-2</c:v>
                </c:pt>
                <c:pt idx="5">
                  <c:v>3.5235802742903388E-3</c:v>
                </c:pt>
                <c:pt idx="6">
                  <c:v>-0.428054234540582</c:v>
                </c:pt>
                <c:pt idx="7">
                  <c:v>-0.73389998406837265</c:v>
                </c:pt>
                <c:pt idx="8">
                  <c:v>-6.312417449568386E-2</c:v>
                </c:pt>
                <c:pt idx="9">
                  <c:v>0.16940301964147864</c:v>
                </c:pt>
                <c:pt idx="10">
                  <c:v>0.66082271824052441</c:v>
                </c:pt>
                <c:pt idx="11">
                  <c:v>0.91394275165257</c:v>
                </c:pt>
                <c:pt idx="12">
                  <c:v>0.47051457854772138</c:v>
                </c:pt>
                <c:pt idx="13">
                  <c:v>0.69336196866028388</c:v>
                </c:pt>
                <c:pt idx="14">
                  <c:v>9.9922499038868295E-2</c:v>
                </c:pt>
                <c:pt idx="15">
                  <c:v>2.6788896996194467E-2</c:v>
                </c:pt>
                <c:pt idx="16">
                  <c:v>0.5510553546770609</c:v>
                </c:pt>
                <c:pt idx="17">
                  <c:v>5.7972686896661685E-2</c:v>
                </c:pt>
                <c:pt idx="18">
                  <c:v>0.6137644092551966</c:v>
                </c:pt>
                <c:pt idx="19">
                  <c:v>0.98590584797899794</c:v>
                </c:pt>
                <c:pt idx="20">
                  <c:v>1.2552291389531263</c:v>
                </c:pt>
                <c:pt idx="21">
                  <c:v>1.7443512811817357</c:v>
                </c:pt>
                <c:pt idx="22">
                  <c:v>1.3540066568638736</c:v>
                </c:pt>
                <c:pt idx="23">
                  <c:v>1.3578527827564244</c:v>
                </c:pt>
                <c:pt idx="24">
                  <c:v>1.6050176668570941</c:v>
                </c:pt>
                <c:pt idx="25">
                  <c:v>1.4090510221706865</c:v>
                </c:pt>
                <c:pt idx="26">
                  <c:v>1.5299979924778597</c:v>
                </c:pt>
                <c:pt idx="27">
                  <c:v>1.8150726409707829</c:v>
                </c:pt>
                <c:pt idx="28">
                  <c:v>1.4751728512273417</c:v>
                </c:pt>
                <c:pt idx="29">
                  <c:v>1.3670032325916708</c:v>
                </c:pt>
                <c:pt idx="30">
                  <c:v>1.9625116456640939</c:v>
                </c:pt>
                <c:pt idx="31">
                  <c:v>1.4104168354253801</c:v>
                </c:pt>
                <c:pt idx="32">
                  <c:v>1.4985228018525589</c:v>
                </c:pt>
                <c:pt idx="33">
                  <c:v>1.6847773496192104</c:v>
                </c:pt>
                <c:pt idx="34">
                  <c:v>0.96854451750488124</c:v>
                </c:pt>
                <c:pt idx="35">
                  <c:v>1.2409139260497426</c:v>
                </c:pt>
                <c:pt idx="36">
                  <c:v>1.3417911601888193</c:v>
                </c:pt>
                <c:pt idx="37">
                  <c:v>0.78676044103585241</c:v>
                </c:pt>
                <c:pt idx="38">
                  <c:v>0.58791720009277526</c:v>
                </c:pt>
                <c:pt idx="39">
                  <c:v>1.7655610760130003E-3</c:v>
                </c:pt>
              </c:numCache>
            </c:numRef>
          </c:val>
          <c:smooth val="0"/>
          <c:extLst>
            <c:ext xmlns:c16="http://schemas.microsoft.com/office/drawing/2014/chart" uri="{C3380CC4-5D6E-409C-BE32-E72D297353CC}">
              <c16:uniqueId val="{00000008-80D1-4BD7-89D3-D93415D2B3B8}"/>
            </c:ext>
          </c:extLst>
        </c:ser>
        <c:dLbls>
          <c:showLegendKey val="0"/>
          <c:showVal val="0"/>
          <c:showCatName val="0"/>
          <c:showSerName val="0"/>
          <c:showPercent val="0"/>
          <c:showBubbleSize val="0"/>
        </c:dLbls>
        <c:marker val="1"/>
        <c:smooth val="0"/>
        <c:axId val="101898496"/>
        <c:axId val="101781504"/>
      </c:lineChart>
      <c:lineChart>
        <c:grouping val="standard"/>
        <c:varyColors val="0"/>
        <c:ser>
          <c:idx val="9"/>
          <c:order val="9"/>
          <c:tx>
            <c:strRef>
              <c:f>'Trh práce 1'!$AL$7</c:f>
              <c:strCache>
                <c:ptCount val="1"/>
              </c:strCache>
            </c:strRef>
          </c:tx>
          <c:spPr>
            <a:ln>
              <a:noFill/>
            </a:ln>
          </c:spPr>
          <c:marker>
            <c:symbol val="none"/>
          </c:marker>
          <c:cat>
            <c:multiLvlStrRef>
              <c:f>'Trh práce 1'!$AA$8:$AB$47</c:f>
              <c:multiLvlStrCache>
                <c:ptCount val="4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 1'!$AL$8:$AL$47</c:f>
              <c:numCache>
                <c:formatCode>General</c:formatCode>
                <c:ptCount val="40"/>
              </c:numCache>
            </c:numRef>
          </c:val>
          <c:smooth val="0"/>
          <c:extLst>
            <c:ext xmlns:c16="http://schemas.microsoft.com/office/drawing/2014/chart" uri="{C3380CC4-5D6E-409C-BE32-E72D297353CC}">
              <c16:uniqueId val="{00000009-80D1-4BD7-89D3-D93415D2B3B8}"/>
            </c:ext>
          </c:extLst>
        </c:ser>
        <c:ser>
          <c:idx val="10"/>
          <c:order val="10"/>
          <c:tx>
            <c:strRef>
              <c:f>'Trh práce 1'!$AM$7</c:f>
              <c:strCache>
                <c:ptCount val="1"/>
                <c:pt idx="0">
                  <c:v>Očekávání zaměstnanosti (průmysl)</c:v>
                </c:pt>
              </c:strCache>
            </c:strRef>
          </c:tx>
          <c:spPr>
            <a:ln w="15875">
              <a:solidFill>
                <a:schemeClr val="tx1">
                  <a:lumMod val="95000"/>
                  <a:lumOff val="5000"/>
                </a:schemeClr>
              </a:solidFill>
              <a:prstDash val="sysDot"/>
            </a:ln>
          </c:spPr>
          <c:marker>
            <c:symbol val="none"/>
          </c:marker>
          <c:cat>
            <c:multiLvlStrRef>
              <c:f>'Trh práce 1'!$AA$8:$AB$47</c:f>
              <c:multiLvlStrCache>
                <c:ptCount val="4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 1'!$AM$8:$AM$47</c:f>
              <c:numCache>
                <c:formatCode>#\ ##0.0</c:formatCode>
                <c:ptCount val="40"/>
                <c:pt idx="0">
                  <c:v>-12.033333333333333</c:v>
                </c:pt>
                <c:pt idx="1">
                  <c:v>-8.6</c:v>
                </c:pt>
                <c:pt idx="2">
                  <c:v>-0.5333333333333331</c:v>
                </c:pt>
                <c:pt idx="3">
                  <c:v>5</c:v>
                </c:pt>
                <c:pt idx="4">
                  <c:v>14.766666666666666</c:v>
                </c:pt>
                <c:pt idx="5">
                  <c:v>4.166666666666667</c:v>
                </c:pt>
                <c:pt idx="6">
                  <c:v>3.0333333333333337</c:v>
                </c:pt>
                <c:pt idx="7">
                  <c:v>-0.66666666666666663</c:v>
                </c:pt>
                <c:pt idx="8">
                  <c:v>0.13333333333333341</c:v>
                </c:pt>
                <c:pt idx="9">
                  <c:v>-8.1666666666666661</c:v>
                </c:pt>
                <c:pt idx="10">
                  <c:v>-15.466666666666669</c:v>
                </c:pt>
                <c:pt idx="11">
                  <c:v>-14.033333333333333</c:v>
                </c:pt>
                <c:pt idx="12">
                  <c:v>-11.566666666666668</c:v>
                </c:pt>
                <c:pt idx="13">
                  <c:v>-10.833333333333334</c:v>
                </c:pt>
                <c:pt idx="14">
                  <c:v>-9.3333333333333339</c:v>
                </c:pt>
                <c:pt idx="15">
                  <c:v>-1.0333333333333334</c:v>
                </c:pt>
                <c:pt idx="16">
                  <c:v>-4.5</c:v>
                </c:pt>
                <c:pt idx="17">
                  <c:v>2.8666666666666667</c:v>
                </c:pt>
                <c:pt idx="18">
                  <c:v>2.3666666666666667</c:v>
                </c:pt>
                <c:pt idx="19">
                  <c:v>5.2666666666666666</c:v>
                </c:pt>
                <c:pt idx="20">
                  <c:v>0.66666666666666663</c:v>
                </c:pt>
                <c:pt idx="21">
                  <c:v>4.5</c:v>
                </c:pt>
                <c:pt idx="22">
                  <c:v>5.8666666666666671</c:v>
                </c:pt>
                <c:pt idx="23">
                  <c:v>9.6666666666666661</c:v>
                </c:pt>
                <c:pt idx="24">
                  <c:v>10.466666666666667</c:v>
                </c:pt>
                <c:pt idx="25">
                  <c:v>9.6666666666666661</c:v>
                </c:pt>
                <c:pt idx="26">
                  <c:v>4.833333333333333</c:v>
                </c:pt>
                <c:pt idx="27">
                  <c:v>8.7666666666666657</c:v>
                </c:pt>
                <c:pt idx="28">
                  <c:v>10.933333333333332</c:v>
                </c:pt>
                <c:pt idx="29">
                  <c:v>7.666666666666667</c:v>
                </c:pt>
                <c:pt idx="30">
                  <c:v>8.6999999999999993</c:v>
                </c:pt>
                <c:pt idx="31">
                  <c:v>8.5</c:v>
                </c:pt>
                <c:pt idx="32">
                  <c:v>12.266666666666666</c:v>
                </c:pt>
                <c:pt idx="33">
                  <c:v>8.4</c:v>
                </c:pt>
                <c:pt idx="34">
                  <c:v>7.5333333333333341</c:v>
                </c:pt>
                <c:pt idx="35">
                  <c:v>5.3666666666666671</c:v>
                </c:pt>
                <c:pt idx="36">
                  <c:v>2.2000000000000002</c:v>
                </c:pt>
                <c:pt idx="37">
                  <c:v>-0.53333333333333333</c:v>
                </c:pt>
                <c:pt idx="38">
                  <c:v>1.7</c:v>
                </c:pt>
                <c:pt idx="39">
                  <c:v>-3.6333333333333333</c:v>
                </c:pt>
              </c:numCache>
            </c:numRef>
          </c:val>
          <c:smooth val="0"/>
          <c:extLst>
            <c:ext xmlns:c16="http://schemas.microsoft.com/office/drawing/2014/chart" uri="{C3380CC4-5D6E-409C-BE32-E72D297353CC}">
              <c16:uniqueId val="{0000000A-80D1-4BD7-89D3-D93415D2B3B8}"/>
            </c:ext>
          </c:extLst>
        </c:ser>
        <c:ser>
          <c:idx val="11"/>
          <c:order val="11"/>
          <c:tx>
            <c:strRef>
              <c:f>'Trh práce 1'!$AN$7</c:f>
              <c:strCache>
                <c:ptCount val="1"/>
                <c:pt idx="0">
                  <c:v>Očekávání zaměstnanosti (stavebnictví)</c:v>
                </c:pt>
              </c:strCache>
            </c:strRef>
          </c:tx>
          <c:spPr>
            <a:ln w="15875">
              <a:solidFill>
                <a:srgbClr val="00B0F0"/>
              </a:solidFill>
              <a:prstDash val="sysDot"/>
            </a:ln>
          </c:spPr>
          <c:marker>
            <c:symbol val="none"/>
          </c:marker>
          <c:cat>
            <c:multiLvlStrRef>
              <c:f>'Trh práce 1'!$AA$8:$AB$47</c:f>
              <c:multiLvlStrCache>
                <c:ptCount val="4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 1'!$AN$8:$AN$47</c:f>
              <c:numCache>
                <c:formatCode>#\ ##0.0</c:formatCode>
                <c:ptCount val="40"/>
                <c:pt idx="0">
                  <c:v>-21.533333333333331</c:v>
                </c:pt>
                <c:pt idx="1">
                  <c:v>-26.166666666666668</c:v>
                </c:pt>
                <c:pt idx="2">
                  <c:v>-28.866666666666664</c:v>
                </c:pt>
                <c:pt idx="3">
                  <c:v>-33.833333333333336</c:v>
                </c:pt>
                <c:pt idx="4">
                  <c:v>-26.866666666666664</c:v>
                </c:pt>
                <c:pt idx="5">
                  <c:v>-28.7</c:v>
                </c:pt>
                <c:pt idx="6">
                  <c:v>-24.899999999999995</c:v>
                </c:pt>
                <c:pt idx="7">
                  <c:v>-23.533333333333331</c:v>
                </c:pt>
                <c:pt idx="8">
                  <c:v>-30.833333333333332</c:v>
                </c:pt>
                <c:pt idx="9">
                  <c:v>-30.633333333333336</c:v>
                </c:pt>
                <c:pt idx="10">
                  <c:v>-24.400000000000002</c:v>
                </c:pt>
                <c:pt idx="11">
                  <c:v>-30.8</c:v>
                </c:pt>
                <c:pt idx="12">
                  <c:v>-33.199999999999996</c:v>
                </c:pt>
                <c:pt idx="13">
                  <c:v>-40.1</c:v>
                </c:pt>
                <c:pt idx="14">
                  <c:v>-38.1</c:v>
                </c:pt>
                <c:pt idx="15">
                  <c:v>-27.433333333333337</c:v>
                </c:pt>
                <c:pt idx="16">
                  <c:v>-24.599999999999998</c:v>
                </c:pt>
                <c:pt idx="17">
                  <c:v>-16.599999999999998</c:v>
                </c:pt>
                <c:pt idx="18">
                  <c:v>-13.233333333333333</c:v>
                </c:pt>
                <c:pt idx="19">
                  <c:v>-8.9666666666666668</c:v>
                </c:pt>
                <c:pt idx="20">
                  <c:v>6.6666666666666693E-2</c:v>
                </c:pt>
                <c:pt idx="21">
                  <c:v>6.2666666666666666</c:v>
                </c:pt>
                <c:pt idx="22">
                  <c:v>3.0333333333333337</c:v>
                </c:pt>
                <c:pt idx="23">
                  <c:v>2.8333333333333335</c:v>
                </c:pt>
                <c:pt idx="24">
                  <c:v>-3.3333333333333361E-2</c:v>
                </c:pt>
                <c:pt idx="25">
                  <c:v>-5.833333333333333</c:v>
                </c:pt>
                <c:pt idx="26">
                  <c:v>-7.9333333333333336</c:v>
                </c:pt>
                <c:pt idx="27">
                  <c:v>-9.2666666666666657</c:v>
                </c:pt>
                <c:pt idx="28">
                  <c:v>-10.033333333333333</c:v>
                </c:pt>
                <c:pt idx="29">
                  <c:v>-11</c:v>
                </c:pt>
                <c:pt idx="30">
                  <c:v>-10.5</c:v>
                </c:pt>
                <c:pt idx="31">
                  <c:v>-3.2666666666666671</c:v>
                </c:pt>
                <c:pt idx="32">
                  <c:v>3.0666666666666664</c:v>
                </c:pt>
                <c:pt idx="33">
                  <c:v>5.0999999999999996</c:v>
                </c:pt>
                <c:pt idx="34">
                  <c:v>7.5999999999999988</c:v>
                </c:pt>
                <c:pt idx="35">
                  <c:v>12.133333333333335</c:v>
                </c:pt>
                <c:pt idx="36">
                  <c:v>11.800000000000002</c:v>
                </c:pt>
                <c:pt idx="37">
                  <c:v>12.033333333333333</c:v>
                </c:pt>
                <c:pt idx="38">
                  <c:v>6.1000000000000005</c:v>
                </c:pt>
                <c:pt idx="39">
                  <c:v>12.466666666666667</c:v>
                </c:pt>
              </c:numCache>
            </c:numRef>
          </c:val>
          <c:smooth val="0"/>
          <c:extLst>
            <c:ext xmlns:c16="http://schemas.microsoft.com/office/drawing/2014/chart" uri="{C3380CC4-5D6E-409C-BE32-E72D297353CC}">
              <c16:uniqueId val="{0000000B-80D1-4BD7-89D3-D93415D2B3B8}"/>
            </c:ext>
          </c:extLst>
        </c:ser>
        <c:ser>
          <c:idx val="12"/>
          <c:order val="12"/>
          <c:tx>
            <c:strRef>
              <c:f>'Trh práce 1'!$AO$7</c:f>
              <c:strCache>
                <c:ptCount val="1"/>
                <c:pt idx="0">
                  <c:v>Očekávání zaměstnanosti (obchod)</c:v>
                </c:pt>
              </c:strCache>
            </c:strRef>
          </c:tx>
          <c:spPr>
            <a:ln w="15875">
              <a:solidFill>
                <a:schemeClr val="accent6">
                  <a:lumMod val="75000"/>
                </a:schemeClr>
              </a:solidFill>
              <a:prstDash val="sysDot"/>
            </a:ln>
          </c:spPr>
          <c:marker>
            <c:symbol val="none"/>
          </c:marker>
          <c:cat>
            <c:multiLvlStrRef>
              <c:f>'Trh práce 1'!$AA$8:$AB$47</c:f>
              <c:multiLvlStrCache>
                <c:ptCount val="4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 1'!$AO$8:$AO$47</c:f>
              <c:numCache>
                <c:formatCode>#\ ##0.0</c:formatCode>
                <c:ptCount val="40"/>
                <c:pt idx="0">
                  <c:v>9.0333333333333332</c:v>
                </c:pt>
                <c:pt idx="1">
                  <c:v>2.9</c:v>
                </c:pt>
                <c:pt idx="2">
                  <c:v>1.3</c:v>
                </c:pt>
                <c:pt idx="3">
                  <c:v>8.9666666666666668</c:v>
                </c:pt>
                <c:pt idx="4">
                  <c:v>10.866666666666667</c:v>
                </c:pt>
                <c:pt idx="5">
                  <c:v>9.8666666666666671</c:v>
                </c:pt>
                <c:pt idx="6">
                  <c:v>2.7666666666666671</c:v>
                </c:pt>
                <c:pt idx="7">
                  <c:v>12.233333333333334</c:v>
                </c:pt>
                <c:pt idx="8">
                  <c:v>0.46666666666666679</c:v>
                </c:pt>
                <c:pt idx="9">
                  <c:v>7.2</c:v>
                </c:pt>
                <c:pt idx="10">
                  <c:v>0.56666666666666676</c:v>
                </c:pt>
                <c:pt idx="11">
                  <c:v>7.4000000000000012</c:v>
                </c:pt>
                <c:pt idx="12">
                  <c:v>0.9</c:v>
                </c:pt>
                <c:pt idx="13">
                  <c:v>3.2333333333333329</c:v>
                </c:pt>
                <c:pt idx="14">
                  <c:v>7.166666666666667</c:v>
                </c:pt>
                <c:pt idx="15">
                  <c:v>1.3666666666666665</c:v>
                </c:pt>
                <c:pt idx="16">
                  <c:v>6</c:v>
                </c:pt>
                <c:pt idx="17">
                  <c:v>-5.7333333333333334</c:v>
                </c:pt>
                <c:pt idx="18">
                  <c:v>3.6999999999999997</c:v>
                </c:pt>
                <c:pt idx="19">
                  <c:v>7.2333333333333334</c:v>
                </c:pt>
                <c:pt idx="20">
                  <c:v>13.266666666666666</c:v>
                </c:pt>
                <c:pt idx="21">
                  <c:v>7.5333333333333341</c:v>
                </c:pt>
                <c:pt idx="22">
                  <c:v>4.4333333333333336</c:v>
                </c:pt>
                <c:pt idx="23">
                  <c:v>4.5</c:v>
                </c:pt>
                <c:pt idx="24">
                  <c:v>15.633333333333333</c:v>
                </c:pt>
                <c:pt idx="25">
                  <c:v>21.466666666666669</c:v>
                </c:pt>
                <c:pt idx="26">
                  <c:v>20.633333333333333</c:v>
                </c:pt>
                <c:pt idx="27">
                  <c:v>16.933333333333334</c:v>
                </c:pt>
                <c:pt idx="28">
                  <c:v>16.633333333333336</c:v>
                </c:pt>
                <c:pt idx="29">
                  <c:v>18.8</c:v>
                </c:pt>
                <c:pt idx="30">
                  <c:v>19.266666666666666</c:v>
                </c:pt>
                <c:pt idx="31">
                  <c:v>13.733333333333334</c:v>
                </c:pt>
                <c:pt idx="32">
                  <c:v>24.333333333333332</c:v>
                </c:pt>
                <c:pt idx="33">
                  <c:v>28.833333333333332</c:v>
                </c:pt>
                <c:pt idx="34">
                  <c:v>24.866666666666664</c:v>
                </c:pt>
                <c:pt idx="35">
                  <c:v>18.766666666666669</c:v>
                </c:pt>
                <c:pt idx="36">
                  <c:v>15.633333333333335</c:v>
                </c:pt>
                <c:pt idx="37">
                  <c:v>14.033333333333333</c:v>
                </c:pt>
                <c:pt idx="38">
                  <c:v>15.200000000000001</c:v>
                </c:pt>
                <c:pt idx="39">
                  <c:v>13.233333333333334</c:v>
                </c:pt>
              </c:numCache>
            </c:numRef>
          </c:val>
          <c:smooth val="0"/>
          <c:extLst>
            <c:ext xmlns:c16="http://schemas.microsoft.com/office/drawing/2014/chart" uri="{C3380CC4-5D6E-409C-BE32-E72D297353CC}">
              <c16:uniqueId val="{0000000C-80D1-4BD7-89D3-D93415D2B3B8}"/>
            </c:ext>
          </c:extLst>
        </c:ser>
        <c:ser>
          <c:idx val="13"/>
          <c:order val="13"/>
          <c:tx>
            <c:strRef>
              <c:f>'Trh práce 1'!$AP$7</c:f>
              <c:strCache>
                <c:ptCount val="1"/>
                <c:pt idx="0">
                  <c:v>Očekávání zaměstnanosti (vybr. služby)</c:v>
                </c:pt>
              </c:strCache>
            </c:strRef>
          </c:tx>
          <c:spPr>
            <a:ln w="15875">
              <a:solidFill>
                <a:srgbClr val="C00000"/>
              </a:solidFill>
              <a:prstDash val="sysDot"/>
            </a:ln>
          </c:spPr>
          <c:marker>
            <c:symbol val="none"/>
          </c:marker>
          <c:cat>
            <c:multiLvlStrRef>
              <c:f>'Trh práce 1'!$AA$8:$AB$47</c:f>
              <c:multiLvlStrCache>
                <c:ptCount val="4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 1'!$AP$8:$AP$47</c:f>
              <c:numCache>
                <c:formatCode>#\ ##0.0</c:formatCode>
                <c:ptCount val="40"/>
                <c:pt idx="0">
                  <c:v>-8.2333333333333325</c:v>
                </c:pt>
                <c:pt idx="1">
                  <c:v>-8.2666666666666657</c:v>
                </c:pt>
                <c:pt idx="2">
                  <c:v>-2.2666666666666666</c:v>
                </c:pt>
                <c:pt idx="3">
                  <c:v>-11.6</c:v>
                </c:pt>
                <c:pt idx="4">
                  <c:v>-16.033333333333335</c:v>
                </c:pt>
                <c:pt idx="5">
                  <c:v>-11.266666666666666</c:v>
                </c:pt>
                <c:pt idx="6">
                  <c:v>-8.8333333333333339</c:v>
                </c:pt>
                <c:pt idx="7">
                  <c:v>-4.2</c:v>
                </c:pt>
                <c:pt idx="8">
                  <c:v>-3.3000000000000003</c:v>
                </c:pt>
                <c:pt idx="9">
                  <c:v>-10.033333333333333</c:v>
                </c:pt>
                <c:pt idx="10">
                  <c:v>-8.6333333333333329</c:v>
                </c:pt>
                <c:pt idx="11">
                  <c:v>-3.1666666666666665</c:v>
                </c:pt>
                <c:pt idx="12">
                  <c:v>-9.5</c:v>
                </c:pt>
                <c:pt idx="13">
                  <c:v>-33.133333333333333</c:v>
                </c:pt>
                <c:pt idx="14">
                  <c:v>-24.033333333333331</c:v>
                </c:pt>
                <c:pt idx="15">
                  <c:v>-14.366666666666665</c:v>
                </c:pt>
                <c:pt idx="16">
                  <c:v>-14.4</c:v>
                </c:pt>
                <c:pt idx="17">
                  <c:v>-8.8999999999999986</c:v>
                </c:pt>
                <c:pt idx="18">
                  <c:v>-12.833333333333334</c:v>
                </c:pt>
                <c:pt idx="19">
                  <c:v>-10.066666666666668</c:v>
                </c:pt>
                <c:pt idx="20">
                  <c:v>-15.933333333333332</c:v>
                </c:pt>
                <c:pt idx="21">
                  <c:v>-17.366666666666667</c:v>
                </c:pt>
                <c:pt idx="22">
                  <c:v>0.16666666666666666</c:v>
                </c:pt>
                <c:pt idx="23">
                  <c:v>1.6000000000000003</c:v>
                </c:pt>
                <c:pt idx="24">
                  <c:v>2.2333333333333329</c:v>
                </c:pt>
                <c:pt idx="25">
                  <c:v>22.833333333333332</c:v>
                </c:pt>
                <c:pt idx="26">
                  <c:v>-0.33333333333333331</c:v>
                </c:pt>
                <c:pt idx="27">
                  <c:v>7.6000000000000005</c:v>
                </c:pt>
                <c:pt idx="28">
                  <c:v>11.633333333333333</c:v>
                </c:pt>
                <c:pt idx="29">
                  <c:v>9.7666666666666675</c:v>
                </c:pt>
                <c:pt idx="30">
                  <c:v>17.733333333333331</c:v>
                </c:pt>
                <c:pt idx="31">
                  <c:v>3.5666666666666664</c:v>
                </c:pt>
                <c:pt idx="32">
                  <c:v>14.299999999999999</c:v>
                </c:pt>
                <c:pt idx="33">
                  <c:v>10.1</c:v>
                </c:pt>
                <c:pt idx="34">
                  <c:v>6.0666666666666664</c:v>
                </c:pt>
                <c:pt idx="35">
                  <c:v>-6.9666666666666659</c:v>
                </c:pt>
                <c:pt idx="36">
                  <c:v>-12.033333333333331</c:v>
                </c:pt>
                <c:pt idx="37">
                  <c:v>-6.4666666666666677</c:v>
                </c:pt>
                <c:pt idx="38">
                  <c:v>-7.9666666666666677</c:v>
                </c:pt>
                <c:pt idx="39">
                  <c:v>-11.799999999999999</c:v>
                </c:pt>
              </c:numCache>
            </c:numRef>
          </c:val>
          <c:smooth val="0"/>
          <c:extLst>
            <c:ext xmlns:c16="http://schemas.microsoft.com/office/drawing/2014/chart" uri="{C3380CC4-5D6E-409C-BE32-E72D297353CC}">
              <c16:uniqueId val="{0000000D-80D1-4BD7-89D3-D93415D2B3B8}"/>
            </c:ext>
          </c:extLst>
        </c:ser>
        <c:dLbls>
          <c:showLegendKey val="0"/>
          <c:showVal val="0"/>
          <c:showCatName val="0"/>
          <c:showSerName val="0"/>
          <c:showPercent val="0"/>
          <c:showBubbleSize val="0"/>
        </c:dLbls>
        <c:marker val="1"/>
        <c:smooth val="0"/>
        <c:axId val="332941824"/>
        <c:axId val="332936832"/>
      </c:lineChart>
      <c:catAx>
        <c:axId val="101898496"/>
        <c:scaling>
          <c:orientation val="minMax"/>
        </c:scaling>
        <c:delete val="0"/>
        <c:axPos val="b"/>
        <c:numFmt formatCode="General" sourceLinked="1"/>
        <c:majorTickMark val="out"/>
        <c:minorTickMark val="none"/>
        <c:tickLblPos val="low"/>
        <c:spPr>
          <a:ln>
            <a:solidFill>
              <a:schemeClr val="tx1"/>
            </a:solidFill>
          </a:ln>
        </c:spPr>
        <c:crossAx val="101781504"/>
        <c:crosses val="autoZero"/>
        <c:auto val="1"/>
        <c:lblAlgn val="ctr"/>
        <c:lblOffset val="10"/>
        <c:noMultiLvlLbl val="0"/>
      </c:catAx>
      <c:valAx>
        <c:axId val="101781504"/>
        <c:scaling>
          <c:orientation val="minMax"/>
          <c:max val="2"/>
          <c:min val="-3"/>
        </c:scaling>
        <c:delete val="0"/>
        <c:axPos val="l"/>
        <c:majorGridlines>
          <c:spPr>
            <a:ln w="6350">
              <a:solidFill>
                <a:schemeClr val="bg1">
                  <a:lumMod val="75000"/>
                </a:schemeClr>
              </a:solidFill>
            </a:ln>
          </c:spPr>
        </c:majorGridlines>
        <c:title>
          <c:tx>
            <c:rich>
              <a:bodyPr/>
              <a:lstStyle/>
              <a:p>
                <a:pPr>
                  <a:defRPr sz="700" b="0" i="1"/>
                </a:pPr>
                <a:r>
                  <a:rPr lang="cs-CZ" sz="700" b="0" i="1"/>
                  <a:t>Příspěvek</a:t>
                </a:r>
                <a:r>
                  <a:rPr lang="cs-CZ" sz="700" b="0" i="1" baseline="0"/>
                  <a:t> k růstu zaměstnanosti</a:t>
                </a:r>
                <a:endParaRPr lang="cs-CZ" sz="700" b="0" i="1"/>
              </a:p>
            </c:rich>
          </c:tx>
          <c:layout>
            <c:manualLayout>
              <c:xMode val="edge"/>
              <c:yMode val="edge"/>
              <c:x val="0"/>
              <c:y val="0.15110810581510684"/>
            </c:manualLayout>
          </c:layout>
          <c:overlay val="0"/>
        </c:title>
        <c:numFmt formatCode="0.0" sourceLinked="0"/>
        <c:majorTickMark val="out"/>
        <c:minorTickMark val="none"/>
        <c:tickLblPos val="nextTo"/>
        <c:spPr>
          <a:ln>
            <a:solidFill>
              <a:schemeClr val="tx1"/>
            </a:solidFill>
          </a:ln>
        </c:spPr>
        <c:crossAx val="101898496"/>
        <c:crosses val="autoZero"/>
        <c:crossBetween val="between"/>
        <c:majorUnit val="0.5"/>
      </c:valAx>
      <c:valAx>
        <c:axId val="332936832"/>
        <c:scaling>
          <c:orientation val="minMax"/>
          <c:max val="120"/>
          <c:min val="-80"/>
        </c:scaling>
        <c:delete val="0"/>
        <c:axPos val="r"/>
        <c:title>
          <c:tx>
            <c:rich>
              <a:bodyPr/>
              <a:lstStyle/>
              <a:p>
                <a:pPr>
                  <a:defRPr sz="700" b="0" i="1"/>
                </a:pPr>
                <a:r>
                  <a:rPr lang="cs-CZ" sz="700" b="0" i="1"/>
                  <a:t>Očekávání</a:t>
                </a:r>
                <a:r>
                  <a:rPr lang="cs-CZ" sz="700" b="0" i="1" baseline="0"/>
                  <a:t> vývoje zaměstnanosti</a:t>
                </a:r>
                <a:endParaRPr lang="cs-CZ" sz="700" b="0" i="1"/>
              </a:p>
            </c:rich>
          </c:tx>
          <c:layout>
            <c:manualLayout>
              <c:xMode val="edge"/>
              <c:yMode val="edge"/>
              <c:x val="0.97040343782834393"/>
              <c:y val="0.19420735772001382"/>
            </c:manualLayout>
          </c:layout>
          <c:overlay val="0"/>
        </c:title>
        <c:numFmt formatCode="#,##0" sourceLinked="0"/>
        <c:majorTickMark val="out"/>
        <c:minorTickMark val="none"/>
        <c:tickLblPos val="nextTo"/>
        <c:crossAx val="332941824"/>
        <c:crosses val="max"/>
        <c:crossBetween val="between"/>
        <c:majorUnit val="20"/>
      </c:valAx>
      <c:catAx>
        <c:axId val="332941824"/>
        <c:scaling>
          <c:orientation val="minMax"/>
        </c:scaling>
        <c:delete val="1"/>
        <c:axPos val="b"/>
        <c:numFmt formatCode="General" sourceLinked="1"/>
        <c:majorTickMark val="out"/>
        <c:minorTickMark val="none"/>
        <c:tickLblPos val="nextTo"/>
        <c:crossAx val="332936832"/>
        <c:crosses val="autoZero"/>
        <c:auto val="1"/>
        <c:lblAlgn val="ctr"/>
        <c:lblOffset val="100"/>
        <c:noMultiLvlLbl val="0"/>
      </c:catAx>
      <c:spPr>
        <a:ln>
          <a:solidFill>
            <a:schemeClr val="tx1"/>
          </a:solidFill>
        </a:ln>
      </c:spPr>
    </c:plotArea>
    <c:legend>
      <c:legendPos val="b"/>
      <c:layout>
        <c:manualLayout>
          <c:xMode val="edge"/>
          <c:yMode val="edge"/>
          <c:x val="4.692510837063792E-3"/>
          <c:y val="0.7737351285059999"/>
          <c:w val="0.96005692595618608"/>
          <c:h val="0.21194618315349945"/>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2697263565753378E-2"/>
          <c:y val="1.643251153889452E-2"/>
          <c:w val="0.85454194986526066"/>
          <c:h val="0.7575347819089191"/>
        </c:manualLayout>
      </c:layout>
      <c:barChart>
        <c:barDir val="col"/>
        <c:grouping val="clustered"/>
        <c:varyColors val="0"/>
        <c:ser>
          <c:idx val="0"/>
          <c:order val="0"/>
          <c:tx>
            <c:strRef>
              <c:f>'Trh práce-2b'!$A$31</c:f>
              <c:strCache>
                <c:ptCount val="1"/>
                <c:pt idx="0">
                  <c:v>Míra nezaměstnanosti mužů (levá osa)</c:v>
                </c:pt>
              </c:strCache>
            </c:strRef>
          </c:tx>
          <c:spPr>
            <a:solidFill>
              <a:srgbClr val="BCBCBC"/>
            </a:solidFill>
          </c:spPr>
          <c:invertIfNegative val="0"/>
          <c:cat>
            <c:multiLvlStrRef>
              <c:f>'Trh práce-2b'!$B$29:$AO$30</c:f>
              <c:multiLvlStrCache>
                <c:ptCount val="4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práce-2b'!$B$31:$AO$31</c:f>
              <c:numCache>
                <c:formatCode>0.0</c:formatCode>
                <c:ptCount val="40"/>
                <c:pt idx="0">
                  <c:v>7.1222310587771291</c:v>
                </c:pt>
                <c:pt idx="1">
                  <c:v>6.5040963590294716</c:v>
                </c:pt>
                <c:pt idx="2">
                  <c:v>6.1868298155356714</c:v>
                </c:pt>
                <c:pt idx="3">
                  <c:v>6.0848882855580584</c:v>
                </c:pt>
                <c:pt idx="4">
                  <c:v>6.0823251809830436</c:v>
                </c:pt>
                <c:pt idx="5">
                  <c:v>5.9928759221196399</c:v>
                </c:pt>
                <c:pt idx="6">
                  <c:v>5.7708185494822901</c:v>
                </c:pt>
                <c:pt idx="7">
                  <c:v>5.7014641222192459</c:v>
                </c:pt>
                <c:pt idx="8">
                  <c:v>6.0239816383476628</c:v>
                </c:pt>
                <c:pt idx="9">
                  <c:v>5.9801789293095675</c:v>
                </c:pt>
                <c:pt idx="10">
                  <c:v>6.0589931989742736</c:v>
                </c:pt>
                <c:pt idx="11">
                  <c:v>6.2657814315983247</c:v>
                </c:pt>
                <c:pt idx="12">
                  <c:v>6.2974849295155861</c:v>
                </c:pt>
                <c:pt idx="13">
                  <c:v>5.8901278612560946</c:v>
                </c:pt>
                <c:pt idx="14">
                  <c:v>5.9288110102844094</c:v>
                </c:pt>
                <c:pt idx="15">
                  <c:v>5.7714934517862053</c:v>
                </c:pt>
                <c:pt idx="16">
                  <c:v>5.559785395869663</c:v>
                </c:pt>
                <c:pt idx="17">
                  <c:v>5.2121421394263416</c:v>
                </c:pt>
                <c:pt idx="18">
                  <c:v>4.9395151914829318</c:v>
                </c:pt>
                <c:pt idx="19">
                  <c:v>5.0388256676825582</c:v>
                </c:pt>
                <c:pt idx="20">
                  <c:v>5.0131874044559908</c:v>
                </c:pt>
                <c:pt idx="21">
                  <c:v>4.3665973324378511</c:v>
                </c:pt>
                <c:pt idx="22">
                  <c:v>4.0729915934785934</c:v>
                </c:pt>
                <c:pt idx="23">
                  <c:v>3.7787875638426542</c:v>
                </c:pt>
                <c:pt idx="24">
                  <c:v>3.6311432847180378</c:v>
                </c:pt>
                <c:pt idx="25">
                  <c:v>3.5884049321478262</c:v>
                </c:pt>
                <c:pt idx="26">
                  <c:v>3.3848774667099542</c:v>
                </c:pt>
                <c:pt idx="27">
                  <c:v>3.1582150231520685</c:v>
                </c:pt>
                <c:pt idx="28">
                  <c:v>2.6944030725801049</c:v>
                </c:pt>
                <c:pt idx="29">
                  <c:v>2.4854239584490876</c:v>
                </c:pt>
                <c:pt idx="30">
                  <c:v>2.2612852951801585</c:v>
                </c:pt>
                <c:pt idx="31">
                  <c:v>2.040692712952787</c:v>
                </c:pt>
                <c:pt idx="32">
                  <c:v>1.8847925419201967</c:v>
                </c:pt>
                <c:pt idx="33">
                  <c:v>1.8540598888851292</c:v>
                </c:pt>
                <c:pt idx="34">
                  <c:v>1.9092987517683013</c:v>
                </c:pt>
                <c:pt idx="35">
                  <c:v>1.6599173719031948</c:v>
                </c:pt>
                <c:pt idx="36">
                  <c:v>1.7882609909945124</c:v>
                </c:pt>
                <c:pt idx="37">
                  <c:v>1.7098991555637735</c:v>
                </c:pt>
                <c:pt idx="38">
                  <c:v>1.7645142593045797</c:v>
                </c:pt>
                <c:pt idx="39">
                  <c:v>1.8360188093062124</c:v>
                </c:pt>
              </c:numCache>
            </c:numRef>
          </c:val>
          <c:extLst>
            <c:ext xmlns:c16="http://schemas.microsoft.com/office/drawing/2014/chart" uri="{C3380CC4-5D6E-409C-BE32-E72D297353CC}">
              <c16:uniqueId val="{00000000-EDA3-4A7F-814E-96B020043071}"/>
            </c:ext>
          </c:extLst>
        </c:ser>
        <c:ser>
          <c:idx val="1"/>
          <c:order val="1"/>
          <c:tx>
            <c:strRef>
              <c:f>'Trh práce-2b'!$A$32</c:f>
              <c:strCache>
                <c:ptCount val="1"/>
                <c:pt idx="0">
                  <c:v>Míra nezaměstnanosti žen (levá osa)</c:v>
                </c:pt>
              </c:strCache>
            </c:strRef>
          </c:tx>
          <c:spPr>
            <a:solidFill>
              <a:srgbClr val="DBDBDB"/>
            </a:solidFill>
          </c:spPr>
          <c:invertIfNegative val="0"/>
          <c:cat>
            <c:multiLvlStrRef>
              <c:f>'Trh práce-2b'!$B$29:$AO$30</c:f>
              <c:multiLvlStrCache>
                <c:ptCount val="4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práce-2b'!$B$32:$AO$32</c:f>
              <c:numCache>
                <c:formatCode>0.0</c:formatCode>
                <c:ptCount val="40"/>
                <c:pt idx="0">
                  <c:v>8.7733402383789016</c:v>
                </c:pt>
                <c:pt idx="1">
                  <c:v>8.5938620698086066</c:v>
                </c:pt>
                <c:pt idx="2">
                  <c:v>8.4905329595836481</c:v>
                </c:pt>
                <c:pt idx="3">
                  <c:v>8.2864813825391987</c:v>
                </c:pt>
                <c:pt idx="4">
                  <c:v>8.1849032102688568</c:v>
                </c:pt>
                <c:pt idx="5">
                  <c:v>8.1327892524667682</c:v>
                </c:pt>
                <c:pt idx="6">
                  <c:v>7.7852582093109755</c:v>
                </c:pt>
                <c:pt idx="7">
                  <c:v>7.7218638220286584</c:v>
                </c:pt>
                <c:pt idx="8">
                  <c:v>8.0487235217360134</c:v>
                </c:pt>
                <c:pt idx="9">
                  <c:v>8.1767532390671356</c:v>
                </c:pt>
                <c:pt idx="10">
                  <c:v>8.3337721655396795</c:v>
                </c:pt>
                <c:pt idx="11">
                  <c:v>8.5386853099826521</c:v>
                </c:pt>
                <c:pt idx="12">
                  <c:v>8.5152821206058942</c:v>
                </c:pt>
                <c:pt idx="13">
                  <c:v>8.4036038465033425</c:v>
                </c:pt>
                <c:pt idx="14">
                  <c:v>8.3854818028639304</c:v>
                </c:pt>
                <c:pt idx="15">
                  <c:v>8.2646869829213596</c:v>
                </c:pt>
                <c:pt idx="16">
                  <c:v>8.0359917337276272</c:v>
                </c:pt>
                <c:pt idx="17">
                  <c:v>7.6400306885858456</c:v>
                </c:pt>
                <c:pt idx="18">
                  <c:v>7.3084030205244295</c:v>
                </c:pt>
                <c:pt idx="19">
                  <c:v>7.0236358007751685</c:v>
                </c:pt>
                <c:pt idx="20">
                  <c:v>6.9017066920912056</c:v>
                </c:pt>
                <c:pt idx="21">
                  <c:v>6.2230788817730209</c:v>
                </c:pt>
                <c:pt idx="22">
                  <c:v>5.9454546131348947</c:v>
                </c:pt>
                <c:pt idx="23">
                  <c:v>5.6469230753439321</c:v>
                </c:pt>
                <c:pt idx="24">
                  <c:v>5.0811354114478666</c:v>
                </c:pt>
                <c:pt idx="25">
                  <c:v>4.8144257379947879</c:v>
                </c:pt>
                <c:pt idx="26">
                  <c:v>4.8107664564398975</c:v>
                </c:pt>
                <c:pt idx="27">
                  <c:v>4.3670752340835293</c:v>
                </c:pt>
                <c:pt idx="28">
                  <c:v>4.2774258523174993</c:v>
                </c:pt>
                <c:pt idx="29">
                  <c:v>3.9233706935585384</c:v>
                </c:pt>
                <c:pt idx="30">
                  <c:v>3.3879677757094817</c:v>
                </c:pt>
                <c:pt idx="31">
                  <c:v>3.0614906274190763</c:v>
                </c:pt>
                <c:pt idx="32">
                  <c:v>2.925945543020672</c:v>
                </c:pt>
                <c:pt idx="33">
                  <c:v>2.8766197502061659</c:v>
                </c:pt>
                <c:pt idx="34">
                  <c:v>2.8424748719260826</c:v>
                </c:pt>
                <c:pt idx="35">
                  <c:v>2.6569960181597883</c:v>
                </c:pt>
                <c:pt idx="36">
                  <c:v>2.2907914537077962</c:v>
                </c:pt>
                <c:pt idx="37">
                  <c:v>2.4938344627531768</c:v>
                </c:pt>
                <c:pt idx="38">
                  <c:v>2.5519285145904789</c:v>
                </c:pt>
                <c:pt idx="39">
                  <c:v>2.4255311475670802</c:v>
                </c:pt>
              </c:numCache>
            </c:numRef>
          </c:val>
          <c:extLst>
            <c:ext xmlns:c16="http://schemas.microsoft.com/office/drawing/2014/chart" uri="{C3380CC4-5D6E-409C-BE32-E72D297353CC}">
              <c16:uniqueId val="{00000001-EDA3-4A7F-814E-96B020043071}"/>
            </c:ext>
          </c:extLst>
        </c:ser>
        <c:dLbls>
          <c:showLegendKey val="0"/>
          <c:showVal val="0"/>
          <c:showCatName val="0"/>
          <c:showSerName val="0"/>
          <c:showPercent val="0"/>
          <c:showBubbleSize val="0"/>
        </c:dLbls>
        <c:gapWidth val="68"/>
        <c:axId val="100654464"/>
        <c:axId val="101647488"/>
      </c:barChart>
      <c:lineChart>
        <c:grouping val="standard"/>
        <c:varyColors val="0"/>
        <c:ser>
          <c:idx val="2"/>
          <c:order val="2"/>
          <c:tx>
            <c:strRef>
              <c:f>'Trh práce-2b'!$A$33</c:f>
              <c:strCache>
                <c:ptCount val="1"/>
                <c:pt idx="0">
                  <c:v>Podíl nezam. déle než 1 rok (v %, pr. osa)</c:v>
                </c:pt>
              </c:strCache>
            </c:strRef>
          </c:tx>
          <c:spPr>
            <a:ln w="22225"/>
          </c:spPr>
          <c:marker>
            <c:symbol val="none"/>
          </c:marker>
          <c:cat>
            <c:multiLvlStrRef>
              <c:f>'Trh práce-2b'!$B$29:$AO$30</c:f>
              <c:multiLvlStrCache>
                <c:ptCount val="4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práce-2b'!$B$33:$AO$33</c:f>
              <c:numCache>
                <c:formatCode>0.0</c:formatCode>
                <c:ptCount val="40"/>
                <c:pt idx="0">
                  <c:v>35.786982248520715</c:v>
                </c:pt>
                <c:pt idx="1">
                  <c:v>41.548731642189587</c:v>
                </c:pt>
                <c:pt idx="2">
                  <c:v>43.063352044907781</c:v>
                </c:pt>
                <c:pt idx="3">
                  <c:v>44.061724993111056</c:v>
                </c:pt>
                <c:pt idx="4">
                  <c:v>40.032197477864237</c:v>
                </c:pt>
                <c:pt idx="5">
                  <c:v>39.10073989755265</c:v>
                </c:pt>
                <c:pt idx="6">
                  <c:v>40.443536620951271</c:v>
                </c:pt>
                <c:pt idx="7">
                  <c:v>42.797494780793315</c:v>
                </c:pt>
                <c:pt idx="8">
                  <c:v>43.093174431202605</c:v>
                </c:pt>
                <c:pt idx="9">
                  <c:v>44.343117697349683</c:v>
                </c:pt>
                <c:pt idx="10">
                  <c:v>43.272628431639035</c:v>
                </c:pt>
                <c:pt idx="11">
                  <c:v>42.710255734247298</c:v>
                </c:pt>
                <c:pt idx="12">
                  <c:v>43.264578558696208</c:v>
                </c:pt>
                <c:pt idx="13">
                  <c:v>44.41340782122905</c:v>
                </c:pt>
                <c:pt idx="14">
                  <c:v>43.695887445887443</c:v>
                </c:pt>
                <c:pt idx="15">
                  <c:v>42.290377039954983</c:v>
                </c:pt>
                <c:pt idx="16">
                  <c:v>41.140301844605929</c:v>
                </c:pt>
                <c:pt idx="17">
                  <c:v>43.188951663527931</c:v>
                </c:pt>
                <c:pt idx="18">
                  <c:v>43.811960345378957</c:v>
                </c:pt>
                <c:pt idx="19">
                  <c:v>46.249590566655755</c:v>
                </c:pt>
                <c:pt idx="20">
                  <c:v>45.762175838077162</c:v>
                </c:pt>
                <c:pt idx="21">
                  <c:v>46.715049656226128</c:v>
                </c:pt>
                <c:pt idx="22">
                  <c:v>48.521400778210108</c:v>
                </c:pt>
                <c:pt idx="23">
                  <c:v>48.542458808618512</c:v>
                </c:pt>
                <c:pt idx="24">
                  <c:v>45.847750865051907</c:v>
                </c:pt>
                <c:pt idx="25">
                  <c:v>43.490701001430608</c:v>
                </c:pt>
                <c:pt idx="26">
                  <c:v>39.295774647887328</c:v>
                </c:pt>
                <c:pt idx="27">
                  <c:v>39.196242171189979</c:v>
                </c:pt>
                <c:pt idx="28">
                  <c:v>37.093275488069416</c:v>
                </c:pt>
                <c:pt idx="29">
                  <c:v>37.366099558916197</c:v>
                </c:pt>
                <c:pt idx="30">
                  <c:v>32.798931195724784</c:v>
                </c:pt>
                <c:pt idx="31">
                  <c:v>31.546231546231553</c:v>
                </c:pt>
                <c:pt idx="32">
                  <c:v>31.741140215716484</c:v>
                </c:pt>
                <c:pt idx="33">
                  <c:v>30.28764805414551</c:v>
                </c:pt>
                <c:pt idx="34">
                  <c:v>28.796223446105422</c:v>
                </c:pt>
                <c:pt idx="35">
                  <c:v>31.317689530685922</c:v>
                </c:pt>
                <c:pt idx="36">
                  <c:v>32.360984503190522</c:v>
                </c:pt>
                <c:pt idx="37">
                  <c:v>32.2265625</c:v>
                </c:pt>
                <c:pt idx="38">
                  <c:v>26.979982593559615</c:v>
                </c:pt>
                <c:pt idx="39">
                  <c:v>28.623853211009177</c:v>
                </c:pt>
              </c:numCache>
            </c:numRef>
          </c:val>
          <c:smooth val="0"/>
          <c:extLst>
            <c:ext xmlns:c16="http://schemas.microsoft.com/office/drawing/2014/chart" uri="{C3380CC4-5D6E-409C-BE32-E72D297353CC}">
              <c16:uniqueId val="{00000002-EDA3-4A7F-814E-96B020043071}"/>
            </c:ext>
          </c:extLst>
        </c:ser>
        <c:ser>
          <c:idx val="3"/>
          <c:order val="3"/>
          <c:tx>
            <c:strRef>
              <c:f>'Trh práce-2b'!$A$34</c:f>
              <c:strCache>
                <c:ptCount val="1"/>
                <c:pt idx="0">
                  <c:v>Podíl nezam. ve věku 50+  (v %, pr. osa)</c:v>
                </c:pt>
              </c:strCache>
            </c:strRef>
          </c:tx>
          <c:spPr>
            <a:ln w="22225"/>
          </c:spPr>
          <c:marker>
            <c:symbol val="none"/>
          </c:marker>
          <c:cat>
            <c:multiLvlStrRef>
              <c:f>'Trh práce-2b'!$B$29:$AO$30</c:f>
              <c:multiLvlStrCache>
                <c:ptCount val="4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práce-2b'!$B$34:$AO$34</c:f>
              <c:numCache>
                <c:formatCode>0.0</c:formatCode>
                <c:ptCount val="40"/>
                <c:pt idx="0">
                  <c:v>22.485207100591715</c:v>
                </c:pt>
                <c:pt idx="1">
                  <c:v>23.791722296395193</c:v>
                </c:pt>
                <c:pt idx="2">
                  <c:v>23.656776263031272</c:v>
                </c:pt>
                <c:pt idx="3">
                  <c:v>24.221548635987876</c:v>
                </c:pt>
                <c:pt idx="4">
                  <c:v>24.577408103031928</c:v>
                </c:pt>
                <c:pt idx="5">
                  <c:v>23.107569721115539</c:v>
                </c:pt>
                <c:pt idx="6">
                  <c:v>22.935512109716953</c:v>
                </c:pt>
                <c:pt idx="7">
                  <c:v>22.875037280047721</c:v>
                </c:pt>
                <c:pt idx="8">
                  <c:v>22.914409534127845</c:v>
                </c:pt>
                <c:pt idx="9">
                  <c:v>22.969506982046166</c:v>
                </c:pt>
                <c:pt idx="10">
                  <c:v>20.76651263930416</c:v>
                </c:pt>
                <c:pt idx="11">
                  <c:v>23.912470340100185</c:v>
                </c:pt>
                <c:pt idx="12">
                  <c:v>22.969187675070028</c:v>
                </c:pt>
                <c:pt idx="13">
                  <c:v>22.793296089385471</c:v>
                </c:pt>
                <c:pt idx="14">
                  <c:v>21.13095238095238</c:v>
                </c:pt>
                <c:pt idx="15">
                  <c:v>22.059651097355097</c:v>
                </c:pt>
                <c:pt idx="16">
                  <c:v>23.141419787590831</c:v>
                </c:pt>
                <c:pt idx="17">
                  <c:v>21.720025109855616</c:v>
                </c:pt>
                <c:pt idx="18">
                  <c:v>22.161816437480013</c:v>
                </c:pt>
                <c:pt idx="19">
                  <c:v>20.962987225679658</c:v>
                </c:pt>
                <c:pt idx="20">
                  <c:v>23.213156230234031</c:v>
                </c:pt>
                <c:pt idx="21">
                  <c:v>24.140565317035907</c:v>
                </c:pt>
                <c:pt idx="22">
                  <c:v>22.451361867704282</c:v>
                </c:pt>
                <c:pt idx="23">
                  <c:v>23.954372623574148</c:v>
                </c:pt>
                <c:pt idx="24">
                  <c:v>28.157439446366784</c:v>
                </c:pt>
                <c:pt idx="25">
                  <c:v>26.180257510729614</c:v>
                </c:pt>
                <c:pt idx="26">
                  <c:v>22.86384976525822</c:v>
                </c:pt>
                <c:pt idx="27">
                  <c:v>24.947807933194156</c:v>
                </c:pt>
                <c:pt idx="28">
                  <c:v>26.138828633405641</c:v>
                </c:pt>
                <c:pt idx="29">
                  <c:v>24.763705103969755</c:v>
                </c:pt>
                <c:pt idx="30">
                  <c:v>23.380093520374086</c:v>
                </c:pt>
                <c:pt idx="31">
                  <c:v>23.931623931623935</c:v>
                </c:pt>
                <c:pt idx="32">
                  <c:v>25.808936825885976</c:v>
                </c:pt>
                <c:pt idx="33">
                  <c:v>24.957698815566832</c:v>
                </c:pt>
                <c:pt idx="34">
                  <c:v>24.311565696302122</c:v>
                </c:pt>
                <c:pt idx="35">
                  <c:v>23.285198555956679</c:v>
                </c:pt>
                <c:pt idx="36">
                  <c:v>26.253418413855972</c:v>
                </c:pt>
                <c:pt idx="37">
                  <c:v>24.609374999999996</c:v>
                </c:pt>
                <c:pt idx="38">
                  <c:v>26.02262837249782</c:v>
                </c:pt>
                <c:pt idx="39">
                  <c:v>25.596330275229356</c:v>
                </c:pt>
              </c:numCache>
            </c:numRef>
          </c:val>
          <c:smooth val="0"/>
          <c:extLst>
            <c:ext xmlns:c16="http://schemas.microsoft.com/office/drawing/2014/chart" uri="{C3380CC4-5D6E-409C-BE32-E72D297353CC}">
              <c16:uniqueId val="{00000003-EDA3-4A7F-814E-96B020043071}"/>
            </c:ext>
          </c:extLst>
        </c:ser>
        <c:ser>
          <c:idx val="4"/>
          <c:order val="4"/>
          <c:tx>
            <c:strRef>
              <c:f>'Trh práce-2b'!$A$35</c:f>
              <c:strCache>
                <c:ptCount val="1"/>
                <c:pt idx="0">
                  <c:v>Ekon.neaktiv.chtějící pracovat (pr. osa)*</c:v>
                </c:pt>
              </c:strCache>
            </c:strRef>
          </c:tx>
          <c:spPr>
            <a:ln w="22225"/>
          </c:spPr>
          <c:marker>
            <c:symbol val="none"/>
          </c:marker>
          <c:cat>
            <c:multiLvlStrRef>
              <c:f>'Trh práce-2b'!$B$29:$AO$30</c:f>
              <c:multiLvlStrCache>
                <c:ptCount val="4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práce-2b'!$B$35:$AO$35</c:f>
              <c:numCache>
                <c:formatCode>0.0</c:formatCode>
                <c:ptCount val="40"/>
                <c:pt idx="0">
                  <c:v>183.00000000000003</c:v>
                </c:pt>
                <c:pt idx="1">
                  <c:v>183.20000000000002</c:v>
                </c:pt>
                <c:pt idx="2">
                  <c:v>172.5</c:v>
                </c:pt>
                <c:pt idx="3">
                  <c:v>172.00000000000003</c:v>
                </c:pt>
                <c:pt idx="4">
                  <c:v>193.70000000000002</c:v>
                </c:pt>
                <c:pt idx="5">
                  <c:v>184.4</c:v>
                </c:pt>
                <c:pt idx="6">
                  <c:v>188.9</c:v>
                </c:pt>
                <c:pt idx="7">
                  <c:v>183.20000000000002</c:v>
                </c:pt>
                <c:pt idx="8">
                  <c:v>196.60000000000002</c:v>
                </c:pt>
                <c:pt idx="9">
                  <c:v>176.5</c:v>
                </c:pt>
                <c:pt idx="10">
                  <c:v>166.9</c:v>
                </c:pt>
                <c:pt idx="11">
                  <c:v>154.60000000000002</c:v>
                </c:pt>
                <c:pt idx="12">
                  <c:v>167.8</c:v>
                </c:pt>
                <c:pt idx="13">
                  <c:v>147.19999999999999</c:v>
                </c:pt>
                <c:pt idx="14">
                  <c:v>138.80000000000001</c:v>
                </c:pt>
                <c:pt idx="15">
                  <c:v>139.30000000000001</c:v>
                </c:pt>
                <c:pt idx="16">
                  <c:v>145.4</c:v>
                </c:pt>
                <c:pt idx="17">
                  <c:v>137.1</c:v>
                </c:pt>
                <c:pt idx="18">
                  <c:v>129</c:v>
                </c:pt>
                <c:pt idx="19">
                  <c:v>127.10000000000001</c:v>
                </c:pt>
                <c:pt idx="20" formatCode="General">
                  <c:v>138.5</c:v>
                </c:pt>
                <c:pt idx="21" formatCode="General">
                  <c:v>141.4</c:v>
                </c:pt>
                <c:pt idx="22" formatCode="General">
                  <c:v>137.1</c:v>
                </c:pt>
                <c:pt idx="23" formatCode="General">
                  <c:v>130.4</c:v>
                </c:pt>
                <c:pt idx="24" formatCode="General">
                  <c:v>141</c:v>
                </c:pt>
                <c:pt idx="25" formatCode="General">
                  <c:v>126.4</c:v>
                </c:pt>
                <c:pt idx="26" formatCode="General">
                  <c:v>129.69999999999999</c:v>
                </c:pt>
                <c:pt idx="27" formatCode="General">
                  <c:v>127.1</c:v>
                </c:pt>
                <c:pt idx="28">
                  <c:v>133.1</c:v>
                </c:pt>
                <c:pt idx="29">
                  <c:v>120.1</c:v>
                </c:pt>
                <c:pt idx="30">
                  <c:v>121.3</c:v>
                </c:pt>
                <c:pt idx="31">
                  <c:v>119.1</c:v>
                </c:pt>
                <c:pt idx="32">
                  <c:v>113.5</c:v>
                </c:pt>
                <c:pt idx="33">
                  <c:v>108.4</c:v>
                </c:pt>
                <c:pt idx="34">
                  <c:v>110.3</c:v>
                </c:pt>
                <c:pt idx="35">
                  <c:v>101.7</c:v>
                </c:pt>
                <c:pt idx="36">
                  <c:v>104.6</c:v>
                </c:pt>
                <c:pt idx="37">
                  <c:v>104.6</c:v>
                </c:pt>
                <c:pt idx="38">
                  <c:v>98</c:v>
                </c:pt>
                <c:pt idx="39">
                  <c:v>99.9</c:v>
                </c:pt>
              </c:numCache>
            </c:numRef>
          </c:val>
          <c:smooth val="0"/>
          <c:extLst>
            <c:ext xmlns:c16="http://schemas.microsoft.com/office/drawing/2014/chart" uri="{C3380CC4-5D6E-409C-BE32-E72D297353CC}">
              <c16:uniqueId val="{00000004-EDA3-4A7F-814E-96B020043071}"/>
            </c:ext>
          </c:extLst>
        </c:ser>
        <c:ser>
          <c:idx val="5"/>
          <c:order val="5"/>
          <c:tx>
            <c:strRef>
              <c:f>'Trh práce-2b'!$A$36</c:f>
              <c:strCache>
                <c:ptCount val="1"/>
                <c:pt idx="0">
                  <c:v>Saldo očekávání vývoje nezam. (pr. osa)**</c:v>
                </c:pt>
              </c:strCache>
            </c:strRef>
          </c:tx>
          <c:spPr>
            <a:ln w="22225">
              <a:noFill/>
              <a:prstDash val="sysDot"/>
            </a:ln>
          </c:spPr>
          <c:marker>
            <c:symbol val="diamond"/>
            <c:size val="6"/>
            <c:spPr>
              <a:solidFill>
                <a:schemeClr val="tx1">
                  <a:lumMod val="50000"/>
                  <a:lumOff val="50000"/>
                </a:schemeClr>
              </a:solidFill>
              <a:ln>
                <a:noFill/>
              </a:ln>
            </c:spPr>
          </c:marker>
          <c:cat>
            <c:multiLvlStrRef>
              <c:f>'Trh práce-2b'!$B$29:$AO$30</c:f>
              <c:multiLvlStrCache>
                <c:ptCount val="4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práce-2b'!$B$36:$AO$36</c:f>
              <c:numCache>
                <c:formatCode>#\ ##0.0</c:formatCode>
                <c:ptCount val="40"/>
                <c:pt idx="0">
                  <c:v>32.5</c:v>
                </c:pt>
                <c:pt idx="1">
                  <c:v>18.766666666666666</c:v>
                </c:pt>
                <c:pt idx="2">
                  <c:v>24.533333333333331</c:v>
                </c:pt>
                <c:pt idx="3">
                  <c:v>27.900000000000002</c:v>
                </c:pt>
                <c:pt idx="4">
                  <c:v>26.533333333333331</c:v>
                </c:pt>
                <c:pt idx="5">
                  <c:v>21.733333333333334</c:v>
                </c:pt>
                <c:pt idx="6">
                  <c:v>25.166666666666668</c:v>
                </c:pt>
                <c:pt idx="7">
                  <c:v>42.79999999999999</c:v>
                </c:pt>
                <c:pt idx="8">
                  <c:v>42.233333333333334</c:v>
                </c:pt>
                <c:pt idx="9">
                  <c:v>35.833333333333336</c:v>
                </c:pt>
                <c:pt idx="10">
                  <c:v>39.93333333333333</c:v>
                </c:pt>
                <c:pt idx="11">
                  <c:v>43.1</c:v>
                </c:pt>
                <c:pt idx="12">
                  <c:v>44.733333333333327</c:v>
                </c:pt>
                <c:pt idx="13">
                  <c:v>33.4</c:v>
                </c:pt>
                <c:pt idx="14">
                  <c:v>31.766666666666666</c:v>
                </c:pt>
                <c:pt idx="15">
                  <c:v>32.43333333333333</c:v>
                </c:pt>
                <c:pt idx="16">
                  <c:v>21.099999999999998</c:v>
                </c:pt>
                <c:pt idx="17">
                  <c:v>15.433333333333332</c:v>
                </c:pt>
                <c:pt idx="18">
                  <c:v>18.466666666666665</c:v>
                </c:pt>
                <c:pt idx="19">
                  <c:v>14.566666666666668</c:v>
                </c:pt>
                <c:pt idx="20">
                  <c:v>10.833333333333334</c:v>
                </c:pt>
                <c:pt idx="21">
                  <c:v>6.3999999999999995</c:v>
                </c:pt>
                <c:pt idx="22">
                  <c:v>10.366666666666667</c:v>
                </c:pt>
                <c:pt idx="23">
                  <c:v>5.1333333333333337</c:v>
                </c:pt>
                <c:pt idx="24">
                  <c:v>0.20000000000000004</c:v>
                </c:pt>
                <c:pt idx="25">
                  <c:v>5.3666666666666671</c:v>
                </c:pt>
                <c:pt idx="26">
                  <c:v>7.0333333333333341</c:v>
                </c:pt>
                <c:pt idx="27">
                  <c:v>4.166666666666667</c:v>
                </c:pt>
                <c:pt idx="28">
                  <c:v>-1.8</c:v>
                </c:pt>
                <c:pt idx="29">
                  <c:v>-2.6666666666666665</c:v>
                </c:pt>
                <c:pt idx="30">
                  <c:v>1.8666666666666669</c:v>
                </c:pt>
                <c:pt idx="31">
                  <c:v>1.5333333333333332</c:v>
                </c:pt>
                <c:pt idx="32">
                  <c:v>-2</c:v>
                </c:pt>
                <c:pt idx="33">
                  <c:v>-2.4666666666666668</c:v>
                </c:pt>
                <c:pt idx="34">
                  <c:v>1.8999999999999997</c:v>
                </c:pt>
                <c:pt idx="35">
                  <c:v>3.7999999999999994</c:v>
                </c:pt>
                <c:pt idx="36">
                  <c:v>6.5</c:v>
                </c:pt>
                <c:pt idx="37">
                  <c:v>6.5666666666666664</c:v>
                </c:pt>
                <c:pt idx="38">
                  <c:v>12.200000000000001</c:v>
                </c:pt>
                <c:pt idx="39">
                  <c:v>15</c:v>
                </c:pt>
              </c:numCache>
            </c:numRef>
          </c:val>
          <c:smooth val="0"/>
          <c:extLst>
            <c:ext xmlns:c16="http://schemas.microsoft.com/office/drawing/2014/chart" uri="{C3380CC4-5D6E-409C-BE32-E72D297353CC}">
              <c16:uniqueId val="{00000005-EDA3-4A7F-814E-96B020043071}"/>
            </c:ext>
          </c:extLst>
        </c:ser>
        <c:dLbls>
          <c:showLegendKey val="0"/>
          <c:showVal val="0"/>
          <c:showCatName val="0"/>
          <c:showSerName val="0"/>
          <c:showPercent val="0"/>
          <c:showBubbleSize val="0"/>
        </c:dLbls>
        <c:marker val="1"/>
        <c:smooth val="0"/>
        <c:axId val="331670576"/>
        <c:axId val="323971328"/>
      </c:lineChart>
      <c:catAx>
        <c:axId val="100654464"/>
        <c:scaling>
          <c:orientation val="minMax"/>
        </c:scaling>
        <c:delete val="0"/>
        <c:axPos val="b"/>
        <c:numFmt formatCode="General" sourceLinked="0"/>
        <c:majorTickMark val="out"/>
        <c:minorTickMark val="none"/>
        <c:tickLblPos val="low"/>
        <c:spPr>
          <a:ln>
            <a:solidFill>
              <a:schemeClr val="tx1"/>
            </a:solidFill>
          </a:ln>
        </c:spPr>
        <c:crossAx val="101647488"/>
        <c:crossesAt val="-50"/>
        <c:auto val="1"/>
        <c:lblAlgn val="ctr"/>
        <c:lblOffset val="0"/>
        <c:noMultiLvlLbl val="0"/>
      </c:catAx>
      <c:valAx>
        <c:axId val="101647488"/>
        <c:scaling>
          <c:orientation val="minMax"/>
          <c:max val="11"/>
          <c:min val="0"/>
        </c:scaling>
        <c:delete val="0"/>
        <c:axPos val="l"/>
        <c:majorGridlines>
          <c:spPr>
            <a:ln w="6350">
              <a:solidFill>
                <a:schemeClr val="bg1">
                  <a:lumMod val="75000"/>
                </a:schemeClr>
              </a:solidFill>
            </a:ln>
          </c:spPr>
        </c:majorGridlines>
        <c:title>
          <c:tx>
            <c:rich>
              <a:bodyPr/>
              <a:lstStyle/>
              <a:p>
                <a:pPr>
                  <a:defRPr sz="650" b="0" i="1"/>
                </a:pPr>
                <a:r>
                  <a:rPr lang="cs-CZ" sz="650" b="0" i="1"/>
                  <a:t>Míra</a:t>
                </a:r>
                <a:r>
                  <a:rPr lang="cs-CZ" sz="650" b="0" i="1" baseline="0"/>
                  <a:t> nezaměstnanosti</a:t>
                </a:r>
                <a:endParaRPr lang="cs-CZ" sz="650" b="0" i="1"/>
              </a:p>
            </c:rich>
          </c:tx>
          <c:overlay val="0"/>
        </c:title>
        <c:numFmt formatCode="0" sourceLinked="0"/>
        <c:majorTickMark val="out"/>
        <c:minorTickMark val="none"/>
        <c:tickLblPos val="nextTo"/>
        <c:spPr>
          <a:ln>
            <a:solidFill>
              <a:schemeClr val="tx1"/>
            </a:solidFill>
          </a:ln>
        </c:spPr>
        <c:crossAx val="100654464"/>
        <c:crosses val="autoZero"/>
        <c:crossBetween val="between"/>
        <c:majorUnit val="1"/>
      </c:valAx>
      <c:valAx>
        <c:axId val="323971328"/>
        <c:scaling>
          <c:orientation val="minMax"/>
          <c:max val="200"/>
        </c:scaling>
        <c:delete val="0"/>
        <c:axPos val="r"/>
        <c:title>
          <c:tx>
            <c:rich>
              <a:bodyPr/>
              <a:lstStyle/>
              <a:p>
                <a:pPr>
                  <a:defRPr sz="650" b="0" i="1"/>
                </a:pPr>
                <a:r>
                  <a:rPr lang="cs-CZ" sz="650" b="0" i="1"/>
                  <a:t>Počet</a:t>
                </a:r>
                <a:r>
                  <a:rPr lang="cs-CZ" sz="650" b="0" i="1" baseline="0"/>
                  <a:t> ek. neaktivních, p</a:t>
                </a:r>
                <a:r>
                  <a:rPr lang="cs-CZ" sz="650" b="0" i="1"/>
                  <a:t>odíl</a:t>
                </a:r>
                <a:r>
                  <a:rPr lang="cs-CZ" sz="650" b="0" i="1" baseline="0"/>
                  <a:t> nezaměstnaných, očekávání nezam.</a:t>
                </a:r>
                <a:endParaRPr lang="cs-CZ" sz="650" b="0" i="1"/>
              </a:p>
            </c:rich>
          </c:tx>
          <c:overlay val="0"/>
        </c:title>
        <c:numFmt formatCode="#,##0" sourceLinked="0"/>
        <c:majorTickMark val="out"/>
        <c:minorTickMark val="none"/>
        <c:tickLblPos val="nextTo"/>
        <c:crossAx val="331670576"/>
        <c:crosses val="max"/>
        <c:crossBetween val="between"/>
        <c:majorUnit val="20"/>
      </c:valAx>
      <c:catAx>
        <c:axId val="331670576"/>
        <c:scaling>
          <c:orientation val="minMax"/>
        </c:scaling>
        <c:delete val="1"/>
        <c:axPos val="b"/>
        <c:numFmt formatCode="General" sourceLinked="1"/>
        <c:majorTickMark val="out"/>
        <c:minorTickMark val="none"/>
        <c:tickLblPos val="nextTo"/>
        <c:crossAx val="323971328"/>
        <c:crosses val="autoZero"/>
        <c:auto val="1"/>
        <c:lblAlgn val="ctr"/>
        <c:lblOffset val="100"/>
        <c:noMultiLvlLbl val="0"/>
      </c:catAx>
      <c:spPr>
        <a:ln>
          <a:solidFill>
            <a:schemeClr val="tx1"/>
          </a:solidFill>
        </a:ln>
      </c:spPr>
    </c:plotArea>
    <c:legend>
      <c:legendPos val="b"/>
      <c:layout>
        <c:manualLayout>
          <c:xMode val="edge"/>
          <c:yMode val="edge"/>
          <c:x val="1.2332445249685521E-2"/>
          <c:y val="0.87379008846527229"/>
          <c:w val="0.96494720270615286"/>
          <c:h val="0.11915056870890345"/>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0091348527306885E-2"/>
          <c:y val="1.6549886621315273E-2"/>
          <c:w val="0.94100987714831696"/>
          <c:h val="0.76395209750566906"/>
        </c:manualLayout>
      </c:layout>
      <c:barChart>
        <c:barDir val="col"/>
        <c:grouping val="clustered"/>
        <c:varyColors val="0"/>
        <c:ser>
          <c:idx val="4"/>
          <c:order val="1"/>
          <c:tx>
            <c:strRef>
              <c:f>'Trh práce 3'!$D$8</c:f>
              <c:strCache>
                <c:ptCount val="1"/>
                <c:pt idx="0">
                  <c:v>Průměrná mzda celkem (reálně)</c:v>
                </c:pt>
              </c:strCache>
            </c:strRef>
          </c:tx>
          <c:spPr>
            <a:solidFill>
              <a:srgbClr val="DBDBDB"/>
            </a:solidFill>
            <a:ln w="19050">
              <a:noFill/>
            </a:ln>
          </c:spPr>
          <c:invertIfNegative val="0"/>
          <c:cat>
            <c:multiLvlStrRef>
              <c:f>'Trh práce 3'!$A$9:$B$48</c:f>
              <c:multiLvlStrCache>
                <c:ptCount val="4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 3'!$D$9:$D$48</c:f>
              <c:numCache>
                <c:formatCode>#\ ##0.0</c:formatCode>
                <c:ptCount val="40"/>
                <c:pt idx="0">
                  <c:v>2.0999999999999943</c:v>
                </c:pt>
                <c:pt idx="1">
                  <c:v>1.9000000000000057</c:v>
                </c:pt>
                <c:pt idx="2">
                  <c:v>0.29999999999999716</c:v>
                </c:pt>
                <c:pt idx="3">
                  <c:v>-1.4000000000000057</c:v>
                </c:pt>
                <c:pt idx="4">
                  <c:v>1.0999999999999943</c:v>
                </c:pt>
                <c:pt idx="5">
                  <c:v>0.79999999999999716</c:v>
                </c:pt>
                <c:pt idx="6">
                  <c:v>0.29999999999999716</c:v>
                </c:pt>
                <c:pt idx="7">
                  <c:v>0</c:v>
                </c:pt>
                <c:pt idx="8">
                  <c:v>-0.5</c:v>
                </c:pt>
                <c:pt idx="9">
                  <c:v>-1.2999999999999972</c:v>
                </c:pt>
                <c:pt idx="10">
                  <c:v>-1.7999999999999972</c:v>
                </c:pt>
                <c:pt idx="11">
                  <c:v>0.40000000000000568</c:v>
                </c:pt>
                <c:pt idx="12">
                  <c:v>-2.4000000000000057</c:v>
                </c:pt>
                <c:pt idx="13">
                  <c:v>-0.5</c:v>
                </c:pt>
                <c:pt idx="14">
                  <c:v>0</c:v>
                </c:pt>
                <c:pt idx="15">
                  <c:v>-3.0999999999999943</c:v>
                </c:pt>
                <c:pt idx="16">
                  <c:v>3.7000000000000028</c:v>
                </c:pt>
                <c:pt idx="17">
                  <c:v>2.5999999999999943</c:v>
                </c:pt>
                <c:pt idx="18">
                  <c:v>1.5999999999999943</c:v>
                </c:pt>
                <c:pt idx="19">
                  <c:v>2.2999999999999972</c:v>
                </c:pt>
                <c:pt idx="20">
                  <c:v>2.2000000000000028</c:v>
                </c:pt>
                <c:pt idx="21">
                  <c:v>2.5999999999999943</c:v>
                </c:pt>
                <c:pt idx="22">
                  <c:v>3.0999999999999943</c:v>
                </c:pt>
                <c:pt idx="23">
                  <c:v>3.5999999999999943</c:v>
                </c:pt>
                <c:pt idx="24">
                  <c:v>4.2000000000000028</c:v>
                </c:pt>
                <c:pt idx="25">
                  <c:v>3.7999999999999972</c:v>
                </c:pt>
                <c:pt idx="26">
                  <c:v>4.2000000000000028</c:v>
                </c:pt>
                <c:pt idx="27">
                  <c:v>3</c:v>
                </c:pt>
                <c:pt idx="28">
                  <c:v>2.5999999999999943</c:v>
                </c:pt>
                <c:pt idx="29">
                  <c:v>4.9000000000000057</c:v>
                </c:pt>
                <c:pt idx="30">
                  <c:v>4.0999999999999943</c:v>
                </c:pt>
                <c:pt idx="31">
                  <c:v>5.0999999999999943</c:v>
                </c:pt>
                <c:pt idx="32">
                  <c:v>5.7999999999999972</c:v>
                </c:pt>
                <c:pt idx="33">
                  <c:v>5.7000000000000028</c:v>
                </c:pt>
                <c:pt idx="34">
                  <c:v>5.4000000000000057</c:v>
                </c:pt>
                <c:pt idx="35">
                  <c:v>4.2999999999999972</c:v>
                </c:pt>
                <c:pt idx="36">
                  <c:v>4.7000000000000028</c:v>
                </c:pt>
                <c:pt idx="37">
                  <c:v>4.2999999999999972</c:v>
                </c:pt>
                <c:pt idx="38">
                  <c:v>4.0999999999999943</c:v>
                </c:pt>
                <c:pt idx="39">
                  <c:v>3.5999999999999943</c:v>
                </c:pt>
              </c:numCache>
            </c:numRef>
          </c:val>
          <c:extLst>
            <c:ext xmlns:c16="http://schemas.microsoft.com/office/drawing/2014/chart" uri="{C3380CC4-5D6E-409C-BE32-E72D297353CC}">
              <c16:uniqueId val="{00000000-36F0-46EA-9248-610334FDCE73}"/>
            </c:ext>
          </c:extLst>
        </c:ser>
        <c:dLbls>
          <c:showLegendKey val="0"/>
          <c:showVal val="0"/>
          <c:showCatName val="0"/>
          <c:showSerName val="0"/>
          <c:showPercent val="0"/>
          <c:showBubbleSize val="0"/>
        </c:dLbls>
        <c:gapWidth val="37"/>
        <c:axId val="100688640"/>
        <c:axId val="100690560"/>
      </c:barChart>
      <c:lineChart>
        <c:grouping val="standard"/>
        <c:varyColors val="0"/>
        <c:ser>
          <c:idx val="0"/>
          <c:order val="0"/>
          <c:tx>
            <c:strRef>
              <c:f>'Trh práce 3'!$C$8</c:f>
              <c:strCache>
                <c:ptCount val="1"/>
                <c:pt idx="0">
                  <c:v>Průměrná mzda celkem (nominálně)</c:v>
                </c:pt>
              </c:strCache>
            </c:strRef>
          </c:tx>
          <c:spPr>
            <a:ln w="19050">
              <a:solidFill>
                <a:schemeClr val="tx1">
                  <a:lumMod val="95000"/>
                  <a:lumOff val="5000"/>
                </a:schemeClr>
              </a:solidFill>
            </a:ln>
          </c:spPr>
          <c:marker>
            <c:symbol val="none"/>
          </c:marker>
          <c:cat>
            <c:multiLvlStrRef>
              <c:f>'Trh práce 3'!$A$9:$B$48</c:f>
              <c:multiLvlStrCache>
                <c:ptCount val="4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 3'!$C$9:$C$48</c:f>
              <c:numCache>
                <c:formatCode>0.0</c:formatCode>
                <c:ptCount val="40"/>
                <c:pt idx="0">
                  <c:v>2.8496471865388173</c:v>
                </c:pt>
                <c:pt idx="1">
                  <c:v>3.1058080364976206</c:v>
                </c:pt>
                <c:pt idx="2">
                  <c:v>2.2043220302282265</c:v>
                </c:pt>
                <c:pt idx="3">
                  <c:v>0.68062003304744678</c:v>
                </c:pt>
                <c:pt idx="4">
                  <c:v>2.7882839299850417</c:v>
                </c:pt>
                <c:pt idx="5">
                  <c:v>2.6038121170864486</c:v>
                </c:pt>
                <c:pt idx="6">
                  <c:v>2.1483050847457719</c:v>
                </c:pt>
                <c:pt idx="7">
                  <c:v>2.4227267398694892</c:v>
                </c:pt>
                <c:pt idx="8">
                  <c:v>3.247475611843214</c:v>
                </c:pt>
                <c:pt idx="9">
                  <c:v>2.1189251948913608</c:v>
                </c:pt>
                <c:pt idx="10">
                  <c:v>1.3771933463309551</c:v>
                </c:pt>
                <c:pt idx="11">
                  <c:v>3.2200221281141381</c:v>
                </c:pt>
                <c:pt idx="12">
                  <c:v>-0.60503087315071014</c:v>
                </c:pt>
                <c:pt idx="13">
                  <c:v>1.0151459779916365</c:v>
                </c:pt>
                <c:pt idx="14">
                  <c:v>1.2111788534719068</c:v>
                </c:pt>
                <c:pt idx="15">
                  <c:v>-1.9589724635002739</c:v>
                </c:pt>
                <c:pt idx="16">
                  <c:v>3.9441317490097987</c:v>
                </c:pt>
                <c:pt idx="17">
                  <c:v>2.7816858946014378</c:v>
                </c:pt>
                <c:pt idx="18">
                  <c:v>2.1993127147766245</c:v>
                </c:pt>
                <c:pt idx="19">
                  <c:v>2.7747408105560822</c:v>
                </c:pt>
                <c:pt idx="20">
                  <c:v>2.2702659339777824</c:v>
                </c:pt>
                <c:pt idx="21">
                  <c:v>3.2813172200711875</c:v>
                </c:pt>
                <c:pt idx="22">
                  <c:v>3.4969737726967054</c:v>
                </c:pt>
                <c:pt idx="23">
                  <c:v>3.657239279556876</c:v>
                </c:pt>
                <c:pt idx="24">
                  <c:v>4.6515276307016507</c:v>
                </c:pt>
                <c:pt idx="25">
                  <c:v>3.9533474704634983</c:v>
                </c:pt>
                <c:pt idx="26">
                  <c:v>4.7127622979016053</c:v>
                </c:pt>
                <c:pt idx="27">
                  <c:v>4.3633661264066887</c:v>
                </c:pt>
                <c:pt idx="28">
                  <c:v>5.0631488213469282</c:v>
                </c:pt>
                <c:pt idx="29">
                  <c:v>7.2125892466851269</c:v>
                </c:pt>
                <c:pt idx="30">
                  <c:v>6.7090086143962679</c:v>
                </c:pt>
                <c:pt idx="31">
                  <c:v>7.8362890373334153</c:v>
                </c:pt>
                <c:pt idx="32">
                  <c:v>7.8333452236569912</c:v>
                </c:pt>
                <c:pt idx="33">
                  <c:v>8.0966295188910067</c:v>
                </c:pt>
                <c:pt idx="34">
                  <c:v>7.864130806595071</c:v>
                </c:pt>
                <c:pt idx="35">
                  <c:v>6.5058801333249363</c:v>
                </c:pt>
                <c:pt idx="36">
                  <c:v>7.4727092292424828</c:v>
                </c:pt>
                <c:pt idx="37">
                  <c:v>7.2292943580072375</c:v>
                </c:pt>
                <c:pt idx="38">
                  <c:v>6.9736466558843091</c:v>
                </c:pt>
                <c:pt idx="39">
                  <c:v>6.7107555135661698</c:v>
                </c:pt>
              </c:numCache>
            </c:numRef>
          </c:val>
          <c:smooth val="0"/>
          <c:extLst>
            <c:ext xmlns:c16="http://schemas.microsoft.com/office/drawing/2014/chart" uri="{C3380CC4-5D6E-409C-BE32-E72D297353CC}">
              <c16:uniqueId val="{00000001-36F0-46EA-9248-610334FDCE73}"/>
            </c:ext>
          </c:extLst>
        </c:ser>
        <c:ser>
          <c:idx val="5"/>
          <c:order val="2"/>
          <c:tx>
            <c:strRef>
              <c:f>'Trh práce 3'!$E$8</c:f>
              <c:strCache>
                <c:ptCount val="1"/>
                <c:pt idx="0">
                  <c:v>Prům. mzda ve zprac. průmyslu (nomin.)</c:v>
                </c:pt>
              </c:strCache>
            </c:strRef>
          </c:tx>
          <c:spPr>
            <a:ln w="15875">
              <a:prstDash val="sysDash"/>
            </a:ln>
          </c:spPr>
          <c:marker>
            <c:symbol val="none"/>
          </c:marker>
          <c:cat>
            <c:multiLvlStrRef>
              <c:f>'Trh práce 3'!$A$9:$B$48</c:f>
              <c:multiLvlStrCache>
                <c:ptCount val="4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 3'!$E$9:$E$48</c:f>
              <c:numCache>
                <c:formatCode>0.0</c:formatCode>
                <c:ptCount val="40"/>
                <c:pt idx="0">
                  <c:v>5.5741522340270677</c:v>
                </c:pt>
                <c:pt idx="1">
                  <c:v>4.6596136154553705</c:v>
                </c:pt>
                <c:pt idx="2">
                  <c:v>3.4155684253727827</c:v>
                </c:pt>
                <c:pt idx="3">
                  <c:v>4.1331027793007422</c:v>
                </c:pt>
                <c:pt idx="4">
                  <c:v>4.0529363110008347</c:v>
                </c:pt>
                <c:pt idx="5">
                  <c:v>4.5092954775194301</c:v>
                </c:pt>
                <c:pt idx="6">
                  <c:v>3.2013405062174769</c:v>
                </c:pt>
                <c:pt idx="7">
                  <c:v>2.3814345308006892</c:v>
                </c:pt>
                <c:pt idx="8">
                  <c:v>3.8288288288288186</c:v>
                </c:pt>
                <c:pt idx="9">
                  <c:v>3.0152655704613238</c:v>
                </c:pt>
                <c:pt idx="10">
                  <c:v>1.9056571526234762</c:v>
                </c:pt>
                <c:pt idx="11">
                  <c:v>2.9589778076664572</c:v>
                </c:pt>
                <c:pt idx="12">
                  <c:v>0.506146059291396</c:v>
                </c:pt>
                <c:pt idx="13">
                  <c:v>1.9962442847811843</c:v>
                </c:pt>
                <c:pt idx="14">
                  <c:v>2.259958071278831</c:v>
                </c:pt>
                <c:pt idx="15">
                  <c:v>0.53021861912630186</c:v>
                </c:pt>
                <c:pt idx="16">
                  <c:v>4.7947524333474405</c:v>
                </c:pt>
                <c:pt idx="17">
                  <c:v>3.366019611767058</c:v>
                </c:pt>
                <c:pt idx="18">
                  <c:v>2.8824470047972568</c:v>
                </c:pt>
                <c:pt idx="19">
                  <c:v>3.6690235046818316</c:v>
                </c:pt>
                <c:pt idx="20">
                  <c:v>1.9747203489076384</c:v>
                </c:pt>
                <c:pt idx="21">
                  <c:v>3.0821652598156817</c:v>
                </c:pt>
                <c:pt idx="22">
                  <c:v>3.263988522238165</c:v>
                </c:pt>
                <c:pt idx="23">
                  <c:v>3.2258064516128968</c:v>
                </c:pt>
                <c:pt idx="24">
                  <c:v>4.9619832092507465</c:v>
                </c:pt>
                <c:pt idx="25">
                  <c:v>4.2070468033956985</c:v>
                </c:pt>
                <c:pt idx="26">
                  <c:v>4.939986878159857</c:v>
                </c:pt>
                <c:pt idx="27">
                  <c:v>4.4500000000000028</c:v>
                </c:pt>
                <c:pt idx="28">
                  <c:v>5.3386153555932765</c:v>
                </c:pt>
                <c:pt idx="29">
                  <c:v>8.1825391103741651</c:v>
                </c:pt>
                <c:pt idx="30">
                  <c:v>6.9545070059946283</c:v>
                </c:pt>
                <c:pt idx="31">
                  <c:v>6.9958284893660618</c:v>
                </c:pt>
                <c:pt idx="32">
                  <c:v>7.0128939828080235</c:v>
                </c:pt>
                <c:pt idx="33">
                  <c:v>7.5503132080501132</c:v>
                </c:pt>
                <c:pt idx="34">
                  <c:v>6.6914242486761424</c:v>
                </c:pt>
                <c:pt idx="35">
                  <c:v>7.0241595295922394</c:v>
                </c:pt>
                <c:pt idx="36">
                  <c:v>6.5533168217417455</c:v>
                </c:pt>
                <c:pt idx="37">
                  <c:v>6.4873907924902312</c:v>
                </c:pt>
                <c:pt idx="38">
                  <c:v>6.0268144901379372</c:v>
                </c:pt>
                <c:pt idx="39">
                  <c:v>4.9596894595401579</c:v>
                </c:pt>
              </c:numCache>
            </c:numRef>
          </c:val>
          <c:smooth val="0"/>
          <c:extLst>
            <c:ext xmlns:c16="http://schemas.microsoft.com/office/drawing/2014/chart" uri="{C3380CC4-5D6E-409C-BE32-E72D297353CC}">
              <c16:uniqueId val="{00000002-36F0-46EA-9248-610334FDCE73}"/>
            </c:ext>
          </c:extLst>
        </c:ser>
        <c:ser>
          <c:idx val="1"/>
          <c:order val="3"/>
          <c:tx>
            <c:strRef>
              <c:f>'Trh práce 3'!$F$8</c:f>
              <c:strCache>
                <c:ptCount val="1"/>
                <c:pt idx="0">
                  <c:v>Prům. mzda v obchodu (nominálně)</c:v>
                </c:pt>
              </c:strCache>
            </c:strRef>
          </c:tx>
          <c:spPr>
            <a:ln w="15875">
              <a:solidFill>
                <a:schemeClr val="accent1"/>
              </a:solidFill>
              <a:prstDash val="sysDash"/>
            </a:ln>
          </c:spPr>
          <c:marker>
            <c:symbol val="none"/>
          </c:marker>
          <c:cat>
            <c:multiLvlStrRef>
              <c:f>'Trh práce 3'!$A$9:$B$48</c:f>
              <c:multiLvlStrCache>
                <c:ptCount val="4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 3'!$F$9:$F$48</c:f>
              <c:numCache>
                <c:formatCode>0.0</c:formatCode>
                <c:ptCount val="40"/>
                <c:pt idx="0">
                  <c:v>2.4757068216221541</c:v>
                </c:pt>
                <c:pt idx="1">
                  <c:v>3.7727708533077617</c:v>
                </c:pt>
                <c:pt idx="2">
                  <c:v>2.8297025064417909</c:v>
                </c:pt>
                <c:pt idx="3">
                  <c:v>3.460238001141704</c:v>
                </c:pt>
                <c:pt idx="4">
                  <c:v>3.2593157342990509</c:v>
                </c:pt>
                <c:pt idx="5">
                  <c:v>3.7187601053263677</c:v>
                </c:pt>
                <c:pt idx="6">
                  <c:v>2.6743815207982209</c:v>
                </c:pt>
                <c:pt idx="7">
                  <c:v>4.3291880650227199</c:v>
                </c:pt>
                <c:pt idx="8">
                  <c:v>4.0793724042454897</c:v>
                </c:pt>
                <c:pt idx="9">
                  <c:v>0.74380901478710371</c:v>
                </c:pt>
                <c:pt idx="10">
                  <c:v>0.80315938942136711</c:v>
                </c:pt>
                <c:pt idx="11">
                  <c:v>3.3521825800414859</c:v>
                </c:pt>
                <c:pt idx="12">
                  <c:v>-0.36357187195176266</c:v>
                </c:pt>
                <c:pt idx="13">
                  <c:v>0.83115964454663072</c:v>
                </c:pt>
                <c:pt idx="14">
                  <c:v>1.2941849716071658</c:v>
                </c:pt>
                <c:pt idx="15">
                  <c:v>-4.6290100373942096</c:v>
                </c:pt>
                <c:pt idx="16">
                  <c:v>3.4576361694553128</c:v>
                </c:pt>
                <c:pt idx="17">
                  <c:v>4.1785416758012985</c:v>
                </c:pt>
                <c:pt idx="18">
                  <c:v>2.8899222111164136</c:v>
                </c:pt>
                <c:pt idx="19">
                  <c:v>2.761153989021409</c:v>
                </c:pt>
                <c:pt idx="20">
                  <c:v>3.1055099144049194</c:v>
                </c:pt>
                <c:pt idx="21">
                  <c:v>3.9141414141414117</c:v>
                </c:pt>
                <c:pt idx="22">
                  <c:v>3.949146815340427</c:v>
                </c:pt>
                <c:pt idx="23">
                  <c:v>5.7916298497871423</c:v>
                </c:pt>
                <c:pt idx="24">
                  <c:v>5.6443202202661524</c:v>
                </c:pt>
                <c:pt idx="25">
                  <c:v>3.9570676387201189</c:v>
                </c:pt>
                <c:pt idx="26">
                  <c:v>4.9977652269310511</c:v>
                </c:pt>
                <c:pt idx="27">
                  <c:v>4.4950645406226215</c:v>
                </c:pt>
                <c:pt idx="28">
                  <c:v>5.6231243089559229</c:v>
                </c:pt>
                <c:pt idx="29">
                  <c:v>7.9284684614485457</c:v>
                </c:pt>
                <c:pt idx="30">
                  <c:v>7.693200727526019</c:v>
                </c:pt>
                <c:pt idx="31">
                  <c:v>8.3926754832146457</c:v>
                </c:pt>
                <c:pt idx="32">
                  <c:v>7.2416629280693883</c:v>
                </c:pt>
                <c:pt idx="33">
                  <c:v>6.9272976680384062</c:v>
                </c:pt>
                <c:pt idx="34">
                  <c:v>6.7016421718351324</c:v>
                </c:pt>
                <c:pt idx="35">
                  <c:v>6.4389622578266312</c:v>
                </c:pt>
                <c:pt idx="36">
                  <c:v>8.3806867700889001</c:v>
                </c:pt>
                <c:pt idx="37">
                  <c:v>6.0092501941190477</c:v>
                </c:pt>
                <c:pt idx="38">
                  <c:v>6.9475314878426673</c:v>
                </c:pt>
                <c:pt idx="39">
                  <c:v>4.704770902220119</c:v>
                </c:pt>
              </c:numCache>
            </c:numRef>
          </c:val>
          <c:smooth val="0"/>
          <c:extLst>
            <c:ext xmlns:c16="http://schemas.microsoft.com/office/drawing/2014/chart" uri="{C3380CC4-5D6E-409C-BE32-E72D297353CC}">
              <c16:uniqueId val="{00000003-36F0-46EA-9248-610334FDCE73}"/>
            </c:ext>
          </c:extLst>
        </c:ser>
        <c:ser>
          <c:idx val="2"/>
          <c:order val="4"/>
          <c:tx>
            <c:strRef>
              <c:f>'Trh práce 3'!$G$8</c:f>
              <c:strCache>
                <c:ptCount val="1"/>
                <c:pt idx="0">
                  <c:v>Prům. mzda ve veř. službách (nomin.)*</c:v>
                </c:pt>
              </c:strCache>
            </c:strRef>
          </c:tx>
          <c:spPr>
            <a:ln w="15875">
              <a:prstDash val="sysDash"/>
            </a:ln>
          </c:spPr>
          <c:marker>
            <c:symbol val="none"/>
          </c:marker>
          <c:cat>
            <c:multiLvlStrRef>
              <c:f>'Trh práce 3'!$A$9:$B$48</c:f>
              <c:multiLvlStrCache>
                <c:ptCount val="4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 3'!$G$9:$G$48</c:f>
              <c:numCache>
                <c:formatCode>0.0</c:formatCode>
                <c:ptCount val="40"/>
                <c:pt idx="0">
                  <c:v>4.1711124485526927</c:v>
                </c:pt>
                <c:pt idx="1">
                  <c:v>1.6767766823809593</c:v>
                </c:pt>
                <c:pt idx="2">
                  <c:v>-0.43902053467353946</c:v>
                </c:pt>
                <c:pt idx="3">
                  <c:v>-3.6166135148511689</c:v>
                </c:pt>
                <c:pt idx="4">
                  <c:v>1.2329962882450228E-3</c:v>
                </c:pt>
                <c:pt idx="5">
                  <c:v>1.1328852086516361</c:v>
                </c:pt>
                <c:pt idx="6">
                  <c:v>2.397948860924628</c:v>
                </c:pt>
                <c:pt idx="7">
                  <c:v>3.139137288107821</c:v>
                </c:pt>
                <c:pt idx="8">
                  <c:v>3.317698985560027</c:v>
                </c:pt>
                <c:pt idx="9">
                  <c:v>1.8126282295065337</c:v>
                </c:pt>
                <c:pt idx="10">
                  <c:v>2.043381387387051</c:v>
                </c:pt>
                <c:pt idx="11">
                  <c:v>1.2181683242264376</c:v>
                </c:pt>
                <c:pt idx="12">
                  <c:v>2.3538775240305843E-2</c:v>
                </c:pt>
                <c:pt idx="13">
                  <c:v>1.5581583268922845</c:v>
                </c:pt>
                <c:pt idx="14">
                  <c:v>0.6075912505151323</c:v>
                </c:pt>
                <c:pt idx="15">
                  <c:v>0.11001449422403142</c:v>
                </c:pt>
                <c:pt idx="16">
                  <c:v>2.269026119165368</c:v>
                </c:pt>
                <c:pt idx="17">
                  <c:v>1.7831306827168456</c:v>
                </c:pt>
                <c:pt idx="18">
                  <c:v>1.9833555108015588</c:v>
                </c:pt>
                <c:pt idx="19">
                  <c:v>4.0071119221970513</c:v>
                </c:pt>
                <c:pt idx="20">
                  <c:v>3.2530785072835906</c:v>
                </c:pt>
                <c:pt idx="21">
                  <c:v>4.2345225255887042</c:v>
                </c:pt>
                <c:pt idx="22">
                  <c:v>3.7826123610902629</c:v>
                </c:pt>
                <c:pt idx="23">
                  <c:v>3.6520863050351235</c:v>
                </c:pt>
                <c:pt idx="24">
                  <c:v>4.5612595293778977</c:v>
                </c:pt>
                <c:pt idx="25">
                  <c:v>3.7795053104986027</c:v>
                </c:pt>
                <c:pt idx="26">
                  <c:v>4.8333320772190307</c:v>
                </c:pt>
                <c:pt idx="27">
                  <c:v>6.1391055152858494</c:v>
                </c:pt>
                <c:pt idx="28">
                  <c:v>5.4601382386938617</c:v>
                </c:pt>
                <c:pt idx="29">
                  <c:v>7.3051156068769734</c:v>
                </c:pt>
                <c:pt idx="30">
                  <c:v>7.9977324017314544</c:v>
                </c:pt>
                <c:pt idx="31">
                  <c:v>10.560301374473843</c:v>
                </c:pt>
                <c:pt idx="32">
                  <c:v>11.711321801907827</c:v>
                </c:pt>
                <c:pt idx="33">
                  <c:v>11.517964430852357</c:v>
                </c:pt>
                <c:pt idx="34">
                  <c:v>11.054338232306719</c:v>
                </c:pt>
                <c:pt idx="35">
                  <c:v>5.7087521833103789</c:v>
                </c:pt>
                <c:pt idx="36">
                  <c:v>9.069940074213795</c:v>
                </c:pt>
                <c:pt idx="37">
                  <c:v>8.8763414495049116</c:v>
                </c:pt>
                <c:pt idx="38">
                  <c:v>8.0313314538348077</c:v>
                </c:pt>
                <c:pt idx="39">
                  <c:v>10.645148682396274</c:v>
                </c:pt>
              </c:numCache>
            </c:numRef>
          </c:val>
          <c:smooth val="0"/>
          <c:extLst>
            <c:ext xmlns:c16="http://schemas.microsoft.com/office/drawing/2014/chart" uri="{C3380CC4-5D6E-409C-BE32-E72D297353CC}">
              <c16:uniqueId val="{00000004-36F0-46EA-9248-610334FDCE73}"/>
            </c:ext>
          </c:extLst>
        </c:ser>
        <c:ser>
          <c:idx val="3"/>
          <c:order val="5"/>
          <c:tx>
            <c:strRef>
              <c:f>'Trh práce 3'!$H$8</c:f>
              <c:strCache>
                <c:ptCount val="1"/>
                <c:pt idx="0">
                  <c:v>Produktivita práce v NH (reálně)**</c:v>
                </c:pt>
              </c:strCache>
            </c:strRef>
          </c:tx>
          <c:spPr>
            <a:ln w="19050">
              <a:noFill/>
            </a:ln>
          </c:spPr>
          <c:marker>
            <c:symbol val="diamond"/>
            <c:size val="5"/>
            <c:spPr>
              <a:solidFill>
                <a:srgbClr val="F6F000"/>
              </a:solidFill>
              <a:ln w="6350">
                <a:solidFill>
                  <a:schemeClr val="bg1">
                    <a:lumMod val="50000"/>
                  </a:schemeClr>
                </a:solidFill>
              </a:ln>
            </c:spPr>
          </c:marker>
          <c:cat>
            <c:multiLvlStrRef>
              <c:f>'Trh práce 3'!$A$9:$B$48</c:f>
              <c:multiLvlStrCache>
                <c:ptCount val="4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 3'!$H$9:$H$48</c:f>
              <c:numCache>
                <c:formatCode>0.0</c:formatCode>
                <c:ptCount val="40"/>
                <c:pt idx="0">
                  <c:v>3.5332846838865208</c:v>
                </c:pt>
                <c:pt idx="1">
                  <c:v>4.425122650740704</c:v>
                </c:pt>
                <c:pt idx="2">
                  <c:v>2.3152819998793319</c:v>
                </c:pt>
                <c:pt idx="3">
                  <c:v>2.9717863026053948</c:v>
                </c:pt>
                <c:pt idx="4">
                  <c:v>2.9527260280244576</c:v>
                </c:pt>
                <c:pt idx="5">
                  <c:v>2.0923191727528945</c:v>
                </c:pt>
                <c:pt idx="6">
                  <c:v>1.8080251400873806</c:v>
                </c:pt>
                <c:pt idx="7">
                  <c:v>1.5019620723850409</c:v>
                </c:pt>
                <c:pt idx="8">
                  <c:v>0.41537995919813397</c:v>
                </c:pt>
                <c:pt idx="9">
                  <c:v>-1.2819231607881107</c:v>
                </c:pt>
                <c:pt idx="10">
                  <c:v>-1.8249350322319771</c:v>
                </c:pt>
                <c:pt idx="11">
                  <c:v>-2.0588258996494346</c:v>
                </c:pt>
                <c:pt idx="12">
                  <c:v>-2.8802810421720295</c:v>
                </c:pt>
                <c:pt idx="13">
                  <c:v>-1.8279480046633836</c:v>
                </c:pt>
                <c:pt idx="14">
                  <c:v>0.4046193699375209</c:v>
                </c:pt>
                <c:pt idx="15">
                  <c:v>0.95515229453815209</c:v>
                </c:pt>
                <c:pt idx="16">
                  <c:v>1.7448585072078089</c:v>
                </c:pt>
                <c:pt idx="17">
                  <c:v>2.7515963261383547</c:v>
                </c:pt>
                <c:pt idx="18">
                  <c:v>3.0294730201186439</c:v>
                </c:pt>
                <c:pt idx="19">
                  <c:v>1.0840279704352724</c:v>
                </c:pt>
                <c:pt idx="20">
                  <c:v>3.7518410336967918</c:v>
                </c:pt>
                <c:pt idx="21">
                  <c:v>4.1202609165826658</c:v>
                </c:pt>
                <c:pt idx="22">
                  <c:v>3.76028698995718</c:v>
                </c:pt>
                <c:pt idx="23">
                  <c:v>3.6745015563024737</c:v>
                </c:pt>
                <c:pt idx="24">
                  <c:v>1.4752745888902723</c:v>
                </c:pt>
                <c:pt idx="25">
                  <c:v>2.0687313721092977</c:v>
                </c:pt>
                <c:pt idx="26">
                  <c:v>6.7689948363209851E-2</c:v>
                </c:pt>
                <c:pt idx="27">
                  <c:v>-0.12588932224844029</c:v>
                </c:pt>
                <c:pt idx="28">
                  <c:v>2.1906602546173986</c:v>
                </c:pt>
                <c:pt idx="29">
                  <c:v>2.4032448321291326</c:v>
                </c:pt>
                <c:pt idx="30">
                  <c:v>2.7730189049163272</c:v>
                </c:pt>
                <c:pt idx="31">
                  <c:v>3.598660449921212</c:v>
                </c:pt>
                <c:pt idx="32">
                  <c:v>1.861141408768475</c:v>
                </c:pt>
                <c:pt idx="33">
                  <c:v>0.88927516359949266</c:v>
                </c:pt>
                <c:pt idx="34">
                  <c:v>1.4687747488576264</c:v>
                </c:pt>
                <c:pt idx="35">
                  <c:v>1.7348990509101299</c:v>
                </c:pt>
                <c:pt idx="36">
                  <c:v>1.3677883176795689</c:v>
                </c:pt>
                <c:pt idx="37">
                  <c:v>1.5376137121939593</c:v>
                </c:pt>
                <c:pt idx="38">
                  <c:v>2.653863108224769</c:v>
                </c:pt>
                <c:pt idx="39">
                  <c:v>1.5144868351771237</c:v>
                </c:pt>
              </c:numCache>
            </c:numRef>
          </c:val>
          <c:smooth val="0"/>
          <c:extLst>
            <c:ext xmlns:c16="http://schemas.microsoft.com/office/drawing/2014/chart" uri="{C3380CC4-5D6E-409C-BE32-E72D297353CC}">
              <c16:uniqueId val="{00000005-36F0-46EA-9248-610334FDCE73}"/>
            </c:ext>
          </c:extLst>
        </c:ser>
        <c:dLbls>
          <c:showLegendKey val="0"/>
          <c:showVal val="0"/>
          <c:showCatName val="0"/>
          <c:showSerName val="0"/>
          <c:showPercent val="0"/>
          <c:showBubbleSize val="0"/>
        </c:dLbls>
        <c:marker val="1"/>
        <c:smooth val="0"/>
        <c:axId val="100688640"/>
        <c:axId val="100690560"/>
      </c:lineChart>
      <c:catAx>
        <c:axId val="100688640"/>
        <c:scaling>
          <c:orientation val="minMax"/>
        </c:scaling>
        <c:delete val="0"/>
        <c:axPos val="b"/>
        <c:numFmt formatCode="General" sourceLinked="1"/>
        <c:majorTickMark val="out"/>
        <c:minorTickMark val="none"/>
        <c:tickLblPos val="low"/>
        <c:spPr>
          <a:ln>
            <a:solidFill>
              <a:schemeClr val="tx1"/>
            </a:solidFill>
          </a:ln>
        </c:spPr>
        <c:txPr>
          <a:bodyPr rot="0" vert="horz"/>
          <a:lstStyle/>
          <a:p>
            <a:pPr>
              <a:defRPr/>
            </a:pPr>
            <a:endParaRPr lang="cs-CZ"/>
          </a:p>
        </c:txPr>
        <c:crossAx val="100690560"/>
        <c:crosses val="autoZero"/>
        <c:auto val="1"/>
        <c:lblAlgn val="ctr"/>
        <c:lblOffset val="0"/>
        <c:tickMarkSkip val="4"/>
        <c:noMultiLvlLbl val="0"/>
      </c:catAx>
      <c:valAx>
        <c:axId val="100690560"/>
        <c:scaling>
          <c:orientation val="minMax"/>
          <c:max val="12"/>
          <c:min val="-5"/>
        </c:scaling>
        <c:delete val="0"/>
        <c:axPos val="l"/>
        <c:majorGridlines>
          <c:spPr>
            <a:ln>
              <a:solidFill>
                <a:schemeClr val="bg1">
                  <a:lumMod val="75000"/>
                </a:schemeClr>
              </a:solidFill>
            </a:ln>
          </c:spPr>
        </c:majorGridlines>
        <c:numFmt formatCode="0" sourceLinked="0"/>
        <c:majorTickMark val="out"/>
        <c:minorTickMark val="none"/>
        <c:tickLblPos val="nextTo"/>
        <c:spPr>
          <a:ln>
            <a:solidFill>
              <a:schemeClr val="tx1"/>
            </a:solidFill>
          </a:ln>
        </c:spPr>
        <c:crossAx val="100688640"/>
        <c:crosses val="autoZero"/>
        <c:crossBetween val="between"/>
        <c:majorUnit val="1"/>
      </c:valAx>
      <c:spPr>
        <a:ln>
          <a:solidFill>
            <a:schemeClr val="tx1"/>
          </a:solidFill>
        </a:ln>
      </c:spPr>
    </c:plotArea>
    <c:legend>
      <c:legendPos val="b"/>
      <c:layout>
        <c:manualLayout>
          <c:xMode val="edge"/>
          <c:yMode val="edge"/>
          <c:x val="3.1246167703413017E-2"/>
          <c:y val="0.87578174603174608"/>
          <c:w val="0.95532757942632895"/>
          <c:h val="0.11341893424036281"/>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9581433637284705E-2"/>
          <c:y val="2.1711264016309892E-2"/>
          <c:w val="0.93508633063154345"/>
          <c:h val="0.73130361364405005"/>
        </c:manualLayout>
      </c:layout>
      <c:barChart>
        <c:barDir val="col"/>
        <c:grouping val="clustered"/>
        <c:varyColors val="0"/>
        <c:ser>
          <c:idx val="0"/>
          <c:order val="0"/>
          <c:tx>
            <c:strRef>
              <c:f>'Měnové podmínky 1'!$C$5</c:f>
              <c:strCache>
                <c:ptCount val="1"/>
                <c:pt idx="0">
                  <c:v>2T repo sazba</c:v>
                </c:pt>
              </c:strCache>
            </c:strRef>
          </c:tx>
          <c:spPr>
            <a:solidFill>
              <a:schemeClr val="bg1">
                <a:lumMod val="65000"/>
              </a:schemeClr>
            </a:solidFill>
          </c:spPr>
          <c:invertIfNegative val="0"/>
          <c:cat>
            <c:multiLvlStrRef>
              <c:f>'Měnové podmínky 1'!$A$30:$B$101</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2014</c:v>
                  </c:pt>
                  <c:pt idx="12">
                    <c:v>2015</c:v>
                  </c:pt>
                  <c:pt idx="24">
                    <c:v>2016</c:v>
                  </c:pt>
                  <c:pt idx="36">
                    <c:v>2017</c:v>
                  </c:pt>
                  <c:pt idx="48">
                    <c:v>2018</c:v>
                  </c:pt>
                  <c:pt idx="60">
                    <c:v>2019</c:v>
                  </c:pt>
                </c:lvl>
              </c:multiLvlStrCache>
            </c:multiLvlStrRef>
          </c:cat>
          <c:val>
            <c:numRef>
              <c:f>'Měnové podmínky 1'!$C$30:$C$101</c:f>
              <c:numCache>
                <c:formatCode>0.00</c:formatCode>
                <c:ptCount val="72"/>
                <c:pt idx="0">
                  <c:v>0.05</c:v>
                </c:pt>
                <c:pt idx="1">
                  <c:v>0.05</c:v>
                </c:pt>
                <c:pt idx="2">
                  <c:v>0.05</c:v>
                </c:pt>
                <c:pt idx="3">
                  <c:v>0.05</c:v>
                </c:pt>
                <c:pt idx="4">
                  <c:v>0.05</c:v>
                </c:pt>
                <c:pt idx="5">
                  <c:v>0.05</c:v>
                </c:pt>
                <c:pt idx="6">
                  <c:v>0.05</c:v>
                </c:pt>
                <c:pt idx="7">
                  <c:v>0.05</c:v>
                </c:pt>
                <c:pt idx="8">
                  <c:v>0.05</c:v>
                </c:pt>
                <c:pt idx="9">
                  <c:v>0.05</c:v>
                </c:pt>
                <c:pt idx="10">
                  <c:v>0.05</c:v>
                </c:pt>
                <c:pt idx="11">
                  <c:v>0.05</c:v>
                </c:pt>
                <c:pt idx="12">
                  <c:v>0.05</c:v>
                </c:pt>
                <c:pt idx="13">
                  <c:v>0.05</c:v>
                </c:pt>
                <c:pt idx="14">
                  <c:v>0.05</c:v>
                </c:pt>
                <c:pt idx="15">
                  <c:v>0.05</c:v>
                </c:pt>
                <c:pt idx="16">
                  <c:v>0.05</c:v>
                </c:pt>
                <c:pt idx="17">
                  <c:v>0.05</c:v>
                </c:pt>
                <c:pt idx="18">
                  <c:v>0.05</c:v>
                </c:pt>
                <c:pt idx="19">
                  <c:v>0.05</c:v>
                </c:pt>
                <c:pt idx="20">
                  <c:v>0.05</c:v>
                </c:pt>
                <c:pt idx="21">
                  <c:v>0.05</c:v>
                </c:pt>
                <c:pt idx="22">
                  <c:v>0.05</c:v>
                </c:pt>
                <c:pt idx="23">
                  <c:v>0.05</c:v>
                </c:pt>
                <c:pt idx="24" formatCode="General">
                  <c:v>0.05</c:v>
                </c:pt>
                <c:pt idx="25" formatCode="General">
                  <c:v>0.05</c:v>
                </c:pt>
                <c:pt idx="26" formatCode="General">
                  <c:v>0.05</c:v>
                </c:pt>
                <c:pt idx="27" formatCode="General">
                  <c:v>0.05</c:v>
                </c:pt>
                <c:pt idx="28" formatCode="General">
                  <c:v>0.05</c:v>
                </c:pt>
                <c:pt idx="29" formatCode="General">
                  <c:v>0.05</c:v>
                </c:pt>
                <c:pt idx="30" formatCode="General">
                  <c:v>0.05</c:v>
                </c:pt>
                <c:pt idx="31" formatCode="General">
                  <c:v>0.05</c:v>
                </c:pt>
                <c:pt idx="32" formatCode="General">
                  <c:v>0.05</c:v>
                </c:pt>
                <c:pt idx="33" formatCode="General">
                  <c:v>0.05</c:v>
                </c:pt>
                <c:pt idx="34" formatCode="General">
                  <c:v>0.05</c:v>
                </c:pt>
                <c:pt idx="35" formatCode="General">
                  <c:v>0.05</c:v>
                </c:pt>
                <c:pt idx="36" formatCode="General">
                  <c:v>0.05</c:v>
                </c:pt>
                <c:pt idx="37" formatCode="General">
                  <c:v>0.05</c:v>
                </c:pt>
                <c:pt idx="38" formatCode="General">
                  <c:v>0.05</c:v>
                </c:pt>
                <c:pt idx="39" formatCode="General">
                  <c:v>0.05</c:v>
                </c:pt>
                <c:pt idx="40" formatCode="General">
                  <c:v>0.05</c:v>
                </c:pt>
                <c:pt idx="41" formatCode="General">
                  <c:v>0.05</c:v>
                </c:pt>
                <c:pt idx="42" formatCode="General">
                  <c:v>0.05</c:v>
                </c:pt>
                <c:pt idx="43" formatCode="General">
                  <c:v>0.25</c:v>
                </c:pt>
                <c:pt idx="44" formatCode="General">
                  <c:v>0.25</c:v>
                </c:pt>
                <c:pt idx="45" formatCode="General">
                  <c:v>0.25</c:v>
                </c:pt>
                <c:pt idx="46" formatCode="General">
                  <c:v>0.5</c:v>
                </c:pt>
                <c:pt idx="47" formatCode="General">
                  <c:v>0.5</c:v>
                </c:pt>
                <c:pt idx="48" formatCode="General">
                  <c:v>0.5</c:v>
                </c:pt>
                <c:pt idx="49" formatCode="General">
                  <c:v>0.75</c:v>
                </c:pt>
                <c:pt idx="50" formatCode="General">
                  <c:v>0.75</c:v>
                </c:pt>
                <c:pt idx="51" formatCode="General">
                  <c:v>0.75</c:v>
                </c:pt>
                <c:pt idx="52" formatCode="General">
                  <c:v>0.75</c:v>
                </c:pt>
                <c:pt idx="53" formatCode="General">
                  <c:v>1</c:v>
                </c:pt>
                <c:pt idx="54" formatCode="General">
                  <c:v>1</c:v>
                </c:pt>
                <c:pt idx="55" formatCode="General">
                  <c:v>1.25</c:v>
                </c:pt>
                <c:pt idx="56" formatCode="General">
                  <c:v>1.5</c:v>
                </c:pt>
                <c:pt idx="57" formatCode="General">
                  <c:v>1.5</c:v>
                </c:pt>
                <c:pt idx="58" formatCode="General">
                  <c:v>1.75</c:v>
                </c:pt>
                <c:pt idx="59" formatCode="General">
                  <c:v>1.75</c:v>
                </c:pt>
                <c:pt idx="60" formatCode="General">
                  <c:v>1.75</c:v>
                </c:pt>
                <c:pt idx="61" formatCode="General">
                  <c:v>1.75</c:v>
                </c:pt>
                <c:pt idx="62" formatCode="General">
                  <c:v>1.75</c:v>
                </c:pt>
                <c:pt idx="63" formatCode="General">
                  <c:v>1.75</c:v>
                </c:pt>
                <c:pt idx="64" formatCode="General">
                  <c:v>2</c:v>
                </c:pt>
                <c:pt idx="65" formatCode="General">
                  <c:v>2</c:v>
                </c:pt>
                <c:pt idx="66" formatCode="General">
                  <c:v>2</c:v>
                </c:pt>
                <c:pt idx="67" formatCode="General">
                  <c:v>2</c:v>
                </c:pt>
                <c:pt idx="68" formatCode="General">
                  <c:v>2</c:v>
                </c:pt>
                <c:pt idx="69" formatCode="General">
                  <c:v>2</c:v>
                </c:pt>
                <c:pt idx="70" formatCode="General">
                  <c:v>2</c:v>
                </c:pt>
                <c:pt idx="71" formatCode="General">
                  <c:v>2</c:v>
                </c:pt>
              </c:numCache>
            </c:numRef>
          </c:val>
          <c:extLst>
            <c:ext xmlns:c16="http://schemas.microsoft.com/office/drawing/2014/chart" uri="{C3380CC4-5D6E-409C-BE32-E72D297353CC}">
              <c16:uniqueId val="{00000000-F089-41A3-B746-515727A29FE2}"/>
            </c:ext>
          </c:extLst>
        </c:ser>
        <c:dLbls>
          <c:showLegendKey val="0"/>
          <c:showVal val="0"/>
          <c:showCatName val="0"/>
          <c:showSerName val="0"/>
          <c:showPercent val="0"/>
          <c:showBubbleSize val="0"/>
        </c:dLbls>
        <c:gapWidth val="31"/>
        <c:axId val="271742464"/>
        <c:axId val="271744000"/>
      </c:barChart>
      <c:lineChart>
        <c:grouping val="standard"/>
        <c:varyColors val="0"/>
        <c:ser>
          <c:idx val="3"/>
          <c:order val="1"/>
          <c:tx>
            <c:strRef>
              <c:f>'Měnové podmínky 1'!$F$5</c:f>
              <c:strCache>
                <c:ptCount val="1"/>
                <c:pt idx="0">
                  <c:v>Průměrný výnos státních dluhopisů (2Y)</c:v>
                </c:pt>
              </c:strCache>
            </c:strRef>
          </c:tx>
          <c:spPr>
            <a:ln w="19050">
              <a:solidFill>
                <a:srgbClr val="7DBB2D"/>
              </a:solidFill>
            </a:ln>
          </c:spPr>
          <c:marker>
            <c:symbol val="none"/>
          </c:marker>
          <c:cat>
            <c:multiLvlStrRef>
              <c:f>'Měnové podmínky 1'!$A$30:$B$101</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2014</c:v>
                  </c:pt>
                  <c:pt idx="12">
                    <c:v>2015</c:v>
                  </c:pt>
                  <c:pt idx="24">
                    <c:v>2016</c:v>
                  </c:pt>
                  <c:pt idx="36">
                    <c:v>2017</c:v>
                  </c:pt>
                  <c:pt idx="48">
                    <c:v>2018</c:v>
                  </c:pt>
                  <c:pt idx="60">
                    <c:v>2019</c:v>
                  </c:pt>
                </c:lvl>
              </c:multiLvlStrCache>
            </c:multiLvlStrRef>
          </c:cat>
          <c:val>
            <c:numRef>
              <c:f>'Měnové podmínky 1'!$F$30:$F$101</c:f>
              <c:numCache>
                <c:formatCode>General</c:formatCode>
                <c:ptCount val="72"/>
                <c:pt idx="0">
                  <c:v>0.23</c:v>
                </c:pt>
                <c:pt idx="1">
                  <c:v>0.28000000000000003</c:v>
                </c:pt>
                <c:pt idx="2">
                  <c:v>0.26</c:v>
                </c:pt>
                <c:pt idx="3">
                  <c:v>0.23</c:v>
                </c:pt>
                <c:pt idx="4">
                  <c:v>0.21</c:v>
                </c:pt>
                <c:pt idx="5">
                  <c:v>0.24</c:v>
                </c:pt>
                <c:pt idx="6">
                  <c:v>0.23</c:v>
                </c:pt>
                <c:pt idx="7">
                  <c:v>0.18</c:v>
                </c:pt>
                <c:pt idx="8">
                  <c:v>0.14000000000000001</c:v>
                </c:pt>
                <c:pt idx="9">
                  <c:v>0.1</c:v>
                </c:pt>
                <c:pt idx="10">
                  <c:v>0.12</c:v>
                </c:pt>
                <c:pt idx="11">
                  <c:v>0.13</c:v>
                </c:pt>
                <c:pt idx="12">
                  <c:v>0.09</c:v>
                </c:pt>
                <c:pt idx="13">
                  <c:v>0.06</c:v>
                </c:pt>
                <c:pt idx="14">
                  <c:v>0.04</c:v>
                </c:pt>
                <c:pt idx="15">
                  <c:v>-0.03</c:v>
                </c:pt>
                <c:pt idx="16">
                  <c:v>0.04</c:v>
                </c:pt>
                <c:pt idx="17">
                  <c:v>0.11</c:v>
                </c:pt>
                <c:pt idx="18">
                  <c:v>0.02</c:v>
                </c:pt>
                <c:pt idx="19">
                  <c:v>-7.0000000000000007E-2</c:v>
                </c:pt>
                <c:pt idx="20">
                  <c:v>-0.3</c:v>
                </c:pt>
                <c:pt idx="21">
                  <c:v>-0.28000000000000003</c:v>
                </c:pt>
                <c:pt idx="22">
                  <c:v>-0.33</c:v>
                </c:pt>
                <c:pt idx="23">
                  <c:v>-0.38</c:v>
                </c:pt>
                <c:pt idx="24">
                  <c:v>-0.21</c:v>
                </c:pt>
                <c:pt idx="25">
                  <c:v>-0.18</c:v>
                </c:pt>
                <c:pt idx="26">
                  <c:v>-0.17</c:v>
                </c:pt>
                <c:pt idx="27">
                  <c:v>-0.08</c:v>
                </c:pt>
                <c:pt idx="28">
                  <c:v>-0.04</c:v>
                </c:pt>
                <c:pt idx="29">
                  <c:v>-0.05</c:v>
                </c:pt>
                <c:pt idx="30">
                  <c:v>-0.13</c:v>
                </c:pt>
                <c:pt idx="31">
                  <c:v>-0.22</c:v>
                </c:pt>
                <c:pt idx="32">
                  <c:v>-0.5</c:v>
                </c:pt>
                <c:pt idx="33">
                  <c:v>-0.74</c:v>
                </c:pt>
                <c:pt idx="34">
                  <c:v>-0.73</c:v>
                </c:pt>
                <c:pt idx="35">
                  <c:v>-0.81</c:v>
                </c:pt>
                <c:pt idx="36">
                  <c:v>-0.88</c:v>
                </c:pt>
                <c:pt idx="37">
                  <c:v>-0.53</c:v>
                </c:pt>
                <c:pt idx="38">
                  <c:v>-0.44</c:v>
                </c:pt>
                <c:pt idx="39">
                  <c:v>-0.23</c:v>
                </c:pt>
                <c:pt idx="40">
                  <c:v>-0.24</c:v>
                </c:pt>
                <c:pt idx="41">
                  <c:v>-0.25</c:v>
                </c:pt>
                <c:pt idx="42">
                  <c:v>-0.28999999999999998</c:v>
                </c:pt>
                <c:pt idx="43">
                  <c:v>-0.33</c:v>
                </c:pt>
                <c:pt idx="44">
                  <c:v>-0.28999999999999998</c:v>
                </c:pt>
                <c:pt idx="45">
                  <c:v>0.12</c:v>
                </c:pt>
                <c:pt idx="46">
                  <c:v>0.31</c:v>
                </c:pt>
                <c:pt idx="47">
                  <c:v>0.19</c:v>
                </c:pt>
                <c:pt idx="48">
                  <c:v>0.46</c:v>
                </c:pt>
                <c:pt idx="49">
                  <c:v>0.55000000000000004</c:v>
                </c:pt>
                <c:pt idx="50">
                  <c:v>0.62</c:v>
                </c:pt>
                <c:pt idx="51">
                  <c:v>0.6</c:v>
                </c:pt>
                <c:pt idx="52">
                  <c:v>0.7</c:v>
                </c:pt>
                <c:pt idx="53">
                  <c:v>0.89</c:v>
                </c:pt>
                <c:pt idx="54">
                  <c:v>1.0900000000000001</c:v>
                </c:pt>
                <c:pt idx="55">
                  <c:v>1.26</c:v>
                </c:pt>
                <c:pt idx="56">
                  <c:v>1.34</c:v>
                </c:pt>
                <c:pt idx="57">
                  <c:v>1.44</c:v>
                </c:pt>
                <c:pt idx="58">
                  <c:v>1.49</c:v>
                </c:pt>
                <c:pt idx="59">
                  <c:v>1.52</c:v>
                </c:pt>
                <c:pt idx="60">
                  <c:v>1.66</c:v>
                </c:pt>
                <c:pt idx="61">
                  <c:v>1.74</c:v>
                </c:pt>
                <c:pt idx="62">
                  <c:v>1.71</c:v>
                </c:pt>
                <c:pt idx="63">
                  <c:v>1.63</c:v>
                </c:pt>
                <c:pt idx="64">
                  <c:v>1.62</c:v>
                </c:pt>
                <c:pt idx="65">
                  <c:v>1.52</c:v>
                </c:pt>
                <c:pt idx="66">
                  <c:v>1.35</c:v>
                </c:pt>
                <c:pt idx="67">
                  <c:v>0.85</c:v>
                </c:pt>
                <c:pt idx="68">
                  <c:v>1.07</c:v>
                </c:pt>
                <c:pt idx="69">
                  <c:v>1.17</c:v>
                </c:pt>
                <c:pt idx="70">
                  <c:v>1.33</c:v>
                </c:pt>
                <c:pt idx="71">
                  <c:v>1.36</c:v>
                </c:pt>
              </c:numCache>
            </c:numRef>
          </c:val>
          <c:smooth val="0"/>
          <c:extLst>
            <c:ext xmlns:c16="http://schemas.microsoft.com/office/drawing/2014/chart" uri="{C3380CC4-5D6E-409C-BE32-E72D297353CC}">
              <c16:uniqueId val="{00000001-F089-41A3-B746-515727A29FE2}"/>
            </c:ext>
          </c:extLst>
        </c:ser>
        <c:ser>
          <c:idx val="1"/>
          <c:order val="2"/>
          <c:tx>
            <c:strRef>
              <c:f>'Měnové podmínky 1'!$D$5</c:f>
              <c:strCache>
                <c:ptCount val="1"/>
                <c:pt idx="0">
                  <c:v>PRIBOR (3M)</c:v>
                </c:pt>
              </c:strCache>
            </c:strRef>
          </c:tx>
          <c:spPr>
            <a:ln w="19050">
              <a:solidFill>
                <a:srgbClr val="0071BC"/>
              </a:solidFill>
            </a:ln>
          </c:spPr>
          <c:marker>
            <c:symbol val="none"/>
          </c:marker>
          <c:cat>
            <c:multiLvlStrRef>
              <c:f>'Měnové podmínky 1'!$A$30:$B$101</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2014</c:v>
                  </c:pt>
                  <c:pt idx="12">
                    <c:v>2015</c:v>
                  </c:pt>
                  <c:pt idx="24">
                    <c:v>2016</c:v>
                  </c:pt>
                  <c:pt idx="36">
                    <c:v>2017</c:v>
                  </c:pt>
                  <c:pt idx="48">
                    <c:v>2018</c:v>
                  </c:pt>
                  <c:pt idx="60">
                    <c:v>2019</c:v>
                  </c:pt>
                </c:lvl>
              </c:multiLvlStrCache>
            </c:multiLvlStrRef>
          </c:cat>
          <c:val>
            <c:numRef>
              <c:f>'Měnové podmínky 1'!$D$30:$D$101</c:f>
              <c:numCache>
                <c:formatCode>General</c:formatCode>
                <c:ptCount val="72"/>
                <c:pt idx="0">
                  <c:v>0.37</c:v>
                </c:pt>
                <c:pt idx="1">
                  <c:v>0.37</c:v>
                </c:pt>
                <c:pt idx="2">
                  <c:v>0.37</c:v>
                </c:pt>
                <c:pt idx="3">
                  <c:v>0.37</c:v>
                </c:pt>
                <c:pt idx="4">
                  <c:v>0.37</c:v>
                </c:pt>
                <c:pt idx="5">
                  <c:v>0.35</c:v>
                </c:pt>
                <c:pt idx="6">
                  <c:v>0.35</c:v>
                </c:pt>
                <c:pt idx="7">
                  <c:v>0.35</c:v>
                </c:pt>
                <c:pt idx="8">
                  <c:v>0.35</c:v>
                </c:pt>
                <c:pt idx="9">
                  <c:v>0.35</c:v>
                </c:pt>
                <c:pt idx="10">
                  <c:v>0.34</c:v>
                </c:pt>
                <c:pt idx="11">
                  <c:v>0.34</c:v>
                </c:pt>
                <c:pt idx="12">
                  <c:v>0.33</c:v>
                </c:pt>
                <c:pt idx="13">
                  <c:v>0.33</c:v>
                </c:pt>
                <c:pt idx="14">
                  <c:v>0.32</c:v>
                </c:pt>
                <c:pt idx="15">
                  <c:v>0.31</c:v>
                </c:pt>
                <c:pt idx="16">
                  <c:v>0.31</c:v>
                </c:pt>
                <c:pt idx="17">
                  <c:v>0.31</c:v>
                </c:pt>
                <c:pt idx="18">
                  <c:v>0.31</c:v>
                </c:pt>
                <c:pt idx="19">
                  <c:v>0.31</c:v>
                </c:pt>
                <c:pt idx="20">
                  <c:v>0.3</c:v>
                </c:pt>
                <c:pt idx="21">
                  <c:v>0.28999999999999998</c:v>
                </c:pt>
                <c:pt idx="22">
                  <c:v>0.28999999999999998</c:v>
                </c:pt>
                <c:pt idx="23">
                  <c:v>0.28999999999999998</c:v>
                </c:pt>
                <c:pt idx="24">
                  <c:v>0.28999999999999998</c:v>
                </c:pt>
                <c:pt idx="25">
                  <c:v>0.28000000000000003</c:v>
                </c:pt>
                <c:pt idx="26">
                  <c:v>0.28999999999999998</c:v>
                </c:pt>
                <c:pt idx="27">
                  <c:v>0.28999999999999998</c:v>
                </c:pt>
                <c:pt idx="28">
                  <c:v>0.28999999999999998</c:v>
                </c:pt>
                <c:pt idx="29">
                  <c:v>0.28999999999999998</c:v>
                </c:pt>
                <c:pt idx="30">
                  <c:v>0.28999999999999998</c:v>
                </c:pt>
                <c:pt idx="31">
                  <c:v>0.28999999999999998</c:v>
                </c:pt>
                <c:pt idx="32">
                  <c:v>0.28999999999999998</c:v>
                </c:pt>
                <c:pt idx="33">
                  <c:v>0.28999999999999998</c:v>
                </c:pt>
                <c:pt idx="34">
                  <c:v>0.28999999999999998</c:v>
                </c:pt>
                <c:pt idx="35">
                  <c:v>0.28999999999999998</c:v>
                </c:pt>
                <c:pt idx="36">
                  <c:v>0.28000000000000003</c:v>
                </c:pt>
                <c:pt idx="37">
                  <c:v>0.28000000000000003</c:v>
                </c:pt>
                <c:pt idx="38">
                  <c:v>0.28000000000000003</c:v>
                </c:pt>
                <c:pt idx="39">
                  <c:v>0.28999999999999998</c:v>
                </c:pt>
                <c:pt idx="40">
                  <c:v>0.3</c:v>
                </c:pt>
                <c:pt idx="41">
                  <c:v>0.3</c:v>
                </c:pt>
                <c:pt idx="42">
                  <c:v>0.3</c:v>
                </c:pt>
                <c:pt idx="43">
                  <c:v>0.43</c:v>
                </c:pt>
                <c:pt idx="44">
                  <c:v>0.46</c:v>
                </c:pt>
                <c:pt idx="45">
                  <c:v>0.51</c:v>
                </c:pt>
                <c:pt idx="46">
                  <c:v>0.71</c:v>
                </c:pt>
                <c:pt idx="47">
                  <c:v>0.75</c:v>
                </c:pt>
                <c:pt idx="48">
                  <c:v>0.77</c:v>
                </c:pt>
                <c:pt idx="49">
                  <c:v>0.9</c:v>
                </c:pt>
                <c:pt idx="50">
                  <c:v>0.9</c:v>
                </c:pt>
                <c:pt idx="51">
                  <c:v>0.9</c:v>
                </c:pt>
                <c:pt idx="52">
                  <c:v>0.9</c:v>
                </c:pt>
                <c:pt idx="53">
                  <c:v>0.93</c:v>
                </c:pt>
                <c:pt idx="54">
                  <c:v>1.18</c:v>
                </c:pt>
                <c:pt idx="55">
                  <c:v>1.45</c:v>
                </c:pt>
                <c:pt idx="56">
                  <c:v>1.54</c:v>
                </c:pt>
                <c:pt idx="57">
                  <c:v>1.76</c:v>
                </c:pt>
                <c:pt idx="58">
                  <c:v>1.99</c:v>
                </c:pt>
                <c:pt idx="59">
                  <c:v>2.0099999999999998</c:v>
                </c:pt>
                <c:pt idx="60">
                  <c:v>2.0099999999999998</c:v>
                </c:pt>
                <c:pt idx="61">
                  <c:v>2.0099999999999998</c:v>
                </c:pt>
                <c:pt idx="62">
                  <c:v>2.0299999999999998</c:v>
                </c:pt>
                <c:pt idx="63">
                  <c:v>2.02</c:v>
                </c:pt>
                <c:pt idx="64">
                  <c:v>2.19</c:v>
                </c:pt>
                <c:pt idx="65">
                  <c:v>2.17</c:v>
                </c:pt>
                <c:pt idx="66">
                  <c:v>2.16</c:v>
                </c:pt>
                <c:pt idx="67">
                  <c:v>2.14</c:v>
                </c:pt>
                <c:pt idx="68">
                  <c:v>2.14</c:v>
                </c:pt>
                <c:pt idx="69">
                  <c:v>2.17</c:v>
                </c:pt>
                <c:pt idx="70">
                  <c:v>2.1800000000000002</c:v>
                </c:pt>
                <c:pt idx="71">
                  <c:v>2.1800000000000002</c:v>
                </c:pt>
              </c:numCache>
            </c:numRef>
          </c:val>
          <c:smooth val="0"/>
          <c:extLst>
            <c:ext xmlns:c16="http://schemas.microsoft.com/office/drawing/2014/chart" uri="{C3380CC4-5D6E-409C-BE32-E72D297353CC}">
              <c16:uniqueId val="{00000002-F089-41A3-B746-515727A29FE2}"/>
            </c:ext>
          </c:extLst>
        </c:ser>
        <c:ser>
          <c:idx val="4"/>
          <c:order val="3"/>
          <c:tx>
            <c:strRef>
              <c:f>'Měnové podmínky 1'!$G$5</c:f>
              <c:strCache>
                <c:ptCount val="1"/>
                <c:pt idx="0">
                  <c:v>Průměrný výnos státních dluhopisů (5Y)</c:v>
                </c:pt>
              </c:strCache>
            </c:strRef>
          </c:tx>
          <c:spPr>
            <a:ln w="19050">
              <a:solidFill>
                <a:srgbClr val="F8A124"/>
              </a:solidFill>
            </a:ln>
          </c:spPr>
          <c:marker>
            <c:symbol val="none"/>
          </c:marker>
          <c:cat>
            <c:multiLvlStrRef>
              <c:f>'Měnové podmínky 1'!$A$30:$B$101</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2014</c:v>
                  </c:pt>
                  <c:pt idx="12">
                    <c:v>2015</c:v>
                  </c:pt>
                  <c:pt idx="24">
                    <c:v>2016</c:v>
                  </c:pt>
                  <c:pt idx="36">
                    <c:v>2017</c:v>
                  </c:pt>
                  <c:pt idx="48">
                    <c:v>2018</c:v>
                  </c:pt>
                  <c:pt idx="60">
                    <c:v>2019</c:v>
                  </c:pt>
                </c:lvl>
              </c:multiLvlStrCache>
            </c:multiLvlStrRef>
          </c:cat>
          <c:val>
            <c:numRef>
              <c:f>'Měnové podmínky 1'!$G$30:$G$101</c:f>
              <c:numCache>
                <c:formatCode>General</c:formatCode>
                <c:ptCount val="72"/>
                <c:pt idx="0">
                  <c:v>1.0900000000000001</c:v>
                </c:pt>
                <c:pt idx="1">
                  <c:v>1.2</c:v>
                </c:pt>
                <c:pt idx="2">
                  <c:v>1.1399999999999999</c:v>
                </c:pt>
                <c:pt idx="3">
                  <c:v>0.99</c:v>
                </c:pt>
                <c:pt idx="4">
                  <c:v>0.8</c:v>
                </c:pt>
                <c:pt idx="5">
                  <c:v>0.68</c:v>
                </c:pt>
                <c:pt idx="6">
                  <c:v>0.65</c:v>
                </c:pt>
                <c:pt idx="7">
                  <c:v>0.62</c:v>
                </c:pt>
                <c:pt idx="8">
                  <c:v>0.51</c:v>
                </c:pt>
                <c:pt idx="9">
                  <c:v>0.37</c:v>
                </c:pt>
                <c:pt idx="10">
                  <c:v>0.24</c:v>
                </c:pt>
                <c:pt idx="11">
                  <c:v>0.22</c:v>
                </c:pt>
                <c:pt idx="12">
                  <c:v>0.13</c:v>
                </c:pt>
                <c:pt idx="13">
                  <c:v>0.17</c:v>
                </c:pt>
                <c:pt idx="14">
                  <c:v>0.14000000000000001</c:v>
                </c:pt>
                <c:pt idx="15">
                  <c:v>0.05</c:v>
                </c:pt>
                <c:pt idx="16">
                  <c:v>0.22</c:v>
                </c:pt>
                <c:pt idx="17">
                  <c:v>0.43</c:v>
                </c:pt>
                <c:pt idx="18">
                  <c:v>0.35</c:v>
                </c:pt>
                <c:pt idx="19">
                  <c:v>0.2</c:v>
                </c:pt>
                <c:pt idx="20">
                  <c:v>0.06</c:v>
                </c:pt>
                <c:pt idx="21">
                  <c:v>-0.05</c:v>
                </c:pt>
                <c:pt idx="22">
                  <c:v>-0.05</c:v>
                </c:pt>
                <c:pt idx="23">
                  <c:v>-0.11</c:v>
                </c:pt>
                <c:pt idx="24">
                  <c:v>0.04</c:v>
                </c:pt>
                <c:pt idx="25">
                  <c:v>-0.08</c:v>
                </c:pt>
                <c:pt idx="26">
                  <c:v>-0.1</c:v>
                </c:pt>
                <c:pt idx="27">
                  <c:v>0.04</c:v>
                </c:pt>
                <c:pt idx="28">
                  <c:v>7.0000000000000007E-2</c:v>
                </c:pt>
                <c:pt idx="29">
                  <c:v>0.05</c:v>
                </c:pt>
                <c:pt idx="30">
                  <c:v>-0.02</c:v>
                </c:pt>
                <c:pt idx="31">
                  <c:v>-0.09</c:v>
                </c:pt>
                <c:pt idx="32">
                  <c:v>-0.19</c:v>
                </c:pt>
                <c:pt idx="33">
                  <c:v>-0.17</c:v>
                </c:pt>
                <c:pt idx="34">
                  <c:v>-0.17</c:v>
                </c:pt>
                <c:pt idx="35">
                  <c:v>-0.21</c:v>
                </c:pt>
                <c:pt idx="36">
                  <c:v>-0.22</c:v>
                </c:pt>
                <c:pt idx="37">
                  <c:v>0.09</c:v>
                </c:pt>
                <c:pt idx="38">
                  <c:v>0.1</c:v>
                </c:pt>
                <c:pt idx="39">
                  <c:v>0.16</c:v>
                </c:pt>
                <c:pt idx="40">
                  <c:v>0.04</c:v>
                </c:pt>
                <c:pt idx="41">
                  <c:v>-0.03</c:v>
                </c:pt>
                <c:pt idx="42">
                  <c:v>0.14000000000000001</c:v>
                </c:pt>
                <c:pt idx="43">
                  <c:v>0.09</c:v>
                </c:pt>
                <c:pt idx="44">
                  <c:v>0.1</c:v>
                </c:pt>
                <c:pt idx="45">
                  <c:v>0.63</c:v>
                </c:pt>
                <c:pt idx="46">
                  <c:v>0.87</c:v>
                </c:pt>
                <c:pt idx="47">
                  <c:v>0.68</c:v>
                </c:pt>
                <c:pt idx="48">
                  <c:v>0.99</c:v>
                </c:pt>
                <c:pt idx="49">
                  <c:v>1.07</c:v>
                </c:pt>
                <c:pt idx="50">
                  <c:v>1.0900000000000001</c:v>
                </c:pt>
                <c:pt idx="51">
                  <c:v>1.05</c:v>
                </c:pt>
                <c:pt idx="52">
                  <c:v>1.21</c:v>
                </c:pt>
                <c:pt idx="53">
                  <c:v>1.41</c:v>
                </c:pt>
                <c:pt idx="54">
                  <c:v>1.44</c:v>
                </c:pt>
                <c:pt idx="55">
                  <c:v>1.55</c:v>
                </c:pt>
                <c:pt idx="56">
                  <c:v>1.7</c:v>
                </c:pt>
                <c:pt idx="57">
                  <c:v>1.81</c:v>
                </c:pt>
                <c:pt idx="58">
                  <c:v>1.79</c:v>
                </c:pt>
                <c:pt idx="59">
                  <c:v>1.71</c:v>
                </c:pt>
                <c:pt idx="60">
                  <c:v>1.6</c:v>
                </c:pt>
                <c:pt idx="61">
                  <c:v>1.61</c:v>
                </c:pt>
                <c:pt idx="62">
                  <c:v>1.7</c:v>
                </c:pt>
                <c:pt idx="63">
                  <c:v>1.63</c:v>
                </c:pt>
                <c:pt idx="64">
                  <c:v>1.57</c:v>
                </c:pt>
                <c:pt idx="65">
                  <c:v>1.43</c:v>
                </c:pt>
                <c:pt idx="66">
                  <c:v>1.31</c:v>
                </c:pt>
                <c:pt idx="67">
                  <c:v>0.89</c:v>
                </c:pt>
                <c:pt idx="68">
                  <c:v>1.1299999999999999</c:v>
                </c:pt>
                <c:pt idx="69">
                  <c:v>1.23</c:v>
                </c:pt>
                <c:pt idx="70">
                  <c:v>1.32</c:v>
                </c:pt>
                <c:pt idx="71">
                  <c:v>1.31</c:v>
                </c:pt>
              </c:numCache>
            </c:numRef>
          </c:val>
          <c:smooth val="0"/>
          <c:extLst>
            <c:ext xmlns:c16="http://schemas.microsoft.com/office/drawing/2014/chart" uri="{C3380CC4-5D6E-409C-BE32-E72D297353CC}">
              <c16:uniqueId val="{00000003-F089-41A3-B746-515727A29FE2}"/>
            </c:ext>
          </c:extLst>
        </c:ser>
        <c:ser>
          <c:idx val="2"/>
          <c:order val="4"/>
          <c:tx>
            <c:strRef>
              <c:f>'Měnové podmínky 1'!$E$5</c:f>
              <c:strCache>
                <c:ptCount val="1"/>
                <c:pt idx="0">
                  <c:v>PRIBOR (1Y)</c:v>
                </c:pt>
              </c:strCache>
            </c:strRef>
          </c:tx>
          <c:spPr>
            <a:ln w="19050">
              <a:solidFill>
                <a:srgbClr val="BD1B21"/>
              </a:solidFill>
            </a:ln>
          </c:spPr>
          <c:marker>
            <c:symbol val="none"/>
          </c:marker>
          <c:cat>
            <c:multiLvlStrRef>
              <c:f>'Měnové podmínky 1'!$A$30:$B$101</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2014</c:v>
                  </c:pt>
                  <c:pt idx="12">
                    <c:v>2015</c:v>
                  </c:pt>
                  <c:pt idx="24">
                    <c:v>2016</c:v>
                  </c:pt>
                  <c:pt idx="36">
                    <c:v>2017</c:v>
                  </c:pt>
                  <c:pt idx="48">
                    <c:v>2018</c:v>
                  </c:pt>
                  <c:pt idx="60">
                    <c:v>2019</c:v>
                  </c:pt>
                </c:lvl>
              </c:multiLvlStrCache>
            </c:multiLvlStrRef>
          </c:cat>
          <c:val>
            <c:numRef>
              <c:f>'Měnové podmínky 1'!$E$30:$E$101</c:f>
              <c:numCache>
                <c:formatCode>General</c:formatCode>
                <c:ptCount val="72"/>
                <c:pt idx="0">
                  <c:v>0.57999999999999996</c:v>
                </c:pt>
                <c:pt idx="1">
                  <c:v>0.55000000000000004</c:v>
                </c:pt>
                <c:pt idx="2">
                  <c:v>0.55000000000000004</c:v>
                </c:pt>
                <c:pt idx="3">
                  <c:v>0.55000000000000004</c:v>
                </c:pt>
                <c:pt idx="4">
                  <c:v>0.54</c:v>
                </c:pt>
                <c:pt idx="5">
                  <c:v>0.53</c:v>
                </c:pt>
                <c:pt idx="6">
                  <c:v>0.52</c:v>
                </c:pt>
                <c:pt idx="7">
                  <c:v>0.52</c:v>
                </c:pt>
                <c:pt idx="8">
                  <c:v>0.52</c:v>
                </c:pt>
                <c:pt idx="9">
                  <c:v>0.52</c:v>
                </c:pt>
                <c:pt idx="10">
                  <c:v>0.51</c:v>
                </c:pt>
                <c:pt idx="11">
                  <c:v>0.51</c:v>
                </c:pt>
                <c:pt idx="12">
                  <c:v>0.51</c:v>
                </c:pt>
                <c:pt idx="13">
                  <c:v>0.51</c:v>
                </c:pt>
                <c:pt idx="14">
                  <c:v>0.49</c:v>
                </c:pt>
                <c:pt idx="15">
                  <c:v>0.48</c:v>
                </c:pt>
                <c:pt idx="16">
                  <c:v>0.48</c:v>
                </c:pt>
                <c:pt idx="17">
                  <c:v>0.48</c:v>
                </c:pt>
                <c:pt idx="18">
                  <c:v>0.48</c:v>
                </c:pt>
                <c:pt idx="19">
                  <c:v>0.48</c:v>
                </c:pt>
                <c:pt idx="20">
                  <c:v>0.47</c:v>
                </c:pt>
                <c:pt idx="21">
                  <c:v>0.46</c:v>
                </c:pt>
                <c:pt idx="22">
                  <c:v>0.46</c:v>
                </c:pt>
                <c:pt idx="23">
                  <c:v>0.46</c:v>
                </c:pt>
                <c:pt idx="24">
                  <c:v>0.45</c:v>
                </c:pt>
                <c:pt idx="25">
                  <c:v>0.45</c:v>
                </c:pt>
                <c:pt idx="26">
                  <c:v>0.45</c:v>
                </c:pt>
                <c:pt idx="27">
                  <c:v>0.45</c:v>
                </c:pt>
                <c:pt idx="28">
                  <c:v>0.45</c:v>
                </c:pt>
                <c:pt idx="29">
                  <c:v>0.45</c:v>
                </c:pt>
                <c:pt idx="30">
                  <c:v>0.45</c:v>
                </c:pt>
                <c:pt idx="31">
                  <c:v>0.45</c:v>
                </c:pt>
                <c:pt idx="32">
                  <c:v>0.45</c:v>
                </c:pt>
                <c:pt idx="33">
                  <c:v>0.45</c:v>
                </c:pt>
                <c:pt idx="34">
                  <c:v>0.45</c:v>
                </c:pt>
                <c:pt idx="35">
                  <c:v>0.45</c:v>
                </c:pt>
                <c:pt idx="36">
                  <c:v>0.44</c:v>
                </c:pt>
                <c:pt idx="37">
                  <c:v>0.44</c:v>
                </c:pt>
                <c:pt idx="38">
                  <c:v>0.44</c:v>
                </c:pt>
                <c:pt idx="39">
                  <c:v>0.45</c:v>
                </c:pt>
                <c:pt idx="40">
                  <c:v>0.46</c:v>
                </c:pt>
                <c:pt idx="41">
                  <c:v>0.46</c:v>
                </c:pt>
                <c:pt idx="42">
                  <c:v>0.47</c:v>
                </c:pt>
                <c:pt idx="43">
                  <c:v>0.6</c:v>
                </c:pt>
                <c:pt idx="44">
                  <c:v>0.64</c:v>
                </c:pt>
                <c:pt idx="45">
                  <c:v>0.69</c:v>
                </c:pt>
                <c:pt idx="46">
                  <c:v>0.91</c:v>
                </c:pt>
                <c:pt idx="47">
                  <c:v>0.96</c:v>
                </c:pt>
                <c:pt idx="48">
                  <c:v>0.98</c:v>
                </c:pt>
                <c:pt idx="49">
                  <c:v>1.1100000000000001</c:v>
                </c:pt>
                <c:pt idx="50">
                  <c:v>1.1200000000000001</c:v>
                </c:pt>
                <c:pt idx="51">
                  <c:v>1.1200000000000001</c:v>
                </c:pt>
                <c:pt idx="52">
                  <c:v>1.1200000000000001</c:v>
                </c:pt>
                <c:pt idx="53">
                  <c:v>1.1499999999999999</c:v>
                </c:pt>
                <c:pt idx="54">
                  <c:v>1.39</c:v>
                </c:pt>
                <c:pt idx="55">
                  <c:v>1.67</c:v>
                </c:pt>
                <c:pt idx="56">
                  <c:v>1.79</c:v>
                </c:pt>
                <c:pt idx="57">
                  <c:v>1.95</c:v>
                </c:pt>
                <c:pt idx="58">
                  <c:v>2.1800000000000002</c:v>
                </c:pt>
                <c:pt idx="59">
                  <c:v>2.21</c:v>
                </c:pt>
                <c:pt idx="60">
                  <c:v>2.21</c:v>
                </c:pt>
                <c:pt idx="61">
                  <c:v>2.2000000000000002</c:v>
                </c:pt>
                <c:pt idx="62">
                  <c:v>2.2000000000000002</c:v>
                </c:pt>
                <c:pt idx="63">
                  <c:v>2.21</c:v>
                </c:pt>
                <c:pt idx="64">
                  <c:v>2.3199999999999998</c:v>
                </c:pt>
                <c:pt idx="65">
                  <c:v>2.29</c:v>
                </c:pt>
                <c:pt idx="66">
                  <c:v>2.2799999999999998</c:v>
                </c:pt>
                <c:pt idx="67">
                  <c:v>2.2200000000000002</c:v>
                </c:pt>
                <c:pt idx="68">
                  <c:v>2.2000000000000002</c:v>
                </c:pt>
                <c:pt idx="69">
                  <c:v>2.2799999999999998</c:v>
                </c:pt>
                <c:pt idx="70">
                  <c:v>2.2799999999999998</c:v>
                </c:pt>
                <c:pt idx="71">
                  <c:v>2.27</c:v>
                </c:pt>
              </c:numCache>
            </c:numRef>
          </c:val>
          <c:smooth val="0"/>
          <c:extLst>
            <c:ext xmlns:c16="http://schemas.microsoft.com/office/drawing/2014/chart" uri="{C3380CC4-5D6E-409C-BE32-E72D297353CC}">
              <c16:uniqueId val="{00000004-F089-41A3-B746-515727A29FE2}"/>
            </c:ext>
          </c:extLst>
        </c:ser>
        <c:ser>
          <c:idx val="5"/>
          <c:order val="5"/>
          <c:tx>
            <c:strRef>
              <c:f>'Měnové podmínky 1'!$H$5</c:f>
              <c:strCache>
                <c:ptCount val="1"/>
                <c:pt idx="0">
                  <c:v>Průměrný výnos státních dluhopisů (10Y)</c:v>
                </c:pt>
              </c:strCache>
            </c:strRef>
          </c:tx>
          <c:spPr>
            <a:ln w="19050">
              <a:solidFill>
                <a:srgbClr val="48AEE7"/>
              </a:solidFill>
            </a:ln>
          </c:spPr>
          <c:marker>
            <c:symbol val="none"/>
          </c:marker>
          <c:cat>
            <c:multiLvlStrRef>
              <c:f>'Měnové podmínky 1'!$A$30:$B$101</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2014</c:v>
                  </c:pt>
                  <c:pt idx="12">
                    <c:v>2015</c:v>
                  </c:pt>
                  <c:pt idx="24">
                    <c:v>2016</c:v>
                  </c:pt>
                  <c:pt idx="36">
                    <c:v>2017</c:v>
                  </c:pt>
                  <c:pt idx="48">
                    <c:v>2018</c:v>
                  </c:pt>
                  <c:pt idx="60">
                    <c:v>2019</c:v>
                  </c:pt>
                </c:lvl>
              </c:multiLvlStrCache>
            </c:multiLvlStrRef>
          </c:cat>
          <c:val>
            <c:numRef>
              <c:f>'Měnové podmínky 1'!$H$30:$H$101</c:f>
              <c:numCache>
                <c:formatCode>General</c:formatCode>
                <c:ptCount val="72"/>
                <c:pt idx="0">
                  <c:v>2.4300000000000002</c:v>
                </c:pt>
                <c:pt idx="1">
                  <c:v>2.2799999999999998</c:v>
                </c:pt>
                <c:pt idx="2">
                  <c:v>2.2000000000000002</c:v>
                </c:pt>
                <c:pt idx="3">
                  <c:v>2</c:v>
                </c:pt>
                <c:pt idx="4">
                  <c:v>1.73</c:v>
                </c:pt>
                <c:pt idx="5">
                  <c:v>1.55</c:v>
                </c:pt>
                <c:pt idx="6">
                  <c:v>1.49</c:v>
                </c:pt>
                <c:pt idx="7">
                  <c:v>1.38</c:v>
                </c:pt>
                <c:pt idx="8">
                  <c:v>1.21</c:v>
                </c:pt>
                <c:pt idx="9">
                  <c:v>1.1000000000000001</c:v>
                </c:pt>
                <c:pt idx="10">
                  <c:v>0.87</c:v>
                </c:pt>
                <c:pt idx="11">
                  <c:v>0.67</c:v>
                </c:pt>
                <c:pt idx="12">
                  <c:v>0.35</c:v>
                </c:pt>
                <c:pt idx="13">
                  <c:v>0.4</c:v>
                </c:pt>
                <c:pt idx="14">
                  <c:v>0.35</c:v>
                </c:pt>
                <c:pt idx="15">
                  <c:v>0.26</c:v>
                </c:pt>
                <c:pt idx="16">
                  <c:v>0.6</c:v>
                </c:pt>
                <c:pt idx="17">
                  <c:v>1.01</c:v>
                </c:pt>
                <c:pt idx="18">
                  <c:v>0.97</c:v>
                </c:pt>
                <c:pt idx="19">
                  <c:v>0.74</c:v>
                </c:pt>
                <c:pt idx="20">
                  <c:v>0.68</c:v>
                </c:pt>
                <c:pt idx="21">
                  <c:v>0.56000000000000005</c:v>
                </c:pt>
                <c:pt idx="22">
                  <c:v>0.49</c:v>
                </c:pt>
                <c:pt idx="23">
                  <c:v>0.49</c:v>
                </c:pt>
                <c:pt idx="24">
                  <c:v>0.62</c:v>
                </c:pt>
                <c:pt idx="25">
                  <c:v>0.46</c:v>
                </c:pt>
                <c:pt idx="26">
                  <c:v>0.35</c:v>
                </c:pt>
                <c:pt idx="27">
                  <c:v>0.43</c:v>
                </c:pt>
                <c:pt idx="28">
                  <c:v>0.46</c:v>
                </c:pt>
                <c:pt idx="29">
                  <c:v>0.45</c:v>
                </c:pt>
                <c:pt idx="30">
                  <c:v>0.37</c:v>
                </c:pt>
                <c:pt idx="31">
                  <c:v>0.28999999999999998</c:v>
                </c:pt>
                <c:pt idx="32">
                  <c:v>0.25</c:v>
                </c:pt>
                <c:pt idx="33">
                  <c:v>0.37</c:v>
                </c:pt>
                <c:pt idx="34">
                  <c:v>0.55000000000000004</c:v>
                </c:pt>
                <c:pt idx="35">
                  <c:v>0.53</c:v>
                </c:pt>
                <c:pt idx="36">
                  <c:v>0.47</c:v>
                </c:pt>
                <c:pt idx="37">
                  <c:v>0.63</c:v>
                </c:pt>
                <c:pt idx="38">
                  <c:v>0.87</c:v>
                </c:pt>
                <c:pt idx="39">
                  <c:v>0.96</c:v>
                </c:pt>
                <c:pt idx="40">
                  <c:v>0.74</c:v>
                </c:pt>
                <c:pt idx="41">
                  <c:v>0.77</c:v>
                </c:pt>
                <c:pt idx="42">
                  <c:v>0.9</c:v>
                </c:pt>
                <c:pt idx="43">
                  <c:v>0.83</c:v>
                </c:pt>
                <c:pt idx="44">
                  <c:v>0.97</c:v>
                </c:pt>
                <c:pt idx="45">
                  <c:v>1.45</c:v>
                </c:pt>
                <c:pt idx="46">
                  <c:v>1.68</c:v>
                </c:pt>
                <c:pt idx="47">
                  <c:v>1.5</c:v>
                </c:pt>
                <c:pt idx="48">
                  <c:v>1.77</c:v>
                </c:pt>
                <c:pt idx="49">
                  <c:v>1.82</c:v>
                </c:pt>
                <c:pt idx="50">
                  <c:v>1.81</c:v>
                </c:pt>
                <c:pt idx="51">
                  <c:v>1.74</c:v>
                </c:pt>
                <c:pt idx="52">
                  <c:v>1.89</c:v>
                </c:pt>
                <c:pt idx="53">
                  <c:v>2.14</c:v>
                </c:pt>
                <c:pt idx="54">
                  <c:v>2.11</c:v>
                </c:pt>
                <c:pt idx="55">
                  <c:v>2.14</c:v>
                </c:pt>
                <c:pt idx="56">
                  <c:v>2.14</c:v>
                </c:pt>
                <c:pt idx="57">
                  <c:v>2.14</c:v>
                </c:pt>
                <c:pt idx="58">
                  <c:v>2.0699999999999998</c:v>
                </c:pt>
                <c:pt idx="59">
                  <c:v>2.0099999999999998</c:v>
                </c:pt>
                <c:pt idx="60">
                  <c:v>1.85</c:v>
                </c:pt>
                <c:pt idx="61">
                  <c:v>1.76</c:v>
                </c:pt>
                <c:pt idx="62">
                  <c:v>1.82</c:v>
                </c:pt>
                <c:pt idx="63">
                  <c:v>1.82</c:v>
                </c:pt>
                <c:pt idx="64">
                  <c:v>1.86</c:v>
                </c:pt>
                <c:pt idx="65">
                  <c:v>1.58</c:v>
                </c:pt>
                <c:pt idx="66">
                  <c:v>1.36</c:v>
                </c:pt>
                <c:pt idx="67">
                  <c:v>0.99</c:v>
                </c:pt>
                <c:pt idx="68">
                  <c:v>1.24</c:v>
                </c:pt>
                <c:pt idx="69">
                  <c:v>1.32</c:v>
                </c:pt>
                <c:pt idx="70">
                  <c:v>1.47</c:v>
                </c:pt>
                <c:pt idx="71">
                  <c:v>1.51</c:v>
                </c:pt>
              </c:numCache>
            </c:numRef>
          </c:val>
          <c:smooth val="0"/>
          <c:extLst>
            <c:ext xmlns:c16="http://schemas.microsoft.com/office/drawing/2014/chart" uri="{C3380CC4-5D6E-409C-BE32-E72D297353CC}">
              <c16:uniqueId val="{00000005-F089-41A3-B746-515727A29FE2}"/>
            </c:ext>
          </c:extLst>
        </c:ser>
        <c:dLbls>
          <c:showLegendKey val="0"/>
          <c:showVal val="0"/>
          <c:showCatName val="0"/>
          <c:showSerName val="0"/>
          <c:showPercent val="0"/>
          <c:showBubbleSize val="0"/>
        </c:dLbls>
        <c:marker val="1"/>
        <c:smooth val="0"/>
        <c:axId val="271742464"/>
        <c:axId val="271744000"/>
      </c:lineChart>
      <c:catAx>
        <c:axId val="271742464"/>
        <c:scaling>
          <c:orientation val="minMax"/>
        </c:scaling>
        <c:delete val="0"/>
        <c:axPos val="b"/>
        <c:numFmt formatCode="General" sourceLinked="0"/>
        <c:majorTickMark val="out"/>
        <c:minorTickMark val="none"/>
        <c:tickLblPos val="low"/>
        <c:spPr>
          <a:ln>
            <a:solidFill>
              <a:schemeClr val="tx1"/>
            </a:solidFill>
          </a:ln>
        </c:spPr>
        <c:crossAx val="271744000"/>
        <c:crosses val="autoZero"/>
        <c:auto val="1"/>
        <c:lblAlgn val="ctr"/>
        <c:lblOffset val="100"/>
        <c:noMultiLvlLbl val="0"/>
      </c:catAx>
      <c:valAx>
        <c:axId val="271744000"/>
        <c:scaling>
          <c:orientation val="minMax"/>
          <c:min val="-1"/>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271742464"/>
        <c:crosses val="autoZero"/>
        <c:crossBetween val="between"/>
        <c:majorUnit val="1"/>
      </c:valAx>
      <c:spPr>
        <a:ln>
          <a:solidFill>
            <a:schemeClr val="tx1"/>
          </a:solidFill>
        </a:ln>
      </c:spPr>
    </c:plotArea>
    <c:legend>
      <c:legendPos val="b"/>
      <c:layout>
        <c:manualLayout>
          <c:xMode val="edge"/>
          <c:yMode val="edge"/>
          <c:x val="4.7501055386693677E-2"/>
          <c:y val="0.87558269120103249"/>
          <c:w val="0.93350515028706516"/>
          <c:h val="0.11015705924459968"/>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4935993017189728E-2"/>
          <c:y val="1.7107238390107405E-2"/>
          <c:w val="0.84623987743766005"/>
          <c:h val="0.82188956339158548"/>
        </c:manualLayout>
      </c:layout>
      <c:barChart>
        <c:barDir val="col"/>
        <c:grouping val="clustered"/>
        <c:varyColors val="0"/>
        <c:ser>
          <c:idx val="2"/>
          <c:order val="4"/>
          <c:tx>
            <c:strRef>
              <c:f>'Státní rozpočet-příjmy'!$A$40</c:f>
              <c:strCache>
                <c:ptCount val="1"/>
                <c:pt idx="0">
                  <c:v>Saldo státního rozpočtu (pravá osa)</c:v>
                </c:pt>
              </c:strCache>
            </c:strRef>
          </c:tx>
          <c:spPr>
            <a:solidFill>
              <a:srgbClr val="DCDCDC"/>
            </a:solidFill>
          </c:spPr>
          <c:invertIfNegative val="0"/>
          <c:cat>
            <c:strRef>
              <c:f>'Státní rozpočet-příjmy'!$B$34:$P$35</c:f>
              <c:strCach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strCache>
            </c:strRef>
          </c:cat>
          <c:val>
            <c:numRef>
              <c:f>'Státní rozpočet-příjmy'!$B$40:$P$40</c:f>
              <c:numCache>
                <c:formatCode>#\ ##0.0</c:formatCode>
                <c:ptCount val="15"/>
                <c:pt idx="0">
                  <c:v>-56.36</c:v>
                </c:pt>
                <c:pt idx="1">
                  <c:v>-97.3</c:v>
                </c:pt>
                <c:pt idx="2">
                  <c:v>-66.391999999999996</c:v>
                </c:pt>
                <c:pt idx="3">
                  <c:v>-20.003</c:v>
                </c:pt>
                <c:pt idx="4">
                  <c:v>-192.39400000000001</c:v>
                </c:pt>
                <c:pt idx="5">
                  <c:v>-156.416</c:v>
                </c:pt>
                <c:pt idx="6">
                  <c:v>-142.77099999999999</c:v>
                </c:pt>
                <c:pt idx="7">
                  <c:v>-101</c:v>
                </c:pt>
                <c:pt idx="8">
                  <c:v>-81.263999999999996</c:v>
                </c:pt>
                <c:pt idx="9">
                  <c:v>-77.78</c:v>
                </c:pt>
                <c:pt idx="10">
                  <c:v>-62.8</c:v>
                </c:pt>
                <c:pt idx="11">
                  <c:v>61.77</c:v>
                </c:pt>
                <c:pt idx="12">
                  <c:v>-6.15</c:v>
                </c:pt>
                <c:pt idx="13">
                  <c:v>2.94</c:v>
                </c:pt>
                <c:pt idx="14">
                  <c:v>-28.52</c:v>
                </c:pt>
              </c:numCache>
            </c:numRef>
          </c:val>
          <c:extLst>
            <c:ext xmlns:c16="http://schemas.microsoft.com/office/drawing/2014/chart" uri="{C3380CC4-5D6E-409C-BE32-E72D297353CC}">
              <c16:uniqueId val="{00000000-B93E-4AB9-9A10-BFE066ACFE72}"/>
            </c:ext>
          </c:extLst>
        </c:ser>
        <c:dLbls>
          <c:showLegendKey val="0"/>
          <c:showVal val="0"/>
          <c:showCatName val="0"/>
          <c:showSerName val="0"/>
          <c:showPercent val="0"/>
          <c:showBubbleSize val="0"/>
        </c:dLbls>
        <c:gapWidth val="43"/>
        <c:axId val="194477056"/>
        <c:axId val="194475520"/>
      </c:barChart>
      <c:lineChart>
        <c:grouping val="standard"/>
        <c:varyColors val="0"/>
        <c:ser>
          <c:idx val="0"/>
          <c:order val="0"/>
          <c:tx>
            <c:strRef>
              <c:f>'Státní rozpočet-příjmy'!$A$36</c:f>
              <c:strCache>
                <c:ptCount val="1"/>
                <c:pt idx="0">
                  <c:v>DPH</c:v>
                </c:pt>
              </c:strCache>
            </c:strRef>
          </c:tx>
          <c:spPr>
            <a:ln w="19050">
              <a:solidFill>
                <a:srgbClr val="BD1B25"/>
              </a:solidFill>
            </a:ln>
          </c:spPr>
          <c:marker>
            <c:symbol val="none"/>
          </c:marker>
          <c:cat>
            <c:strRef>
              <c:f>'Státní rozpočet-příjmy'!$B$34:$P$35</c:f>
              <c:strCach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strCache>
            </c:strRef>
          </c:cat>
          <c:val>
            <c:numRef>
              <c:f>'Státní rozpočet-příjmy'!$B$36:$P$36</c:f>
              <c:numCache>
                <c:formatCode>0.0</c:formatCode>
                <c:ptCount val="15"/>
                <c:pt idx="0">
                  <c:v>13.155608643718097</c:v>
                </c:pt>
                <c:pt idx="1">
                  <c:v>4.4959454920589224</c:v>
                </c:pt>
                <c:pt idx="2">
                  <c:v>8.540729176232901</c:v>
                </c:pt>
                <c:pt idx="3">
                  <c:v>7.9575260174295579</c:v>
                </c:pt>
                <c:pt idx="4">
                  <c:v>-0.61914651828048761</c:v>
                </c:pt>
                <c:pt idx="5">
                  <c:v>6.2852411182524435</c:v>
                </c:pt>
                <c:pt idx="6">
                  <c:v>2.1665739194954341</c:v>
                </c:pt>
                <c:pt idx="7">
                  <c:v>1.0312647518065461</c:v>
                </c:pt>
                <c:pt idx="8">
                  <c:v>10.865111598317938</c:v>
                </c:pt>
                <c:pt idx="9">
                  <c:v>4.674836283472743</c:v>
                </c:pt>
                <c:pt idx="10">
                  <c:v>2.7750247770069336</c:v>
                </c:pt>
                <c:pt idx="11">
                  <c:v>5.3881388621022381</c:v>
                </c:pt>
                <c:pt idx="12">
                  <c:v>9.138739563079028</c:v>
                </c:pt>
                <c:pt idx="13">
                  <c:v>8.2844267449172122</c:v>
                </c:pt>
                <c:pt idx="14">
                  <c:v>4.4229373336559235</c:v>
                </c:pt>
              </c:numCache>
            </c:numRef>
          </c:val>
          <c:smooth val="0"/>
          <c:extLst>
            <c:ext xmlns:c16="http://schemas.microsoft.com/office/drawing/2014/chart" uri="{C3380CC4-5D6E-409C-BE32-E72D297353CC}">
              <c16:uniqueId val="{00000001-B93E-4AB9-9A10-BFE066ACFE72}"/>
            </c:ext>
          </c:extLst>
        </c:ser>
        <c:ser>
          <c:idx val="1"/>
          <c:order val="1"/>
          <c:tx>
            <c:strRef>
              <c:f>'Státní rozpočet-příjmy'!$A$37</c:f>
              <c:strCache>
                <c:ptCount val="1"/>
                <c:pt idx="0">
                  <c:v>Spotřební daň</c:v>
                </c:pt>
              </c:strCache>
            </c:strRef>
          </c:tx>
          <c:spPr>
            <a:ln w="19050">
              <a:solidFill>
                <a:srgbClr val="7DBB2D"/>
              </a:solidFill>
              <a:prstDash val="solid"/>
            </a:ln>
          </c:spPr>
          <c:marker>
            <c:symbol val="none"/>
          </c:marker>
          <c:cat>
            <c:strRef>
              <c:f>'Státní rozpočet-příjmy'!$B$34:$P$35</c:f>
              <c:strCach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strCache>
            </c:strRef>
          </c:cat>
          <c:val>
            <c:numRef>
              <c:f>'Státní rozpočet-příjmy'!$B$37:$P$37</c:f>
              <c:numCache>
                <c:formatCode>0.0</c:formatCode>
                <c:ptCount val="15"/>
                <c:pt idx="0">
                  <c:v>15.148989372785991</c:v>
                </c:pt>
                <c:pt idx="1">
                  <c:v>8.1704668838219305</c:v>
                </c:pt>
                <c:pt idx="2">
                  <c:v>16.227519866164769</c:v>
                </c:pt>
                <c:pt idx="3">
                  <c:v>-4.2605253688377047</c:v>
                </c:pt>
                <c:pt idx="4">
                  <c:v>-1.4733518755167978</c:v>
                </c:pt>
                <c:pt idx="5">
                  <c:v>5.4932478828107207</c:v>
                </c:pt>
                <c:pt idx="6">
                  <c:v>6.0099804729876354</c:v>
                </c:pt>
                <c:pt idx="7">
                  <c:v>0.13644426251875075</c:v>
                </c:pt>
                <c:pt idx="8">
                  <c:v>-2.2891402098378535</c:v>
                </c:pt>
                <c:pt idx="9">
                  <c:v>-1.4712034583739921</c:v>
                </c:pt>
                <c:pt idx="10">
                  <c:v>6.5034321704055031</c:v>
                </c:pt>
                <c:pt idx="11">
                  <c:v>5.1362126245847008</c:v>
                </c:pt>
                <c:pt idx="12">
                  <c:v>2.9071604626177248</c:v>
                </c:pt>
                <c:pt idx="13">
                  <c:v>2.8495977399742003</c:v>
                </c:pt>
                <c:pt idx="14">
                  <c:v>-0.19705021794949573</c:v>
                </c:pt>
              </c:numCache>
            </c:numRef>
          </c:val>
          <c:smooth val="0"/>
          <c:extLst>
            <c:ext xmlns:c16="http://schemas.microsoft.com/office/drawing/2014/chart" uri="{C3380CC4-5D6E-409C-BE32-E72D297353CC}">
              <c16:uniqueId val="{00000002-B93E-4AB9-9A10-BFE066ACFE72}"/>
            </c:ext>
          </c:extLst>
        </c:ser>
        <c:ser>
          <c:idx val="3"/>
          <c:order val="2"/>
          <c:tx>
            <c:strRef>
              <c:f>'Státní rozpočet-příjmy'!$A$38</c:f>
              <c:strCache>
                <c:ptCount val="1"/>
                <c:pt idx="0">
                  <c:v>Daně z příjmů FO ze závislé činnosti</c:v>
                </c:pt>
              </c:strCache>
            </c:strRef>
          </c:tx>
          <c:spPr>
            <a:ln w="19050">
              <a:solidFill>
                <a:srgbClr val="0071BC"/>
              </a:solidFill>
              <a:prstDash val="solid"/>
            </a:ln>
          </c:spPr>
          <c:marker>
            <c:symbol val="none"/>
          </c:marker>
          <c:cat>
            <c:strRef>
              <c:f>'Státní rozpočet-příjmy'!$B$34:$P$35</c:f>
              <c:strCach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strCache>
            </c:strRef>
          </c:cat>
          <c:val>
            <c:numRef>
              <c:f>'Státní rozpočet-příjmy'!$B$38:$P$38</c:f>
              <c:numCache>
                <c:formatCode>0.0</c:formatCode>
                <c:ptCount val="15"/>
                <c:pt idx="0">
                  <c:v>7.8339666764104123</c:v>
                </c:pt>
                <c:pt idx="1">
                  <c:v>0.86744375169422483</c:v>
                </c:pt>
                <c:pt idx="2">
                  <c:v>13.222252082773451</c:v>
                </c:pt>
                <c:pt idx="3">
                  <c:v>-8.8693725769443859</c:v>
                </c:pt>
                <c:pt idx="4">
                  <c:v>-3.5943740232679318</c:v>
                </c:pt>
                <c:pt idx="5">
                  <c:v>0.72046109510085898</c:v>
                </c:pt>
                <c:pt idx="6">
                  <c:v>6.7328326180257534</c:v>
                </c:pt>
                <c:pt idx="7">
                  <c:v>0.35184719778837348</c:v>
                </c:pt>
                <c:pt idx="8">
                  <c:v>5.2925953752399835</c:v>
                </c:pt>
                <c:pt idx="9">
                  <c:v>3.7580274320145861</c:v>
                </c:pt>
                <c:pt idx="10">
                  <c:v>4.011614579353548</c:v>
                </c:pt>
                <c:pt idx="11">
                  <c:v>9.7487511019688498</c:v>
                </c:pt>
                <c:pt idx="12">
                  <c:v>13.2873686324386</c:v>
                </c:pt>
                <c:pt idx="13">
                  <c:v>14.441030489246032</c:v>
                </c:pt>
                <c:pt idx="14">
                  <c:v>11.673895084675763</c:v>
                </c:pt>
              </c:numCache>
            </c:numRef>
          </c:val>
          <c:smooth val="0"/>
          <c:extLst>
            <c:ext xmlns:c16="http://schemas.microsoft.com/office/drawing/2014/chart" uri="{C3380CC4-5D6E-409C-BE32-E72D297353CC}">
              <c16:uniqueId val="{00000003-B93E-4AB9-9A10-BFE066ACFE72}"/>
            </c:ext>
          </c:extLst>
        </c:ser>
        <c:ser>
          <c:idx val="4"/>
          <c:order val="3"/>
          <c:tx>
            <c:strRef>
              <c:f>'Státní rozpočet-příjmy'!$A$39</c:f>
              <c:strCache>
                <c:ptCount val="1"/>
                <c:pt idx="0">
                  <c:v>Daně z příjmů právnických osob (PO)</c:v>
                </c:pt>
              </c:strCache>
            </c:strRef>
          </c:tx>
          <c:spPr>
            <a:ln w="19050">
              <a:noFill/>
            </a:ln>
          </c:spPr>
          <c:marker>
            <c:symbol val="diamond"/>
            <c:size val="6"/>
            <c:spPr>
              <a:solidFill>
                <a:srgbClr val="984807"/>
              </a:solidFill>
              <a:ln>
                <a:noFill/>
              </a:ln>
            </c:spPr>
          </c:marker>
          <c:cat>
            <c:strRef>
              <c:f>'Státní rozpočet-příjmy'!$B$34:$P$35</c:f>
              <c:strCach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strCache>
            </c:strRef>
          </c:cat>
          <c:val>
            <c:numRef>
              <c:f>'Státní rozpočet-příjmy'!$B$39:$P$39</c:f>
              <c:numCache>
                <c:formatCode>0.0</c:formatCode>
                <c:ptCount val="15"/>
                <c:pt idx="0">
                  <c:v>26.963584434130652</c:v>
                </c:pt>
                <c:pt idx="1">
                  <c:v>-4.7873462214411262</c:v>
                </c:pt>
                <c:pt idx="2">
                  <c:v>20.193443591258116</c:v>
                </c:pt>
                <c:pt idx="3">
                  <c:v>12.113766201855157</c:v>
                </c:pt>
                <c:pt idx="4">
                  <c:v>-34.469344145526264</c:v>
                </c:pt>
                <c:pt idx="5">
                  <c:v>3.5618729096990052</c:v>
                </c:pt>
                <c:pt idx="6">
                  <c:v>-4.6423381236880346</c:v>
                </c:pt>
                <c:pt idx="7">
                  <c:v>8.3735500804335032</c:v>
                </c:pt>
                <c:pt idx="8">
                  <c:v>-5.6875</c:v>
                </c:pt>
                <c:pt idx="9">
                  <c:v>9.6752816434725162</c:v>
                </c:pt>
                <c:pt idx="10">
                  <c:v>11.412386706948624</c:v>
                </c:pt>
                <c:pt idx="11">
                  <c:v>11.667005626737165</c:v>
                </c:pt>
                <c:pt idx="12">
                  <c:v>3.6000485672656595</c:v>
                </c:pt>
                <c:pt idx="13">
                  <c:v>1.9689422795194673</c:v>
                </c:pt>
                <c:pt idx="14">
                  <c:v>5.1089017872536004</c:v>
                </c:pt>
              </c:numCache>
            </c:numRef>
          </c:val>
          <c:smooth val="0"/>
          <c:extLst>
            <c:ext xmlns:c16="http://schemas.microsoft.com/office/drawing/2014/chart" uri="{C3380CC4-5D6E-409C-BE32-E72D297353CC}">
              <c16:uniqueId val="{00000004-B93E-4AB9-9A10-BFE066ACFE72}"/>
            </c:ext>
          </c:extLst>
        </c:ser>
        <c:dLbls>
          <c:showLegendKey val="0"/>
          <c:showVal val="0"/>
          <c:showCatName val="0"/>
          <c:showSerName val="0"/>
          <c:showPercent val="0"/>
          <c:showBubbleSize val="0"/>
        </c:dLbls>
        <c:marker val="1"/>
        <c:smooth val="0"/>
        <c:axId val="194467712"/>
        <c:axId val="194473984"/>
      </c:lineChart>
      <c:catAx>
        <c:axId val="194467712"/>
        <c:scaling>
          <c:orientation val="minMax"/>
        </c:scaling>
        <c:delete val="0"/>
        <c:axPos val="b"/>
        <c:numFmt formatCode="General" sourceLinked="1"/>
        <c:majorTickMark val="out"/>
        <c:minorTickMark val="none"/>
        <c:tickLblPos val="low"/>
        <c:spPr>
          <a:ln w="6350">
            <a:solidFill>
              <a:schemeClr val="tx1"/>
            </a:solidFill>
          </a:ln>
        </c:spPr>
        <c:crossAx val="194473984"/>
        <c:crosses val="autoZero"/>
        <c:auto val="1"/>
        <c:lblAlgn val="ctr"/>
        <c:lblOffset val="0"/>
        <c:noMultiLvlLbl val="0"/>
      </c:catAx>
      <c:valAx>
        <c:axId val="194473984"/>
        <c:scaling>
          <c:orientation val="minMax"/>
          <c:max val="30"/>
          <c:min val="-50"/>
        </c:scaling>
        <c:delete val="0"/>
        <c:axPos val="l"/>
        <c:majorGridlines>
          <c:spPr>
            <a:ln w="6350">
              <a:solidFill>
                <a:schemeClr val="bg1">
                  <a:lumMod val="75000"/>
                </a:schemeClr>
              </a:solidFill>
            </a:ln>
          </c:spPr>
        </c:majorGridlines>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700" b="0" i="1"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cs-CZ" sz="700" b="0" i="1" baseline="0">
                    <a:effectLst/>
                  </a:rPr>
                  <a:t>Vybrané druhy daňových příjmů (v</a:t>
                </a:r>
                <a:r>
                  <a:rPr lang="cs-CZ" sz="700" b="0" i="1" u="none" strike="noStrike" kern="1200" baseline="0">
                    <a:solidFill>
                      <a:sysClr val="windowText" lastClr="000000"/>
                    </a:solidFill>
                    <a:effectLst/>
                    <a:latin typeface="Arial" panose="020B0604020202020204" pitchFamily="34" charset="0"/>
                    <a:ea typeface="+mn-ea"/>
                    <a:cs typeface="Arial" panose="020B0604020202020204" pitchFamily="34" charset="0"/>
                  </a:rPr>
                  <a:t> %</a:t>
                </a:r>
                <a:r>
                  <a:rPr lang="cs-CZ" sz="700" b="0" i="1" baseline="0">
                    <a:effectLst/>
                  </a:rPr>
                  <a:t>)</a:t>
                </a:r>
                <a:endParaRPr lang="cs-CZ" sz="700" i="1">
                  <a:effectLst/>
                </a:endParaRPr>
              </a:p>
            </c:rich>
          </c:tx>
          <c:layout>
            <c:manualLayout>
              <c:xMode val="edge"/>
              <c:yMode val="edge"/>
              <c:x val="0"/>
              <c:y val="9.6294846522106445E-2"/>
            </c:manualLayout>
          </c:layout>
          <c:overlay val="0"/>
        </c:title>
        <c:numFmt formatCode="0" sourceLinked="0"/>
        <c:majorTickMark val="out"/>
        <c:minorTickMark val="none"/>
        <c:tickLblPos val="nextTo"/>
        <c:spPr>
          <a:ln w="6350">
            <a:solidFill>
              <a:schemeClr val="tx1"/>
            </a:solidFill>
          </a:ln>
        </c:spPr>
        <c:crossAx val="194467712"/>
        <c:crosses val="autoZero"/>
        <c:crossBetween val="between"/>
        <c:majorUnit val="5"/>
      </c:valAx>
      <c:valAx>
        <c:axId val="194475520"/>
        <c:scaling>
          <c:orientation val="minMax"/>
          <c:max val="120"/>
          <c:min val="-200"/>
        </c:scaling>
        <c:delete val="0"/>
        <c:axPos val="r"/>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700" b="0" i="1"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cs-CZ" sz="700" b="0" i="1" baseline="0">
                    <a:effectLst/>
                  </a:rPr>
                  <a:t>Saldo státního rozpočtu (v</a:t>
                </a:r>
                <a:r>
                  <a:rPr lang="cs-CZ" sz="700" b="0" i="1" u="none" strike="noStrike" kern="1200" baseline="0">
                    <a:solidFill>
                      <a:sysClr val="windowText" lastClr="000000"/>
                    </a:solidFill>
                    <a:effectLst/>
                    <a:latin typeface="Arial" panose="020B0604020202020204" pitchFamily="34" charset="0"/>
                    <a:ea typeface="+mn-ea"/>
                    <a:cs typeface="Arial" panose="020B0604020202020204" pitchFamily="34" charset="0"/>
                  </a:rPr>
                  <a:t> mld.</a:t>
                </a:r>
                <a:r>
                  <a:rPr lang="cs-CZ" sz="700" b="0" i="1" baseline="0">
                    <a:effectLst/>
                  </a:rPr>
                  <a:t> korun)</a:t>
                </a:r>
                <a:endParaRPr lang="cs-CZ" sz="700">
                  <a:effectLst/>
                </a:endParaRPr>
              </a:p>
            </c:rich>
          </c:tx>
          <c:layout>
            <c:manualLayout>
              <c:xMode val="edge"/>
              <c:yMode val="edge"/>
              <c:x val="0.97036971818347273"/>
              <c:y val="8.7863418755280198E-2"/>
            </c:manualLayout>
          </c:layout>
          <c:overlay val="0"/>
        </c:title>
        <c:numFmt formatCode="#,##0" sourceLinked="0"/>
        <c:majorTickMark val="out"/>
        <c:minorTickMark val="none"/>
        <c:tickLblPos val="nextTo"/>
        <c:crossAx val="194477056"/>
        <c:crosses val="max"/>
        <c:crossBetween val="between"/>
        <c:majorUnit val="20"/>
      </c:valAx>
      <c:catAx>
        <c:axId val="194477056"/>
        <c:scaling>
          <c:orientation val="minMax"/>
        </c:scaling>
        <c:delete val="1"/>
        <c:axPos val="b"/>
        <c:numFmt formatCode="General" sourceLinked="1"/>
        <c:majorTickMark val="out"/>
        <c:minorTickMark val="none"/>
        <c:tickLblPos val="none"/>
        <c:crossAx val="194475520"/>
        <c:crosses val="autoZero"/>
        <c:auto val="1"/>
        <c:lblAlgn val="ctr"/>
        <c:lblOffset val="100"/>
        <c:noMultiLvlLbl val="0"/>
      </c:catAx>
      <c:spPr>
        <a:ln w="6350">
          <a:solidFill>
            <a:schemeClr val="tx1"/>
          </a:solidFill>
        </a:ln>
      </c:spPr>
    </c:plotArea>
    <c:legend>
      <c:legendPos val="b"/>
      <c:layout>
        <c:manualLayout>
          <c:xMode val="edge"/>
          <c:yMode val="edge"/>
          <c:x val="7.0244980765903686E-2"/>
          <c:y val="0.88660317791021404"/>
          <c:w val="0.84974909589484104"/>
          <c:h val="0.10979813644594019"/>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9233554716266127E-2"/>
          <c:y val="1.7112323287741892E-2"/>
          <c:w val="0.82968371809808084"/>
          <c:h val="0.76067747074773961"/>
        </c:manualLayout>
      </c:layout>
      <c:barChart>
        <c:barDir val="col"/>
        <c:grouping val="clustered"/>
        <c:varyColors val="0"/>
        <c:ser>
          <c:idx val="0"/>
          <c:order val="0"/>
          <c:tx>
            <c:strRef>
              <c:f>'SR-výdaje-celorok-2019'!$B$31</c:f>
              <c:strCache>
                <c:ptCount val="1"/>
                <c:pt idx="0">
                  <c:v>Běžné výdaje celkem (pravá osa)</c:v>
                </c:pt>
              </c:strCache>
            </c:strRef>
          </c:tx>
          <c:spPr>
            <a:solidFill>
              <a:srgbClr val="DCDCDC"/>
            </a:solidFill>
            <a:ln>
              <a:noFill/>
            </a:ln>
          </c:spPr>
          <c:invertIfNegative val="0"/>
          <c:cat>
            <c:numRef>
              <c:f>'SR-výdaje-celorok-2019'!$A$32:$A$46</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'SR-výdaje-celorok-2019'!$B$32:$B$46</c:f>
              <c:numCache>
                <c:formatCode>0.0</c:formatCode>
                <c:ptCount val="15"/>
                <c:pt idx="0">
                  <c:v>840.86</c:v>
                </c:pt>
                <c:pt idx="1">
                  <c:v>912.08</c:v>
                </c:pt>
                <c:pt idx="2">
                  <c:v>973.85</c:v>
                </c:pt>
                <c:pt idx="3">
                  <c:v>975.86</c:v>
                </c:pt>
                <c:pt idx="4">
                  <c:v>1032.78</c:v>
                </c:pt>
                <c:pt idx="5">
                  <c:v>1021.89</c:v>
                </c:pt>
                <c:pt idx="6">
                  <c:v>1031.83</c:v>
                </c:pt>
                <c:pt idx="7">
                  <c:v>1038.76</c:v>
                </c:pt>
                <c:pt idx="8">
                  <c:v>1070.8130000000001</c:v>
                </c:pt>
                <c:pt idx="9">
                  <c:v>1100.1020000000001</c:v>
                </c:pt>
                <c:pt idx="10">
                  <c:v>1121.6600000000001</c:v>
                </c:pt>
                <c:pt idx="11">
                  <c:v>1135.57</c:v>
                </c:pt>
                <c:pt idx="12">
                  <c:v>1198.05</c:v>
                </c:pt>
                <c:pt idx="13">
                  <c:v>1284.5</c:v>
                </c:pt>
                <c:pt idx="14">
                  <c:v>1412.48</c:v>
                </c:pt>
              </c:numCache>
            </c:numRef>
          </c:val>
          <c:extLst>
            <c:ext xmlns:c16="http://schemas.microsoft.com/office/drawing/2014/chart" uri="{C3380CC4-5D6E-409C-BE32-E72D297353CC}">
              <c16:uniqueId val="{00000000-DEF1-4F1C-895F-026A9B485256}"/>
            </c:ext>
          </c:extLst>
        </c:ser>
        <c:dLbls>
          <c:showLegendKey val="0"/>
          <c:showVal val="0"/>
          <c:showCatName val="0"/>
          <c:showSerName val="0"/>
          <c:showPercent val="0"/>
          <c:showBubbleSize val="0"/>
        </c:dLbls>
        <c:gapWidth val="70"/>
        <c:axId val="72836608"/>
        <c:axId val="72835072"/>
      </c:barChart>
      <c:lineChart>
        <c:grouping val="standard"/>
        <c:varyColors val="0"/>
        <c:ser>
          <c:idx val="1"/>
          <c:order val="1"/>
          <c:tx>
            <c:strRef>
              <c:f>'SR-výdaje-celorok-2019'!$C$31</c:f>
              <c:strCache>
                <c:ptCount val="1"/>
                <c:pt idx="0">
                  <c:v>Platy státních zaměstnanců*</c:v>
                </c:pt>
              </c:strCache>
            </c:strRef>
          </c:tx>
          <c:spPr>
            <a:ln w="15875">
              <a:solidFill>
                <a:srgbClr val="984807"/>
              </a:solidFill>
            </a:ln>
          </c:spPr>
          <c:marker>
            <c:symbol val="none"/>
          </c:marker>
          <c:cat>
            <c:numRef>
              <c:f>'SR-výdaje-celorok-2019'!$A$32:$A$46</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'SR-výdaje-celorok-2019'!$C$32:$C$46</c:f>
              <c:numCache>
                <c:formatCode>0.0</c:formatCode>
                <c:ptCount val="15"/>
                <c:pt idx="0">
                  <c:v>88.07</c:v>
                </c:pt>
                <c:pt idx="1">
                  <c:v>89.99</c:v>
                </c:pt>
                <c:pt idx="2">
                  <c:v>95.76</c:v>
                </c:pt>
                <c:pt idx="3">
                  <c:v>97.33</c:v>
                </c:pt>
                <c:pt idx="4">
                  <c:v>100.19</c:v>
                </c:pt>
                <c:pt idx="5">
                  <c:v>97.67</c:v>
                </c:pt>
                <c:pt idx="6">
                  <c:v>89.6</c:v>
                </c:pt>
                <c:pt idx="7">
                  <c:v>90.45</c:v>
                </c:pt>
                <c:pt idx="8">
                  <c:v>92.375</c:v>
                </c:pt>
                <c:pt idx="9">
                  <c:v>96.582999999999998</c:v>
                </c:pt>
                <c:pt idx="10">
                  <c:v>104.19</c:v>
                </c:pt>
                <c:pt idx="11">
                  <c:v>109.86</c:v>
                </c:pt>
                <c:pt idx="12">
                  <c:v>120.08</c:v>
                </c:pt>
                <c:pt idx="13">
                  <c:v>133.9</c:v>
                </c:pt>
                <c:pt idx="14">
                  <c:v>143.46</c:v>
                </c:pt>
              </c:numCache>
            </c:numRef>
          </c:val>
          <c:smooth val="0"/>
          <c:extLst>
            <c:ext xmlns:c16="http://schemas.microsoft.com/office/drawing/2014/chart" uri="{C3380CC4-5D6E-409C-BE32-E72D297353CC}">
              <c16:uniqueId val="{00000001-DEF1-4F1C-895F-026A9B485256}"/>
            </c:ext>
          </c:extLst>
        </c:ser>
        <c:ser>
          <c:idx val="6"/>
          <c:order val="2"/>
          <c:tx>
            <c:strRef>
              <c:f>'SR-výdaje-celorok-2019'!$D$31</c:f>
              <c:strCache>
                <c:ptCount val="1"/>
                <c:pt idx="0">
                  <c:v>Podpora v nezaměstnanosti</c:v>
                </c:pt>
              </c:strCache>
            </c:strRef>
          </c:tx>
          <c:spPr>
            <a:ln w="15875">
              <a:solidFill>
                <a:srgbClr val="48AEE7"/>
              </a:solidFill>
            </a:ln>
          </c:spPr>
          <c:marker>
            <c:symbol val="none"/>
          </c:marker>
          <c:cat>
            <c:numRef>
              <c:f>'SR-výdaje-celorok-2019'!$A$32:$A$46</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'SR-výdaje-celorok-2019'!$D$32:$D$46</c:f>
              <c:numCache>
                <c:formatCode>0.0</c:formatCode>
                <c:ptCount val="15"/>
                <c:pt idx="0">
                  <c:v>7.11</c:v>
                </c:pt>
                <c:pt idx="1">
                  <c:v>7.36</c:v>
                </c:pt>
                <c:pt idx="2">
                  <c:v>7.24</c:v>
                </c:pt>
                <c:pt idx="3">
                  <c:v>7.11</c:v>
                </c:pt>
                <c:pt idx="4">
                  <c:v>15.077999999999999</c:v>
                </c:pt>
                <c:pt idx="5">
                  <c:v>13.355</c:v>
                </c:pt>
                <c:pt idx="6">
                  <c:v>10.349</c:v>
                </c:pt>
                <c:pt idx="7">
                  <c:v>8.76</c:v>
                </c:pt>
                <c:pt idx="8">
                  <c:v>9.65</c:v>
                </c:pt>
                <c:pt idx="9">
                  <c:v>9.2620000000000005</c:v>
                </c:pt>
                <c:pt idx="10">
                  <c:v>8.2759999999999998</c:v>
                </c:pt>
                <c:pt idx="11">
                  <c:v>8.2200000000000006</c:v>
                </c:pt>
                <c:pt idx="12">
                  <c:v>7.82</c:v>
                </c:pt>
                <c:pt idx="13">
                  <c:v>7.51</c:v>
                </c:pt>
                <c:pt idx="14">
                  <c:v>8.1199999999999992</c:v>
                </c:pt>
              </c:numCache>
            </c:numRef>
          </c:val>
          <c:smooth val="0"/>
          <c:extLst>
            <c:ext xmlns:c16="http://schemas.microsoft.com/office/drawing/2014/chart" uri="{C3380CC4-5D6E-409C-BE32-E72D297353CC}">
              <c16:uniqueId val="{00000002-DEF1-4F1C-895F-026A9B485256}"/>
            </c:ext>
          </c:extLst>
        </c:ser>
        <c:ser>
          <c:idx val="7"/>
          <c:order val="3"/>
          <c:tx>
            <c:strRef>
              <c:f>'SR-výdaje-celorok-2019'!$E$31</c:f>
              <c:strCache>
                <c:ptCount val="1"/>
                <c:pt idx="0">
                  <c:v>Státní sociální podpora**</c:v>
                </c:pt>
              </c:strCache>
            </c:strRef>
          </c:tx>
          <c:spPr>
            <a:ln w="15875">
              <a:solidFill>
                <a:srgbClr val="00B050"/>
              </a:solidFill>
            </a:ln>
          </c:spPr>
          <c:marker>
            <c:symbol val="none"/>
          </c:marker>
          <c:cat>
            <c:numRef>
              <c:f>'SR-výdaje-celorok-2019'!$A$32:$A$46</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'SR-výdaje-celorok-2019'!$E$32:$E$46</c:f>
              <c:numCache>
                <c:formatCode>General</c:formatCode>
                <c:ptCount val="15"/>
                <c:pt idx="0" formatCode="0.00">
                  <c:v>33.14</c:v>
                </c:pt>
                <c:pt idx="1">
                  <c:v>34.35</c:v>
                </c:pt>
                <c:pt idx="2">
                  <c:v>49.47</c:v>
                </c:pt>
                <c:pt idx="3">
                  <c:v>41.97</c:v>
                </c:pt>
                <c:pt idx="4">
                  <c:v>41.167999999999999</c:v>
                </c:pt>
                <c:pt idx="5">
                  <c:v>40.881</c:v>
                </c:pt>
                <c:pt idx="6">
                  <c:v>36.094000000000001</c:v>
                </c:pt>
                <c:pt idx="7">
                  <c:v>35.554000000000002</c:v>
                </c:pt>
                <c:pt idx="8">
                  <c:v>37.423000000000002</c:v>
                </c:pt>
                <c:pt idx="9">
                  <c:v>37.543999999999997</c:v>
                </c:pt>
                <c:pt idx="10">
                  <c:v>37.65</c:v>
                </c:pt>
                <c:pt idx="11">
                  <c:v>37.78</c:v>
                </c:pt>
                <c:pt idx="12">
                  <c:v>37.22</c:v>
                </c:pt>
                <c:pt idx="13">
                  <c:v>39.22</c:v>
                </c:pt>
                <c:pt idx="14">
                  <c:v>37.909999999999997</c:v>
                </c:pt>
              </c:numCache>
            </c:numRef>
          </c:val>
          <c:smooth val="0"/>
          <c:extLst>
            <c:ext xmlns:c16="http://schemas.microsoft.com/office/drawing/2014/chart" uri="{C3380CC4-5D6E-409C-BE32-E72D297353CC}">
              <c16:uniqueId val="{00000003-DEF1-4F1C-895F-026A9B485256}"/>
            </c:ext>
          </c:extLst>
        </c:ser>
        <c:ser>
          <c:idx val="2"/>
          <c:order val="4"/>
          <c:tx>
            <c:strRef>
              <c:f>'SR-výdaje-celorok-2019'!$F$31</c:f>
              <c:strCache>
                <c:ptCount val="1"/>
                <c:pt idx="0">
                  <c:v>Dávky nemocenského pojištění</c:v>
                </c:pt>
              </c:strCache>
            </c:strRef>
          </c:tx>
          <c:spPr>
            <a:ln w="15875">
              <a:solidFill>
                <a:srgbClr val="0071BC"/>
              </a:solidFill>
            </a:ln>
          </c:spPr>
          <c:marker>
            <c:symbol val="none"/>
          </c:marker>
          <c:cat>
            <c:numRef>
              <c:f>'SR-výdaje-celorok-2019'!$A$32:$A$46</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'SR-výdaje-celorok-2019'!$F$32:$F$46</c:f>
              <c:numCache>
                <c:formatCode>0.00</c:formatCode>
                <c:ptCount val="15"/>
                <c:pt idx="0">
                  <c:v>31.66</c:v>
                </c:pt>
                <c:pt idx="1">
                  <c:v>32.773000000000003</c:v>
                </c:pt>
                <c:pt idx="2">
                  <c:v>34.670999999999999</c:v>
                </c:pt>
                <c:pt idx="3">
                  <c:v>31.882000000000001</c:v>
                </c:pt>
                <c:pt idx="4">
                  <c:v>26.233000000000001</c:v>
                </c:pt>
                <c:pt idx="5">
                  <c:v>22.995999999999999</c:v>
                </c:pt>
                <c:pt idx="6">
                  <c:v>21.734000000000002</c:v>
                </c:pt>
                <c:pt idx="7">
                  <c:v>19.602</c:v>
                </c:pt>
                <c:pt idx="8">
                  <c:v>20.350000000000001</c:v>
                </c:pt>
                <c:pt idx="9">
                  <c:v>22.283000000000001</c:v>
                </c:pt>
                <c:pt idx="10">
                  <c:v>24.31</c:v>
                </c:pt>
                <c:pt idx="11">
                  <c:v>26.5</c:v>
                </c:pt>
                <c:pt idx="12">
                  <c:v>28.57</c:v>
                </c:pt>
                <c:pt idx="13">
                  <c:v>34.173699999999997</c:v>
                </c:pt>
                <c:pt idx="14">
                  <c:v>39.094712799999996</c:v>
                </c:pt>
              </c:numCache>
            </c:numRef>
          </c:val>
          <c:smooth val="0"/>
          <c:extLst>
            <c:ext xmlns:c16="http://schemas.microsoft.com/office/drawing/2014/chart" uri="{C3380CC4-5D6E-409C-BE32-E72D297353CC}">
              <c16:uniqueId val="{00000004-DEF1-4F1C-895F-026A9B485256}"/>
            </c:ext>
          </c:extLst>
        </c:ser>
        <c:ser>
          <c:idx val="3"/>
          <c:order val="5"/>
          <c:tx>
            <c:strRef>
              <c:f>'SR-výdaje-celorok-2019'!$G$31</c:f>
              <c:strCache>
                <c:ptCount val="1"/>
                <c:pt idx="0">
                  <c:v>Dávky sociální péče***</c:v>
                </c:pt>
              </c:strCache>
            </c:strRef>
          </c:tx>
          <c:spPr>
            <a:ln w="15875">
              <a:solidFill>
                <a:srgbClr val="7030A0"/>
              </a:solidFill>
            </a:ln>
          </c:spPr>
          <c:marker>
            <c:symbol val="none"/>
          </c:marker>
          <c:cat>
            <c:numRef>
              <c:f>'SR-výdaje-celorok-2019'!$A$32:$A$46</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'SR-výdaje-celorok-2019'!$G$32:$G$46</c:f>
              <c:numCache>
                <c:formatCode>General</c:formatCode>
                <c:ptCount val="15"/>
                <c:pt idx="2" formatCode="0.00">
                  <c:v>20.811</c:v>
                </c:pt>
                <c:pt idx="3" formatCode="0.00">
                  <c:v>23.542000000000002</c:v>
                </c:pt>
                <c:pt idx="4" formatCode="0.00">
                  <c:v>24.256</c:v>
                </c:pt>
                <c:pt idx="5" formatCode="0.00">
                  <c:v>25.292000000000002</c:v>
                </c:pt>
                <c:pt idx="6" formatCode="0.00">
                  <c:v>24.966999999999999</c:v>
                </c:pt>
                <c:pt idx="7" formatCode="0.00">
                  <c:v>27.695499999999999</c:v>
                </c:pt>
                <c:pt idx="8" formatCode="0.00">
                  <c:v>31.978999999999999</c:v>
                </c:pt>
                <c:pt idx="9" formatCode="0.00">
                  <c:v>33.622</c:v>
                </c:pt>
                <c:pt idx="10" formatCode="0.00">
                  <c:v>33.621000000000002</c:v>
                </c:pt>
                <c:pt idx="11" formatCode="0.00">
                  <c:v>34.295000000000002</c:v>
                </c:pt>
                <c:pt idx="12" formatCode="0.00">
                  <c:v>34.439</c:v>
                </c:pt>
                <c:pt idx="13" formatCode="0.00">
                  <c:v>33.990400000000001</c:v>
                </c:pt>
                <c:pt idx="14" formatCode="0.00">
                  <c:v>36.58750470219789</c:v>
                </c:pt>
              </c:numCache>
            </c:numRef>
          </c:val>
          <c:smooth val="0"/>
          <c:extLst>
            <c:ext xmlns:c16="http://schemas.microsoft.com/office/drawing/2014/chart" uri="{C3380CC4-5D6E-409C-BE32-E72D297353CC}">
              <c16:uniqueId val="{00000005-DEF1-4F1C-895F-026A9B485256}"/>
            </c:ext>
          </c:extLst>
        </c:ser>
        <c:ser>
          <c:idx val="4"/>
          <c:order val="6"/>
          <c:tx>
            <c:strRef>
              <c:f>'SR-výdaje-celorok-2019'!$H$31</c:f>
              <c:strCache>
                <c:ptCount val="1"/>
                <c:pt idx="0">
                  <c:v>Neinvestič. nákupy a souvis. výdaje****</c:v>
                </c:pt>
              </c:strCache>
            </c:strRef>
          </c:tx>
          <c:spPr>
            <a:ln w="15875">
              <a:solidFill>
                <a:srgbClr val="F8A124"/>
              </a:solidFill>
              <a:prstDash val="solid"/>
            </a:ln>
          </c:spPr>
          <c:marker>
            <c:symbol val="none"/>
          </c:marker>
          <c:cat>
            <c:numRef>
              <c:f>'SR-výdaje-celorok-2019'!$A$32:$A$46</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'SR-výdaje-celorok-2019'!$H$32:$H$46</c:f>
              <c:numCache>
                <c:formatCode>0.0</c:formatCode>
                <c:ptCount val="15"/>
                <c:pt idx="0">
                  <c:v>73.388000000000005</c:v>
                </c:pt>
                <c:pt idx="1">
                  <c:v>82.167000000000002</c:v>
                </c:pt>
                <c:pt idx="2">
                  <c:v>68.822999999999993</c:v>
                </c:pt>
                <c:pt idx="3">
                  <c:v>74.822999999999993</c:v>
                </c:pt>
                <c:pt idx="4">
                  <c:v>72.738</c:v>
                </c:pt>
                <c:pt idx="5">
                  <c:v>69.86</c:v>
                </c:pt>
                <c:pt idx="6">
                  <c:v>67.707999999999998</c:v>
                </c:pt>
                <c:pt idx="7">
                  <c:v>55.811</c:v>
                </c:pt>
                <c:pt idx="8">
                  <c:v>56.384999999999998</c:v>
                </c:pt>
                <c:pt idx="9">
                  <c:v>56.801000000000002</c:v>
                </c:pt>
                <c:pt idx="10">
                  <c:v>63.75</c:v>
                </c:pt>
                <c:pt idx="11">
                  <c:v>59.14</c:v>
                </c:pt>
                <c:pt idx="12">
                  <c:v>63.68</c:v>
                </c:pt>
                <c:pt idx="13">
                  <c:v>68.819999999999993</c:v>
                </c:pt>
                <c:pt idx="14">
                  <c:v>66.77</c:v>
                </c:pt>
              </c:numCache>
            </c:numRef>
          </c:val>
          <c:smooth val="0"/>
          <c:extLst>
            <c:ext xmlns:c16="http://schemas.microsoft.com/office/drawing/2014/chart" uri="{C3380CC4-5D6E-409C-BE32-E72D297353CC}">
              <c16:uniqueId val="{00000006-DEF1-4F1C-895F-026A9B485256}"/>
            </c:ext>
          </c:extLst>
        </c:ser>
        <c:ser>
          <c:idx val="5"/>
          <c:order val="7"/>
          <c:tx>
            <c:strRef>
              <c:f>'SR-výdaje-celorok-2019'!$I$31</c:f>
              <c:strCache>
                <c:ptCount val="1"/>
                <c:pt idx="0">
                  <c:v>Státní dluh (čisté výdaje)*****</c:v>
                </c:pt>
              </c:strCache>
            </c:strRef>
          </c:tx>
          <c:spPr>
            <a:ln w="15875">
              <a:solidFill>
                <a:srgbClr val="BD1B25"/>
              </a:solidFill>
            </a:ln>
          </c:spPr>
          <c:marker>
            <c:symbol val="none"/>
          </c:marker>
          <c:cat>
            <c:numRef>
              <c:f>'SR-výdaje-celorok-2019'!$A$32:$A$46</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'SR-výdaje-celorok-2019'!$I$32:$I$46</c:f>
              <c:numCache>
                <c:formatCode>0.0</c:formatCode>
                <c:ptCount val="15"/>
                <c:pt idx="0">
                  <c:v>25.43</c:v>
                </c:pt>
                <c:pt idx="1">
                  <c:v>31.61</c:v>
                </c:pt>
                <c:pt idx="2">
                  <c:v>34.130000000000003</c:v>
                </c:pt>
                <c:pt idx="3">
                  <c:v>37.64</c:v>
                </c:pt>
                <c:pt idx="4">
                  <c:v>44.46</c:v>
                </c:pt>
                <c:pt idx="5">
                  <c:v>35.840000000000003</c:v>
                </c:pt>
                <c:pt idx="6">
                  <c:v>45.120000000000005</c:v>
                </c:pt>
                <c:pt idx="7">
                  <c:v>41.400000000000006</c:v>
                </c:pt>
                <c:pt idx="8">
                  <c:v>50.89</c:v>
                </c:pt>
                <c:pt idx="9">
                  <c:v>48.49</c:v>
                </c:pt>
                <c:pt idx="10">
                  <c:v>45.28</c:v>
                </c:pt>
                <c:pt idx="11">
                  <c:v>40.65</c:v>
                </c:pt>
                <c:pt idx="12">
                  <c:v>39.769999999999996</c:v>
                </c:pt>
                <c:pt idx="13">
                  <c:v>40.729999999999997</c:v>
                </c:pt>
                <c:pt idx="14">
                  <c:v>39.549999999999997</c:v>
                </c:pt>
              </c:numCache>
            </c:numRef>
          </c:val>
          <c:smooth val="0"/>
          <c:extLst>
            <c:ext xmlns:c16="http://schemas.microsoft.com/office/drawing/2014/chart" uri="{C3380CC4-5D6E-409C-BE32-E72D297353CC}">
              <c16:uniqueId val="{00000007-DEF1-4F1C-895F-026A9B485256}"/>
            </c:ext>
          </c:extLst>
        </c:ser>
        <c:ser>
          <c:idx val="8"/>
          <c:order val="8"/>
          <c:tx>
            <c:strRef>
              <c:f>'SR-výdaje-celorok-2019'!$J$31</c:f>
              <c:strCache>
                <c:ptCount val="1"/>
                <c:pt idx="0">
                  <c:v>Stavební spoření a důchod. připojištění</c:v>
                </c:pt>
              </c:strCache>
            </c:strRef>
          </c:tx>
          <c:spPr>
            <a:ln w="15875">
              <a:solidFill>
                <a:schemeClr val="bg1">
                  <a:lumMod val="50000"/>
                </a:schemeClr>
              </a:solidFill>
              <a:prstDash val="solid"/>
            </a:ln>
          </c:spPr>
          <c:marker>
            <c:symbol val="none"/>
          </c:marker>
          <c:cat>
            <c:numRef>
              <c:f>'SR-výdaje-celorok-2019'!$A$32:$A$46</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'SR-výdaje-celorok-2019'!$J$32:$J$46</c:f>
              <c:numCache>
                <c:formatCode>0.0</c:formatCode>
                <c:ptCount val="15"/>
                <c:pt idx="0">
                  <c:v>19.66</c:v>
                </c:pt>
                <c:pt idx="1">
                  <c:v>19.809999999999999</c:v>
                </c:pt>
                <c:pt idx="2">
                  <c:v>19.510000000000002</c:v>
                </c:pt>
                <c:pt idx="3">
                  <c:v>19.21</c:v>
                </c:pt>
                <c:pt idx="4">
                  <c:v>18.559999999999999</c:v>
                </c:pt>
                <c:pt idx="5">
                  <c:v>17.21</c:v>
                </c:pt>
                <c:pt idx="6">
                  <c:v>16.32</c:v>
                </c:pt>
                <c:pt idx="7">
                  <c:v>11.030000000000001</c:v>
                </c:pt>
                <c:pt idx="8">
                  <c:v>11.64</c:v>
                </c:pt>
                <c:pt idx="9">
                  <c:v>11.649999999999999</c:v>
                </c:pt>
                <c:pt idx="10">
                  <c:v>11.379999999999999</c:v>
                </c:pt>
                <c:pt idx="11">
                  <c:v>11.09</c:v>
                </c:pt>
                <c:pt idx="12">
                  <c:v>10.83</c:v>
                </c:pt>
                <c:pt idx="13">
                  <c:v>10.91</c:v>
                </c:pt>
                <c:pt idx="14">
                  <c:v>11.18</c:v>
                </c:pt>
              </c:numCache>
            </c:numRef>
          </c:val>
          <c:smooth val="0"/>
          <c:extLst>
            <c:ext xmlns:c16="http://schemas.microsoft.com/office/drawing/2014/chart" uri="{C3380CC4-5D6E-409C-BE32-E72D297353CC}">
              <c16:uniqueId val="{00000008-DEF1-4F1C-895F-026A9B485256}"/>
            </c:ext>
          </c:extLst>
        </c:ser>
        <c:ser>
          <c:idx val="9"/>
          <c:order val="9"/>
          <c:tx>
            <c:strRef>
              <c:f>'SR-výdaje-celorok-2019'!$K$31</c:f>
              <c:strCache>
                <c:ptCount val="1"/>
                <c:pt idx="0">
                  <c:v>Kapitálové výdaje</c:v>
                </c:pt>
              </c:strCache>
            </c:strRef>
          </c:tx>
          <c:spPr>
            <a:ln w="15875">
              <a:solidFill>
                <a:schemeClr val="tx1">
                  <a:lumMod val="95000"/>
                  <a:lumOff val="5000"/>
                </a:schemeClr>
              </a:solidFill>
              <a:prstDash val="sysDash"/>
            </a:ln>
          </c:spPr>
          <c:marker>
            <c:symbol val="none"/>
          </c:marker>
          <c:cat>
            <c:numRef>
              <c:f>'SR-výdaje-celorok-2019'!$A$32:$A$46</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'SR-výdaje-celorok-2019'!$K$32:$K$46</c:f>
              <c:numCache>
                <c:formatCode>0.0</c:formatCode>
                <c:ptCount val="15"/>
                <c:pt idx="0">
                  <c:v>81.99</c:v>
                </c:pt>
                <c:pt idx="1">
                  <c:v>108.54</c:v>
                </c:pt>
                <c:pt idx="2">
                  <c:v>118.42</c:v>
                </c:pt>
                <c:pt idx="3">
                  <c:v>108.08</c:v>
                </c:pt>
                <c:pt idx="4">
                  <c:v>134.22999999999999</c:v>
                </c:pt>
                <c:pt idx="5">
                  <c:v>134.91</c:v>
                </c:pt>
                <c:pt idx="6">
                  <c:v>123.69</c:v>
                </c:pt>
                <c:pt idx="7">
                  <c:v>113.62</c:v>
                </c:pt>
                <c:pt idx="8">
                  <c:v>102.315</c:v>
                </c:pt>
                <c:pt idx="9">
                  <c:v>111.50700000000001</c:v>
                </c:pt>
                <c:pt idx="10">
                  <c:v>175.66</c:v>
                </c:pt>
                <c:pt idx="11">
                  <c:v>84.27</c:v>
                </c:pt>
                <c:pt idx="12">
                  <c:v>81.75</c:v>
                </c:pt>
                <c:pt idx="13">
                  <c:v>116.46</c:v>
                </c:pt>
                <c:pt idx="14">
                  <c:v>139.26</c:v>
                </c:pt>
              </c:numCache>
            </c:numRef>
          </c:val>
          <c:smooth val="0"/>
          <c:extLst>
            <c:ext xmlns:c16="http://schemas.microsoft.com/office/drawing/2014/chart" uri="{C3380CC4-5D6E-409C-BE32-E72D297353CC}">
              <c16:uniqueId val="{00000009-DEF1-4F1C-895F-026A9B485256}"/>
            </c:ext>
          </c:extLst>
        </c:ser>
        <c:dLbls>
          <c:showLegendKey val="0"/>
          <c:showVal val="0"/>
          <c:showCatName val="0"/>
          <c:showSerName val="0"/>
          <c:showPercent val="0"/>
          <c:showBubbleSize val="0"/>
        </c:dLbls>
        <c:marker val="1"/>
        <c:smooth val="0"/>
        <c:axId val="72827648"/>
        <c:axId val="72829184"/>
      </c:lineChart>
      <c:catAx>
        <c:axId val="72827648"/>
        <c:scaling>
          <c:orientation val="minMax"/>
        </c:scaling>
        <c:delete val="0"/>
        <c:axPos val="b"/>
        <c:numFmt formatCode="General" sourceLinked="1"/>
        <c:majorTickMark val="out"/>
        <c:minorTickMark val="none"/>
        <c:tickLblPos val="low"/>
        <c:spPr>
          <a:ln w="6350">
            <a:solidFill>
              <a:schemeClr val="bg1">
                <a:lumMod val="50000"/>
              </a:schemeClr>
            </a:solidFill>
          </a:ln>
        </c:spPr>
        <c:crossAx val="72829184"/>
        <c:crosses val="autoZero"/>
        <c:auto val="1"/>
        <c:lblAlgn val="ctr"/>
        <c:lblOffset val="20"/>
        <c:noMultiLvlLbl val="0"/>
      </c:catAx>
      <c:valAx>
        <c:axId val="72829184"/>
        <c:scaling>
          <c:orientation val="minMax"/>
          <c:max val="180"/>
          <c:min val="0"/>
        </c:scaling>
        <c:delete val="0"/>
        <c:axPos val="l"/>
        <c:majorGridlines>
          <c:spPr>
            <a:ln w="6350">
              <a:solidFill>
                <a:schemeClr val="bg1">
                  <a:lumMod val="75000"/>
                </a:schemeClr>
              </a:solidFill>
            </a:ln>
          </c:spPr>
        </c:majorGridlines>
        <c:title>
          <c:tx>
            <c:rich>
              <a:bodyPr/>
              <a:lstStyle/>
              <a:p>
                <a:pPr>
                  <a:defRPr sz="700" b="0"/>
                </a:pPr>
                <a:r>
                  <a:rPr lang="cs-CZ" sz="700" b="0" i="1" u="none" strike="noStrike" baseline="0">
                    <a:effectLst/>
                  </a:rPr>
                  <a:t>Ostatní výdaje (v</a:t>
                </a:r>
                <a:r>
                  <a:rPr lang="cs-CZ" sz="700" b="0" i="1" u="none" strike="noStrike" kern="1200" baseline="0">
                    <a:solidFill>
                      <a:sysClr val="windowText" lastClr="000000"/>
                    </a:solidFill>
                    <a:effectLst/>
                    <a:latin typeface="Arial" panose="020B0604020202020204" pitchFamily="34" charset="0"/>
                    <a:ea typeface="+mn-ea"/>
                    <a:cs typeface="Arial" panose="020B0604020202020204" pitchFamily="34" charset="0"/>
                  </a:rPr>
                  <a:t> mld.</a:t>
                </a:r>
                <a:r>
                  <a:rPr lang="cs-CZ" sz="700" b="0" i="1" u="none" strike="noStrike" baseline="0">
                    <a:effectLst/>
                  </a:rPr>
                  <a:t> korun)</a:t>
                </a:r>
                <a:endParaRPr lang="cs-CZ" sz="700" b="0"/>
              </a:p>
            </c:rich>
          </c:tx>
          <c:overlay val="0"/>
        </c:title>
        <c:numFmt formatCode="0" sourceLinked="0"/>
        <c:majorTickMark val="out"/>
        <c:minorTickMark val="none"/>
        <c:tickLblPos val="nextTo"/>
        <c:spPr>
          <a:ln w="6350">
            <a:solidFill>
              <a:schemeClr val="tx1"/>
            </a:solidFill>
          </a:ln>
        </c:spPr>
        <c:crossAx val="72827648"/>
        <c:crosses val="autoZero"/>
        <c:crossBetween val="between"/>
        <c:majorUnit val="10"/>
      </c:valAx>
      <c:valAx>
        <c:axId val="72835072"/>
        <c:scaling>
          <c:orientation val="minMax"/>
          <c:max val="1500"/>
          <c:min val="0"/>
        </c:scaling>
        <c:delete val="0"/>
        <c:axPos val="r"/>
        <c:title>
          <c:tx>
            <c:rich>
              <a:bodyPr/>
              <a:lstStyle/>
              <a:p>
                <a:pPr>
                  <a:defRPr sz="700" b="0" i="1"/>
                </a:pPr>
                <a:r>
                  <a:rPr lang="cs-CZ" sz="700" b="0" i="1"/>
                  <a:t>Běžné</a:t>
                </a:r>
                <a:r>
                  <a:rPr lang="cs-CZ" sz="700" b="0" i="1" baseline="0"/>
                  <a:t> výdaje celkem (v</a:t>
                </a:r>
                <a:r>
                  <a:rPr lang="cs-CZ" sz="700" b="0" i="1" u="none" strike="noStrike" kern="1200" baseline="0">
                    <a:solidFill>
                      <a:sysClr val="windowText" lastClr="000000"/>
                    </a:solidFill>
                    <a:latin typeface="Arial" panose="020B0604020202020204" pitchFamily="34" charset="0"/>
                    <a:ea typeface="+mn-ea"/>
                    <a:cs typeface="Arial" panose="020B0604020202020204" pitchFamily="34" charset="0"/>
                  </a:rPr>
                  <a:t> mld.</a:t>
                </a:r>
                <a:r>
                  <a:rPr lang="cs-CZ" sz="700" b="0" i="1" baseline="0"/>
                  <a:t> korun)</a:t>
                </a:r>
                <a:endParaRPr lang="cs-CZ" sz="700" b="0" i="1"/>
              </a:p>
            </c:rich>
          </c:tx>
          <c:overlay val="0"/>
        </c:title>
        <c:numFmt formatCode="0" sourceLinked="0"/>
        <c:majorTickMark val="out"/>
        <c:minorTickMark val="none"/>
        <c:tickLblPos val="nextTo"/>
        <c:spPr>
          <a:ln w="6350">
            <a:solidFill>
              <a:schemeClr val="tx1"/>
            </a:solidFill>
          </a:ln>
        </c:spPr>
        <c:txPr>
          <a:bodyPr rot="0" vert="horz"/>
          <a:lstStyle/>
          <a:p>
            <a:pPr>
              <a:defRPr/>
            </a:pPr>
            <a:endParaRPr lang="cs-CZ"/>
          </a:p>
        </c:txPr>
        <c:crossAx val="72836608"/>
        <c:crosses val="max"/>
        <c:crossBetween val="between"/>
        <c:majorUnit val="100"/>
      </c:valAx>
      <c:catAx>
        <c:axId val="72836608"/>
        <c:scaling>
          <c:orientation val="minMax"/>
        </c:scaling>
        <c:delete val="1"/>
        <c:axPos val="b"/>
        <c:numFmt formatCode="General" sourceLinked="1"/>
        <c:majorTickMark val="out"/>
        <c:minorTickMark val="none"/>
        <c:tickLblPos val="none"/>
        <c:crossAx val="72835072"/>
        <c:crosses val="autoZero"/>
        <c:auto val="1"/>
        <c:lblAlgn val="ctr"/>
        <c:lblOffset val="100"/>
        <c:noMultiLvlLbl val="0"/>
      </c:catAx>
      <c:spPr>
        <a:ln w="6350">
          <a:solidFill>
            <a:schemeClr val="tx1"/>
          </a:solidFill>
        </a:ln>
      </c:spPr>
    </c:plotArea>
    <c:legend>
      <c:legendPos val="b"/>
      <c:layout>
        <c:manualLayout>
          <c:xMode val="edge"/>
          <c:yMode val="edge"/>
          <c:x val="2.3842853444001496E-2"/>
          <c:y val="0.83055036538478355"/>
          <c:w val="0.9203576005370111"/>
          <c:h val="0.15879396132773915"/>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9629137115839245E-2"/>
          <c:y val="2.8458510079622041E-2"/>
          <c:w val="0.93688386524822698"/>
          <c:h val="0.6497469886299676"/>
        </c:manualLayout>
      </c:layout>
      <c:barChart>
        <c:barDir val="col"/>
        <c:grouping val="stacked"/>
        <c:varyColors val="0"/>
        <c:ser>
          <c:idx val="5"/>
          <c:order val="1"/>
          <c:tx>
            <c:strRef>
              <c:f>'[Makroanalýza grafy.xlsx]souhrnná výkonnost 3'!$D$5</c:f>
              <c:strCache>
                <c:ptCount val="1"/>
                <c:pt idx="0">
                  <c:v>Výdaje na konečnou spotřebu domácností (vč. nezisk. inst.)</c:v>
                </c:pt>
              </c:strCache>
            </c:strRef>
          </c:tx>
          <c:spPr>
            <a:solidFill>
              <a:srgbClr val="0071BC"/>
            </a:solidFill>
            <a:ln>
              <a:noFill/>
            </a:ln>
          </c:spPr>
          <c:invertIfNegative val="0"/>
          <c:val>
            <c:numRef>
              <c:f>'[Makroanalýza grafy.xlsx]souhrnná výkonnost 3'!$D$14:$D$37</c:f>
              <c:numCache>
                <c:formatCode>#\ ##0.0</c:formatCode>
                <c:ptCount val="24"/>
                <c:pt idx="0">
                  <c:v>-0.34466465253407302</c:v>
                </c:pt>
                <c:pt idx="1">
                  <c:v>2.6060603139314679E-2</c:v>
                </c:pt>
                <c:pt idx="2">
                  <c:v>0.63044507278831585</c:v>
                </c:pt>
                <c:pt idx="3">
                  <c:v>1.1281972482474159</c:v>
                </c:pt>
                <c:pt idx="4">
                  <c:v>0.94195606426351952</c:v>
                </c:pt>
                <c:pt idx="5">
                  <c:v>0.87267234692188866</c:v>
                </c:pt>
                <c:pt idx="6">
                  <c:v>0.96328129540429486</c:v>
                </c:pt>
                <c:pt idx="7">
                  <c:v>1.222915570039836</c:v>
                </c:pt>
                <c:pt idx="8">
                  <c:v>0.95450177579030715</c:v>
                </c:pt>
                <c:pt idx="9">
                  <c:v>0.99768716054784257</c:v>
                </c:pt>
                <c:pt idx="10">
                  <c:v>1.2072935249511725</c:v>
                </c:pt>
                <c:pt idx="11">
                  <c:v>1.1321291783183882</c:v>
                </c:pt>
                <c:pt idx="12">
                  <c:v>1.9306412987223565</c:v>
                </c:pt>
                <c:pt idx="13">
                  <c:v>2.2637400631644424</c:v>
                </c:pt>
                <c:pt idx="14">
                  <c:v>2.0808457010674362</c:v>
                </c:pt>
                <c:pt idx="15">
                  <c:v>1.9303094594010355</c:v>
                </c:pt>
                <c:pt idx="16">
                  <c:v>1.1809328409042479</c:v>
                </c:pt>
                <c:pt idx="17">
                  <c:v>0.97522383325499351</c:v>
                </c:pt>
                <c:pt idx="18">
                  <c:v>0.71494739738076218</c:v>
                </c:pt>
                <c:pt idx="19">
                  <c:v>0.59541814159009543</c:v>
                </c:pt>
                <c:pt idx="20">
                  <c:v>1.2384079231639256</c:v>
                </c:pt>
                <c:pt idx="21">
                  <c:v>1.2322368201608158</c:v>
                </c:pt>
                <c:pt idx="22">
                  <c:v>1.1454946087500353</c:v>
                </c:pt>
                <c:pt idx="23">
                  <c:v>1.3315880650721048</c:v>
                </c:pt>
              </c:numCache>
            </c:numRef>
          </c:val>
          <c:extLst>
            <c:ext xmlns:c16="http://schemas.microsoft.com/office/drawing/2014/chart" uri="{C3380CC4-5D6E-409C-BE32-E72D297353CC}">
              <c16:uniqueId val="{00000000-A978-478A-8F6F-4C009512930A}"/>
            </c:ext>
          </c:extLst>
        </c:ser>
        <c:ser>
          <c:idx val="4"/>
          <c:order val="2"/>
          <c:tx>
            <c:strRef>
              <c:f>'[Makroanalýza grafy.xlsx]souhrnná výkonnost 3'!$E$5</c:f>
              <c:strCache>
                <c:ptCount val="1"/>
                <c:pt idx="0">
                  <c:v>Výdaje na konečnou spotřebu vládních institucí</c:v>
                </c:pt>
              </c:strCache>
            </c:strRef>
          </c:tx>
          <c:spPr>
            <a:solidFill>
              <a:srgbClr val="A6CDE8"/>
            </a:solidFill>
            <a:ln>
              <a:noFill/>
            </a:ln>
          </c:spPr>
          <c:invertIfNegative val="0"/>
          <c:val>
            <c:numRef>
              <c:f>'[Makroanalýza grafy.xlsx]souhrnná výkonnost 3'!$E$14:$E$37</c:f>
              <c:numCache>
                <c:formatCode>#\ ##0.0</c:formatCode>
                <c:ptCount val="24"/>
                <c:pt idx="0">
                  <c:v>0.20577198825120416</c:v>
                </c:pt>
                <c:pt idx="1">
                  <c:v>0.33883190557992837</c:v>
                </c:pt>
                <c:pt idx="2">
                  <c:v>1.2158794576732425E-2</c:v>
                </c:pt>
                <c:pt idx="3">
                  <c:v>0.40389733446089826</c:v>
                </c:pt>
                <c:pt idx="4">
                  <c:v>0.39699853206845465</c:v>
                </c:pt>
                <c:pt idx="5">
                  <c:v>0.40872197803912458</c:v>
                </c:pt>
                <c:pt idx="6">
                  <c:v>0.66145512560413866</c:v>
                </c:pt>
                <c:pt idx="7">
                  <c:v>0.47605014025303921</c:v>
                </c:pt>
                <c:pt idx="8">
                  <c:v>0.46151762486829956</c:v>
                </c:pt>
                <c:pt idx="9">
                  <c:v>0.57240355195671144</c:v>
                </c:pt>
                <c:pt idx="10">
                  <c:v>0.46340271694691726</c:v>
                </c:pt>
                <c:pt idx="11">
                  <c:v>0.42895930420689293</c:v>
                </c:pt>
                <c:pt idx="12">
                  <c:v>0.34244893163489387</c:v>
                </c:pt>
                <c:pt idx="13">
                  <c:v>0.223244500567059</c:v>
                </c:pt>
                <c:pt idx="14">
                  <c:v>0.14063749951504498</c:v>
                </c:pt>
                <c:pt idx="15">
                  <c:v>0.27003435806965481</c:v>
                </c:pt>
                <c:pt idx="16">
                  <c:v>0.52119655301101397</c:v>
                </c:pt>
                <c:pt idx="17">
                  <c:v>0.53590023308227619</c:v>
                </c:pt>
                <c:pt idx="18">
                  <c:v>0.75048967270375855</c:v>
                </c:pt>
                <c:pt idx="19">
                  <c:v>0.64706442020280963</c:v>
                </c:pt>
                <c:pt idx="20">
                  <c:v>0.44248975086021647</c:v>
                </c:pt>
                <c:pt idx="21">
                  <c:v>0.54035293556943409</c:v>
                </c:pt>
                <c:pt idx="22">
                  <c:v>0.69799862848490202</c:v>
                </c:pt>
                <c:pt idx="23">
                  <c:v>0.3289306707528134</c:v>
                </c:pt>
              </c:numCache>
            </c:numRef>
          </c:val>
          <c:extLst>
            <c:ext xmlns:c16="http://schemas.microsoft.com/office/drawing/2014/chart" uri="{C3380CC4-5D6E-409C-BE32-E72D297353CC}">
              <c16:uniqueId val="{00000001-A978-478A-8F6F-4C009512930A}"/>
            </c:ext>
          </c:extLst>
        </c:ser>
        <c:ser>
          <c:idx val="3"/>
          <c:order val="3"/>
          <c:tx>
            <c:strRef>
              <c:f>'[Makroanalýza grafy.xlsx]souhrnná výkonnost 3'!$G$5</c:f>
              <c:strCache>
                <c:ptCount val="1"/>
                <c:pt idx="0">
                  <c:v>Tvorba hrubého kapitálu</c:v>
                </c:pt>
              </c:strCache>
            </c:strRef>
          </c:tx>
          <c:spPr>
            <a:solidFill>
              <a:srgbClr val="BD1B21"/>
            </a:solidFill>
            <a:ln>
              <a:noFill/>
            </a:ln>
          </c:spPr>
          <c:invertIfNegative val="0"/>
          <c:val>
            <c:numRef>
              <c:f>'[Makroanalýza grafy.xlsx]souhrnná výkonnost 3'!$G$14:$G$37</c:f>
              <c:numCache>
                <c:formatCode>#\ ##0.0</c:formatCode>
                <c:ptCount val="24"/>
                <c:pt idx="0">
                  <c:v>-2.3991466431909317E-2</c:v>
                </c:pt>
                <c:pt idx="1">
                  <c:v>1.7451742182379062</c:v>
                </c:pt>
                <c:pt idx="2">
                  <c:v>1.1824385369018755</c:v>
                </c:pt>
                <c:pt idx="3">
                  <c:v>0.45289756665603148</c:v>
                </c:pt>
                <c:pt idx="4">
                  <c:v>3.0879371652551999</c:v>
                </c:pt>
                <c:pt idx="5">
                  <c:v>3.9987987862631074</c:v>
                </c:pt>
                <c:pt idx="6">
                  <c:v>2.5754146120567754</c:v>
                </c:pt>
                <c:pt idx="7">
                  <c:v>1.0444753655053425</c:v>
                </c:pt>
                <c:pt idx="8">
                  <c:v>0.71387118611405975</c:v>
                </c:pt>
                <c:pt idx="9">
                  <c:v>-1.5854482705709272</c:v>
                </c:pt>
                <c:pt idx="10">
                  <c:v>-0.93062122867821062</c:v>
                </c:pt>
                <c:pt idx="11">
                  <c:v>-0.56122869504757711</c:v>
                </c:pt>
                <c:pt idx="12">
                  <c:v>-1.1403609447470813</c:v>
                </c:pt>
                <c:pt idx="13">
                  <c:v>0.83977617499799451</c:v>
                </c:pt>
                <c:pt idx="14">
                  <c:v>1.6317033595386747</c:v>
                </c:pt>
                <c:pt idx="15">
                  <c:v>2.2014216093427894</c:v>
                </c:pt>
                <c:pt idx="16">
                  <c:v>2.4097867369615757</c:v>
                </c:pt>
                <c:pt idx="17">
                  <c:v>0.5170262523036262</c:v>
                </c:pt>
                <c:pt idx="18">
                  <c:v>0.77040241880421423</c:v>
                </c:pt>
                <c:pt idx="19">
                  <c:v>9.4373662010904788E-2</c:v>
                </c:pt>
                <c:pt idx="20">
                  <c:v>1.0613335745329571</c:v>
                </c:pt>
                <c:pt idx="21">
                  <c:v>-0.36238929231745187</c:v>
                </c:pt>
                <c:pt idx="22">
                  <c:v>-0.41084313126944683</c:v>
                </c:pt>
                <c:pt idx="23">
                  <c:v>2.2623784732541168</c:v>
                </c:pt>
              </c:numCache>
            </c:numRef>
          </c:val>
          <c:extLst>
            <c:ext xmlns:c16="http://schemas.microsoft.com/office/drawing/2014/chart" uri="{C3380CC4-5D6E-409C-BE32-E72D297353CC}">
              <c16:uniqueId val="{00000002-A978-478A-8F6F-4C009512930A}"/>
            </c:ext>
          </c:extLst>
        </c:ser>
        <c:ser>
          <c:idx val="1"/>
          <c:order val="4"/>
          <c:tx>
            <c:strRef>
              <c:f>'[Makroanalýza grafy.xlsx]souhrnná výkonnost 3'!$F$5</c:f>
              <c:strCache>
                <c:ptCount val="1"/>
                <c:pt idx="0">
                  <c:v>Bilance zahraničního obchodu</c:v>
                </c:pt>
              </c:strCache>
            </c:strRef>
          </c:tx>
          <c:spPr>
            <a:solidFill>
              <a:srgbClr val="7DBB2D"/>
            </a:solidFill>
            <a:ln>
              <a:noFill/>
            </a:ln>
          </c:spPr>
          <c:invertIfNegative val="0"/>
          <c:val>
            <c:numRef>
              <c:f>'[Makroanalýza grafy.xlsx]souhrnná výkonnost 3'!$F$14:$F$37</c:f>
              <c:numCache>
                <c:formatCode>#\ ##0.0</c:formatCode>
                <c:ptCount val="24"/>
                <c:pt idx="0">
                  <c:v>1.754622759396387</c:v>
                </c:pt>
                <c:pt idx="1">
                  <c:v>0.26870369648226777</c:v>
                </c:pt>
                <c:pt idx="2">
                  <c:v>1.5495167456083836</c:v>
                </c:pt>
                <c:pt idx="3">
                  <c:v>1.4172294109942891</c:v>
                </c:pt>
                <c:pt idx="4">
                  <c:v>0.8334594136688902</c:v>
                </c:pt>
                <c:pt idx="5">
                  <c:v>0.55449022657338531</c:v>
                </c:pt>
                <c:pt idx="6">
                  <c:v>1.4429305167076234</c:v>
                </c:pt>
                <c:pt idx="7">
                  <c:v>2.1830803377751762</c:v>
                </c:pt>
                <c:pt idx="8">
                  <c:v>1.3738808387312025</c:v>
                </c:pt>
                <c:pt idx="9">
                  <c:v>2.3568205392256898</c:v>
                </c:pt>
                <c:pt idx="10">
                  <c:v>0.95573888207662083</c:v>
                </c:pt>
                <c:pt idx="11">
                  <c:v>0.73950653042841519</c:v>
                </c:pt>
                <c:pt idx="12">
                  <c:v>1.7564908410868183</c:v>
                </c:pt>
                <c:pt idx="13">
                  <c:v>1.7148679176152966</c:v>
                </c:pt>
                <c:pt idx="14">
                  <c:v>1.2243070658653634</c:v>
                </c:pt>
                <c:pt idx="15">
                  <c:v>0.64430687048366675</c:v>
                </c:pt>
                <c:pt idx="16">
                  <c:v>-1.7752529049995136E-2</c:v>
                </c:pt>
                <c:pt idx="17">
                  <c:v>0.17484982683298256</c:v>
                </c:pt>
                <c:pt idx="18">
                  <c:v>0.10210794575161497</c:v>
                </c:pt>
                <c:pt idx="19">
                  <c:v>1.2503464785579967</c:v>
                </c:pt>
                <c:pt idx="20">
                  <c:v>1.1250091092773973E-2</c:v>
                </c:pt>
                <c:pt idx="21">
                  <c:v>1.2532787641542766</c:v>
                </c:pt>
                <c:pt idx="22">
                  <c:v>1.022544176517203</c:v>
                </c:pt>
                <c:pt idx="23">
                  <c:v>-1.9053435473948666</c:v>
                </c:pt>
              </c:numCache>
            </c:numRef>
          </c:val>
          <c:extLst>
            <c:ext xmlns:c16="http://schemas.microsoft.com/office/drawing/2014/chart" uri="{C3380CC4-5D6E-409C-BE32-E72D297353CC}">
              <c16:uniqueId val="{00000003-A978-478A-8F6F-4C009512930A}"/>
            </c:ext>
          </c:extLst>
        </c:ser>
        <c:dLbls>
          <c:showLegendKey val="0"/>
          <c:showVal val="0"/>
          <c:showCatName val="0"/>
          <c:showSerName val="0"/>
          <c:showPercent val="0"/>
          <c:showBubbleSize val="0"/>
        </c:dLbls>
        <c:gapWidth val="40"/>
        <c:overlap val="100"/>
        <c:axId val="267591040"/>
        <c:axId val="267605120"/>
      </c:barChart>
      <c:lineChart>
        <c:grouping val="standard"/>
        <c:varyColors val="0"/>
        <c:ser>
          <c:idx val="0"/>
          <c:order val="0"/>
          <c:tx>
            <c:strRef>
              <c:f>'[Makroanalýza grafy.xlsx]souhrnná výkonnost 3'!$C$5</c:f>
              <c:strCache>
                <c:ptCount val="1"/>
                <c:pt idx="0">
                  <c:v>HDP</c:v>
                </c:pt>
              </c:strCache>
            </c:strRef>
          </c:tx>
          <c:spPr>
            <a:ln>
              <a:solidFill>
                <a:prstClr val="black"/>
              </a:solidFill>
            </a:ln>
          </c:spPr>
          <c:marker>
            <c:symbol val="none"/>
          </c:marker>
          <c:cat>
            <c:multiLvlStrRef>
              <c:f>'[Makroanalýza grafy.xlsx]souhrnná výkonnost 3'!$A$14:$B$37</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2014</c:v>
                  </c:pt>
                  <c:pt idx="4">
                    <c:v>2015</c:v>
                  </c:pt>
                  <c:pt idx="8">
                    <c:v>2016</c:v>
                  </c:pt>
                  <c:pt idx="12">
                    <c:v>2017</c:v>
                  </c:pt>
                  <c:pt idx="16">
                    <c:v>2018</c:v>
                  </c:pt>
                  <c:pt idx="20">
                    <c:v>2019</c:v>
                  </c:pt>
                </c:lvl>
              </c:multiLvlStrCache>
            </c:multiLvlStrRef>
          </c:cat>
          <c:val>
            <c:numRef>
              <c:f>'[Makroanalýza grafy.xlsx]souhrnná výkonnost 3'!$C$14:$C$37</c:f>
              <c:numCache>
                <c:formatCode>#\ ##0.0</c:formatCode>
                <c:ptCount val="24"/>
                <c:pt idx="0">
                  <c:v>1.6119852610403171</c:v>
                </c:pt>
                <c:pt idx="1">
                  <c:v>2.4036588344783354</c:v>
                </c:pt>
                <c:pt idx="2">
                  <c:v>3.402592096510773</c:v>
                </c:pt>
                <c:pt idx="3">
                  <c:v>3.4266275487343023</c:v>
                </c:pt>
                <c:pt idx="4">
                  <c:v>5.2291125501287894</c:v>
                </c:pt>
                <c:pt idx="5">
                  <c:v>5.8032884808543201</c:v>
                </c:pt>
                <c:pt idx="6">
                  <c:v>5.6130021167368085</c:v>
                </c:pt>
                <c:pt idx="7">
                  <c:v>4.9021199420951973</c:v>
                </c:pt>
                <c:pt idx="8">
                  <c:v>3.5397769924422562</c:v>
                </c:pt>
                <c:pt idx="9">
                  <c:v>2.3881436873594453</c:v>
                </c:pt>
                <c:pt idx="10">
                  <c:v>1.7456690011057816</c:v>
                </c:pt>
                <c:pt idx="11">
                  <c:v>1.7908504273152204</c:v>
                </c:pt>
                <c:pt idx="12">
                  <c:v>2.9314357771400381</c:v>
                </c:pt>
                <c:pt idx="13">
                  <c:v>5.0765227202416554</c:v>
                </c:pt>
                <c:pt idx="14">
                  <c:v>5.1042255357996851</c:v>
                </c:pt>
                <c:pt idx="15">
                  <c:v>5.0625760160056359</c:v>
                </c:pt>
                <c:pt idx="16">
                  <c:v>4.113399930983519</c:v>
                </c:pt>
                <c:pt idx="17">
                  <c:v>2.2285878567247295</c:v>
                </c:pt>
                <c:pt idx="18">
                  <c:v>2.3691471449424455</c:v>
                </c:pt>
                <c:pt idx="19">
                  <c:v>2.6297132249435577</c:v>
                </c:pt>
                <c:pt idx="20">
                  <c:v>2.7821232477531339</c:v>
                </c:pt>
                <c:pt idx="21">
                  <c:v>2.6857018943744748</c:v>
                </c:pt>
                <c:pt idx="22">
                  <c:v>2.4784595234327327</c:v>
                </c:pt>
                <c:pt idx="23">
                  <c:v>2.0441416457255031</c:v>
                </c:pt>
              </c:numCache>
            </c:numRef>
          </c:val>
          <c:smooth val="0"/>
          <c:extLst>
            <c:ext xmlns:c16="http://schemas.microsoft.com/office/drawing/2014/chart" uri="{C3380CC4-5D6E-409C-BE32-E72D297353CC}">
              <c16:uniqueId val="{00000004-A978-478A-8F6F-4C009512930A}"/>
            </c:ext>
          </c:extLst>
        </c:ser>
        <c:dLbls>
          <c:showLegendKey val="0"/>
          <c:showVal val="0"/>
          <c:showCatName val="0"/>
          <c:showSerName val="0"/>
          <c:showPercent val="0"/>
          <c:showBubbleSize val="0"/>
        </c:dLbls>
        <c:marker val="1"/>
        <c:smooth val="0"/>
        <c:axId val="267591040"/>
        <c:axId val="267605120"/>
      </c:lineChart>
      <c:catAx>
        <c:axId val="267591040"/>
        <c:scaling>
          <c:orientation val="minMax"/>
        </c:scaling>
        <c:delete val="0"/>
        <c:axPos val="b"/>
        <c:majorTickMark val="out"/>
        <c:minorTickMark val="none"/>
        <c:tickLblPos val="low"/>
        <c:spPr>
          <a:ln>
            <a:solidFill>
              <a:schemeClr val="tx1"/>
            </a:solidFill>
          </a:ln>
        </c:spPr>
        <c:txPr>
          <a:bodyPr rot="0" vert="horz"/>
          <a:lstStyle/>
          <a:p>
            <a:pPr>
              <a:defRPr/>
            </a:pPr>
            <a:endParaRPr lang="cs-CZ"/>
          </a:p>
        </c:txPr>
        <c:crossAx val="267605120"/>
        <c:crosses val="autoZero"/>
        <c:auto val="1"/>
        <c:lblAlgn val="ctr"/>
        <c:lblOffset val="100"/>
        <c:noMultiLvlLbl val="0"/>
      </c:catAx>
      <c:valAx>
        <c:axId val="267605120"/>
        <c:scaling>
          <c:orientation val="minMax"/>
          <c:max val="6"/>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267591040"/>
        <c:crosses val="autoZero"/>
        <c:crossBetween val="between"/>
        <c:majorUnit val="1"/>
      </c:valAx>
      <c:spPr>
        <a:ln>
          <a:solidFill>
            <a:schemeClr val="tx1"/>
          </a:solidFill>
        </a:ln>
      </c:spPr>
    </c:plotArea>
    <c:legend>
      <c:legendPos val="b"/>
      <c:layout>
        <c:manualLayout>
          <c:xMode val="edge"/>
          <c:yMode val="edge"/>
          <c:x val="4.7571766295170556E-2"/>
          <c:y val="0.79301446583361457"/>
          <c:w val="0.93781598277608913"/>
          <c:h val="0.19014325115388939"/>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126857480580882E-2"/>
          <c:y val="3.7154479717354444E-2"/>
          <c:w val="0.9260266801756164"/>
          <c:h val="0.63445260610154264"/>
        </c:manualLayout>
      </c:layout>
      <c:barChart>
        <c:barDir val="col"/>
        <c:grouping val="stacked"/>
        <c:varyColors val="0"/>
        <c:ser>
          <c:idx val="4"/>
          <c:order val="0"/>
          <c:tx>
            <c:strRef>
              <c:f>'[Makroanalýza grafy.xlsx]souhrnná výkonnost 4'!$C$5</c:f>
              <c:strCache>
                <c:ptCount val="1"/>
                <c:pt idx="0">
                  <c:v>Zemědělství, lesnictví a rybářství</c:v>
                </c:pt>
              </c:strCache>
            </c:strRef>
          </c:tx>
          <c:spPr>
            <a:solidFill>
              <a:srgbClr val="0071BC"/>
            </a:solidFill>
            <a:ln>
              <a:noFill/>
            </a:ln>
          </c:spPr>
          <c:invertIfNegative val="0"/>
          <c:val>
            <c:numRef>
              <c:f>'[Makroanalýza grafy.xlsx]souhrnná výkonnost 4'!$C$14:$C$37</c:f>
              <c:numCache>
                <c:formatCode>#\ ##0.0</c:formatCode>
                <c:ptCount val="24"/>
                <c:pt idx="0">
                  <c:v>0.10327092328203805</c:v>
                </c:pt>
                <c:pt idx="1">
                  <c:v>0.23269520427919901</c:v>
                </c:pt>
                <c:pt idx="2">
                  <c:v>0.28194365656542186</c:v>
                </c:pt>
                <c:pt idx="3">
                  <c:v>0.24824540125917496</c:v>
                </c:pt>
                <c:pt idx="4">
                  <c:v>0.26488476717818116</c:v>
                </c:pt>
                <c:pt idx="5">
                  <c:v>0.14937649763464936</c:v>
                </c:pt>
                <c:pt idx="6">
                  <c:v>9.6966417999665405E-2</c:v>
                </c:pt>
                <c:pt idx="7">
                  <c:v>9.4772828520706967E-2</c:v>
                </c:pt>
                <c:pt idx="8">
                  <c:v>3.38185905666414E-3</c:v>
                </c:pt>
                <c:pt idx="9">
                  <c:v>0.12010108099372553</c:v>
                </c:pt>
                <c:pt idx="10">
                  <c:v>0.11928892387646116</c:v>
                </c:pt>
                <c:pt idx="11">
                  <c:v>8.912121122008794E-2</c:v>
                </c:pt>
                <c:pt idx="12">
                  <c:v>2.0661665656224161E-2</c:v>
                </c:pt>
                <c:pt idx="13">
                  <c:v>-9.060397457564992E-2</c:v>
                </c:pt>
                <c:pt idx="14">
                  <c:v>-0.1383708603508515</c:v>
                </c:pt>
                <c:pt idx="15">
                  <c:v>-6.7127512709389422E-2</c:v>
                </c:pt>
                <c:pt idx="16">
                  <c:v>4.3330467804160236E-2</c:v>
                </c:pt>
                <c:pt idx="17">
                  <c:v>0.1226773065485962</c:v>
                </c:pt>
                <c:pt idx="18">
                  <c:v>0.15388197244705223</c:v>
                </c:pt>
                <c:pt idx="19">
                  <c:v>0.12896499083982724</c:v>
                </c:pt>
                <c:pt idx="20">
                  <c:v>2.5313888605371329E-2</c:v>
                </c:pt>
                <c:pt idx="21">
                  <c:v>2.1317900195731328E-2</c:v>
                </c:pt>
                <c:pt idx="22">
                  <c:v>2.8240177277312213E-2</c:v>
                </c:pt>
                <c:pt idx="23">
                  <c:v>5.5680490263702927E-2</c:v>
                </c:pt>
              </c:numCache>
            </c:numRef>
          </c:val>
          <c:extLst>
            <c:ext xmlns:c16="http://schemas.microsoft.com/office/drawing/2014/chart" uri="{C3380CC4-5D6E-409C-BE32-E72D297353CC}">
              <c16:uniqueId val="{00000000-5C57-458A-A681-B7D862BF4EC0}"/>
            </c:ext>
          </c:extLst>
        </c:ser>
        <c:ser>
          <c:idx val="3"/>
          <c:order val="1"/>
          <c:tx>
            <c:strRef>
              <c:f>'[Makroanalýza grafy.xlsx]souhrnná výkonnost 4'!$D$5</c:f>
              <c:strCache>
                <c:ptCount val="1"/>
                <c:pt idx="0">
                  <c:v>Zpracovatelský průmysl (CZ-NACE C)</c:v>
                </c:pt>
              </c:strCache>
            </c:strRef>
          </c:tx>
          <c:spPr>
            <a:solidFill>
              <a:srgbClr val="A6CDE8"/>
            </a:solidFill>
            <a:ln>
              <a:noFill/>
            </a:ln>
          </c:spPr>
          <c:invertIfNegative val="0"/>
          <c:val>
            <c:numRef>
              <c:f>'[Makroanalýza grafy.xlsx]souhrnná výkonnost 4'!$D$14:$D$37</c:f>
              <c:numCache>
                <c:formatCode>#\ ##0.0</c:formatCode>
                <c:ptCount val="24"/>
                <c:pt idx="0">
                  <c:v>0.37772844403727041</c:v>
                </c:pt>
                <c:pt idx="1">
                  <c:v>1.1859630233858338</c:v>
                </c:pt>
                <c:pt idx="2">
                  <c:v>1.9694331350285428</c:v>
                </c:pt>
                <c:pt idx="3">
                  <c:v>2.590547170334732</c:v>
                </c:pt>
                <c:pt idx="4">
                  <c:v>2.0853375744466129</c:v>
                </c:pt>
                <c:pt idx="5">
                  <c:v>1.6547798001460741</c:v>
                </c:pt>
                <c:pt idx="6">
                  <c:v>1.4179941838424874</c:v>
                </c:pt>
                <c:pt idx="7">
                  <c:v>0.68790900072214411</c:v>
                </c:pt>
                <c:pt idx="8">
                  <c:v>1.0587965236381895</c:v>
                </c:pt>
                <c:pt idx="9">
                  <c:v>0.58666698548746488</c:v>
                </c:pt>
                <c:pt idx="10">
                  <c:v>0.78345988868193084</c:v>
                </c:pt>
                <c:pt idx="11">
                  <c:v>1.0287702111104504</c:v>
                </c:pt>
                <c:pt idx="12">
                  <c:v>1.9010392905126703</c:v>
                </c:pt>
                <c:pt idx="13">
                  <c:v>3.4182392747721453</c:v>
                </c:pt>
                <c:pt idx="14">
                  <c:v>3.6661529694016184</c:v>
                </c:pt>
                <c:pt idx="15">
                  <c:v>2.9671701619247015</c:v>
                </c:pt>
                <c:pt idx="16">
                  <c:v>1.5924778102369037</c:v>
                </c:pt>
                <c:pt idx="17">
                  <c:v>0.16147466592295665</c:v>
                </c:pt>
                <c:pt idx="18">
                  <c:v>-0.2265542468745792</c:v>
                </c:pt>
                <c:pt idx="19">
                  <c:v>0.16877028418296994</c:v>
                </c:pt>
                <c:pt idx="20">
                  <c:v>0.23028959568633331</c:v>
                </c:pt>
                <c:pt idx="21">
                  <c:v>0.3005289792159006</c:v>
                </c:pt>
                <c:pt idx="22">
                  <c:v>0.35338158321054997</c:v>
                </c:pt>
                <c:pt idx="23">
                  <c:v>-6.0323223057564677E-2</c:v>
                </c:pt>
              </c:numCache>
            </c:numRef>
          </c:val>
          <c:extLst>
            <c:ext xmlns:c16="http://schemas.microsoft.com/office/drawing/2014/chart" uri="{C3380CC4-5D6E-409C-BE32-E72D297353CC}">
              <c16:uniqueId val="{00000001-5C57-458A-A681-B7D862BF4EC0}"/>
            </c:ext>
          </c:extLst>
        </c:ser>
        <c:ser>
          <c:idx val="2"/>
          <c:order val="2"/>
          <c:tx>
            <c:strRef>
              <c:f>'[Makroanalýza grafy.xlsx]souhrnná výkonnost 4'!$E$5</c:f>
              <c:strCache>
                <c:ptCount val="1"/>
                <c:pt idx="0">
                  <c:v>Ostatní průmyslová odvětví (CZ-NACE B, D, E)</c:v>
                </c:pt>
              </c:strCache>
            </c:strRef>
          </c:tx>
          <c:spPr>
            <a:solidFill>
              <a:srgbClr val="BD1B21"/>
            </a:solidFill>
            <a:ln>
              <a:noFill/>
            </a:ln>
          </c:spPr>
          <c:invertIfNegative val="0"/>
          <c:val>
            <c:numRef>
              <c:f>'[Makroanalýza grafy.xlsx]souhrnná výkonnost 4'!$E$14:$E$37</c:f>
              <c:numCache>
                <c:formatCode>#\ ##0.0</c:formatCode>
                <c:ptCount val="24"/>
                <c:pt idx="0">
                  <c:v>0.3608155675574945</c:v>
                </c:pt>
                <c:pt idx="1">
                  <c:v>0.11006534446942351</c:v>
                </c:pt>
                <c:pt idx="2">
                  <c:v>-0.10139412231119316</c:v>
                </c:pt>
                <c:pt idx="3">
                  <c:v>-0.15771568852179829</c:v>
                </c:pt>
                <c:pt idx="4">
                  <c:v>-0.11854975317179695</c:v>
                </c:pt>
                <c:pt idx="5">
                  <c:v>7.3689959050415865E-3</c:v>
                </c:pt>
                <c:pt idx="6">
                  <c:v>1.577259276174181E-2</c:v>
                </c:pt>
                <c:pt idx="7">
                  <c:v>-0.11849296922241881</c:v>
                </c:pt>
                <c:pt idx="8">
                  <c:v>-0.45864825929601738</c:v>
                </c:pt>
                <c:pt idx="9">
                  <c:v>-0.32291108060646145</c:v>
                </c:pt>
                <c:pt idx="10">
                  <c:v>-0.37881944494448766</c:v>
                </c:pt>
                <c:pt idx="11">
                  <c:v>-0.13472107189033511</c:v>
                </c:pt>
                <c:pt idx="12">
                  <c:v>5.6239162616814387E-2</c:v>
                </c:pt>
                <c:pt idx="13">
                  <c:v>4.4230730683970876E-2</c:v>
                </c:pt>
                <c:pt idx="14">
                  <c:v>6.7840541801028387E-2</c:v>
                </c:pt>
                <c:pt idx="15">
                  <c:v>-2.5113128208830382E-2</c:v>
                </c:pt>
                <c:pt idx="16">
                  <c:v>-0.19539558548550606</c:v>
                </c:pt>
                <c:pt idx="17">
                  <c:v>-0.16275648398934928</c:v>
                </c:pt>
                <c:pt idx="18" formatCode="General">
                  <c:v>1.3843354762812204E-2</c:v>
                </c:pt>
                <c:pt idx="19" formatCode="General">
                  <c:v>-0.10594894019695877</c:v>
                </c:pt>
                <c:pt idx="20" formatCode="General">
                  <c:v>9.2374947081174247E-2</c:v>
                </c:pt>
                <c:pt idx="21" formatCode="General">
                  <c:v>7.1201995979468413E-2</c:v>
                </c:pt>
                <c:pt idx="22" formatCode="General">
                  <c:v>-0.14661860351297781</c:v>
                </c:pt>
                <c:pt idx="23" formatCode="General">
                  <c:v>1.6183959188860862E-2</c:v>
                </c:pt>
              </c:numCache>
            </c:numRef>
          </c:val>
          <c:extLst>
            <c:ext xmlns:c16="http://schemas.microsoft.com/office/drawing/2014/chart" uri="{C3380CC4-5D6E-409C-BE32-E72D297353CC}">
              <c16:uniqueId val="{00000002-5C57-458A-A681-B7D862BF4EC0}"/>
            </c:ext>
          </c:extLst>
        </c:ser>
        <c:ser>
          <c:idx val="1"/>
          <c:order val="3"/>
          <c:tx>
            <c:strRef>
              <c:f>'[Makroanalýza grafy.xlsx]souhrnná výkonnost 4'!$F$5</c:f>
              <c:strCache>
                <c:ptCount val="1"/>
                <c:pt idx="0">
                  <c:v>Stavebnictví</c:v>
                </c:pt>
              </c:strCache>
            </c:strRef>
          </c:tx>
          <c:spPr>
            <a:solidFill>
              <a:srgbClr val="E8AFB2"/>
            </a:solidFill>
            <a:ln>
              <a:noFill/>
            </a:ln>
          </c:spPr>
          <c:invertIfNegative val="0"/>
          <c:val>
            <c:numRef>
              <c:f>'[Makroanalýza grafy.xlsx]souhrnná výkonnost 4'!$F$14:$F$37</c:f>
              <c:numCache>
                <c:formatCode>#\ ##0.0</c:formatCode>
                <c:ptCount val="24"/>
                <c:pt idx="0">
                  <c:v>0.21797461545334479</c:v>
                </c:pt>
                <c:pt idx="1">
                  <c:v>8.7245853666114953E-2</c:v>
                </c:pt>
                <c:pt idx="2">
                  <c:v>3.407524595211904E-2</c:v>
                </c:pt>
                <c:pt idx="3">
                  <c:v>0.11666973663550313</c:v>
                </c:pt>
                <c:pt idx="4">
                  <c:v>0.10676390935480391</c:v>
                </c:pt>
                <c:pt idx="5">
                  <c:v>0.2619609483036206</c:v>
                </c:pt>
                <c:pt idx="6">
                  <c:v>0.35820100044646264</c:v>
                </c:pt>
                <c:pt idx="7">
                  <c:v>0.16119763626367817</c:v>
                </c:pt>
                <c:pt idx="8">
                  <c:v>-5.3066473746695028E-2</c:v>
                </c:pt>
                <c:pt idx="9">
                  <c:v>-0.24720655881401407</c:v>
                </c:pt>
                <c:pt idx="10">
                  <c:v>-0.2921718454579274</c:v>
                </c:pt>
                <c:pt idx="11">
                  <c:v>-0.26341653342115456</c:v>
                </c:pt>
                <c:pt idx="12">
                  <c:v>-0.20931022274257244</c:v>
                </c:pt>
                <c:pt idx="13">
                  <c:v>-8.9707874424024656E-2</c:v>
                </c:pt>
                <c:pt idx="14">
                  <c:v>-0.16563091980150987</c:v>
                </c:pt>
                <c:pt idx="15">
                  <c:v>-5.4074781328859352E-2</c:v>
                </c:pt>
                <c:pt idx="16">
                  <c:v>2.0317746617857207E-2</c:v>
                </c:pt>
                <c:pt idx="17">
                  <c:v>0.2062735458554408</c:v>
                </c:pt>
                <c:pt idx="18">
                  <c:v>0.2175224952867183</c:v>
                </c:pt>
                <c:pt idx="19">
                  <c:v>0.23376664655650201</c:v>
                </c:pt>
                <c:pt idx="20">
                  <c:v>0.1602327294784904</c:v>
                </c:pt>
                <c:pt idx="21">
                  <c:v>0.19765818760512943</c:v>
                </c:pt>
                <c:pt idx="22">
                  <c:v>0.24247853978936121</c:v>
                </c:pt>
                <c:pt idx="23">
                  <c:v>0.17254502186384324</c:v>
                </c:pt>
              </c:numCache>
            </c:numRef>
          </c:val>
          <c:extLst>
            <c:ext xmlns:c16="http://schemas.microsoft.com/office/drawing/2014/chart" uri="{C3380CC4-5D6E-409C-BE32-E72D297353CC}">
              <c16:uniqueId val="{00000003-5C57-458A-A681-B7D862BF4EC0}"/>
            </c:ext>
          </c:extLst>
        </c:ser>
        <c:ser>
          <c:idx val="0"/>
          <c:order val="4"/>
          <c:tx>
            <c:strRef>
              <c:f>'[Makroanalýza grafy.xlsx]souhrnná výkonnost 4'!$G$5</c:f>
              <c:strCache>
                <c:ptCount val="1"/>
                <c:pt idx="0">
                  <c:v>Služby (CZ-NACE G až U)</c:v>
                </c:pt>
              </c:strCache>
            </c:strRef>
          </c:tx>
          <c:spPr>
            <a:solidFill>
              <a:srgbClr val="7DBB2D"/>
            </a:solidFill>
            <a:ln>
              <a:noFill/>
            </a:ln>
          </c:spPr>
          <c:invertIfNegative val="0"/>
          <c:val>
            <c:numRef>
              <c:f>'[Makroanalýza grafy.xlsx]souhrnná výkonnost 4'!$G$14:$G$37</c:f>
              <c:numCache>
                <c:formatCode>#\ ##0.0</c:formatCode>
                <c:ptCount val="24"/>
                <c:pt idx="0">
                  <c:v>1.2434826511850188</c:v>
                </c:pt>
                <c:pt idx="1">
                  <c:v>1.3514601452448771</c:v>
                </c:pt>
                <c:pt idx="2">
                  <c:v>1.6168480473690585</c:v>
                </c:pt>
                <c:pt idx="3">
                  <c:v>1.7199521082386058</c:v>
                </c:pt>
                <c:pt idx="4">
                  <c:v>2.2917081080484563</c:v>
                </c:pt>
                <c:pt idx="5">
                  <c:v>2.9901246400384922</c:v>
                </c:pt>
                <c:pt idx="6">
                  <c:v>3.2954653819015496</c:v>
                </c:pt>
                <c:pt idx="7">
                  <c:v>3.535624529029278</c:v>
                </c:pt>
                <c:pt idx="8">
                  <c:v>2.8063925584667917</c:v>
                </c:pt>
                <c:pt idx="9">
                  <c:v>2.1524889219545367</c:v>
                </c:pt>
                <c:pt idx="10">
                  <c:v>1.3718879230674128</c:v>
                </c:pt>
                <c:pt idx="11">
                  <c:v>1.203389851851862</c:v>
                </c:pt>
                <c:pt idx="12">
                  <c:v>1.1136323344300572</c:v>
                </c:pt>
                <c:pt idx="13">
                  <c:v>1.8109105270381602</c:v>
                </c:pt>
                <c:pt idx="14">
                  <c:v>1.6572436772952481</c:v>
                </c:pt>
                <c:pt idx="15">
                  <c:v>1.9247437651681232</c:v>
                </c:pt>
                <c:pt idx="16">
                  <c:v>2.4851160391223477</c:v>
                </c:pt>
                <c:pt idx="17">
                  <c:v>2.0018619054450886</c:v>
                </c:pt>
                <c:pt idx="18" formatCode="General">
                  <c:v>2.4058888564621159</c:v>
                </c:pt>
                <c:pt idx="19" formatCode="General">
                  <c:v>2.4657729321631248</c:v>
                </c:pt>
                <c:pt idx="20" formatCode="General">
                  <c:v>2.2547277891585673</c:v>
                </c:pt>
                <c:pt idx="21" formatCode="General">
                  <c:v>2.0339348022177353</c:v>
                </c:pt>
                <c:pt idx="22" formatCode="General">
                  <c:v>1.8271354107868274</c:v>
                </c:pt>
                <c:pt idx="23" formatCode="General">
                  <c:v>1.6043250727316809</c:v>
                </c:pt>
              </c:numCache>
            </c:numRef>
          </c:val>
          <c:extLst>
            <c:ext xmlns:c16="http://schemas.microsoft.com/office/drawing/2014/chart" uri="{C3380CC4-5D6E-409C-BE32-E72D297353CC}">
              <c16:uniqueId val="{00000004-5C57-458A-A681-B7D862BF4EC0}"/>
            </c:ext>
          </c:extLst>
        </c:ser>
        <c:dLbls>
          <c:showLegendKey val="0"/>
          <c:showVal val="0"/>
          <c:showCatName val="0"/>
          <c:showSerName val="0"/>
          <c:showPercent val="0"/>
          <c:showBubbleSize val="0"/>
        </c:dLbls>
        <c:gapWidth val="70"/>
        <c:overlap val="100"/>
        <c:axId val="269005952"/>
        <c:axId val="269007488"/>
      </c:barChart>
      <c:lineChart>
        <c:grouping val="standard"/>
        <c:varyColors val="0"/>
        <c:ser>
          <c:idx val="5"/>
          <c:order val="5"/>
          <c:tx>
            <c:strRef>
              <c:f>'[Makroanalýza grafy.xlsx]souhrnná výkonnost 4'!$H$5</c:f>
              <c:strCache>
                <c:ptCount val="1"/>
                <c:pt idx="0">
                  <c:v>Hrubá přidaná hodnota celkem</c:v>
                </c:pt>
              </c:strCache>
            </c:strRef>
          </c:tx>
          <c:spPr>
            <a:ln w="19050">
              <a:solidFill>
                <a:prstClr val="black"/>
              </a:solidFill>
            </a:ln>
          </c:spPr>
          <c:marker>
            <c:symbol val="none"/>
          </c:marker>
          <c:cat>
            <c:multiLvlStrRef>
              <c:f>'[Makroanalýza grafy.xlsx]souhrnná výkonnost 4'!$A$14:$B$37</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2014</c:v>
                  </c:pt>
                  <c:pt idx="4">
                    <c:v>2015</c:v>
                  </c:pt>
                  <c:pt idx="8">
                    <c:v>2016</c:v>
                  </c:pt>
                  <c:pt idx="12">
                    <c:v>2017</c:v>
                  </c:pt>
                  <c:pt idx="16">
                    <c:v>2018</c:v>
                  </c:pt>
                  <c:pt idx="20">
                    <c:v>2019</c:v>
                  </c:pt>
                </c:lvl>
              </c:multiLvlStrCache>
            </c:multiLvlStrRef>
          </c:cat>
          <c:val>
            <c:numRef>
              <c:f>'[Makroanalýza grafy.xlsx]souhrnná výkonnost 4'!$H$14:$H$37</c:f>
              <c:numCache>
                <c:formatCode>#\ ##0.0</c:formatCode>
                <c:ptCount val="24"/>
                <c:pt idx="0">
                  <c:v>2.3242841787100321</c:v>
                </c:pt>
                <c:pt idx="1">
                  <c:v>2.9725274544266607</c:v>
                </c:pt>
                <c:pt idx="2">
                  <c:v>3.7839037019436175</c:v>
                </c:pt>
                <c:pt idx="3">
                  <c:v>4.5087488484021181</c:v>
                </c:pt>
                <c:pt idx="4">
                  <c:v>4.6270602982207683</c:v>
                </c:pt>
                <c:pt idx="5">
                  <c:v>5.0629663100968214</c:v>
                </c:pt>
                <c:pt idx="6">
                  <c:v>5.1769007152332058</c:v>
                </c:pt>
                <c:pt idx="7">
                  <c:v>4.3720275458483702</c:v>
                </c:pt>
                <c:pt idx="8">
                  <c:v>3.3567782921467995</c:v>
                </c:pt>
                <c:pt idx="9">
                  <c:v>2.2893161137021707</c:v>
                </c:pt>
                <c:pt idx="10">
                  <c:v>1.6037323521340028</c:v>
                </c:pt>
                <c:pt idx="11">
                  <c:v>1.922857301673119</c:v>
                </c:pt>
                <c:pt idx="12">
                  <c:v>2.8822306247702869</c:v>
                </c:pt>
                <c:pt idx="13">
                  <c:v>5.0931754403063252</c:v>
                </c:pt>
                <c:pt idx="14">
                  <c:v>5.0870941409032184</c:v>
                </c:pt>
                <c:pt idx="15">
                  <c:v>4.7458033834709425</c:v>
                </c:pt>
                <c:pt idx="16">
                  <c:v>4.1236830875357668</c:v>
                </c:pt>
                <c:pt idx="17">
                  <c:v>2.329334470402415</c:v>
                </c:pt>
                <c:pt idx="18">
                  <c:v>2.5646883885996488</c:v>
                </c:pt>
                <c:pt idx="19">
                  <c:v>2.8916497531126026</c:v>
                </c:pt>
                <c:pt idx="20">
                  <c:v>2.7525755752744914</c:v>
                </c:pt>
                <c:pt idx="21">
                  <c:v>2.6056498568663073</c:v>
                </c:pt>
                <c:pt idx="22">
                  <c:v>2.2784481158344221</c:v>
                </c:pt>
                <c:pt idx="23">
                  <c:v>1.8290584765083793</c:v>
                </c:pt>
              </c:numCache>
            </c:numRef>
          </c:val>
          <c:smooth val="0"/>
          <c:extLst>
            <c:ext xmlns:c16="http://schemas.microsoft.com/office/drawing/2014/chart" uri="{C3380CC4-5D6E-409C-BE32-E72D297353CC}">
              <c16:uniqueId val="{00000005-5C57-458A-A681-B7D862BF4EC0}"/>
            </c:ext>
          </c:extLst>
        </c:ser>
        <c:dLbls>
          <c:showLegendKey val="0"/>
          <c:showVal val="0"/>
          <c:showCatName val="0"/>
          <c:showSerName val="0"/>
          <c:showPercent val="0"/>
          <c:showBubbleSize val="0"/>
        </c:dLbls>
        <c:marker val="1"/>
        <c:smooth val="0"/>
        <c:axId val="269005952"/>
        <c:axId val="269007488"/>
      </c:lineChart>
      <c:catAx>
        <c:axId val="269005952"/>
        <c:scaling>
          <c:orientation val="minMax"/>
        </c:scaling>
        <c:delete val="0"/>
        <c:axPos val="b"/>
        <c:majorTickMark val="out"/>
        <c:minorTickMark val="none"/>
        <c:tickLblPos val="low"/>
        <c:spPr>
          <a:ln>
            <a:solidFill>
              <a:schemeClr val="tx1"/>
            </a:solidFill>
          </a:ln>
        </c:spPr>
        <c:txPr>
          <a:bodyPr rot="0" vert="horz"/>
          <a:lstStyle/>
          <a:p>
            <a:pPr>
              <a:defRPr/>
            </a:pPr>
            <a:endParaRPr lang="cs-CZ"/>
          </a:p>
        </c:txPr>
        <c:crossAx val="269007488"/>
        <c:crosses val="autoZero"/>
        <c:auto val="1"/>
        <c:lblAlgn val="ctr"/>
        <c:lblOffset val="100"/>
        <c:noMultiLvlLbl val="0"/>
      </c:catAx>
      <c:valAx>
        <c:axId val="269007488"/>
        <c:scaling>
          <c:orientation val="minMax"/>
          <c:max val="6"/>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269005952"/>
        <c:crosses val="autoZero"/>
        <c:crossBetween val="between"/>
        <c:majorUnit val="1"/>
      </c:valAx>
      <c:spPr>
        <a:ln>
          <a:solidFill>
            <a:schemeClr val="tx1"/>
          </a:solidFill>
        </a:ln>
      </c:spPr>
    </c:plotArea>
    <c:legend>
      <c:legendPos val="b"/>
      <c:layout>
        <c:manualLayout>
          <c:xMode val="edge"/>
          <c:yMode val="edge"/>
          <c:x val="5.4144292468760548E-2"/>
          <c:y val="0.79016604750647301"/>
          <c:w val="0.92386482607227283"/>
          <c:h val="0.19462484520994944"/>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2768470688525411E-2"/>
          <c:y val="1.6203558522131581E-2"/>
          <c:w val="0.94015567663973465"/>
          <c:h val="0.71950593410789765"/>
        </c:manualLayout>
      </c:layout>
      <c:barChart>
        <c:barDir val="col"/>
        <c:grouping val="stacked"/>
        <c:varyColors val="0"/>
        <c:ser>
          <c:idx val="0"/>
          <c:order val="0"/>
          <c:tx>
            <c:strRef>
              <c:f>'GRAF příspěvky IPP'!$A$27</c:f>
              <c:strCache>
                <c:ptCount val="1"/>
                <c:pt idx="0">
                  <c:v>Výroba dopravních prostředků (29+30)</c:v>
                </c:pt>
              </c:strCache>
            </c:strRef>
          </c:tx>
          <c:spPr>
            <a:solidFill>
              <a:srgbClr val="E8AFB2"/>
            </a:solidFill>
          </c:spPr>
          <c:invertIfNegative val="0"/>
          <c:cat>
            <c:multiLvlStrRef>
              <c:f>'GRAF příspěvky IPP'!$B$25:$AK$26</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2011</c:v>
                  </c:pt>
                  <c:pt idx="4">
                    <c:v>2012</c:v>
                  </c:pt>
                  <c:pt idx="8">
                    <c:v>2013</c:v>
                  </c:pt>
                  <c:pt idx="12">
                    <c:v>2014</c:v>
                  </c:pt>
                  <c:pt idx="16">
                    <c:v>2015</c:v>
                  </c:pt>
                  <c:pt idx="20">
                    <c:v>2016</c:v>
                  </c:pt>
                  <c:pt idx="24">
                    <c:v>2017</c:v>
                  </c:pt>
                  <c:pt idx="28">
                    <c:v>2018</c:v>
                  </c:pt>
                  <c:pt idx="32">
                    <c:v>2019</c:v>
                  </c:pt>
                </c:lvl>
              </c:multiLvlStrCache>
            </c:multiLvlStrRef>
          </c:cat>
          <c:val>
            <c:numRef>
              <c:f>'GRAF příspěvky IPP'!$B$27:$AK$27</c:f>
              <c:numCache>
                <c:formatCode>0.0</c:formatCode>
                <c:ptCount val="36"/>
                <c:pt idx="0">
                  <c:v>5.1826567835041883</c:v>
                </c:pt>
                <c:pt idx="1">
                  <c:v>4.1388621566743531</c:v>
                </c:pt>
                <c:pt idx="2">
                  <c:v>3.66096886153335</c:v>
                </c:pt>
                <c:pt idx="3">
                  <c:v>3.2133321520109059</c:v>
                </c:pt>
                <c:pt idx="4">
                  <c:v>2.2354222453018546</c:v>
                </c:pt>
                <c:pt idx="5">
                  <c:v>1.0231087154858276</c:v>
                </c:pt>
                <c:pt idx="6">
                  <c:v>-0.451101844135188</c:v>
                </c:pt>
                <c:pt idx="7">
                  <c:v>-1.6929043388850369</c:v>
                </c:pt>
                <c:pt idx="8">
                  <c:v>-2.8414439289814464</c:v>
                </c:pt>
                <c:pt idx="9">
                  <c:v>-1.1037033400298391</c:v>
                </c:pt>
                <c:pt idx="10">
                  <c:v>0.65561921804615453</c:v>
                </c:pt>
                <c:pt idx="11">
                  <c:v>1.8828182694641358</c:v>
                </c:pt>
                <c:pt idx="12">
                  <c:v>3.5759262633273021</c:v>
                </c:pt>
                <c:pt idx="13">
                  <c:v>2.2387100258789236</c:v>
                </c:pt>
                <c:pt idx="14">
                  <c:v>1.7719699895287304</c:v>
                </c:pt>
                <c:pt idx="15">
                  <c:v>1.5189883620689975</c:v>
                </c:pt>
                <c:pt idx="16">
                  <c:v>1.5349338595230806</c:v>
                </c:pt>
                <c:pt idx="17">
                  <c:v>2.1941006685518607</c:v>
                </c:pt>
                <c:pt idx="18">
                  <c:v>2.3415413147137585</c:v>
                </c:pt>
                <c:pt idx="19">
                  <c:v>2.8930236159837905</c:v>
                </c:pt>
                <c:pt idx="20">
                  <c:v>3.2926965523764138</c:v>
                </c:pt>
                <c:pt idx="21">
                  <c:v>2.7635032677542575</c:v>
                </c:pt>
                <c:pt idx="22">
                  <c:v>1.4750591136369875</c:v>
                </c:pt>
                <c:pt idx="23">
                  <c:v>1.02695332712745</c:v>
                </c:pt>
                <c:pt idx="24">
                  <c:v>1.8306689908816125</c:v>
                </c:pt>
                <c:pt idx="25">
                  <c:v>2.068398562814969</c:v>
                </c:pt>
                <c:pt idx="26">
                  <c:v>1.5408162380207475</c:v>
                </c:pt>
                <c:pt idx="27">
                  <c:v>1.6794015454983153</c:v>
                </c:pt>
                <c:pt idx="28">
                  <c:v>0.70392294222784246</c:v>
                </c:pt>
                <c:pt idx="29">
                  <c:v>0.54165398674947518</c:v>
                </c:pt>
                <c:pt idx="30">
                  <c:v>0.23361070194845018</c:v>
                </c:pt>
                <c:pt idx="31">
                  <c:v>0.98240341756513017</c:v>
                </c:pt>
                <c:pt idx="32">
                  <c:v>-0.22918473520916652</c:v>
                </c:pt>
                <c:pt idx="33">
                  <c:v>0.49662439926839158</c:v>
                </c:pt>
                <c:pt idx="34">
                  <c:v>0.91092593552853562</c:v>
                </c:pt>
                <c:pt idx="35">
                  <c:v>-1.0551876804279738</c:v>
                </c:pt>
              </c:numCache>
            </c:numRef>
          </c:val>
          <c:extLst>
            <c:ext xmlns:c16="http://schemas.microsoft.com/office/drawing/2014/chart" uri="{C3380CC4-5D6E-409C-BE32-E72D297353CC}">
              <c16:uniqueId val="{00000000-C956-4A3A-9411-89475D2CEEE9}"/>
            </c:ext>
          </c:extLst>
        </c:ser>
        <c:ser>
          <c:idx val="1"/>
          <c:order val="1"/>
          <c:tx>
            <c:strRef>
              <c:f>'GRAF příspěvky IPP'!$A$28</c:f>
              <c:strCache>
                <c:ptCount val="1"/>
                <c:pt idx="0">
                  <c:v>Gumárenství, elektrotechnický pr. (22+27)</c:v>
                </c:pt>
              </c:strCache>
            </c:strRef>
          </c:tx>
          <c:spPr>
            <a:solidFill>
              <a:srgbClr val="BD1B21"/>
            </a:solidFill>
          </c:spPr>
          <c:invertIfNegative val="0"/>
          <c:cat>
            <c:multiLvlStrRef>
              <c:f>'GRAF příspěvky IPP'!$B$25:$AK$26</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2011</c:v>
                  </c:pt>
                  <c:pt idx="4">
                    <c:v>2012</c:v>
                  </c:pt>
                  <c:pt idx="8">
                    <c:v>2013</c:v>
                  </c:pt>
                  <c:pt idx="12">
                    <c:v>2014</c:v>
                  </c:pt>
                  <c:pt idx="16">
                    <c:v>2015</c:v>
                  </c:pt>
                  <c:pt idx="20">
                    <c:v>2016</c:v>
                  </c:pt>
                  <c:pt idx="24">
                    <c:v>2017</c:v>
                  </c:pt>
                  <c:pt idx="28">
                    <c:v>2018</c:v>
                  </c:pt>
                  <c:pt idx="32">
                    <c:v>2019</c:v>
                  </c:pt>
                </c:lvl>
              </c:multiLvlStrCache>
            </c:multiLvlStrRef>
          </c:cat>
          <c:val>
            <c:numRef>
              <c:f>'GRAF příspěvky IPP'!$B$28:$AK$28</c:f>
              <c:numCache>
                <c:formatCode>0.0</c:formatCode>
                <c:ptCount val="36"/>
                <c:pt idx="0">
                  <c:v>1.8226503967804817</c:v>
                </c:pt>
                <c:pt idx="1">
                  <c:v>1.4308107388261828</c:v>
                </c:pt>
                <c:pt idx="2">
                  <c:v>0.48746198826577214</c:v>
                </c:pt>
                <c:pt idx="3">
                  <c:v>0.58901128435335481</c:v>
                </c:pt>
                <c:pt idx="4">
                  <c:v>0.8499224953159652</c:v>
                </c:pt>
                <c:pt idx="5">
                  <c:v>0.67909419809764782</c:v>
                </c:pt>
                <c:pt idx="6">
                  <c:v>1.0716764887904229</c:v>
                </c:pt>
                <c:pt idx="7">
                  <c:v>-0.46502811090535007</c:v>
                </c:pt>
                <c:pt idx="8">
                  <c:v>-0.34838129757408365</c:v>
                </c:pt>
                <c:pt idx="9">
                  <c:v>-0.29702711628118111</c:v>
                </c:pt>
                <c:pt idx="10">
                  <c:v>0.37983146763629139</c:v>
                </c:pt>
                <c:pt idx="11">
                  <c:v>0.67444684530708243</c:v>
                </c:pt>
                <c:pt idx="12">
                  <c:v>1.1965754118683707</c:v>
                </c:pt>
                <c:pt idx="13">
                  <c:v>1.3110490341587351</c:v>
                </c:pt>
                <c:pt idx="14">
                  <c:v>0.16431106389180708</c:v>
                </c:pt>
                <c:pt idx="15">
                  <c:v>0.79246998238680644</c:v>
                </c:pt>
                <c:pt idx="16">
                  <c:v>1.0327158178902081</c:v>
                </c:pt>
                <c:pt idx="17">
                  <c:v>1.2474010464389864</c:v>
                </c:pt>
                <c:pt idx="18">
                  <c:v>1.4188923779020084</c:v>
                </c:pt>
                <c:pt idx="19">
                  <c:v>0.62907027961344431</c:v>
                </c:pt>
                <c:pt idx="20">
                  <c:v>0.70002238690210272</c:v>
                </c:pt>
                <c:pt idx="21">
                  <c:v>0.15473181772475597</c:v>
                </c:pt>
                <c:pt idx="22">
                  <c:v>0.28439313569749469</c:v>
                </c:pt>
                <c:pt idx="23">
                  <c:v>0.43251342156214512</c:v>
                </c:pt>
                <c:pt idx="24">
                  <c:v>0.91486926491740084</c:v>
                </c:pt>
                <c:pt idx="25">
                  <c:v>1.4491903433443376</c:v>
                </c:pt>
                <c:pt idx="26">
                  <c:v>0.86660777787350374</c:v>
                </c:pt>
                <c:pt idx="27">
                  <c:v>1.6549188645784936</c:v>
                </c:pt>
                <c:pt idx="28">
                  <c:v>0.99946153502300794</c:v>
                </c:pt>
                <c:pt idx="29">
                  <c:v>0.3296201700753274</c:v>
                </c:pt>
                <c:pt idx="30">
                  <c:v>0.4428318555922115</c:v>
                </c:pt>
                <c:pt idx="31">
                  <c:v>-5.5208909228152289E-2</c:v>
                </c:pt>
                <c:pt idx="32">
                  <c:v>0.50228405031749235</c:v>
                </c:pt>
                <c:pt idx="33">
                  <c:v>0.42038718152996163</c:v>
                </c:pt>
                <c:pt idx="34">
                  <c:v>0.21613717151022321</c:v>
                </c:pt>
                <c:pt idx="35">
                  <c:v>0.40227574669705402</c:v>
                </c:pt>
              </c:numCache>
            </c:numRef>
          </c:val>
          <c:extLst>
            <c:ext xmlns:c16="http://schemas.microsoft.com/office/drawing/2014/chart" uri="{C3380CC4-5D6E-409C-BE32-E72D297353CC}">
              <c16:uniqueId val="{00000001-C956-4A3A-9411-89475D2CEEE9}"/>
            </c:ext>
          </c:extLst>
        </c:ser>
        <c:ser>
          <c:idx val="2"/>
          <c:order val="2"/>
          <c:tx>
            <c:strRef>
              <c:f>'GRAF příspěvky IPP'!$A$29</c:f>
              <c:strCache>
                <c:ptCount val="1"/>
                <c:pt idx="0">
                  <c:v>Strojírenství (28)</c:v>
                </c:pt>
              </c:strCache>
            </c:strRef>
          </c:tx>
          <c:spPr>
            <a:solidFill>
              <a:srgbClr val="BFE3F7"/>
            </a:solidFill>
          </c:spPr>
          <c:invertIfNegative val="0"/>
          <c:cat>
            <c:multiLvlStrRef>
              <c:f>'GRAF příspěvky IPP'!$B$25:$AK$26</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2011</c:v>
                  </c:pt>
                  <c:pt idx="4">
                    <c:v>2012</c:v>
                  </c:pt>
                  <c:pt idx="8">
                    <c:v>2013</c:v>
                  </c:pt>
                  <c:pt idx="12">
                    <c:v>2014</c:v>
                  </c:pt>
                  <c:pt idx="16">
                    <c:v>2015</c:v>
                  </c:pt>
                  <c:pt idx="20">
                    <c:v>2016</c:v>
                  </c:pt>
                  <c:pt idx="24">
                    <c:v>2017</c:v>
                  </c:pt>
                  <c:pt idx="28">
                    <c:v>2018</c:v>
                  </c:pt>
                  <c:pt idx="32">
                    <c:v>2019</c:v>
                  </c:pt>
                </c:lvl>
              </c:multiLvlStrCache>
            </c:multiLvlStrRef>
          </c:cat>
          <c:val>
            <c:numRef>
              <c:f>'GRAF příspěvky IPP'!$B$29:$AK$29</c:f>
              <c:numCache>
                <c:formatCode>0.0</c:formatCode>
                <c:ptCount val="36"/>
                <c:pt idx="0">
                  <c:v>1.2706011457621917</c:v>
                </c:pt>
                <c:pt idx="1">
                  <c:v>1.2888664807252919</c:v>
                </c:pt>
                <c:pt idx="2">
                  <c:v>0.32307846092656811</c:v>
                </c:pt>
                <c:pt idx="3">
                  <c:v>0.70071844497242763</c:v>
                </c:pt>
                <c:pt idx="4">
                  <c:v>0.5085259739532223</c:v>
                </c:pt>
                <c:pt idx="5">
                  <c:v>0.2631231278845213</c:v>
                </c:pt>
                <c:pt idx="6">
                  <c:v>0.23301984566307926</c:v>
                </c:pt>
                <c:pt idx="7">
                  <c:v>-0.13339713383761653</c:v>
                </c:pt>
                <c:pt idx="8">
                  <c:v>7.970787180892118E-2</c:v>
                </c:pt>
                <c:pt idx="9">
                  <c:v>0.20406264489060252</c:v>
                </c:pt>
                <c:pt idx="10">
                  <c:v>-1.7001944235035402E-2</c:v>
                </c:pt>
                <c:pt idx="11">
                  <c:v>0.64362374734259087</c:v>
                </c:pt>
                <c:pt idx="12">
                  <c:v>0.21470457876175333</c:v>
                </c:pt>
                <c:pt idx="13">
                  <c:v>0.40293012989484661</c:v>
                </c:pt>
                <c:pt idx="14">
                  <c:v>0.21152856009329646</c:v>
                </c:pt>
                <c:pt idx="15">
                  <c:v>0.3301204419286361</c:v>
                </c:pt>
                <c:pt idx="16">
                  <c:v>0.27832699102768171</c:v>
                </c:pt>
                <c:pt idx="17">
                  <c:v>0.29159295435772503</c:v>
                </c:pt>
                <c:pt idx="18">
                  <c:v>0.37916922656306401</c:v>
                </c:pt>
                <c:pt idx="19">
                  <c:v>1.781989990773131E-2</c:v>
                </c:pt>
                <c:pt idx="20">
                  <c:v>0.36450086052988051</c:v>
                </c:pt>
                <c:pt idx="21">
                  <c:v>-6.9051390149412681E-2</c:v>
                </c:pt>
                <c:pt idx="22">
                  <c:v>0.19850927828339104</c:v>
                </c:pt>
                <c:pt idx="23">
                  <c:v>0.32150601856840716</c:v>
                </c:pt>
                <c:pt idx="24">
                  <c:v>0.35626268364085967</c:v>
                </c:pt>
                <c:pt idx="25">
                  <c:v>1.0647927179276142</c:v>
                </c:pt>
                <c:pt idx="26">
                  <c:v>0.84846050084183755</c:v>
                </c:pt>
                <c:pt idx="27">
                  <c:v>0.80860359811504845</c:v>
                </c:pt>
                <c:pt idx="28">
                  <c:v>0.46939757956954559</c:v>
                </c:pt>
                <c:pt idx="29">
                  <c:v>0.14777758056392631</c:v>
                </c:pt>
                <c:pt idx="30">
                  <c:v>0.18930771692011972</c:v>
                </c:pt>
                <c:pt idx="31">
                  <c:v>-0.1941665716444419</c:v>
                </c:pt>
                <c:pt idx="32">
                  <c:v>0.13830917887033164</c:v>
                </c:pt>
                <c:pt idx="33">
                  <c:v>-2.5936433326688057E-2</c:v>
                </c:pt>
                <c:pt idx="34">
                  <c:v>-0.28001631631863139</c:v>
                </c:pt>
                <c:pt idx="35">
                  <c:v>-0.15230343433769106</c:v>
                </c:pt>
              </c:numCache>
            </c:numRef>
          </c:val>
          <c:extLst>
            <c:ext xmlns:c16="http://schemas.microsoft.com/office/drawing/2014/chart" uri="{C3380CC4-5D6E-409C-BE32-E72D297353CC}">
              <c16:uniqueId val="{00000002-C956-4A3A-9411-89475D2CEEE9}"/>
            </c:ext>
          </c:extLst>
        </c:ser>
        <c:ser>
          <c:idx val="3"/>
          <c:order val="3"/>
          <c:tx>
            <c:strRef>
              <c:f>'GRAF příspěvky IPP'!$A$30</c:f>
              <c:strCache>
                <c:ptCount val="1"/>
                <c:pt idx="0">
                  <c:v>Kovodělný průmysl (25)</c:v>
                </c:pt>
              </c:strCache>
            </c:strRef>
          </c:tx>
          <c:spPr>
            <a:solidFill>
              <a:srgbClr val="48AEE7"/>
            </a:solidFill>
          </c:spPr>
          <c:invertIfNegative val="0"/>
          <c:cat>
            <c:multiLvlStrRef>
              <c:f>'GRAF příspěvky IPP'!$B$25:$AK$26</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2011</c:v>
                  </c:pt>
                  <c:pt idx="4">
                    <c:v>2012</c:v>
                  </c:pt>
                  <c:pt idx="8">
                    <c:v>2013</c:v>
                  </c:pt>
                  <c:pt idx="12">
                    <c:v>2014</c:v>
                  </c:pt>
                  <c:pt idx="16">
                    <c:v>2015</c:v>
                  </c:pt>
                  <c:pt idx="20">
                    <c:v>2016</c:v>
                  </c:pt>
                  <c:pt idx="24">
                    <c:v>2017</c:v>
                  </c:pt>
                  <c:pt idx="28">
                    <c:v>2018</c:v>
                  </c:pt>
                  <c:pt idx="32">
                    <c:v>2019</c:v>
                  </c:pt>
                </c:lvl>
              </c:multiLvlStrCache>
            </c:multiLvlStrRef>
          </c:cat>
          <c:val>
            <c:numRef>
              <c:f>'GRAF příspěvky IPP'!$B$30:$AK$30</c:f>
              <c:numCache>
                <c:formatCode>0.0</c:formatCode>
                <c:ptCount val="36"/>
                <c:pt idx="0">
                  <c:v>1.3607915256879437</c:v>
                </c:pt>
                <c:pt idx="1">
                  <c:v>0.6122314163161513</c:v>
                </c:pt>
                <c:pt idx="2">
                  <c:v>6.1889465402554439E-2</c:v>
                </c:pt>
                <c:pt idx="3">
                  <c:v>-5.8766596093049045E-2</c:v>
                </c:pt>
                <c:pt idx="4">
                  <c:v>-6.6514476486077501E-2</c:v>
                </c:pt>
                <c:pt idx="5">
                  <c:v>-7.3342687149672695E-2</c:v>
                </c:pt>
                <c:pt idx="6">
                  <c:v>0.10363464102827508</c:v>
                </c:pt>
                <c:pt idx="7">
                  <c:v>-0.16145263797014556</c:v>
                </c:pt>
                <c:pt idx="8">
                  <c:v>-8.2159524291812738E-2</c:v>
                </c:pt>
                <c:pt idx="9">
                  <c:v>9.286896218709495E-2</c:v>
                </c:pt>
                <c:pt idx="10">
                  <c:v>0.38311516609077362</c:v>
                </c:pt>
                <c:pt idx="11">
                  <c:v>0.56967075654605959</c:v>
                </c:pt>
                <c:pt idx="12">
                  <c:v>0.73131867751878388</c:v>
                </c:pt>
                <c:pt idx="13">
                  <c:v>0.63955710701683133</c:v>
                </c:pt>
                <c:pt idx="14">
                  <c:v>0.13796392398444496</c:v>
                </c:pt>
                <c:pt idx="15">
                  <c:v>0.35044871686260598</c:v>
                </c:pt>
                <c:pt idx="16">
                  <c:v>0.69752018574312757</c:v>
                </c:pt>
                <c:pt idx="17">
                  <c:v>0.78069864008168055</c:v>
                </c:pt>
                <c:pt idx="18">
                  <c:v>0.92145489387273505</c:v>
                </c:pt>
                <c:pt idx="19">
                  <c:v>0.62569777143327532</c:v>
                </c:pt>
                <c:pt idx="20">
                  <c:v>0.75848604717513379</c:v>
                </c:pt>
                <c:pt idx="21">
                  <c:v>0.39407337586741892</c:v>
                </c:pt>
                <c:pt idx="22">
                  <c:v>0.20786247012396855</c:v>
                </c:pt>
                <c:pt idx="23">
                  <c:v>0.25885378383640428</c:v>
                </c:pt>
                <c:pt idx="24">
                  <c:v>0.51937603959814027</c:v>
                </c:pt>
                <c:pt idx="25">
                  <c:v>0.90938443427805682</c:v>
                </c:pt>
                <c:pt idx="26">
                  <c:v>0.81941846333328994</c:v>
                </c:pt>
                <c:pt idx="27">
                  <c:v>0.96985539906457718</c:v>
                </c:pt>
                <c:pt idx="28">
                  <c:v>0.6579137504716065</c:v>
                </c:pt>
                <c:pt idx="29">
                  <c:v>0.4468183516639388</c:v>
                </c:pt>
                <c:pt idx="30">
                  <c:v>0.43700633012132578</c:v>
                </c:pt>
                <c:pt idx="31">
                  <c:v>0.16124456587075234</c:v>
                </c:pt>
                <c:pt idx="32">
                  <c:v>0.26961194415130824</c:v>
                </c:pt>
                <c:pt idx="33">
                  <c:v>1.0633986919867123E-2</c:v>
                </c:pt>
                <c:pt idx="34">
                  <c:v>-0.22418998862127987</c:v>
                </c:pt>
                <c:pt idx="35">
                  <c:v>-0.39107643952771226</c:v>
                </c:pt>
              </c:numCache>
            </c:numRef>
          </c:val>
          <c:extLst>
            <c:ext xmlns:c16="http://schemas.microsoft.com/office/drawing/2014/chart" uri="{C3380CC4-5D6E-409C-BE32-E72D297353CC}">
              <c16:uniqueId val="{00000003-C956-4A3A-9411-89475D2CEEE9}"/>
            </c:ext>
          </c:extLst>
        </c:ser>
        <c:ser>
          <c:idx val="4"/>
          <c:order val="4"/>
          <c:tx>
            <c:strRef>
              <c:f>'GRAF příspěvky IPP'!$A$31</c:f>
              <c:strCache>
                <c:ptCount val="1"/>
                <c:pt idx="0">
                  <c:v>Výroba PC, elektronic. a optic. přístr. (26)</c:v>
                </c:pt>
              </c:strCache>
            </c:strRef>
          </c:tx>
          <c:spPr>
            <a:solidFill>
              <a:srgbClr val="FDDEB3"/>
            </a:solidFill>
          </c:spPr>
          <c:invertIfNegative val="0"/>
          <c:cat>
            <c:multiLvlStrRef>
              <c:f>'GRAF příspěvky IPP'!$B$25:$AK$26</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2011</c:v>
                  </c:pt>
                  <c:pt idx="4">
                    <c:v>2012</c:v>
                  </c:pt>
                  <c:pt idx="8">
                    <c:v>2013</c:v>
                  </c:pt>
                  <c:pt idx="12">
                    <c:v>2014</c:v>
                  </c:pt>
                  <c:pt idx="16">
                    <c:v>2015</c:v>
                  </c:pt>
                  <c:pt idx="20">
                    <c:v>2016</c:v>
                  </c:pt>
                  <c:pt idx="24">
                    <c:v>2017</c:v>
                  </c:pt>
                  <c:pt idx="28">
                    <c:v>2018</c:v>
                  </c:pt>
                  <c:pt idx="32">
                    <c:v>2019</c:v>
                  </c:pt>
                </c:lvl>
              </c:multiLvlStrCache>
            </c:multiLvlStrRef>
          </c:cat>
          <c:val>
            <c:numRef>
              <c:f>'GRAF příspěvky IPP'!$B$31:$AK$31</c:f>
              <c:numCache>
                <c:formatCode>0.0</c:formatCode>
                <c:ptCount val="36"/>
                <c:pt idx="0">
                  <c:v>0.46607738102630258</c:v>
                </c:pt>
                <c:pt idx="1">
                  <c:v>0.2289737073350934</c:v>
                </c:pt>
                <c:pt idx="2">
                  <c:v>-0.24362549730013716</c:v>
                </c:pt>
                <c:pt idx="3">
                  <c:v>-0.78232564519731673</c:v>
                </c:pt>
                <c:pt idx="4">
                  <c:v>-0.63245776036395984</c:v>
                </c:pt>
                <c:pt idx="5">
                  <c:v>-0.77404145043570627</c:v>
                </c:pt>
                <c:pt idx="6">
                  <c:v>-0.66225050698900134</c:v>
                </c:pt>
                <c:pt idx="7">
                  <c:v>-0.4416747399469686</c:v>
                </c:pt>
                <c:pt idx="8">
                  <c:v>0.17467389713018558</c:v>
                </c:pt>
                <c:pt idx="9">
                  <c:v>0.21019414413841453</c:v>
                </c:pt>
                <c:pt idx="10">
                  <c:v>0.2864313771080319</c:v>
                </c:pt>
                <c:pt idx="11">
                  <c:v>0.37118882448330998</c:v>
                </c:pt>
                <c:pt idx="12">
                  <c:v>0.25436485129926611</c:v>
                </c:pt>
                <c:pt idx="13">
                  <c:v>0.35812460138361812</c:v>
                </c:pt>
                <c:pt idx="14">
                  <c:v>0.24882306773154061</c:v>
                </c:pt>
                <c:pt idx="15">
                  <c:v>0.43276478248186534</c:v>
                </c:pt>
                <c:pt idx="16">
                  <c:v>0.1016909527808563</c:v>
                </c:pt>
                <c:pt idx="17">
                  <c:v>1.4154514873228306E-2</c:v>
                </c:pt>
                <c:pt idx="18">
                  <c:v>4.8795542794375368E-2</c:v>
                </c:pt>
                <c:pt idx="19">
                  <c:v>-7.6486878800618135E-2</c:v>
                </c:pt>
                <c:pt idx="20">
                  <c:v>0</c:v>
                </c:pt>
                <c:pt idx="21">
                  <c:v>4.9500595864093791E-2</c:v>
                </c:pt>
                <c:pt idx="22">
                  <c:v>5.3821883781074741E-2</c:v>
                </c:pt>
                <c:pt idx="23">
                  <c:v>0.16393002768986806</c:v>
                </c:pt>
                <c:pt idx="24">
                  <c:v>0.12720409542401243</c:v>
                </c:pt>
                <c:pt idx="25">
                  <c:v>0.37722657172069585</c:v>
                </c:pt>
                <c:pt idx="26">
                  <c:v>0.23589929598354478</c:v>
                </c:pt>
                <c:pt idx="27">
                  <c:v>0.23405074111066751</c:v>
                </c:pt>
                <c:pt idx="28">
                  <c:v>0.40824658086879206</c:v>
                </c:pt>
                <c:pt idx="29">
                  <c:v>0.14897562339484019</c:v>
                </c:pt>
                <c:pt idx="30">
                  <c:v>0.63653387238876669</c:v>
                </c:pt>
                <c:pt idx="31">
                  <c:v>0.30671535131945005</c:v>
                </c:pt>
                <c:pt idx="32">
                  <c:v>-0.11284031378710398</c:v>
                </c:pt>
                <c:pt idx="33">
                  <c:v>-4.2979434514579223E-2</c:v>
                </c:pt>
                <c:pt idx="34">
                  <c:v>-0.62307029350559606</c:v>
                </c:pt>
                <c:pt idx="35">
                  <c:v>-0.33832694292282128</c:v>
                </c:pt>
              </c:numCache>
            </c:numRef>
          </c:val>
          <c:extLst>
            <c:ext xmlns:c16="http://schemas.microsoft.com/office/drawing/2014/chart" uri="{C3380CC4-5D6E-409C-BE32-E72D297353CC}">
              <c16:uniqueId val="{00000004-C956-4A3A-9411-89475D2CEEE9}"/>
            </c:ext>
          </c:extLst>
        </c:ser>
        <c:ser>
          <c:idx val="5"/>
          <c:order val="5"/>
          <c:tx>
            <c:strRef>
              <c:f>'GRAF příspěvky IPP'!$A$32</c:f>
              <c:strCache>
                <c:ptCount val="1"/>
                <c:pt idx="0">
                  <c:v>Chemický a farmaceutický pr. (20+21)</c:v>
                </c:pt>
              </c:strCache>
            </c:strRef>
          </c:tx>
          <c:spPr>
            <a:solidFill>
              <a:srgbClr val="F8A124"/>
            </a:solidFill>
          </c:spPr>
          <c:invertIfNegative val="0"/>
          <c:cat>
            <c:multiLvlStrRef>
              <c:f>'GRAF příspěvky IPP'!$B$25:$AK$26</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2011</c:v>
                  </c:pt>
                  <c:pt idx="4">
                    <c:v>2012</c:v>
                  </c:pt>
                  <c:pt idx="8">
                    <c:v>2013</c:v>
                  </c:pt>
                  <c:pt idx="12">
                    <c:v>2014</c:v>
                  </c:pt>
                  <c:pt idx="16">
                    <c:v>2015</c:v>
                  </c:pt>
                  <c:pt idx="20">
                    <c:v>2016</c:v>
                  </c:pt>
                  <c:pt idx="24">
                    <c:v>2017</c:v>
                  </c:pt>
                  <c:pt idx="28">
                    <c:v>2018</c:v>
                  </c:pt>
                  <c:pt idx="32">
                    <c:v>2019</c:v>
                  </c:pt>
                </c:lvl>
              </c:multiLvlStrCache>
            </c:multiLvlStrRef>
          </c:cat>
          <c:val>
            <c:numRef>
              <c:f>'GRAF příspěvky IPP'!$B$32:$AK$32</c:f>
              <c:numCache>
                <c:formatCode>0.0</c:formatCode>
                <c:ptCount val="36"/>
                <c:pt idx="0">
                  <c:v>0.11219929673001736</c:v>
                </c:pt>
                <c:pt idx="1">
                  <c:v>-0.10853916938887039</c:v>
                </c:pt>
                <c:pt idx="2">
                  <c:v>-0.3536895050634965</c:v>
                </c:pt>
                <c:pt idx="3">
                  <c:v>-0.27950219010381694</c:v>
                </c:pt>
                <c:pt idx="4">
                  <c:v>8.0797212942745181E-2</c:v>
                </c:pt>
                <c:pt idx="5">
                  <c:v>-9.8083333850390669E-2</c:v>
                </c:pt>
                <c:pt idx="6">
                  <c:v>0.2931368710398069</c:v>
                </c:pt>
                <c:pt idx="7">
                  <c:v>8.1304750180385743E-2</c:v>
                </c:pt>
                <c:pt idx="8">
                  <c:v>-0.16133731408121707</c:v>
                </c:pt>
                <c:pt idx="9">
                  <c:v>2.5011128929958708E-2</c:v>
                </c:pt>
                <c:pt idx="10">
                  <c:v>-0.19584426798635859</c:v>
                </c:pt>
                <c:pt idx="11">
                  <c:v>0.22028075022638577</c:v>
                </c:pt>
                <c:pt idx="12">
                  <c:v>0.41605736757706308</c:v>
                </c:pt>
                <c:pt idx="13">
                  <c:v>0.30259515004571136</c:v>
                </c:pt>
                <c:pt idx="14">
                  <c:v>0.37231498218051085</c:v>
                </c:pt>
                <c:pt idx="15">
                  <c:v>0.12425244912027755</c:v>
                </c:pt>
                <c:pt idx="16">
                  <c:v>7.5536144712547285E-2</c:v>
                </c:pt>
                <c:pt idx="17">
                  <c:v>0.23897170690908801</c:v>
                </c:pt>
                <c:pt idx="18">
                  <c:v>-0.16868273111371118</c:v>
                </c:pt>
                <c:pt idx="19">
                  <c:v>-0.33155900660842996</c:v>
                </c:pt>
                <c:pt idx="20">
                  <c:v>-0.42141366234773647</c:v>
                </c:pt>
                <c:pt idx="21">
                  <c:v>-0.41865631031483336</c:v>
                </c:pt>
                <c:pt idx="22">
                  <c:v>-0.112184127274519</c:v>
                </c:pt>
                <c:pt idx="23">
                  <c:v>0.23370867984991769</c:v>
                </c:pt>
                <c:pt idx="24">
                  <c:v>0.53306418431628844</c:v>
                </c:pt>
                <c:pt idx="25">
                  <c:v>0.81421630557623526</c:v>
                </c:pt>
                <c:pt idx="26">
                  <c:v>0.65133086792843509</c:v>
                </c:pt>
                <c:pt idx="27">
                  <c:v>0.50748040986382348</c:v>
                </c:pt>
                <c:pt idx="28">
                  <c:v>0.39973006488017387</c:v>
                </c:pt>
                <c:pt idx="29">
                  <c:v>8.0792803264247925E-2</c:v>
                </c:pt>
                <c:pt idx="30">
                  <c:v>-4.9077145085486995E-2</c:v>
                </c:pt>
                <c:pt idx="31">
                  <c:v>-6.7427709432766617E-2</c:v>
                </c:pt>
                <c:pt idx="32">
                  <c:v>0.10347687791544462</c:v>
                </c:pt>
                <c:pt idx="33">
                  <c:v>5.2278162410061613E-2</c:v>
                </c:pt>
                <c:pt idx="34">
                  <c:v>0.23476868623764607</c:v>
                </c:pt>
                <c:pt idx="35">
                  <c:v>1.3958202630141969E-2</c:v>
                </c:pt>
              </c:numCache>
            </c:numRef>
          </c:val>
          <c:extLst>
            <c:ext xmlns:c16="http://schemas.microsoft.com/office/drawing/2014/chart" uri="{C3380CC4-5D6E-409C-BE32-E72D297353CC}">
              <c16:uniqueId val="{00000005-C956-4A3A-9411-89475D2CEEE9}"/>
            </c:ext>
          </c:extLst>
        </c:ser>
        <c:ser>
          <c:idx val="6"/>
          <c:order val="6"/>
          <c:tx>
            <c:strRef>
              <c:f>'GRAF příspěvky IPP'!$A$33</c:f>
              <c:strCache>
                <c:ptCount val="1"/>
                <c:pt idx="0">
                  <c:v>Zbývající zpracovatelský průmysl</c:v>
                </c:pt>
              </c:strCache>
            </c:strRef>
          </c:tx>
          <c:spPr>
            <a:solidFill>
              <a:schemeClr val="bg1">
                <a:lumMod val="85000"/>
              </a:schemeClr>
            </a:solidFill>
          </c:spPr>
          <c:invertIfNegative val="0"/>
          <c:cat>
            <c:multiLvlStrRef>
              <c:f>'GRAF příspěvky IPP'!$B$25:$AK$26</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2011</c:v>
                  </c:pt>
                  <c:pt idx="4">
                    <c:v>2012</c:v>
                  </c:pt>
                  <c:pt idx="8">
                    <c:v>2013</c:v>
                  </c:pt>
                  <c:pt idx="12">
                    <c:v>2014</c:v>
                  </c:pt>
                  <c:pt idx="16">
                    <c:v>2015</c:v>
                  </c:pt>
                  <c:pt idx="20">
                    <c:v>2016</c:v>
                  </c:pt>
                  <c:pt idx="24">
                    <c:v>2017</c:v>
                  </c:pt>
                  <c:pt idx="28">
                    <c:v>2018</c:v>
                  </c:pt>
                  <c:pt idx="32">
                    <c:v>2019</c:v>
                  </c:pt>
                </c:lvl>
              </c:multiLvlStrCache>
            </c:multiLvlStrRef>
          </c:cat>
          <c:val>
            <c:numRef>
              <c:f>'GRAF příspěvky IPP'!$B$33:$AK$33</c:f>
              <c:numCache>
                <c:formatCode>0.0</c:formatCode>
                <c:ptCount val="36"/>
                <c:pt idx="0">
                  <c:v>0.31472665827737134</c:v>
                </c:pt>
                <c:pt idx="1">
                  <c:v>-0.27026221817768525</c:v>
                </c:pt>
                <c:pt idx="2">
                  <c:v>-1.5394198534098553</c:v>
                </c:pt>
                <c:pt idx="3">
                  <c:v>-0.32358391292063782</c:v>
                </c:pt>
                <c:pt idx="4">
                  <c:v>-1.1176151117108502</c:v>
                </c:pt>
                <c:pt idx="5">
                  <c:v>-0.95620463023923641</c:v>
                </c:pt>
                <c:pt idx="6">
                  <c:v>-0.63862999967945955</c:v>
                </c:pt>
                <c:pt idx="7">
                  <c:v>-1.4041755799902578</c:v>
                </c:pt>
                <c:pt idx="8">
                  <c:v>-0.12873307072581258</c:v>
                </c:pt>
                <c:pt idx="9">
                  <c:v>-3.7358387860870368E-2</c:v>
                </c:pt>
                <c:pt idx="10">
                  <c:v>0.67372820804565303</c:v>
                </c:pt>
                <c:pt idx="11">
                  <c:v>1.4195178283514827</c:v>
                </c:pt>
                <c:pt idx="12">
                  <c:v>1.1062169641993815</c:v>
                </c:pt>
                <c:pt idx="13">
                  <c:v>1.2118999929439416</c:v>
                </c:pt>
                <c:pt idx="14">
                  <c:v>0.47232149181081806</c:v>
                </c:pt>
                <c:pt idx="15">
                  <c:v>1.3246456842379457</c:v>
                </c:pt>
                <c:pt idx="16">
                  <c:v>1.0354669734013817</c:v>
                </c:pt>
                <c:pt idx="17">
                  <c:v>0.87411858973676348</c:v>
                </c:pt>
                <c:pt idx="18">
                  <c:v>1.0398417628408112</c:v>
                </c:pt>
                <c:pt idx="19">
                  <c:v>-0.23385945543911907</c:v>
                </c:pt>
                <c:pt idx="20">
                  <c:v>7.8780624629944285E-2</c:v>
                </c:pt>
                <c:pt idx="21">
                  <c:v>-0.27265528249529364</c:v>
                </c:pt>
                <c:pt idx="22">
                  <c:v>5.9675695447830135E-2</c:v>
                </c:pt>
                <c:pt idx="23">
                  <c:v>0.55700237533071895</c:v>
                </c:pt>
                <c:pt idx="24">
                  <c:v>0.252975115007679</c:v>
                </c:pt>
                <c:pt idx="25">
                  <c:v>1.3966693669108228</c:v>
                </c:pt>
                <c:pt idx="26">
                  <c:v>0.76480988742038325</c:v>
                </c:pt>
                <c:pt idx="27">
                  <c:v>1.0099344525375158</c:v>
                </c:pt>
                <c:pt idx="28">
                  <c:v>1.0992498537435504</c:v>
                </c:pt>
                <c:pt idx="29">
                  <c:v>0.68495902665930353</c:v>
                </c:pt>
                <c:pt idx="30">
                  <c:v>1.0284891751280201</c:v>
                </c:pt>
                <c:pt idx="31">
                  <c:v>0.54676655331131174</c:v>
                </c:pt>
                <c:pt idx="32">
                  <c:v>-8.8300814575091036E-2</c:v>
                </c:pt>
                <c:pt idx="33">
                  <c:v>-5.4771651695448134E-2</c:v>
                </c:pt>
                <c:pt idx="34">
                  <c:v>-0.56548049824215252</c:v>
                </c:pt>
                <c:pt idx="35">
                  <c:v>-0.2601616804073425</c:v>
                </c:pt>
              </c:numCache>
            </c:numRef>
          </c:val>
          <c:extLst>
            <c:ext xmlns:c16="http://schemas.microsoft.com/office/drawing/2014/chart" uri="{C3380CC4-5D6E-409C-BE32-E72D297353CC}">
              <c16:uniqueId val="{00000006-C956-4A3A-9411-89475D2CEEE9}"/>
            </c:ext>
          </c:extLst>
        </c:ser>
        <c:ser>
          <c:idx val="7"/>
          <c:order val="7"/>
          <c:tx>
            <c:strRef>
              <c:f>'GRAF příspěvky IPP'!$A$34</c:f>
              <c:strCache>
                <c:ptCount val="1"/>
                <c:pt idx="0">
                  <c:v>Těžba a energetika (B+D)</c:v>
                </c:pt>
              </c:strCache>
            </c:strRef>
          </c:tx>
          <c:spPr>
            <a:solidFill>
              <a:srgbClr val="808080"/>
            </a:solidFill>
          </c:spPr>
          <c:invertIfNegative val="0"/>
          <c:cat>
            <c:multiLvlStrRef>
              <c:f>'GRAF příspěvky IPP'!$B$25:$AK$26</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2011</c:v>
                  </c:pt>
                  <c:pt idx="4">
                    <c:v>2012</c:v>
                  </c:pt>
                  <c:pt idx="8">
                    <c:v>2013</c:v>
                  </c:pt>
                  <c:pt idx="12">
                    <c:v>2014</c:v>
                  </c:pt>
                  <c:pt idx="16">
                    <c:v>2015</c:v>
                  </c:pt>
                  <c:pt idx="20">
                    <c:v>2016</c:v>
                  </c:pt>
                  <c:pt idx="24">
                    <c:v>2017</c:v>
                  </c:pt>
                  <c:pt idx="28">
                    <c:v>2018</c:v>
                  </c:pt>
                  <c:pt idx="32">
                    <c:v>2019</c:v>
                  </c:pt>
                </c:lvl>
              </c:multiLvlStrCache>
            </c:multiLvlStrRef>
          </c:cat>
          <c:val>
            <c:numRef>
              <c:f>'GRAF příspěvky IPP'!$B$34:$AK$34</c:f>
              <c:numCache>
                <c:formatCode>0.0</c:formatCode>
                <c:ptCount val="36"/>
                <c:pt idx="0">
                  <c:v>-0.42970318776849603</c:v>
                </c:pt>
                <c:pt idx="1">
                  <c:v>0.37905688768949047</c:v>
                </c:pt>
                <c:pt idx="2">
                  <c:v>-0.29666392035474731</c:v>
                </c:pt>
                <c:pt idx="3">
                  <c:v>-5.8883537021856641E-2</c:v>
                </c:pt>
                <c:pt idx="4">
                  <c:v>4.1919421047110217E-2</c:v>
                </c:pt>
                <c:pt idx="5">
                  <c:v>0.33634606020701019</c:v>
                </c:pt>
                <c:pt idx="6">
                  <c:v>-0.14948549571793562</c:v>
                </c:pt>
                <c:pt idx="7">
                  <c:v>-1.0826618161280459</c:v>
                </c:pt>
                <c:pt idx="8">
                  <c:v>-0.89076450159691012</c:v>
                </c:pt>
                <c:pt idx="9">
                  <c:v>-1.3940480359741478</c:v>
                </c:pt>
                <c:pt idx="10">
                  <c:v>-0.86587922470550971</c:v>
                </c:pt>
                <c:pt idx="11">
                  <c:v>0.51845297827894687</c:v>
                </c:pt>
                <c:pt idx="12">
                  <c:v>-0.4951641145519059</c:v>
                </c:pt>
                <c:pt idx="13">
                  <c:v>-0.36486604132261174</c:v>
                </c:pt>
                <c:pt idx="14">
                  <c:v>-0.47923307922114755</c:v>
                </c:pt>
                <c:pt idx="15">
                  <c:v>-0.67369041908719907</c:v>
                </c:pt>
                <c:pt idx="16">
                  <c:v>0.14380907492111705</c:v>
                </c:pt>
                <c:pt idx="17">
                  <c:v>-0.34103812094933217</c:v>
                </c:pt>
                <c:pt idx="18">
                  <c:v>-0.38101238757299938</c:v>
                </c:pt>
                <c:pt idx="19">
                  <c:v>-1.1237062260900912</c:v>
                </c:pt>
                <c:pt idx="20">
                  <c:v>-0.67307280926577207</c:v>
                </c:pt>
                <c:pt idx="21">
                  <c:v>9.8553925749019666E-2</c:v>
                </c:pt>
                <c:pt idx="22">
                  <c:v>-0.46713744969622628</c:v>
                </c:pt>
                <c:pt idx="23">
                  <c:v>0.50553236603507523</c:v>
                </c:pt>
                <c:pt idx="24">
                  <c:v>0.66557962621400024</c:v>
                </c:pt>
                <c:pt idx="25">
                  <c:v>-0.17987830257272874</c:v>
                </c:pt>
                <c:pt idx="26">
                  <c:v>0.77265696859826016</c:v>
                </c:pt>
                <c:pt idx="27">
                  <c:v>0.73575498923155713</c:v>
                </c:pt>
                <c:pt idx="28">
                  <c:v>-0.53792230678451969</c:v>
                </c:pt>
                <c:pt idx="29">
                  <c:v>1.9402457628940606E-2</c:v>
                </c:pt>
                <c:pt idx="30">
                  <c:v>0.78129749298659323</c:v>
                </c:pt>
                <c:pt idx="31">
                  <c:v>0.31967330223871676</c:v>
                </c:pt>
                <c:pt idx="32">
                  <c:v>0.21664381231678487</c:v>
                </c:pt>
                <c:pt idx="33">
                  <c:v>4.3763789408433382E-2</c:v>
                </c:pt>
                <c:pt idx="34">
                  <c:v>-0.66907469658874519</c:v>
                </c:pt>
                <c:pt idx="35">
                  <c:v>-0.31917777170365547</c:v>
                </c:pt>
              </c:numCache>
            </c:numRef>
          </c:val>
          <c:extLst>
            <c:ext xmlns:c16="http://schemas.microsoft.com/office/drawing/2014/chart" uri="{C3380CC4-5D6E-409C-BE32-E72D297353CC}">
              <c16:uniqueId val="{00000007-C956-4A3A-9411-89475D2CEEE9}"/>
            </c:ext>
          </c:extLst>
        </c:ser>
        <c:dLbls>
          <c:showLegendKey val="0"/>
          <c:showVal val="0"/>
          <c:showCatName val="0"/>
          <c:showSerName val="0"/>
          <c:showPercent val="0"/>
          <c:showBubbleSize val="0"/>
        </c:dLbls>
        <c:gapWidth val="32"/>
        <c:overlap val="100"/>
        <c:axId val="112768128"/>
        <c:axId val="112769664"/>
      </c:barChart>
      <c:lineChart>
        <c:grouping val="standard"/>
        <c:varyColors val="0"/>
        <c:ser>
          <c:idx val="8"/>
          <c:order val="8"/>
          <c:tx>
            <c:strRef>
              <c:f>'GRAF příspěvky IPP'!$A$35</c:f>
              <c:strCache>
                <c:ptCount val="1"/>
                <c:pt idx="0">
                  <c:v>Průmysl celkem (NACE B+C+D)</c:v>
                </c:pt>
              </c:strCache>
            </c:strRef>
          </c:tx>
          <c:spPr>
            <a:ln w="19050">
              <a:solidFill>
                <a:schemeClr val="tx1">
                  <a:lumMod val="95000"/>
                  <a:lumOff val="5000"/>
                </a:schemeClr>
              </a:solidFill>
            </a:ln>
          </c:spPr>
          <c:marker>
            <c:symbol val="none"/>
          </c:marker>
          <c:cat>
            <c:multiLvlStrRef>
              <c:f>'GRAF příspěvky IPP'!$B$25:$AK$26</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2011</c:v>
                  </c:pt>
                  <c:pt idx="4">
                    <c:v>2012</c:v>
                  </c:pt>
                  <c:pt idx="8">
                    <c:v>2013</c:v>
                  </c:pt>
                  <c:pt idx="12">
                    <c:v>2014</c:v>
                  </c:pt>
                  <c:pt idx="16">
                    <c:v>2015</c:v>
                  </c:pt>
                  <c:pt idx="20">
                    <c:v>2016</c:v>
                  </c:pt>
                  <c:pt idx="24">
                    <c:v>2017</c:v>
                  </c:pt>
                  <c:pt idx="28">
                    <c:v>2018</c:v>
                  </c:pt>
                  <c:pt idx="32">
                    <c:v>2019</c:v>
                  </c:pt>
                </c:lvl>
              </c:multiLvlStrCache>
            </c:multiLvlStrRef>
          </c:cat>
          <c:val>
            <c:numRef>
              <c:f>'GRAF příspěvky IPP'!$B$35:$AK$35</c:f>
              <c:numCache>
                <c:formatCode>0.0</c:formatCode>
                <c:ptCount val="36"/>
                <c:pt idx="0">
                  <c:v>10.100000000000001</c:v>
                </c:pt>
                <c:pt idx="1">
                  <c:v>7.7000000000000073</c:v>
                </c:pt>
                <c:pt idx="2">
                  <c:v>2.1000000000000085</c:v>
                </c:pt>
                <c:pt idx="3">
                  <c:v>3.0000000000000115</c:v>
                </c:pt>
                <c:pt idx="4">
                  <c:v>1.9000000000000088</c:v>
                </c:pt>
                <c:pt idx="5">
                  <c:v>0.4000000000000008</c:v>
                </c:pt>
                <c:pt idx="6">
                  <c:v>-0.20000000000000023</c:v>
                </c:pt>
                <c:pt idx="7">
                  <c:v>-5.2999896074830355</c:v>
                </c:pt>
                <c:pt idx="8">
                  <c:v>-4.1984378683121761</c:v>
                </c:pt>
                <c:pt idx="9">
                  <c:v>-2.2999999999999678</c:v>
                </c:pt>
                <c:pt idx="10">
                  <c:v>1.3000000000000009</c:v>
                </c:pt>
                <c:pt idx="11">
                  <c:v>6.2999999999999945</c:v>
                </c:pt>
                <c:pt idx="12">
                  <c:v>7.000000000000016</c:v>
                </c:pt>
                <c:pt idx="13">
                  <c:v>6.0999999999999943</c:v>
                </c:pt>
                <c:pt idx="14">
                  <c:v>2.9000000000000004</c:v>
                </c:pt>
                <c:pt idx="15">
                  <c:v>4.1999999999999353</c:v>
                </c:pt>
                <c:pt idx="16">
                  <c:v>4.9000000000000012</c:v>
                </c:pt>
                <c:pt idx="17">
                  <c:v>5.3000000000000007</c:v>
                </c:pt>
                <c:pt idx="18">
                  <c:v>5.6000000000000405</c:v>
                </c:pt>
                <c:pt idx="19">
                  <c:v>2.3999999999999839</c:v>
                </c:pt>
                <c:pt idx="20">
                  <c:v>4.0999999999999659</c:v>
                </c:pt>
                <c:pt idx="21">
                  <c:v>2.7000000000000055</c:v>
                </c:pt>
                <c:pt idx="22">
                  <c:v>1.7000000000000011</c:v>
                </c:pt>
                <c:pt idx="23">
                  <c:v>3.4999999999999862</c:v>
                </c:pt>
                <c:pt idx="24">
                  <c:v>5.1999999999999931</c:v>
                </c:pt>
                <c:pt idx="25">
                  <c:v>7.9</c:v>
                </c:pt>
                <c:pt idx="26">
                  <c:v>6.5000000000000027</c:v>
                </c:pt>
                <c:pt idx="27">
                  <c:v>7.6</c:v>
                </c:pt>
                <c:pt idx="28" formatCode="#,##0.0">
                  <c:v>4.2</c:v>
                </c:pt>
                <c:pt idx="29" formatCode="#,##0.0">
                  <c:v>2.4</c:v>
                </c:pt>
                <c:pt idx="30" formatCode="#,##0.0">
                  <c:v>3.7</c:v>
                </c:pt>
                <c:pt idx="31" formatCode="#,##0.0">
                  <c:v>2</c:v>
                </c:pt>
                <c:pt idx="32" formatCode="#,##0.0">
                  <c:v>0.8</c:v>
                </c:pt>
                <c:pt idx="33" formatCode="#,##0.0">
                  <c:v>0.9</c:v>
                </c:pt>
                <c:pt idx="34" formatCode="#,##0.0">
                  <c:v>-1</c:v>
                </c:pt>
                <c:pt idx="35" formatCode="#,##0.0">
                  <c:v>-2.1</c:v>
                </c:pt>
              </c:numCache>
            </c:numRef>
          </c:val>
          <c:smooth val="0"/>
          <c:extLst>
            <c:ext xmlns:c16="http://schemas.microsoft.com/office/drawing/2014/chart" uri="{C3380CC4-5D6E-409C-BE32-E72D297353CC}">
              <c16:uniqueId val="{00000008-C956-4A3A-9411-89475D2CEEE9}"/>
            </c:ext>
          </c:extLst>
        </c:ser>
        <c:dLbls>
          <c:showLegendKey val="0"/>
          <c:showVal val="0"/>
          <c:showCatName val="0"/>
          <c:showSerName val="0"/>
          <c:showPercent val="0"/>
          <c:showBubbleSize val="0"/>
        </c:dLbls>
        <c:marker val="1"/>
        <c:smooth val="0"/>
        <c:axId val="112768128"/>
        <c:axId val="112769664"/>
      </c:lineChart>
      <c:catAx>
        <c:axId val="112768128"/>
        <c:scaling>
          <c:orientation val="minMax"/>
        </c:scaling>
        <c:delete val="0"/>
        <c:axPos val="b"/>
        <c:numFmt formatCode="General" sourceLinked="1"/>
        <c:majorTickMark val="out"/>
        <c:minorTickMark val="none"/>
        <c:tickLblPos val="low"/>
        <c:txPr>
          <a:bodyPr/>
          <a:lstStyle/>
          <a:p>
            <a:pPr>
              <a:defRPr sz="800">
                <a:latin typeface="Arial" pitchFamily="34" charset="0"/>
                <a:cs typeface="Arial" pitchFamily="34" charset="0"/>
              </a:defRPr>
            </a:pPr>
            <a:endParaRPr lang="cs-CZ"/>
          </a:p>
        </c:txPr>
        <c:crossAx val="112769664"/>
        <c:crosses val="autoZero"/>
        <c:auto val="1"/>
        <c:lblAlgn val="ctr"/>
        <c:lblOffset val="0"/>
        <c:noMultiLvlLbl val="0"/>
      </c:catAx>
      <c:valAx>
        <c:axId val="112769664"/>
        <c:scaling>
          <c:orientation val="minMax"/>
          <c:max val="11"/>
          <c:min val="-6"/>
        </c:scaling>
        <c:delete val="0"/>
        <c:axPos val="l"/>
        <c:majorGridlines>
          <c:spPr>
            <a:ln>
              <a:solidFill>
                <a:srgbClr val="BEBEBE"/>
              </a:solidFill>
            </a:ln>
          </c:spPr>
        </c:majorGridlines>
        <c:numFmt formatCode="0" sourceLinked="0"/>
        <c:majorTickMark val="out"/>
        <c:minorTickMark val="none"/>
        <c:tickLblPos val="nextTo"/>
        <c:txPr>
          <a:bodyPr/>
          <a:lstStyle/>
          <a:p>
            <a:pPr>
              <a:defRPr sz="800">
                <a:latin typeface="Arial" pitchFamily="34" charset="0"/>
                <a:cs typeface="Arial" pitchFamily="34" charset="0"/>
              </a:defRPr>
            </a:pPr>
            <a:endParaRPr lang="cs-CZ"/>
          </a:p>
        </c:txPr>
        <c:crossAx val="112768128"/>
        <c:crosses val="autoZero"/>
        <c:crossBetween val="between"/>
        <c:majorUnit val="1"/>
      </c:valAx>
      <c:spPr>
        <a:noFill/>
        <a:ln w="6350">
          <a:solidFill>
            <a:prstClr val="black">
              <a:lumMod val="95000"/>
              <a:lumOff val="5000"/>
            </a:prstClr>
          </a:solidFill>
        </a:ln>
      </c:spPr>
    </c:plotArea>
    <c:legend>
      <c:legendPos val="r"/>
      <c:layout>
        <c:manualLayout>
          <c:xMode val="edge"/>
          <c:yMode val="edge"/>
          <c:x val="4.1134979005766119E-2"/>
          <c:y val="0.8280241779429045"/>
          <c:w val="0.94474742609667883"/>
          <c:h val="0.16188919209533759"/>
        </c:manualLayout>
      </c:layout>
      <c:overlay val="0"/>
      <c:spPr>
        <a:ln w="6350">
          <a:solidFill>
            <a:prstClr val="black">
              <a:lumMod val="95000"/>
              <a:lumOff val="5000"/>
            </a:prstClr>
          </a:solidFill>
        </a:ln>
      </c:spPr>
      <c:txPr>
        <a:bodyPr/>
        <a:lstStyle/>
        <a:p>
          <a:pPr>
            <a:defRPr sz="800">
              <a:latin typeface="Arial" pitchFamily="34" charset="0"/>
              <a:cs typeface="Arial" pitchFamily="34" charset="0"/>
            </a:defRPr>
          </a:pPr>
          <a:endParaRPr lang="cs-CZ"/>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9015582501720615E-2"/>
          <c:y val="1.643251153889452E-2"/>
          <c:w val="0.86254083709606399"/>
          <c:h val="0.77409039738827179"/>
        </c:manualLayout>
      </c:layout>
      <c:barChart>
        <c:barDir val="col"/>
        <c:grouping val="clustered"/>
        <c:varyColors val="0"/>
        <c:ser>
          <c:idx val="0"/>
          <c:order val="0"/>
          <c:tx>
            <c:strRef>
              <c:f>'výkonnost odvětví 2'!$A$31</c:f>
              <c:strCache>
                <c:ptCount val="1"/>
                <c:pt idx="0">
                  <c:v>Průmyslové zakázky celkem</c:v>
                </c:pt>
              </c:strCache>
            </c:strRef>
          </c:tx>
          <c:spPr>
            <a:solidFill>
              <a:schemeClr val="bg1">
                <a:lumMod val="65000"/>
              </a:schemeClr>
            </a:solidFill>
            <a:ln w="12700">
              <a:noFill/>
              <a:prstDash val="solid"/>
            </a:ln>
          </c:spPr>
          <c:invertIfNegative val="0"/>
          <c:cat>
            <c:multiLvlStrRef>
              <c:f>'výkonnost odvětví 2'!$B$29:$AK$30</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2011</c:v>
                  </c:pt>
                  <c:pt idx="4">
                    <c:v>2012</c:v>
                  </c:pt>
                  <c:pt idx="8">
                    <c:v>2013</c:v>
                  </c:pt>
                  <c:pt idx="12">
                    <c:v>2014</c:v>
                  </c:pt>
                  <c:pt idx="16">
                    <c:v>2015</c:v>
                  </c:pt>
                  <c:pt idx="20">
                    <c:v>2016</c:v>
                  </c:pt>
                  <c:pt idx="24">
                    <c:v>2017</c:v>
                  </c:pt>
                  <c:pt idx="28">
                    <c:v>2018</c:v>
                  </c:pt>
                  <c:pt idx="32">
                    <c:v>2019</c:v>
                  </c:pt>
                </c:lvl>
              </c:multiLvlStrCache>
            </c:multiLvlStrRef>
          </c:cat>
          <c:val>
            <c:numRef>
              <c:f>'výkonnost odvětví 2'!$B$31:$AK$31</c:f>
              <c:numCache>
                <c:formatCode>#\ ##0.0__</c:formatCode>
                <c:ptCount val="36"/>
                <c:pt idx="0">
                  <c:v>12.043107093421796</c:v>
                </c:pt>
                <c:pt idx="1">
                  <c:v>5.329290402096305</c:v>
                </c:pt>
                <c:pt idx="2">
                  <c:v>-1.5038236293274423</c:v>
                </c:pt>
                <c:pt idx="3">
                  <c:v>0.49985199872995167</c:v>
                </c:pt>
                <c:pt idx="4">
                  <c:v>7.8919882289544319</c:v>
                </c:pt>
                <c:pt idx="5">
                  <c:v>0.24363263911027389</c:v>
                </c:pt>
                <c:pt idx="6">
                  <c:v>2.6780600325356119</c:v>
                </c:pt>
                <c:pt idx="7">
                  <c:v>-2.2927798243121345</c:v>
                </c:pt>
                <c:pt idx="8">
                  <c:v>-6.7566875441004868</c:v>
                </c:pt>
                <c:pt idx="9">
                  <c:v>-0.77743908810788298</c:v>
                </c:pt>
                <c:pt idx="10">
                  <c:v>12.110592029586002</c:v>
                </c:pt>
                <c:pt idx="11">
                  <c:v>12.611542535334834</c:v>
                </c:pt>
                <c:pt idx="12">
                  <c:v>18.454576257258609</c:v>
                </c:pt>
                <c:pt idx="13">
                  <c:v>13.812603337719324</c:v>
                </c:pt>
                <c:pt idx="14">
                  <c:v>11.164927309703884</c:v>
                </c:pt>
                <c:pt idx="15">
                  <c:v>7.3250322249586759</c:v>
                </c:pt>
                <c:pt idx="16">
                  <c:v>8.5397251010390391</c:v>
                </c:pt>
                <c:pt idx="17">
                  <c:v>6.4894834031568251</c:v>
                </c:pt>
                <c:pt idx="18">
                  <c:v>4.1045761314248068</c:v>
                </c:pt>
                <c:pt idx="19">
                  <c:v>6.0151063810169205</c:v>
                </c:pt>
                <c:pt idx="20">
                  <c:v>1.3550678522953064</c:v>
                </c:pt>
                <c:pt idx="21">
                  <c:v>10.856046878525433</c:v>
                </c:pt>
                <c:pt idx="22">
                  <c:v>1.6431282237439291</c:v>
                </c:pt>
                <c:pt idx="23">
                  <c:v>6.7220844736941103</c:v>
                </c:pt>
                <c:pt idx="24">
                  <c:v>10.841479121555906</c:v>
                </c:pt>
                <c:pt idx="25">
                  <c:v>4.5315942367003714</c:v>
                </c:pt>
                <c:pt idx="26">
                  <c:v>6.9082617878945598</c:v>
                </c:pt>
                <c:pt idx="27">
                  <c:v>7.5112613571588724</c:v>
                </c:pt>
                <c:pt idx="28">
                  <c:v>1.6339188767607453</c:v>
                </c:pt>
                <c:pt idx="29">
                  <c:v>4.6301209797549205</c:v>
                </c:pt>
                <c:pt idx="30">
                  <c:v>3.6945404784506337</c:v>
                </c:pt>
                <c:pt idx="31">
                  <c:v>4.2467023509658759</c:v>
                </c:pt>
                <c:pt idx="32">
                  <c:v>3.1606188967111279</c:v>
                </c:pt>
                <c:pt idx="33">
                  <c:v>0.64751028624945661</c:v>
                </c:pt>
                <c:pt idx="34">
                  <c:v>2.3396237152190054</c:v>
                </c:pt>
                <c:pt idx="35">
                  <c:v>-4.7962630249682121</c:v>
                </c:pt>
              </c:numCache>
            </c:numRef>
          </c:val>
          <c:extLst>
            <c:ext xmlns:c16="http://schemas.microsoft.com/office/drawing/2014/chart" uri="{C3380CC4-5D6E-409C-BE32-E72D297353CC}">
              <c16:uniqueId val="{00000000-CF69-48A9-8BAF-40D335E280DD}"/>
            </c:ext>
          </c:extLst>
        </c:ser>
        <c:dLbls>
          <c:showLegendKey val="0"/>
          <c:showVal val="0"/>
          <c:showCatName val="0"/>
          <c:showSerName val="0"/>
          <c:showPercent val="0"/>
          <c:showBubbleSize val="0"/>
        </c:dLbls>
        <c:gapWidth val="34"/>
        <c:overlap val="28"/>
        <c:axId val="139174272"/>
        <c:axId val="139175808"/>
      </c:barChart>
      <c:lineChart>
        <c:grouping val="standard"/>
        <c:varyColors val="0"/>
        <c:ser>
          <c:idx val="2"/>
          <c:order val="1"/>
          <c:tx>
            <c:strRef>
              <c:f>'výkonnost odvětví 2'!$A$32</c:f>
              <c:strCache>
                <c:ptCount val="1"/>
                <c:pt idx="0">
                  <c:v>Průmyslové zakázky z tuzemska</c:v>
                </c:pt>
              </c:strCache>
            </c:strRef>
          </c:tx>
          <c:spPr>
            <a:ln w="15875">
              <a:solidFill>
                <a:srgbClr val="BD1B21"/>
              </a:solidFill>
              <a:prstDash val="solid"/>
            </a:ln>
          </c:spPr>
          <c:marker>
            <c:symbol val="none"/>
          </c:marker>
          <c:cat>
            <c:multiLvlStrRef>
              <c:f>'výkonnost odvětví 2'!$B$29:$AK$30</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2011</c:v>
                  </c:pt>
                  <c:pt idx="4">
                    <c:v>2012</c:v>
                  </c:pt>
                  <c:pt idx="8">
                    <c:v>2013</c:v>
                  </c:pt>
                  <c:pt idx="12">
                    <c:v>2014</c:v>
                  </c:pt>
                  <c:pt idx="16">
                    <c:v>2015</c:v>
                  </c:pt>
                  <c:pt idx="20">
                    <c:v>2016</c:v>
                  </c:pt>
                  <c:pt idx="24">
                    <c:v>2017</c:v>
                  </c:pt>
                  <c:pt idx="28">
                    <c:v>2018</c:v>
                  </c:pt>
                  <c:pt idx="32">
                    <c:v>2019</c:v>
                  </c:pt>
                </c:lvl>
              </c:multiLvlStrCache>
            </c:multiLvlStrRef>
          </c:cat>
          <c:val>
            <c:numRef>
              <c:f>'výkonnost odvětví 2'!$B$32:$AK$32</c:f>
              <c:numCache>
                <c:formatCode>#\ ##0.0__</c:formatCode>
                <c:ptCount val="36"/>
                <c:pt idx="0">
                  <c:v>2.8145814762462464</c:v>
                </c:pt>
                <c:pt idx="1">
                  <c:v>-0.65160361804250044</c:v>
                </c:pt>
                <c:pt idx="2">
                  <c:v>-11.671782921579478</c:v>
                </c:pt>
                <c:pt idx="3">
                  <c:v>-10.696553890943122</c:v>
                </c:pt>
                <c:pt idx="4">
                  <c:v>2.6214056871317126</c:v>
                </c:pt>
                <c:pt idx="5">
                  <c:v>-9.2467743432498821</c:v>
                </c:pt>
                <c:pt idx="6">
                  <c:v>-2.8571545096936291</c:v>
                </c:pt>
                <c:pt idx="7">
                  <c:v>-4.0487324448534139</c:v>
                </c:pt>
                <c:pt idx="8">
                  <c:v>-7.112663177047466</c:v>
                </c:pt>
                <c:pt idx="9">
                  <c:v>-0.59561460542927591</c:v>
                </c:pt>
                <c:pt idx="10">
                  <c:v>9.3847374388735147</c:v>
                </c:pt>
                <c:pt idx="11">
                  <c:v>7.0782158358476011</c:v>
                </c:pt>
                <c:pt idx="12">
                  <c:v>14.18383964594139</c:v>
                </c:pt>
                <c:pt idx="13">
                  <c:v>7.7929541685002164</c:v>
                </c:pt>
                <c:pt idx="14">
                  <c:v>16.845115352064937</c:v>
                </c:pt>
                <c:pt idx="15">
                  <c:v>9.6787104542652713</c:v>
                </c:pt>
                <c:pt idx="16">
                  <c:v>4.341961301010727</c:v>
                </c:pt>
                <c:pt idx="17">
                  <c:v>10.024449168168019</c:v>
                </c:pt>
                <c:pt idx="18">
                  <c:v>-4.7604240586837108</c:v>
                </c:pt>
                <c:pt idx="19">
                  <c:v>0.56107209694786775</c:v>
                </c:pt>
                <c:pt idx="20">
                  <c:v>0.20304376106223287</c:v>
                </c:pt>
                <c:pt idx="21">
                  <c:v>4.9376200007964286</c:v>
                </c:pt>
                <c:pt idx="22">
                  <c:v>-0.65834656713856532</c:v>
                </c:pt>
                <c:pt idx="23">
                  <c:v>2.873089889380708</c:v>
                </c:pt>
                <c:pt idx="24">
                  <c:v>16.722989365311648</c:v>
                </c:pt>
                <c:pt idx="25">
                  <c:v>11.567742610098009</c:v>
                </c:pt>
                <c:pt idx="26">
                  <c:v>14.702871802754672</c:v>
                </c:pt>
                <c:pt idx="27">
                  <c:v>15.641374658030259</c:v>
                </c:pt>
                <c:pt idx="28">
                  <c:v>-0.54655499165191657</c:v>
                </c:pt>
                <c:pt idx="29">
                  <c:v>3.3862320433243838</c:v>
                </c:pt>
                <c:pt idx="30">
                  <c:v>4.5707977831681177</c:v>
                </c:pt>
                <c:pt idx="31">
                  <c:v>4.8009732818449038</c:v>
                </c:pt>
                <c:pt idx="32">
                  <c:v>7.9996499678025543</c:v>
                </c:pt>
                <c:pt idx="33">
                  <c:v>4.4032972138640076</c:v>
                </c:pt>
                <c:pt idx="34">
                  <c:v>3.2463544454288211</c:v>
                </c:pt>
                <c:pt idx="35">
                  <c:v>-2.8341252038860461</c:v>
                </c:pt>
              </c:numCache>
            </c:numRef>
          </c:val>
          <c:smooth val="0"/>
          <c:extLst>
            <c:ext xmlns:c16="http://schemas.microsoft.com/office/drawing/2014/chart" uri="{C3380CC4-5D6E-409C-BE32-E72D297353CC}">
              <c16:uniqueId val="{00000001-CF69-48A9-8BAF-40D335E280DD}"/>
            </c:ext>
          </c:extLst>
        </c:ser>
        <c:ser>
          <c:idx val="5"/>
          <c:order val="2"/>
          <c:tx>
            <c:strRef>
              <c:f>'výkonnost odvětví 2'!$A$33</c:f>
              <c:strCache>
                <c:ptCount val="1"/>
                <c:pt idx="0">
                  <c:v>Celk. zakázky ve výrobě motor. voz.</c:v>
                </c:pt>
              </c:strCache>
            </c:strRef>
          </c:tx>
          <c:spPr>
            <a:ln w="15875">
              <a:solidFill>
                <a:srgbClr val="0071BC"/>
              </a:solidFill>
              <a:prstDash val="solid"/>
            </a:ln>
          </c:spPr>
          <c:marker>
            <c:symbol val="none"/>
          </c:marker>
          <c:cat>
            <c:multiLvlStrRef>
              <c:f>'výkonnost odvětví 2'!$B$29:$AK$30</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2011</c:v>
                  </c:pt>
                  <c:pt idx="4">
                    <c:v>2012</c:v>
                  </c:pt>
                  <c:pt idx="8">
                    <c:v>2013</c:v>
                  </c:pt>
                  <c:pt idx="12">
                    <c:v>2014</c:v>
                  </c:pt>
                  <c:pt idx="16">
                    <c:v>2015</c:v>
                  </c:pt>
                  <c:pt idx="20">
                    <c:v>2016</c:v>
                  </c:pt>
                  <c:pt idx="24">
                    <c:v>2017</c:v>
                  </c:pt>
                  <c:pt idx="28">
                    <c:v>2018</c:v>
                  </c:pt>
                  <c:pt idx="32">
                    <c:v>2019</c:v>
                  </c:pt>
                </c:lvl>
              </c:multiLvlStrCache>
            </c:multiLvlStrRef>
          </c:cat>
          <c:val>
            <c:numRef>
              <c:f>'výkonnost odvětví 2'!$B$33:$AK$33</c:f>
              <c:numCache>
                <c:formatCode>#\ ##0.0__</c:formatCode>
                <c:ptCount val="36"/>
                <c:pt idx="0">
                  <c:v>11.429400379513879</c:v>
                </c:pt>
                <c:pt idx="1">
                  <c:v>9.2048286805521258</c:v>
                </c:pt>
                <c:pt idx="2">
                  <c:v>4.4139955552265207</c:v>
                </c:pt>
                <c:pt idx="3">
                  <c:v>5.3718735076924133</c:v>
                </c:pt>
                <c:pt idx="4">
                  <c:v>19.54636851917148</c:v>
                </c:pt>
                <c:pt idx="5">
                  <c:v>4.6887564118292033</c:v>
                </c:pt>
                <c:pt idx="6">
                  <c:v>1.3322326875189248</c:v>
                </c:pt>
                <c:pt idx="7">
                  <c:v>-2.0219087809167178</c:v>
                </c:pt>
                <c:pt idx="8">
                  <c:v>-15.423726227988496</c:v>
                </c:pt>
                <c:pt idx="9">
                  <c:v>-3.0233686336023169</c:v>
                </c:pt>
                <c:pt idx="10">
                  <c:v>24.654149056071944</c:v>
                </c:pt>
                <c:pt idx="11">
                  <c:v>18.470996489023392</c:v>
                </c:pt>
                <c:pt idx="12">
                  <c:v>33.791068906341536</c:v>
                </c:pt>
                <c:pt idx="13">
                  <c:v>22.39294364855138</c:v>
                </c:pt>
                <c:pt idx="14">
                  <c:v>16.969041222835131</c:v>
                </c:pt>
                <c:pt idx="15">
                  <c:v>12.211301534151133</c:v>
                </c:pt>
                <c:pt idx="16">
                  <c:v>15.316352438277931</c:v>
                </c:pt>
                <c:pt idx="17">
                  <c:v>5.584343456517459</c:v>
                </c:pt>
                <c:pt idx="18">
                  <c:v>13.898535777390734</c:v>
                </c:pt>
                <c:pt idx="19">
                  <c:v>18.975191723154538</c:v>
                </c:pt>
                <c:pt idx="20">
                  <c:v>11.460497347422447</c:v>
                </c:pt>
                <c:pt idx="21">
                  <c:v>33.085131031292235</c:v>
                </c:pt>
                <c:pt idx="22">
                  <c:v>5.912380139380474</c:v>
                </c:pt>
                <c:pt idx="23">
                  <c:v>12.001000805244416</c:v>
                </c:pt>
                <c:pt idx="24">
                  <c:v>7.9804719471503205</c:v>
                </c:pt>
                <c:pt idx="25">
                  <c:v>-1.7592612473364966</c:v>
                </c:pt>
                <c:pt idx="26">
                  <c:v>3.8626497182263222</c:v>
                </c:pt>
                <c:pt idx="27">
                  <c:v>0.37376710568412364</c:v>
                </c:pt>
                <c:pt idx="28">
                  <c:v>0.60861960894675349</c:v>
                </c:pt>
                <c:pt idx="29">
                  <c:v>3.6675371997157811</c:v>
                </c:pt>
                <c:pt idx="30">
                  <c:v>0.69699979014031044</c:v>
                </c:pt>
                <c:pt idx="31">
                  <c:v>1.0371076901644045</c:v>
                </c:pt>
                <c:pt idx="32">
                  <c:v>2.2598665379256744</c:v>
                </c:pt>
                <c:pt idx="33">
                  <c:v>3.066295979760298</c:v>
                </c:pt>
                <c:pt idx="34">
                  <c:v>7.9385289601149083</c:v>
                </c:pt>
                <c:pt idx="35">
                  <c:v>-0.36114579497152022</c:v>
                </c:pt>
              </c:numCache>
            </c:numRef>
          </c:val>
          <c:smooth val="0"/>
          <c:extLst>
            <c:ext xmlns:c16="http://schemas.microsoft.com/office/drawing/2014/chart" uri="{C3380CC4-5D6E-409C-BE32-E72D297353CC}">
              <c16:uniqueId val="{00000002-CF69-48A9-8BAF-40D335E280DD}"/>
            </c:ext>
          </c:extLst>
        </c:ser>
        <c:ser>
          <c:idx val="3"/>
          <c:order val="3"/>
          <c:tx>
            <c:strRef>
              <c:f>'výkonnost odvětví 2'!$A$34</c:f>
              <c:strCache>
                <c:ptCount val="1"/>
                <c:pt idx="0">
                  <c:v>Saldo souhrn. indik. důvěry v průmyslu</c:v>
                </c:pt>
              </c:strCache>
            </c:strRef>
          </c:tx>
          <c:spPr>
            <a:ln w="19050">
              <a:noFill/>
              <a:prstDash val="sysDash"/>
            </a:ln>
          </c:spPr>
          <c:marker>
            <c:symbol val="diamond"/>
            <c:size val="5"/>
            <c:spPr>
              <a:solidFill>
                <a:srgbClr val="FFFF00"/>
              </a:solidFill>
              <a:ln>
                <a:solidFill>
                  <a:prstClr val="black">
                    <a:lumMod val="95000"/>
                    <a:lumOff val="5000"/>
                  </a:prstClr>
                </a:solidFill>
              </a:ln>
            </c:spPr>
          </c:marker>
          <c:cat>
            <c:multiLvlStrRef>
              <c:f>'výkonnost odvětví 2'!$B$29:$AK$30</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2011</c:v>
                  </c:pt>
                  <c:pt idx="4">
                    <c:v>2012</c:v>
                  </c:pt>
                  <c:pt idx="8">
                    <c:v>2013</c:v>
                  </c:pt>
                  <c:pt idx="12">
                    <c:v>2014</c:v>
                  </c:pt>
                  <c:pt idx="16">
                    <c:v>2015</c:v>
                  </c:pt>
                  <c:pt idx="20">
                    <c:v>2016</c:v>
                  </c:pt>
                  <c:pt idx="24">
                    <c:v>2017</c:v>
                  </c:pt>
                  <c:pt idx="28">
                    <c:v>2018</c:v>
                  </c:pt>
                  <c:pt idx="32">
                    <c:v>2019</c:v>
                  </c:pt>
                </c:lvl>
              </c:multiLvlStrCache>
            </c:multiLvlStrRef>
          </c:cat>
          <c:val>
            <c:numRef>
              <c:f>'výkonnost odvětví 2'!$B$34:$AK$34</c:f>
              <c:numCache>
                <c:formatCode>0.0</c:formatCode>
                <c:ptCount val="36"/>
                <c:pt idx="0">
                  <c:v>12.200000000000001</c:v>
                </c:pt>
                <c:pt idx="1">
                  <c:v>5.8999999999999995</c:v>
                </c:pt>
                <c:pt idx="2">
                  <c:v>2.4333333333333331</c:v>
                </c:pt>
                <c:pt idx="3">
                  <c:v>1.8</c:v>
                </c:pt>
                <c:pt idx="4">
                  <c:v>1.5666666666666667</c:v>
                </c:pt>
                <c:pt idx="5">
                  <c:v>-2.5666666666666669</c:v>
                </c:pt>
                <c:pt idx="6">
                  <c:v>-8.9</c:v>
                </c:pt>
                <c:pt idx="7">
                  <c:v>-10.200000000000001</c:v>
                </c:pt>
                <c:pt idx="8">
                  <c:v>-8.9</c:v>
                </c:pt>
                <c:pt idx="9">
                  <c:v>-10</c:v>
                </c:pt>
                <c:pt idx="10">
                  <c:v>-6.2333333333333334</c:v>
                </c:pt>
                <c:pt idx="11">
                  <c:v>1.7000000000000002</c:v>
                </c:pt>
                <c:pt idx="12">
                  <c:v>2.3333333333333335</c:v>
                </c:pt>
                <c:pt idx="13">
                  <c:v>3.6333333333333329</c:v>
                </c:pt>
                <c:pt idx="14">
                  <c:v>2.5333333333333332</c:v>
                </c:pt>
                <c:pt idx="15">
                  <c:v>2.6666666666666665</c:v>
                </c:pt>
                <c:pt idx="16">
                  <c:v>3</c:v>
                </c:pt>
                <c:pt idx="17">
                  <c:v>3.7666666666666671</c:v>
                </c:pt>
                <c:pt idx="18">
                  <c:v>3.7666666666666671</c:v>
                </c:pt>
                <c:pt idx="19">
                  <c:v>0.76666666666666661</c:v>
                </c:pt>
                <c:pt idx="20">
                  <c:v>3.5666666666666664</c:v>
                </c:pt>
                <c:pt idx="21">
                  <c:v>1.9000000000000001</c:v>
                </c:pt>
                <c:pt idx="22">
                  <c:v>3.7666666666666671</c:v>
                </c:pt>
                <c:pt idx="23">
                  <c:v>5.333333333333333</c:v>
                </c:pt>
                <c:pt idx="24">
                  <c:v>3.3333333333333335</c:v>
                </c:pt>
                <c:pt idx="25">
                  <c:v>0.83333333333333337</c:v>
                </c:pt>
                <c:pt idx="26">
                  <c:v>3.8666666666666667</c:v>
                </c:pt>
                <c:pt idx="27">
                  <c:v>5.8</c:v>
                </c:pt>
                <c:pt idx="28">
                  <c:v>3.9</c:v>
                </c:pt>
                <c:pt idx="29">
                  <c:v>3.4333333333333336</c:v>
                </c:pt>
                <c:pt idx="30">
                  <c:v>1.9666666666666666</c:v>
                </c:pt>
                <c:pt idx="31">
                  <c:v>1.8666666666666665</c:v>
                </c:pt>
                <c:pt idx="32">
                  <c:v>-0.33333333333333331</c:v>
                </c:pt>
                <c:pt idx="33">
                  <c:v>-1.5666666666666667</c:v>
                </c:pt>
                <c:pt idx="34">
                  <c:v>-3</c:v>
                </c:pt>
                <c:pt idx="35">
                  <c:v>-5.8</c:v>
                </c:pt>
              </c:numCache>
            </c:numRef>
          </c:val>
          <c:smooth val="0"/>
          <c:extLst>
            <c:ext xmlns:c16="http://schemas.microsoft.com/office/drawing/2014/chart" uri="{C3380CC4-5D6E-409C-BE32-E72D297353CC}">
              <c16:uniqueId val="{00000003-CF69-48A9-8BAF-40D335E280DD}"/>
            </c:ext>
          </c:extLst>
        </c:ser>
        <c:dLbls>
          <c:showLegendKey val="0"/>
          <c:showVal val="0"/>
          <c:showCatName val="0"/>
          <c:showSerName val="0"/>
          <c:showPercent val="0"/>
          <c:showBubbleSize val="0"/>
        </c:dLbls>
        <c:marker val="1"/>
        <c:smooth val="0"/>
        <c:axId val="139174272"/>
        <c:axId val="139175808"/>
      </c:lineChart>
      <c:lineChart>
        <c:grouping val="standard"/>
        <c:varyColors val="0"/>
        <c:ser>
          <c:idx val="1"/>
          <c:order val="4"/>
          <c:tx>
            <c:strRef>
              <c:f>'výkonnost odvětví 2'!$A$35</c:f>
              <c:strCache>
                <c:ptCount val="1"/>
                <c:pt idx="0">
                  <c:v>Využití výrob. kapacit v prům. (pr. osa)</c:v>
                </c:pt>
              </c:strCache>
            </c:strRef>
          </c:tx>
          <c:spPr>
            <a:ln w="15875">
              <a:solidFill>
                <a:srgbClr val="00B050"/>
              </a:solidFill>
              <a:prstDash val="solid"/>
            </a:ln>
          </c:spPr>
          <c:marker>
            <c:symbol val="none"/>
          </c:marker>
          <c:cat>
            <c:multiLvlStrRef>
              <c:f>'výkonnost odvětví 2'!$B$29:$AK$30</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2011</c:v>
                  </c:pt>
                  <c:pt idx="4">
                    <c:v>2012</c:v>
                  </c:pt>
                  <c:pt idx="8">
                    <c:v>2013</c:v>
                  </c:pt>
                  <c:pt idx="12">
                    <c:v>2014</c:v>
                  </c:pt>
                  <c:pt idx="16">
                    <c:v>2015</c:v>
                  </c:pt>
                  <c:pt idx="20">
                    <c:v>2016</c:v>
                  </c:pt>
                  <c:pt idx="24">
                    <c:v>2017</c:v>
                  </c:pt>
                  <c:pt idx="28">
                    <c:v>2018</c:v>
                  </c:pt>
                  <c:pt idx="32">
                    <c:v>2019</c:v>
                  </c:pt>
                </c:lvl>
              </c:multiLvlStrCache>
            </c:multiLvlStrRef>
          </c:cat>
          <c:val>
            <c:numRef>
              <c:f>'výkonnost odvětví 2'!$B$35:$AK$35</c:f>
              <c:numCache>
                <c:formatCode>#\ ##0.0</c:formatCode>
                <c:ptCount val="36"/>
                <c:pt idx="0">
                  <c:v>83.7</c:v>
                </c:pt>
                <c:pt idx="1">
                  <c:v>85.5</c:v>
                </c:pt>
                <c:pt idx="2">
                  <c:v>84.7</c:v>
                </c:pt>
                <c:pt idx="3">
                  <c:v>82.8</c:v>
                </c:pt>
                <c:pt idx="4">
                  <c:v>84.6</c:v>
                </c:pt>
                <c:pt idx="5">
                  <c:v>83.6</c:v>
                </c:pt>
                <c:pt idx="6">
                  <c:v>81.2</c:v>
                </c:pt>
                <c:pt idx="7">
                  <c:v>81.2</c:v>
                </c:pt>
                <c:pt idx="8">
                  <c:v>80.900000000000006</c:v>
                </c:pt>
                <c:pt idx="9">
                  <c:v>82.2</c:v>
                </c:pt>
                <c:pt idx="10">
                  <c:v>80.7</c:v>
                </c:pt>
                <c:pt idx="11">
                  <c:v>82.2</c:v>
                </c:pt>
                <c:pt idx="12">
                  <c:v>81.2</c:v>
                </c:pt>
                <c:pt idx="13">
                  <c:v>83.5</c:v>
                </c:pt>
                <c:pt idx="14">
                  <c:v>82.8</c:v>
                </c:pt>
                <c:pt idx="15">
                  <c:v>84.4</c:v>
                </c:pt>
                <c:pt idx="16">
                  <c:v>86.2</c:v>
                </c:pt>
                <c:pt idx="17">
                  <c:v>85</c:v>
                </c:pt>
                <c:pt idx="18">
                  <c:v>85.6</c:v>
                </c:pt>
                <c:pt idx="19">
                  <c:v>83.9</c:v>
                </c:pt>
                <c:pt idx="20">
                  <c:v>84.5</c:v>
                </c:pt>
                <c:pt idx="21">
                  <c:v>84.7</c:v>
                </c:pt>
                <c:pt idx="22">
                  <c:v>84.7</c:v>
                </c:pt>
                <c:pt idx="23">
                  <c:v>84.1</c:v>
                </c:pt>
                <c:pt idx="24">
                  <c:v>84.9</c:v>
                </c:pt>
                <c:pt idx="25">
                  <c:v>83.1</c:v>
                </c:pt>
                <c:pt idx="26">
                  <c:v>84.4</c:v>
                </c:pt>
                <c:pt idx="27">
                  <c:v>84.3</c:v>
                </c:pt>
                <c:pt idx="28">
                  <c:v>85.8</c:v>
                </c:pt>
                <c:pt idx="29">
                  <c:v>85.4</c:v>
                </c:pt>
                <c:pt idx="30">
                  <c:v>86.2</c:v>
                </c:pt>
                <c:pt idx="31">
                  <c:v>85.8</c:v>
                </c:pt>
                <c:pt idx="32">
                  <c:v>85.8</c:v>
                </c:pt>
                <c:pt idx="33">
                  <c:v>85.9</c:v>
                </c:pt>
                <c:pt idx="34">
                  <c:v>84.8</c:v>
                </c:pt>
                <c:pt idx="35">
                  <c:v>84.1</c:v>
                </c:pt>
              </c:numCache>
            </c:numRef>
          </c:val>
          <c:smooth val="0"/>
          <c:extLst>
            <c:ext xmlns:c16="http://schemas.microsoft.com/office/drawing/2014/chart" uri="{C3380CC4-5D6E-409C-BE32-E72D297353CC}">
              <c16:uniqueId val="{00000004-CF69-48A9-8BAF-40D335E280DD}"/>
            </c:ext>
          </c:extLst>
        </c:ser>
        <c:ser>
          <c:idx val="4"/>
          <c:order val="5"/>
          <c:tx>
            <c:strRef>
              <c:f>'výkonnost odvětví 2'!$A$36</c:f>
              <c:strCache>
                <c:ptCount val="1"/>
                <c:pt idx="0">
                  <c:v>Využití kapac. v automobil. pr. (pr. osa)</c:v>
                </c:pt>
              </c:strCache>
            </c:strRef>
          </c:tx>
          <c:spPr>
            <a:ln w="15875">
              <a:solidFill>
                <a:srgbClr val="00B050"/>
              </a:solidFill>
              <a:prstDash val="sysDash"/>
            </a:ln>
          </c:spPr>
          <c:marker>
            <c:symbol val="none"/>
          </c:marker>
          <c:cat>
            <c:multiLvlStrRef>
              <c:f>'výkonnost odvětví 2'!$B$29:$AK$30</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2011</c:v>
                  </c:pt>
                  <c:pt idx="4">
                    <c:v>2012</c:v>
                  </c:pt>
                  <c:pt idx="8">
                    <c:v>2013</c:v>
                  </c:pt>
                  <c:pt idx="12">
                    <c:v>2014</c:v>
                  </c:pt>
                  <c:pt idx="16">
                    <c:v>2015</c:v>
                  </c:pt>
                  <c:pt idx="20">
                    <c:v>2016</c:v>
                  </c:pt>
                  <c:pt idx="24">
                    <c:v>2017</c:v>
                  </c:pt>
                  <c:pt idx="28">
                    <c:v>2018</c:v>
                  </c:pt>
                  <c:pt idx="32">
                    <c:v>2019</c:v>
                  </c:pt>
                </c:lvl>
              </c:multiLvlStrCache>
            </c:multiLvlStrRef>
          </c:cat>
          <c:val>
            <c:numRef>
              <c:f>'výkonnost odvětví 2'!$B$36:$AK$36</c:f>
              <c:numCache>
                <c:formatCode>0.0</c:formatCode>
                <c:ptCount val="36"/>
                <c:pt idx="0">
                  <c:v>92.5</c:v>
                </c:pt>
                <c:pt idx="1">
                  <c:v>92.3</c:v>
                </c:pt>
                <c:pt idx="2">
                  <c:v>92.4</c:v>
                </c:pt>
                <c:pt idx="3">
                  <c:v>91.8</c:v>
                </c:pt>
                <c:pt idx="4">
                  <c:v>92.3</c:v>
                </c:pt>
                <c:pt idx="5">
                  <c:v>89.5</c:v>
                </c:pt>
                <c:pt idx="6">
                  <c:v>85.9</c:v>
                </c:pt>
                <c:pt idx="7">
                  <c:v>86.1</c:v>
                </c:pt>
                <c:pt idx="8">
                  <c:v>86.4</c:v>
                </c:pt>
                <c:pt idx="9">
                  <c:v>89.9</c:v>
                </c:pt>
                <c:pt idx="10">
                  <c:v>80.2</c:v>
                </c:pt>
                <c:pt idx="11">
                  <c:v>84.8</c:v>
                </c:pt>
                <c:pt idx="12">
                  <c:v>78.900000000000006</c:v>
                </c:pt>
                <c:pt idx="13">
                  <c:v>85</c:v>
                </c:pt>
                <c:pt idx="14">
                  <c:v>87.1</c:v>
                </c:pt>
                <c:pt idx="15">
                  <c:v>89.2</c:v>
                </c:pt>
                <c:pt idx="16">
                  <c:v>92.8</c:v>
                </c:pt>
                <c:pt idx="17">
                  <c:v>91.1</c:v>
                </c:pt>
                <c:pt idx="18">
                  <c:v>93.1</c:v>
                </c:pt>
                <c:pt idx="19">
                  <c:v>88.7</c:v>
                </c:pt>
                <c:pt idx="20">
                  <c:v>91.6</c:v>
                </c:pt>
                <c:pt idx="21">
                  <c:v>90.3</c:v>
                </c:pt>
                <c:pt idx="22">
                  <c:v>93.1</c:v>
                </c:pt>
                <c:pt idx="23">
                  <c:v>90.9</c:v>
                </c:pt>
                <c:pt idx="24">
                  <c:v>93.2</c:v>
                </c:pt>
                <c:pt idx="25">
                  <c:v>87.3</c:v>
                </c:pt>
                <c:pt idx="26">
                  <c:v>90.7</c:v>
                </c:pt>
                <c:pt idx="27">
                  <c:v>90.5</c:v>
                </c:pt>
                <c:pt idx="28">
                  <c:v>91.1</c:v>
                </c:pt>
                <c:pt idx="29">
                  <c:v>91.6</c:v>
                </c:pt>
                <c:pt idx="30">
                  <c:v>92.1</c:v>
                </c:pt>
                <c:pt idx="31">
                  <c:v>93</c:v>
                </c:pt>
                <c:pt idx="32">
                  <c:v>92.8</c:v>
                </c:pt>
                <c:pt idx="33">
                  <c:v>93.6</c:v>
                </c:pt>
                <c:pt idx="34">
                  <c:v>92.3</c:v>
                </c:pt>
                <c:pt idx="35">
                  <c:v>93.4</c:v>
                </c:pt>
              </c:numCache>
            </c:numRef>
          </c:val>
          <c:smooth val="0"/>
          <c:extLst>
            <c:ext xmlns:c16="http://schemas.microsoft.com/office/drawing/2014/chart" uri="{C3380CC4-5D6E-409C-BE32-E72D297353CC}">
              <c16:uniqueId val="{00000005-CF69-48A9-8BAF-40D335E280DD}"/>
            </c:ext>
          </c:extLst>
        </c:ser>
        <c:dLbls>
          <c:showLegendKey val="0"/>
          <c:showVal val="0"/>
          <c:showCatName val="0"/>
          <c:showSerName val="0"/>
          <c:showPercent val="0"/>
          <c:showBubbleSize val="0"/>
        </c:dLbls>
        <c:marker val="1"/>
        <c:smooth val="0"/>
        <c:axId val="146478208"/>
        <c:axId val="139177344"/>
      </c:lineChart>
      <c:catAx>
        <c:axId val="139174272"/>
        <c:scaling>
          <c:orientation val="minMax"/>
        </c:scaling>
        <c:delete val="0"/>
        <c:axPos val="b"/>
        <c:numFmt formatCode="General" sourceLinked="1"/>
        <c:majorTickMark val="out"/>
        <c:minorTickMark val="none"/>
        <c:tickLblPos val="low"/>
        <c:spPr>
          <a:ln w="9525">
            <a:solidFill>
              <a:schemeClr val="tx1"/>
            </a:solidFill>
            <a:prstDash val="solid"/>
          </a:ln>
        </c:spPr>
        <c:txPr>
          <a:bodyPr rot="0" vert="horz"/>
          <a:lstStyle/>
          <a:p>
            <a:pPr>
              <a:defRPr/>
            </a:pPr>
            <a:endParaRPr lang="cs-CZ"/>
          </a:p>
        </c:txPr>
        <c:crossAx val="139175808"/>
        <c:crossesAt val="0"/>
        <c:auto val="0"/>
        <c:lblAlgn val="ctr"/>
        <c:lblOffset val="0"/>
        <c:tickLblSkip val="1"/>
        <c:tickMarkSkip val="4"/>
        <c:noMultiLvlLbl val="0"/>
      </c:catAx>
      <c:valAx>
        <c:axId val="139175808"/>
        <c:scaling>
          <c:orientation val="minMax"/>
          <c:max val="36"/>
          <c:min val="-16"/>
        </c:scaling>
        <c:delete val="0"/>
        <c:axPos val="l"/>
        <c:majorGridlines>
          <c:spPr>
            <a:ln w="6350">
              <a:solidFill>
                <a:schemeClr val="bg1">
                  <a:lumMod val="75000"/>
                </a:schemeClr>
              </a:solidFill>
            </a:ln>
          </c:spPr>
        </c:majorGridlines>
        <c:title>
          <c:tx>
            <c:rich>
              <a:bodyPr/>
              <a:lstStyle/>
              <a:p>
                <a:pPr>
                  <a:defRPr sz="700" i="1"/>
                </a:pPr>
                <a:r>
                  <a:rPr lang="cs-CZ" sz="700" i="1"/>
                  <a:t>Zakázky,</a:t>
                </a:r>
                <a:r>
                  <a:rPr lang="cs-CZ" sz="700" i="1" baseline="0"/>
                  <a:t> Saldo důvěry</a:t>
                </a:r>
                <a:endParaRPr lang="cs-CZ" sz="700" i="1"/>
              </a:p>
            </c:rich>
          </c:tx>
          <c:overlay val="0"/>
        </c:title>
        <c:numFmt formatCode="0" sourceLinked="0"/>
        <c:majorTickMark val="out"/>
        <c:minorTickMark val="none"/>
        <c:tickLblPos val="nextTo"/>
        <c:spPr>
          <a:ln w="9525">
            <a:solidFill>
              <a:schemeClr val="tx1"/>
            </a:solidFill>
            <a:prstDash val="solid"/>
          </a:ln>
        </c:spPr>
        <c:txPr>
          <a:bodyPr rot="0" vert="horz"/>
          <a:lstStyle/>
          <a:p>
            <a:pPr>
              <a:defRPr/>
            </a:pPr>
            <a:endParaRPr lang="cs-CZ"/>
          </a:p>
        </c:txPr>
        <c:crossAx val="139174272"/>
        <c:crosses val="autoZero"/>
        <c:crossBetween val="between"/>
        <c:majorUnit val="4"/>
      </c:valAx>
      <c:valAx>
        <c:axId val="139177344"/>
        <c:scaling>
          <c:orientation val="minMax"/>
          <c:max val="100"/>
          <c:min val="0"/>
        </c:scaling>
        <c:delete val="0"/>
        <c:axPos val="r"/>
        <c:title>
          <c:tx>
            <c:rich>
              <a:bodyPr/>
              <a:lstStyle/>
              <a:p>
                <a:pPr>
                  <a:defRPr sz="700" b="0" i="1"/>
                </a:pPr>
                <a:r>
                  <a:rPr lang="cs-CZ" sz="700" b="0" i="1"/>
                  <a:t>Využití výrobních kapacit</a:t>
                </a:r>
              </a:p>
            </c:rich>
          </c:tx>
          <c:overlay val="0"/>
        </c:title>
        <c:numFmt formatCode="0" sourceLinked="0"/>
        <c:majorTickMark val="out"/>
        <c:minorTickMark val="none"/>
        <c:tickLblPos val="nextTo"/>
        <c:crossAx val="146478208"/>
        <c:crosses val="max"/>
        <c:crossBetween val="between"/>
      </c:valAx>
      <c:catAx>
        <c:axId val="146478208"/>
        <c:scaling>
          <c:orientation val="minMax"/>
        </c:scaling>
        <c:delete val="1"/>
        <c:axPos val="b"/>
        <c:numFmt formatCode="General" sourceLinked="1"/>
        <c:majorTickMark val="out"/>
        <c:minorTickMark val="none"/>
        <c:tickLblPos val="none"/>
        <c:crossAx val="139177344"/>
        <c:crosses val="autoZero"/>
        <c:auto val="1"/>
        <c:lblAlgn val="ctr"/>
        <c:lblOffset val="100"/>
        <c:noMultiLvlLbl val="0"/>
      </c:catAx>
      <c:spPr>
        <a:solidFill>
          <a:srgbClr val="FFFFFF"/>
        </a:solidFill>
        <a:ln w="9525">
          <a:solidFill>
            <a:schemeClr val="tx1"/>
          </a:solidFill>
        </a:ln>
      </c:spPr>
    </c:plotArea>
    <c:legend>
      <c:legendPos val="b"/>
      <c:layout>
        <c:manualLayout>
          <c:xMode val="edge"/>
          <c:yMode val="edge"/>
          <c:x val="3.2213918312822103E-2"/>
          <c:y val="0.87896093662051111"/>
          <c:w val="0.93380990509815121"/>
          <c:h val="0.10687971406056511"/>
        </c:manualLayout>
      </c:layout>
      <c:overlay val="0"/>
      <c:spPr>
        <a:noFill/>
        <a:ln w="6350">
          <a:solidFill>
            <a:schemeClr val="tx1"/>
          </a:solidFill>
        </a:ln>
      </c:spPr>
    </c:legend>
    <c:plotVisOnly val="1"/>
    <c:dispBlanksAs val="gap"/>
    <c:showDLblsOverMax val="0"/>
  </c:chart>
  <c:spPr>
    <a:solidFill>
      <a:srgbClr val="FFFFFF"/>
    </a:solidFill>
    <a:ln w="3175">
      <a:noFill/>
      <a:prstDash val="solid"/>
    </a:ln>
  </c:spPr>
  <c:txPr>
    <a:bodyPr/>
    <a:lstStyle/>
    <a:p>
      <a:pPr>
        <a:defRPr sz="800" b="0" i="0" u="none" strike="noStrike" baseline="0">
          <a:solidFill>
            <a:srgbClr val="000000"/>
          </a:solidFill>
          <a:latin typeface="Arial CE"/>
          <a:ea typeface="Arial CE"/>
          <a:cs typeface="Arial CE"/>
        </a:defRPr>
      </a:pPr>
      <a:endParaRPr lang="cs-CZ"/>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9528655934435024E-2"/>
          <c:y val="1.6563187842952781E-2"/>
          <c:w val="0.85309492009152854"/>
          <c:h val="0.76133625371490121"/>
        </c:manualLayout>
      </c:layout>
      <c:barChart>
        <c:barDir val="col"/>
        <c:grouping val="stacked"/>
        <c:varyColors val="0"/>
        <c:ser>
          <c:idx val="1"/>
          <c:order val="1"/>
          <c:tx>
            <c:strRef>
              <c:f>'výkonnost odvětví 3'!$Y$10</c:f>
              <c:strCache>
                <c:ptCount val="1"/>
                <c:pt idx="0">
                  <c:v>Pozemní stavitelství (příspěvek v p. b.)</c:v>
                </c:pt>
              </c:strCache>
            </c:strRef>
          </c:tx>
          <c:spPr>
            <a:solidFill>
              <a:srgbClr val="A6CDE9"/>
            </a:solidFill>
            <a:ln w="19050">
              <a:noFill/>
              <a:prstDash val="solid"/>
            </a:ln>
          </c:spPr>
          <c:invertIfNegative val="0"/>
          <c:cat>
            <c:multiLvlStrRef>
              <c:f>'výkonnost odvětví 3'!$V$15:$W$50</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2011</c:v>
                  </c:pt>
                  <c:pt idx="4">
                    <c:v>2012</c:v>
                  </c:pt>
                  <c:pt idx="8">
                    <c:v>2013</c:v>
                  </c:pt>
                  <c:pt idx="12">
                    <c:v>2014</c:v>
                  </c:pt>
                  <c:pt idx="16">
                    <c:v>2015</c:v>
                  </c:pt>
                  <c:pt idx="20">
                    <c:v>2016</c:v>
                  </c:pt>
                  <c:pt idx="24">
                    <c:v>2017</c:v>
                  </c:pt>
                  <c:pt idx="28">
                    <c:v>2018</c:v>
                  </c:pt>
                  <c:pt idx="32">
                    <c:v>2019</c:v>
                  </c:pt>
                </c:lvl>
              </c:multiLvlStrCache>
            </c:multiLvlStrRef>
          </c:cat>
          <c:val>
            <c:numRef>
              <c:f>'výkonnost odvětví 3'!$Y$15:$Y$50</c:f>
              <c:numCache>
                <c:formatCode>0.0</c:formatCode>
                <c:ptCount val="36"/>
                <c:pt idx="0">
                  <c:v>6.2253471794327551</c:v>
                </c:pt>
                <c:pt idx="1">
                  <c:v>-1.1597331222501712</c:v>
                </c:pt>
                <c:pt idx="2">
                  <c:v>-4.2621030613208717</c:v>
                </c:pt>
                <c:pt idx="3">
                  <c:v>1.4298809490954008</c:v>
                </c:pt>
                <c:pt idx="4">
                  <c:v>-5.3023237552943012</c:v>
                </c:pt>
                <c:pt idx="5">
                  <c:v>-1.6015070985845303</c:v>
                </c:pt>
                <c:pt idx="6">
                  <c:v>-3.513940190700036</c:v>
                </c:pt>
                <c:pt idx="7">
                  <c:v>-6.7547773118798933</c:v>
                </c:pt>
                <c:pt idx="8">
                  <c:v>-7.4505405993252012</c:v>
                </c:pt>
                <c:pt idx="9">
                  <c:v>-7.6447037851662101</c:v>
                </c:pt>
                <c:pt idx="10">
                  <c:v>-1.0659022928518138</c:v>
                </c:pt>
                <c:pt idx="11">
                  <c:v>-1.9501565735716926</c:v>
                </c:pt>
                <c:pt idx="12">
                  <c:v>12.56681679281154</c:v>
                </c:pt>
                <c:pt idx="13">
                  <c:v>3.6352209593086169</c:v>
                </c:pt>
                <c:pt idx="14">
                  <c:v>-0.45250277847858089</c:v>
                </c:pt>
                <c:pt idx="15">
                  <c:v>-0.36686423022789266</c:v>
                </c:pt>
                <c:pt idx="16">
                  <c:v>6.127543917347853</c:v>
                </c:pt>
                <c:pt idx="17">
                  <c:v>5.164404138620128</c:v>
                </c:pt>
                <c:pt idx="18">
                  <c:v>0.83141650988233495</c:v>
                </c:pt>
                <c:pt idx="19">
                  <c:v>-1.797566845400477</c:v>
                </c:pt>
                <c:pt idx="20">
                  <c:v>-4.9826565284471647</c:v>
                </c:pt>
                <c:pt idx="21">
                  <c:v>-5.0877138737219081</c:v>
                </c:pt>
                <c:pt idx="22">
                  <c:v>0.80057303879562347</c:v>
                </c:pt>
                <c:pt idx="23">
                  <c:v>4.0255408231775744</c:v>
                </c:pt>
                <c:pt idx="24">
                  <c:v>2.3335637307590056</c:v>
                </c:pt>
                <c:pt idx="25">
                  <c:v>10.157712951949884</c:v>
                </c:pt>
                <c:pt idx="26">
                  <c:v>3.5060258659943981</c:v>
                </c:pt>
                <c:pt idx="27">
                  <c:v>2.6826840473015374</c:v>
                </c:pt>
                <c:pt idx="28">
                  <c:v>13.618953451457829</c:v>
                </c:pt>
                <c:pt idx="29">
                  <c:v>6.2883068767468737</c:v>
                </c:pt>
                <c:pt idx="30">
                  <c:v>7.6971216374109597</c:v>
                </c:pt>
                <c:pt idx="31">
                  <c:v>2.4737809593809268</c:v>
                </c:pt>
                <c:pt idx="32">
                  <c:v>1.6006047414653761</c:v>
                </c:pt>
                <c:pt idx="33">
                  <c:v>2.208399715189771</c:v>
                </c:pt>
                <c:pt idx="34">
                  <c:v>-0.60820741180860904</c:v>
                </c:pt>
                <c:pt idx="35">
                  <c:v>2.8</c:v>
                </c:pt>
              </c:numCache>
            </c:numRef>
          </c:val>
          <c:extLst>
            <c:ext xmlns:c16="http://schemas.microsoft.com/office/drawing/2014/chart" uri="{C3380CC4-5D6E-409C-BE32-E72D297353CC}">
              <c16:uniqueId val="{00000000-C5E9-44A9-8911-7BF20FD2E482}"/>
            </c:ext>
          </c:extLst>
        </c:ser>
        <c:ser>
          <c:idx val="2"/>
          <c:order val="2"/>
          <c:tx>
            <c:strRef>
              <c:f>'výkonnost odvětví 3'!$Z$10</c:f>
              <c:strCache>
                <c:ptCount val="1"/>
                <c:pt idx="0">
                  <c:v>Inženýrské stavitelství  (příspěvek v p. b.)</c:v>
                </c:pt>
              </c:strCache>
            </c:strRef>
          </c:tx>
          <c:spPr>
            <a:solidFill>
              <a:srgbClr val="E8AFB2"/>
            </a:solidFill>
            <a:ln w="19050">
              <a:noFill/>
              <a:prstDash val="solid"/>
            </a:ln>
          </c:spPr>
          <c:invertIfNegative val="0"/>
          <c:cat>
            <c:multiLvlStrRef>
              <c:f>'výkonnost odvětví 3'!$V$15:$W$50</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2011</c:v>
                  </c:pt>
                  <c:pt idx="4">
                    <c:v>2012</c:v>
                  </c:pt>
                  <c:pt idx="8">
                    <c:v>2013</c:v>
                  </c:pt>
                  <c:pt idx="12">
                    <c:v>2014</c:v>
                  </c:pt>
                  <c:pt idx="16">
                    <c:v>2015</c:v>
                  </c:pt>
                  <c:pt idx="20">
                    <c:v>2016</c:v>
                  </c:pt>
                  <c:pt idx="24">
                    <c:v>2017</c:v>
                  </c:pt>
                  <c:pt idx="28">
                    <c:v>2018</c:v>
                  </c:pt>
                  <c:pt idx="32">
                    <c:v>2019</c:v>
                  </c:pt>
                </c:lvl>
              </c:multiLvlStrCache>
            </c:multiLvlStrRef>
          </c:cat>
          <c:val>
            <c:numRef>
              <c:f>'výkonnost odvětví 3'!$Z$15:$Z$50</c:f>
              <c:numCache>
                <c:formatCode>0.0</c:formatCode>
                <c:ptCount val="36"/>
                <c:pt idx="0">
                  <c:v>-0.78188106773263832</c:v>
                </c:pt>
                <c:pt idx="1">
                  <c:v>-4.0315428216413887</c:v>
                </c:pt>
                <c:pt idx="2">
                  <c:v>-4.8160517766484885</c:v>
                </c:pt>
                <c:pt idx="3">
                  <c:v>-1.9030520226553096</c:v>
                </c:pt>
                <c:pt idx="4">
                  <c:v>-4.5309950993656098</c:v>
                </c:pt>
                <c:pt idx="5">
                  <c:v>-3.3697664637722933</c:v>
                </c:pt>
                <c:pt idx="6">
                  <c:v>-2.1469085914124069</c:v>
                </c:pt>
                <c:pt idx="7">
                  <c:v>-2.7470685083037565</c:v>
                </c:pt>
                <c:pt idx="8">
                  <c:v>-3.1398706332841959</c:v>
                </c:pt>
                <c:pt idx="9">
                  <c:v>-4.0056430294225027</c:v>
                </c:pt>
                <c:pt idx="10">
                  <c:v>-3.8787162548316361</c:v>
                </c:pt>
                <c:pt idx="11">
                  <c:v>-0.65841186002818719</c:v>
                </c:pt>
                <c:pt idx="12">
                  <c:v>0.47786890208341798</c:v>
                </c:pt>
                <c:pt idx="13">
                  <c:v>1.9373005816972999</c:v>
                </c:pt>
                <c:pt idx="14">
                  <c:v>2.904796622048623</c:v>
                </c:pt>
                <c:pt idx="15">
                  <c:v>1.4962921293093394</c:v>
                </c:pt>
                <c:pt idx="16">
                  <c:v>3.0736722117337725</c:v>
                </c:pt>
                <c:pt idx="17">
                  <c:v>6.8071777084313689</c:v>
                </c:pt>
                <c:pt idx="18">
                  <c:v>7.0167829844998799</c:v>
                </c:pt>
                <c:pt idx="19">
                  <c:v>2.7188479808082135</c:v>
                </c:pt>
                <c:pt idx="20">
                  <c:v>-1.2745226201404676</c:v>
                </c:pt>
                <c:pt idx="21">
                  <c:v>-5.1422429279786392</c:v>
                </c:pt>
                <c:pt idx="22">
                  <c:v>-6.7342170705917956</c:v>
                </c:pt>
                <c:pt idx="23">
                  <c:v>-5.6651468564900309</c:v>
                </c:pt>
                <c:pt idx="24">
                  <c:v>-3.1969407577424542</c:v>
                </c:pt>
                <c:pt idx="25">
                  <c:v>-1.1398666132932971</c:v>
                </c:pt>
                <c:pt idx="26">
                  <c:v>-1.4464934107146989</c:v>
                </c:pt>
                <c:pt idx="27">
                  <c:v>0.24048735059909712</c:v>
                </c:pt>
                <c:pt idx="28">
                  <c:v>1.755150826921277</c:v>
                </c:pt>
                <c:pt idx="29">
                  <c:v>1.2037623377142288</c:v>
                </c:pt>
                <c:pt idx="30">
                  <c:v>4.7158433216264379</c:v>
                </c:pt>
                <c:pt idx="31">
                  <c:v>1.896339068254201</c:v>
                </c:pt>
                <c:pt idx="32">
                  <c:v>0.85222088816528319</c:v>
                </c:pt>
                <c:pt idx="33">
                  <c:v>1.7672393138364433</c:v>
                </c:pt>
                <c:pt idx="34">
                  <c:v>0.54640822409636403</c:v>
                </c:pt>
                <c:pt idx="35">
                  <c:v>0.5</c:v>
                </c:pt>
              </c:numCache>
            </c:numRef>
          </c:val>
          <c:extLst>
            <c:ext xmlns:c16="http://schemas.microsoft.com/office/drawing/2014/chart" uri="{C3380CC4-5D6E-409C-BE32-E72D297353CC}">
              <c16:uniqueId val="{00000001-C5E9-44A9-8911-7BF20FD2E482}"/>
            </c:ext>
          </c:extLst>
        </c:ser>
        <c:dLbls>
          <c:showLegendKey val="0"/>
          <c:showVal val="0"/>
          <c:showCatName val="0"/>
          <c:showSerName val="0"/>
          <c:showPercent val="0"/>
          <c:showBubbleSize val="0"/>
        </c:dLbls>
        <c:gapWidth val="24"/>
        <c:overlap val="100"/>
        <c:axId val="147432960"/>
        <c:axId val="147434496"/>
      </c:barChart>
      <c:lineChart>
        <c:grouping val="standard"/>
        <c:varyColors val="0"/>
        <c:ser>
          <c:idx val="0"/>
          <c:order val="0"/>
          <c:tx>
            <c:strRef>
              <c:f>'výkonnost odvětví 3'!$X$10</c:f>
              <c:strCache>
                <c:ptCount val="1"/>
                <c:pt idx="0">
                  <c:v>Celková stavební produkce</c:v>
                </c:pt>
              </c:strCache>
            </c:strRef>
          </c:tx>
          <c:spPr>
            <a:ln>
              <a:noFill/>
            </a:ln>
          </c:spPr>
          <c:marker>
            <c:symbol val="dash"/>
            <c:size val="7"/>
            <c:spPr>
              <a:solidFill>
                <a:schemeClr val="tx1">
                  <a:lumMod val="95000"/>
                  <a:lumOff val="5000"/>
                </a:schemeClr>
              </a:solidFill>
              <a:ln>
                <a:noFill/>
              </a:ln>
            </c:spPr>
          </c:marker>
          <c:cat>
            <c:multiLvlStrRef>
              <c:f>'výkonnost odvětví 3'!$V$15:$W$50</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2011</c:v>
                  </c:pt>
                  <c:pt idx="4">
                    <c:v>2012</c:v>
                  </c:pt>
                  <c:pt idx="8">
                    <c:v>2013</c:v>
                  </c:pt>
                  <c:pt idx="12">
                    <c:v>2014</c:v>
                  </c:pt>
                  <c:pt idx="16">
                    <c:v>2015</c:v>
                  </c:pt>
                  <c:pt idx="20">
                    <c:v>2016</c:v>
                  </c:pt>
                  <c:pt idx="24">
                    <c:v>2017</c:v>
                  </c:pt>
                  <c:pt idx="28">
                    <c:v>2018</c:v>
                  </c:pt>
                  <c:pt idx="32">
                    <c:v>2019</c:v>
                  </c:pt>
                </c:lvl>
              </c:multiLvlStrCache>
            </c:multiLvlStrRef>
          </c:cat>
          <c:val>
            <c:numRef>
              <c:f>'výkonnost odvětví 3'!$X$15:$X$50</c:f>
              <c:numCache>
                <c:formatCode>0.0</c:formatCode>
                <c:ptCount val="36"/>
                <c:pt idx="0">
                  <c:v>5.4557821324321623</c:v>
                </c:pt>
                <c:pt idx="1">
                  <c:v>-5.1731765784549708</c:v>
                </c:pt>
                <c:pt idx="2">
                  <c:v>-9.0565785023449337</c:v>
                </c:pt>
                <c:pt idx="3">
                  <c:v>-0.49376283937078824</c:v>
                </c:pt>
                <c:pt idx="4">
                  <c:v>-9.8157930981707153</c:v>
                </c:pt>
                <c:pt idx="5">
                  <c:v>-4.9423595765509987</c:v>
                </c:pt>
                <c:pt idx="6">
                  <c:v>-5.6526218343779533</c:v>
                </c:pt>
                <c:pt idx="7">
                  <c:v>-9.4988263446711017</c:v>
                </c:pt>
                <c:pt idx="8">
                  <c:v>-10.574598901416195</c:v>
                </c:pt>
                <c:pt idx="9">
                  <c:v>-11.627981895654287</c:v>
                </c:pt>
                <c:pt idx="10">
                  <c:v>-4.9359698629361333</c:v>
                </c:pt>
                <c:pt idx="11">
                  <c:v>-2.622028528480115</c:v>
                </c:pt>
                <c:pt idx="12">
                  <c:v>13.064880633808968</c:v>
                </c:pt>
                <c:pt idx="13">
                  <c:v>5.5567149112452796</c:v>
                </c:pt>
                <c:pt idx="14">
                  <c:v>2.4476299290684125</c:v>
                </c:pt>
                <c:pt idx="15">
                  <c:v>1.1192070418559581</c:v>
                </c:pt>
                <c:pt idx="16">
                  <c:v>9.1967253231964463</c:v>
                </c:pt>
                <c:pt idx="17">
                  <c:v>11.978904772286668</c:v>
                </c:pt>
                <c:pt idx="18">
                  <c:v>7.8499700759570885</c:v>
                </c:pt>
                <c:pt idx="19">
                  <c:v>0.93639063161241154</c:v>
                </c:pt>
                <c:pt idx="20">
                  <c:v>-6.2678973340206454</c:v>
                </c:pt>
                <c:pt idx="21">
                  <c:v>-10.227830277521477</c:v>
                </c:pt>
                <c:pt idx="22">
                  <c:v>-5.9107342052114831</c:v>
                </c:pt>
                <c:pt idx="23">
                  <c:v>-1.649208802201926</c:v>
                </c:pt>
                <c:pt idx="24">
                  <c:v>-0.84275819971591659</c:v>
                </c:pt>
                <c:pt idx="25">
                  <c:v>8.9951369278572741</c:v>
                </c:pt>
                <c:pt idx="26">
                  <c:v>2.0562867293753015</c:v>
                </c:pt>
                <c:pt idx="27">
                  <c:v>2.9379733268088302</c:v>
                </c:pt>
                <c:pt idx="28">
                  <c:v>15.349768758938438</c:v>
                </c:pt>
                <c:pt idx="29">
                  <c:v>7.4981477706511441</c:v>
                </c:pt>
                <c:pt idx="30">
                  <c:v>12.407397843296962</c:v>
                </c:pt>
                <c:pt idx="31">
                  <c:v>4.3053975524044716</c:v>
                </c:pt>
                <c:pt idx="32">
                  <c:v>2.4510944975047835</c:v>
                </c:pt>
                <c:pt idx="33">
                  <c:v>3.9770706476853519</c:v>
                </c:pt>
                <c:pt idx="34">
                  <c:v>-6.1055261803943495E-2</c:v>
                </c:pt>
                <c:pt idx="35">
                  <c:v>3.3245098075066295</c:v>
                </c:pt>
              </c:numCache>
            </c:numRef>
          </c:val>
          <c:smooth val="0"/>
          <c:extLst>
            <c:ext xmlns:c16="http://schemas.microsoft.com/office/drawing/2014/chart" uri="{C3380CC4-5D6E-409C-BE32-E72D297353CC}">
              <c16:uniqueId val="{00000002-C5E9-44A9-8911-7BF20FD2E482}"/>
            </c:ext>
          </c:extLst>
        </c:ser>
        <c:dLbls>
          <c:showLegendKey val="0"/>
          <c:showVal val="0"/>
          <c:showCatName val="0"/>
          <c:showSerName val="0"/>
          <c:showPercent val="0"/>
          <c:showBubbleSize val="0"/>
        </c:dLbls>
        <c:marker val="1"/>
        <c:smooth val="0"/>
        <c:axId val="147432960"/>
        <c:axId val="147434496"/>
      </c:lineChart>
      <c:lineChart>
        <c:grouping val="standard"/>
        <c:varyColors val="0"/>
        <c:ser>
          <c:idx val="3"/>
          <c:order val="3"/>
          <c:tx>
            <c:strRef>
              <c:f>'výkonnost odvětví 3'!$AA$10</c:f>
              <c:strCache>
                <c:ptCount val="1"/>
                <c:pt idx="0">
                  <c:v>Nové stavební zakázky (pravá osa)</c:v>
                </c:pt>
              </c:strCache>
            </c:strRef>
          </c:tx>
          <c:spPr>
            <a:ln w="15875">
              <a:solidFill>
                <a:srgbClr val="984807"/>
              </a:solidFill>
              <a:prstDash val="solid"/>
            </a:ln>
          </c:spPr>
          <c:marker>
            <c:symbol val="none"/>
          </c:marker>
          <c:cat>
            <c:multiLvlStrRef>
              <c:f>'výkonnost odvětví 3'!$V$15:$W$50</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2011</c:v>
                  </c:pt>
                  <c:pt idx="4">
                    <c:v>2012</c:v>
                  </c:pt>
                  <c:pt idx="8">
                    <c:v>2013</c:v>
                  </c:pt>
                  <c:pt idx="12">
                    <c:v>2014</c:v>
                  </c:pt>
                  <c:pt idx="16">
                    <c:v>2015</c:v>
                  </c:pt>
                  <c:pt idx="20">
                    <c:v>2016</c:v>
                  </c:pt>
                  <c:pt idx="24">
                    <c:v>2017</c:v>
                  </c:pt>
                  <c:pt idx="28">
                    <c:v>2018</c:v>
                  </c:pt>
                  <c:pt idx="32">
                    <c:v>2019</c:v>
                  </c:pt>
                </c:lvl>
              </c:multiLvlStrCache>
            </c:multiLvlStrRef>
          </c:cat>
          <c:val>
            <c:numRef>
              <c:f>'výkonnost odvětví 3'!$AA$15:$AA$50</c:f>
              <c:numCache>
                <c:formatCode>0.0</c:formatCode>
                <c:ptCount val="36"/>
                <c:pt idx="0">
                  <c:v>37.795405718063137</c:v>
                </c:pt>
                <c:pt idx="1">
                  <c:v>-23.565672566981206</c:v>
                </c:pt>
                <c:pt idx="2">
                  <c:v>-23.360716461156017</c:v>
                </c:pt>
                <c:pt idx="3">
                  <c:v>-9.1653963414634205</c:v>
                </c:pt>
                <c:pt idx="4">
                  <c:v>-46.3220596465979</c:v>
                </c:pt>
                <c:pt idx="5">
                  <c:v>-13.7148006307727</c:v>
                </c:pt>
                <c:pt idx="6">
                  <c:v>-7.6729748888363787</c:v>
                </c:pt>
                <c:pt idx="7">
                  <c:v>7.5624082232011745</c:v>
                </c:pt>
                <c:pt idx="8">
                  <c:v>-17.695687793252404</c:v>
                </c:pt>
                <c:pt idx="9">
                  <c:v>-1.584773641063137</c:v>
                </c:pt>
                <c:pt idx="10">
                  <c:v>-1.3308205951467045</c:v>
                </c:pt>
                <c:pt idx="11">
                  <c:v>16.153096050706978</c:v>
                </c:pt>
                <c:pt idx="12">
                  <c:v>67.509727626459153</c:v>
                </c:pt>
                <c:pt idx="13">
                  <c:v>18.978644382544104</c:v>
                </c:pt>
                <c:pt idx="14">
                  <c:v>34.050931384107542</c:v>
                </c:pt>
                <c:pt idx="15">
                  <c:v>-1</c:v>
                </c:pt>
                <c:pt idx="16">
                  <c:v>-3.1547956675580053</c:v>
                </c:pt>
                <c:pt idx="17">
                  <c:v>9.7504961091663205</c:v>
                </c:pt>
                <c:pt idx="18">
                  <c:v>-1.097606022761255</c:v>
                </c:pt>
                <c:pt idx="19">
                  <c:v>-2.3987783410040464</c:v>
                </c:pt>
                <c:pt idx="20">
                  <c:v>-6.6406358945753823</c:v>
                </c:pt>
                <c:pt idx="21">
                  <c:v>-0.49977652269311079</c:v>
                </c:pt>
                <c:pt idx="22">
                  <c:v>-7.0322087253454839</c:v>
                </c:pt>
                <c:pt idx="23">
                  <c:v>10.122126124559955</c:v>
                </c:pt>
                <c:pt idx="24">
                  <c:v>16.177217458847437</c:v>
                </c:pt>
                <c:pt idx="25">
                  <c:v>9.5350878984013008</c:v>
                </c:pt>
                <c:pt idx="26">
                  <c:v>-1.2817324431350698</c:v>
                </c:pt>
                <c:pt idx="27">
                  <c:v>15.620806693503823</c:v>
                </c:pt>
                <c:pt idx="28">
                  <c:v>30.10697387368856</c:v>
                </c:pt>
                <c:pt idx="29">
                  <c:v>32.836878110611963</c:v>
                </c:pt>
                <c:pt idx="30">
                  <c:v>5.2768249907951201</c:v>
                </c:pt>
                <c:pt idx="31">
                  <c:v>1.8944565811032277</c:v>
                </c:pt>
                <c:pt idx="32">
                  <c:v>15.580283026326185</c:v>
                </c:pt>
                <c:pt idx="33">
                  <c:v>-9.9448521673238588</c:v>
                </c:pt>
                <c:pt idx="34">
                  <c:v>17.050767588263454</c:v>
                </c:pt>
                <c:pt idx="35">
                  <c:v>4.2795886234967071</c:v>
                </c:pt>
              </c:numCache>
            </c:numRef>
          </c:val>
          <c:smooth val="0"/>
          <c:extLst>
            <c:ext xmlns:c16="http://schemas.microsoft.com/office/drawing/2014/chart" uri="{C3380CC4-5D6E-409C-BE32-E72D297353CC}">
              <c16:uniqueId val="{00000003-C5E9-44A9-8911-7BF20FD2E482}"/>
            </c:ext>
          </c:extLst>
        </c:ser>
        <c:ser>
          <c:idx val="4"/>
          <c:order val="4"/>
          <c:tx>
            <c:strRef>
              <c:f>'výkonnost odvětví 3'!$AB$10</c:f>
              <c:strCache>
                <c:ptCount val="1"/>
                <c:pt idx="0">
                  <c:v>Bariéra růstu: nedost. poptávka (pr. osa)</c:v>
                </c:pt>
              </c:strCache>
            </c:strRef>
          </c:tx>
          <c:spPr>
            <a:ln w="15875">
              <a:solidFill>
                <a:srgbClr val="00B050"/>
              </a:solidFill>
            </a:ln>
          </c:spPr>
          <c:marker>
            <c:symbol val="none"/>
          </c:marker>
          <c:cat>
            <c:multiLvlStrRef>
              <c:f>'výkonnost odvětví 3'!$V$15:$W$50</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2011</c:v>
                  </c:pt>
                  <c:pt idx="4">
                    <c:v>2012</c:v>
                  </c:pt>
                  <c:pt idx="8">
                    <c:v>2013</c:v>
                  </c:pt>
                  <c:pt idx="12">
                    <c:v>2014</c:v>
                  </c:pt>
                  <c:pt idx="16">
                    <c:v>2015</c:v>
                  </c:pt>
                  <c:pt idx="20">
                    <c:v>2016</c:v>
                  </c:pt>
                  <c:pt idx="24">
                    <c:v>2017</c:v>
                  </c:pt>
                  <c:pt idx="28">
                    <c:v>2018</c:v>
                  </c:pt>
                  <c:pt idx="32">
                    <c:v>2019</c:v>
                  </c:pt>
                </c:lvl>
              </c:multiLvlStrCache>
            </c:multiLvlStrRef>
          </c:cat>
          <c:val>
            <c:numRef>
              <c:f>'výkonnost odvětví 3'!$AB$15:$AB$50</c:f>
              <c:numCache>
                <c:formatCode>#\ ##0.0</c:formatCode>
                <c:ptCount val="36"/>
                <c:pt idx="0">
                  <c:v>54.56666666666667</c:v>
                </c:pt>
                <c:pt idx="1">
                  <c:v>64.833333333333329</c:v>
                </c:pt>
                <c:pt idx="2">
                  <c:v>68.666666666666671</c:v>
                </c:pt>
                <c:pt idx="3">
                  <c:v>66.833333333333343</c:v>
                </c:pt>
                <c:pt idx="4">
                  <c:v>69.433333333333337</c:v>
                </c:pt>
                <c:pt idx="5">
                  <c:v>66.033333333333331</c:v>
                </c:pt>
                <c:pt idx="6">
                  <c:v>70.399999999999991</c:v>
                </c:pt>
                <c:pt idx="7">
                  <c:v>71.13333333333334</c:v>
                </c:pt>
                <c:pt idx="8">
                  <c:v>79.166666666666671</c:v>
                </c:pt>
                <c:pt idx="9">
                  <c:v>71.666666666666671</c:v>
                </c:pt>
                <c:pt idx="10">
                  <c:v>74.36666666666666</c:v>
                </c:pt>
                <c:pt idx="11">
                  <c:v>81</c:v>
                </c:pt>
                <c:pt idx="12">
                  <c:v>81.899999999999991</c:v>
                </c:pt>
                <c:pt idx="13">
                  <c:v>80.266666666666666</c:v>
                </c:pt>
                <c:pt idx="14">
                  <c:v>73.433333333333323</c:v>
                </c:pt>
                <c:pt idx="15">
                  <c:v>68.600000000000009</c:v>
                </c:pt>
                <c:pt idx="16">
                  <c:v>67.899999999999991</c:v>
                </c:pt>
                <c:pt idx="17">
                  <c:v>61.566666666666663</c:v>
                </c:pt>
                <c:pt idx="18">
                  <c:v>58.099999999999994</c:v>
                </c:pt>
                <c:pt idx="19">
                  <c:v>56.766666666666673</c:v>
                </c:pt>
                <c:pt idx="20">
                  <c:v>55.166666666666664</c:v>
                </c:pt>
                <c:pt idx="21">
                  <c:v>60.633333333333333</c:v>
                </c:pt>
                <c:pt idx="22">
                  <c:v>59.466666666666669</c:v>
                </c:pt>
                <c:pt idx="23">
                  <c:v>57.733333333333327</c:v>
                </c:pt>
                <c:pt idx="24">
                  <c:v>53.666666666666664</c:v>
                </c:pt>
                <c:pt idx="25">
                  <c:v>54.233333333333327</c:v>
                </c:pt>
                <c:pt idx="26">
                  <c:v>50.466666666666669</c:v>
                </c:pt>
                <c:pt idx="27">
                  <c:v>49.1</c:v>
                </c:pt>
                <c:pt idx="28">
                  <c:v>42.633333333333333</c:v>
                </c:pt>
                <c:pt idx="29">
                  <c:v>37.633333333333333</c:v>
                </c:pt>
                <c:pt idx="30">
                  <c:v>32.43333333333333</c:v>
                </c:pt>
                <c:pt idx="31">
                  <c:v>24.233333333333334</c:v>
                </c:pt>
                <c:pt idx="32">
                  <c:v>22.333333333333332</c:v>
                </c:pt>
                <c:pt idx="33">
                  <c:v>22.033333333333331</c:v>
                </c:pt>
                <c:pt idx="34">
                  <c:v>22.6</c:v>
                </c:pt>
                <c:pt idx="35">
                  <c:v>22.4</c:v>
                </c:pt>
              </c:numCache>
            </c:numRef>
          </c:val>
          <c:smooth val="0"/>
          <c:extLst>
            <c:ext xmlns:c16="http://schemas.microsoft.com/office/drawing/2014/chart" uri="{C3380CC4-5D6E-409C-BE32-E72D297353CC}">
              <c16:uniqueId val="{00000004-C5E9-44A9-8911-7BF20FD2E482}"/>
            </c:ext>
          </c:extLst>
        </c:ser>
        <c:ser>
          <c:idx val="5"/>
          <c:order val="5"/>
          <c:tx>
            <c:strRef>
              <c:f>'výkonnost odvětví 3'!$AC$10</c:f>
              <c:strCache>
                <c:ptCount val="1"/>
                <c:pt idx="0">
                  <c:v>Bariéra růstu: nedost. pracovníků (pr. osa)</c:v>
                </c:pt>
              </c:strCache>
            </c:strRef>
          </c:tx>
          <c:spPr>
            <a:ln w="15875">
              <a:solidFill>
                <a:srgbClr val="00B050"/>
              </a:solidFill>
              <a:prstDash val="sysDash"/>
            </a:ln>
          </c:spPr>
          <c:marker>
            <c:symbol val="none"/>
          </c:marker>
          <c:cat>
            <c:multiLvlStrRef>
              <c:f>'výkonnost odvětví 3'!$V$15:$W$50</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2011</c:v>
                  </c:pt>
                  <c:pt idx="4">
                    <c:v>2012</c:v>
                  </c:pt>
                  <c:pt idx="8">
                    <c:v>2013</c:v>
                  </c:pt>
                  <c:pt idx="12">
                    <c:v>2014</c:v>
                  </c:pt>
                  <c:pt idx="16">
                    <c:v>2015</c:v>
                  </c:pt>
                  <c:pt idx="20">
                    <c:v>2016</c:v>
                  </c:pt>
                  <c:pt idx="24">
                    <c:v>2017</c:v>
                  </c:pt>
                  <c:pt idx="28">
                    <c:v>2018</c:v>
                  </c:pt>
                  <c:pt idx="32">
                    <c:v>2019</c:v>
                  </c:pt>
                </c:lvl>
              </c:multiLvlStrCache>
            </c:multiLvlStrRef>
          </c:cat>
          <c:val>
            <c:numRef>
              <c:f>'výkonnost odvětví 3'!$AC$15:$AC$50</c:f>
              <c:numCache>
                <c:formatCode>#\ ##0.0</c:formatCode>
                <c:ptCount val="36"/>
                <c:pt idx="0">
                  <c:v>1</c:v>
                </c:pt>
                <c:pt idx="1">
                  <c:v>0.96666666666666679</c:v>
                </c:pt>
                <c:pt idx="2">
                  <c:v>1.4333333333333333</c:v>
                </c:pt>
                <c:pt idx="3">
                  <c:v>1.3</c:v>
                </c:pt>
                <c:pt idx="4">
                  <c:v>1.6333333333333335</c:v>
                </c:pt>
                <c:pt idx="5">
                  <c:v>1.9666666666666666</c:v>
                </c:pt>
                <c:pt idx="6">
                  <c:v>1.3333333333333333</c:v>
                </c:pt>
                <c:pt idx="7">
                  <c:v>1.0333333333333334</c:v>
                </c:pt>
                <c:pt idx="8">
                  <c:v>1.3333333333333333</c:v>
                </c:pt>
                <c:pt idx="9">
                  <c:v>0.76666666666666661</c:v>
                </c:pt>
                <c:pt idx="10">
                  <c:v>0.79999999999999993</c:v>
                </c:pt>
                <c:pt idx="11">
                  <c:v>1.3</c:v>
                </c:pt>
                <c:pt idx="12">
                  <c:v>1.7</c:v>
                </c:pt>
                <c:pt idx="13">
                  <c:v>2.1</c:v>
                </c:pt>
                <c:pt idx="14">
                  <c:v>2.6666666666666665</c:v>
                </c:pt>
                <c:pt idx="15">
                  <c:v>3.1666666666666665</c:v>
                </c:pt>
                <c:pt idx="16">
                  <c:v>6.5999999999999988</c:v>
                </c:pt>
                <c:pt idx="17">
                  <c:v>7.9333333333333336</c:v>
                </c:pt>
                <c:pt idx="18">
                  <c:v>7.333333333333333</c:v>
                </c:pt>
                <c:pt idx="19">
                  <c:v>7.5</c:v>
                </c:pt>
                <c:pt idx="20">
                  <c:v>5.8666666666666671</c:v>
                </c:pt>
                <c:pt idx="21">
                  <c:v>6.5666666666666673</c:v>
                </c:pt>
                <c:pt idx="22">
                  <c:v>7.666666666666667</c:v>
                </c:pt>
                <c:pt idx="23">
                  <c:v>10.066666666666668</c:v>
                </c:pt>
                <c:pt idx="24">
                  <c:v>11.966666666666667</c:v>
                </c:pt>
                <c:pt idx="25">
                  <c:v>14.766666666666666</c:v>
                </c:pt>
                <c:pt idx="26">
                  <c:v>20.633333333333329</c:v>
                </c:pt>
                <c:pt idx="27">
                  <c:v>22.133333333333336</c:v>
                </c:pt>
                <c:pt idx="28">
                  <c:v>24.433333333333334</c:v>
                </c:pt>
                <c:pt idx="29">
                  <c:v>28.333333333333332</c:v>
                </c:pt>
                <c:pt idx="30">
                  <c:v>32.966666666666661</c:v>
                </c:pt>
                <c:pt idx="31">
                  <c:v>40.699999999999996</c:v>
                </c:pt>
                <c:pt idx="32">
                  <c:v>41.733333333333327</c:v>
                </c:pt>
                <c:pt idx="33">
                  <c:v>46.199999999999996</c:v>
                </c:pt>
                <c:pt idx="34">
                  <c:v>50.2</c:v>
                </c:pt>
                <c:pt idx="35">
                  <c:v>49.6</c:v>
                </c:pt>
              </c:numCache>
            </c:numRef>
          </c:val>
          <c:smooth val="0"/>
          <c:extLst>
            <c:ext xmlns:c16="http://schemas.microsoft.com/office/drawing/2014/chart" uri="{C3380CC4-5D6E-409C-BE32-E72D297353CC}">
              <c16:uniqueId val="{00000005-C5E9-44A9-8911-7BF20FD2E482}"/>
            </c:ext>
          </c:extLst>
        </c:ser>
        <c:ser>
          <c:idx val="6"/>
          <c:order val="6"/>
          <c:tx>
            <c:strRef>
              <c:f>'výkonnost odvětví 3'!$AD$10</c:f>
              <c:strCache>
                <c:ptCount val="1"/>
                <c:pt idx="0">
                  <c:v>Saldo indik.důvěry ve stavebnictví (pr.osa)</c:v>
                </c:pt>
              </c:strCache>
            </c:strRef>
          </c:tx>
          <c:spPr>
            <a:ln>
              <a:noFill/>
            </a:ln>
          </c:spPr>
          <c:marker>
            <c:symbol val="diamond"/>
            <c:size val="5"/>
            <c:spPr>
              <a:solidFill>
                <a:srgbClr val="FFFF00"/>
              </a:solidFill>
              <a:ln>
                <a:solidFill>
                  <a:prstClr val="black">
                    <a:lumMod val="95000"/>
                    <a:lumOff val="5000"/>
                  </a:prstClr>
                </a:solidFill>
              </a:ln>
            </c:spPr>
          </c:marker>
          <c:cat>
            <c:multiLvlStrRef>
              <c:f>'výkonnost odvětví 3'!$V$15:$W$50</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2011</c:v>
                  </c:pt>
                  <c:pt idx="4">
                    <c:v>2012</c:v>
                  </c:pt>
                  <c:pt idx="8">
                    <c:v>2013</c:v>
                  </c:pt>
                  <c:pt idx="12">
                    <c:v>2014</c:v>
                  </c:pt>
                  <c:pt idx="16">
                    <c:v>2015</c:v>
                  </c:pt>
                  <c:pt idx="20">
                    <c:v>2016</c:v>
                  </c:pt>
                  <c:pt idx="24">
                    <c:v>2017</c:v>
                  </c:pt>
                  <c:pt idx="28">
                    <c:v>2018</c:v>
                  </c:pt>
                  <c:pt idx="32">
                    <c:v>2019</c:v>
                  </c:pt>
                </c:lvl>
              </c:multiLvlStrCache>
            </c:multiLvlStrRef>
          </c:cat>
          <c:val>
            <c:numRef>
              <c:f>'výkonnost odvětví 3'!$AD$15:$AD$50</c:f>
              <c:numCache>
                <c:formatCode>0.0</c:formatCode>
                <c:ptCount val="36"/>
                <c:pt idx="0">
                  <c:v>-40</c:v>
                </c:pt>
                <c:pt idx="1">
                  <c:v>-40.333333333333336</c:v>
                </c:pt>
                <c:pt idx="2">
                  <c:v>-39.166666666666664</c:v>
                </c:pt>
                <c:pt idx="3">
                  <c:v>-39.333333333333336</c:v>
                </c:pt>
                <c:pt idx="4">
                  <c:v>-46</c:v>
                </c:pt>
                <c:pt idx="5">
                  <c:v>-45.333333333333336</c:v>
                </c:pt>
                <c:pt idx="6">
                  <c:v>-43.5</c:v>
                </c:pt>
                <c:pt idx="7">
                  <c:v>-44.666666666666664</c:v>
                </c:pt>
                <c:pt idx="8">
                  <c:v>-46</c:v>
                </c:pt>
                <c:pt idx="9">
                  <c:v>-53.333333333333336</c:v>
                </c:pt>
                <c:pt idx="10">
                  <c:v>-49.5</c:v>
                </c:pt>
                <c:pt idx="11">
                  <c:v>-50.833333333333336</c:v>
                </c:pt>
                <c:pt idx="12">
                  <c:v>-45.166666666666664</c:v>
                </c:pt>
                <c:pt idx="13">
                  <c:v>-38.333333333333336</c:v>
                </c:pt>
                <c:pt idx="14">
                  <c:v>-32</c:v>
                </c:pt>
                <c:pt idx="15">
                  <c:v>-25.166666666666668</c:v>
                </c:pt>
                <c:pt idx="16">
                  <c:v>-20.833333333333332</c:v>
                </c:pt>
                <c:pt idx="17">
                  <c:v>-16.333333333333332</c:v>
                </c:pt>
                <c:pt idx="18">
                  <c:v>-18.666666666666668</c:v>
                </c:pt>
                <c:pt idx="19">
                  <c:v>-15.666666666666666</c:v>
                </c:pt>
                <c:pt idx="20">
                  <c:v>-17.166666666666668</c:v>
                </c:pt>
                <c:pt idx="21">
                  <c:v>-24</c:v>
                </c:pt>
                <c:pt idx="22">
                  <c:v>-26.666666666666668</c:v>
                </c:pt>
                <c:pt idx="23">
                  <c:v>-25.833333333333332</c:v>
                </c:pt>
                <c:pt idx="24">
                  <c:v>-24.5</c:v>
                </c:pt>
                <c:pt idx="25">
                  <c:v>-22.666666666666668</c:v>
                </c:pt>
                <c:pt idx="26">
                  <c:v>-19.833333333333332</c:v>
                </c:pt>
                <c:pt idx="27">
                  <c:v>-15.166666666666666</c:v>
                </c:pt>
                <c:pt idx="28">
                  <c:v>-9.6666666666666661</c:v>
                </c:pt>
                <c:pt idx="29">
                  <c:v>-5.666666666666667</c:v>
                </c:pt>
                <c:pt idx="30">
                  <c:v>-3.1666666666666665</c:v>
                </c:pt>
                <c:pt idx="31">
                  <c:v>0.83333333333333337</c:v>
                </c:pt>
                <c:pt idx="32">
                  <c:v>4.666666666666667</c:v>
                </c:pt>
                <c:pt idx="33">
                  <c:v>3.8333333333333335</c:v>
                </c:pt>
                <c:pt idx="34">
                  <c:v>0</c:v>
                </c:pt>
                <c:pt idx="35">
                  <c:v>1.8333333333333333</c:v>
                </c:pt>
              </c:numCache>
            </c:numRef>
          </c:val>
          <c:smooth val="0"/>
          <c:extLst>
            <c:ext xmlns:c16="http://schemas.microsoft.com/office/drawing/2014/chart" uri="{C3380CC4-5D6E-409C-BE32-E72D297353CC}">
              <c16:uniqueId val="{00000006-C5E9-44A9-8911-7BF20FD2E482}"/>
            </c:ext>
          </c:extLst>
        </c:ser>
        <c:dLbls>
          <c:showLegendKey val="0"/>
          <c:showVal val="0"/>
          <c:showCatName val="0"/>
          <c:showSerName val="0"/>
          <c:showPercent val="0"/>
          <c:showBubbleSize val="0"/>
        </c:dLbls>
        <c:marker val="1"/>
        <c:smooth val="0"/>
        <c:axId val="147650816"/>
        <c:axId val="147649280"/>
      </c:lineChart>
      <c:catAx>
        <c:axId val="147432960"/>
        <c:scaling>
          <c:orientation val="minMax"/>
        </c:scaling>
        <c:delete val="0"/>
        <c:axPos val="b"/>
        <c:numFmt formatCode="General" sourceLinked="1"/>
        <c:majorTickMark val="out"/>
        <c:minorTickMark val="none"/>
        <c:tickLblPos val="low"/>
        <c:spPr>
          <a:ln w="9525">
            <a:solidFill>
              <a:schemeClr val="tx1"/>
            </a:solidFill>
            <a:prstDash val="solid"/>
          </a:ln>
        </c:spPr>
        <c:txPr>
          <a:bodyPr rot="0" vert="horz"/>
          <a:lstStyle/>
          <a:p>
            <a:pPr>
              <a:defRPr/>
            </a:pPr>
            <a:endParaRPr lang="cs-CZ"/>
          </a:p>
        </c:txPr>
        <c:crossAx val="147434496"/>
        <c:crossesAt val="0"/>
        <c:auto val="0"/>
        <c:lblAlgn val="ctr"/>
        <c:lblOffset val="0"/>
        <c:tickLblSkip val="1"/>
        <c:tickMarkSkip val="4"/>
        <c:noMultiLvlLbl val="0"/>
      </c:catAx>
      <c:valAx>
        <c:axId val="147434496"/>
        <c:scaling>
          <c:orientation val="minMax"/>
          <c:max val="30"/>
          <c:min val="-20"/>
        </c:scaling>
        <c:delete val="0"/>
        <c:axPos val="l"/>
        <c:majorGridlines>
          <c:spPr>
            <a:ln w="6350">
              <a:solidFill>
                <a:schemeClr val="bg1">
                  <a:lumMod val="75000"/>
                </a:schemeClr>
              </a:solidFill>
            </a:ln>
          </c:spPr>
        </c:majorGridlines>
        <c:title>
          <c:tx>
            <c:rich>
              <a:bodyPr/>
              <a:lstStyle/>
              <a:p>
                <a:pPr>
                  <a:defRPr sz="700" i="1"/>
                </a:pPr>
                <a:r>
                  <a:rPr lang="cs-CZ"/>
                  <a:t>Příspěvek</a:t>
                </a:r>
                <a:r>
                  <a:rPr lang="cs-CZ" baseline="0"/>
                  <a:t> k růstu s</a:t>
                </a:r>
                <a:r>
                  <a:rPr lang="cs-CZ"/>
                  <a:t>tavební produkce</a:t>
                </a:r>
              </a:p>
            </c:rich>
          </c:tx>
          <c:layout>
            <c:manualLayout>
              <c:xMode val="edge"/>
              <c:yMode val="edge"/>
              <c:x val="2.6741790744013471E-3"/>
              <c:y val="0.18222167882907486"/>
            </c:manualLayout>
          </c:layout>
          <c:overlay val="0"/>
        </c:title>
        <c:numFmt formatCode="0" sourceLinked="0"/>
        <c:majorTickMark val="out"/>
        <c:minorTickMark val="none"/>
        <c:tickLblPos val="nextTo"/>
        <c:spPr>
          <a:ln w="9525">
            <a:solidFill>
              <a:schemeClr val="tx1"/>
            </a:solidFill>
            <a:prstDash val="solid"/>
          </a:ln>
        </c:spPr>
        <c:txPr>
          <a:bodyPr rot="0" vert="horz"/>
          <a:lstStyle/>
          <a:p>
            <a:pPr>
              <a:defRPr/>
            </a:pPr>
            <a:endParaRPr lang="cs-CZ"/>
          </a:p>
        </c:txPr>
        <c:crossAx val="147432960"/>
        <c:crosses val="autoZero"/>
        <c:crossBetween val="between"/>
        <c:majorUnit val="5"/>
      </c:valAx>
      <c:valAx>
        <c:axId val="147649280"/>
        <c:scaling>
          <c:orientation val="minMax"/>
          <c:max val="90"/>
          <c:min val="-60"/>
        </c:scaling>
        <c:delete val="0"/>
        <c:axPos val="r"/>
        <c:title>
          <c:tx>
            <c:rich>
              <a:bodyPr/>
              <a:lstStyle/>
              <a:p>
                <a:pPr>
                  <a:defRPr sz="700" i="1"/>
                </a:pPr>
                <a:r>
                  <a:rPr lang="cs-CZ" sz="700" b="0" i="1" u="none" strike="noStrike" baseline="0">
                    <a:effectLst/>
                  </a:rPr>
                  <a:t>Zakázky, S</a:t>
                </a:r>
                <a:r>
                  <a:rPr lang="cs-CZ"/>
                  <a:t>aldo indikátoru důvěry, Bariéry růstu</a:t>
                </a:r>
              </a:p>
            </c:rich>
          </c:tx>
          <c:overlay val="0"/>
        </c:title>
        <c:numFmt formatCode="0" sourceLinked="0"/>
        <c:majorTickMark val="out"/>
        <c:minorTickMark val="none"/>
        <c:tickLblPos val="nextTo"/>
        <c:crossAx val="147650816"/>
        <c:crosses val="max"/>
        <c:crossBetween val="between"/>
        <c:majorUnit val="15"/>
      </c:valAx>
      <c:catAx>
        <c:axId val="147650816"/>
        <c:scaling>
          <c:orientation val="minMax"/>
        </c:scaling>
        <c:delete val="1"/>
        <c:axPos val="b"/>
        <c:numFmt formatCode="General" sourceLinked="1"/>
        <c:majorTickMark val="out"/>
        <c:minorTickMark val="none"/>
        <c:tickLblPos val="none"/>
        <c:crossAx val="147649280"/>
        <c:crosses val="autoZero"/>
        <c:auto val="0"/>
        <c:lblAlgn val="ctr"/>
        <c:lblOffset val="100"/>
        <c:noMultiLvlLbl val="0"/>
      </c:catAx>
      <c:spPr>
        <a:solidFill>
          <a:srgbClr val="FFFFFF"/>
        </a:solidFill>
        <a:ln w="9525">
          <a:solidFill>
            <a:schemeClr val="tx1"/>
          </a:solidFill>
        </a:ln>
      </c:spPr>
    </c:plotArea>
    <c:legend>
      <c:legendPos val="b"/>
      <c:layout>
        <c:manualLayout>
          <c:xMode val="edge"/>
          <c:yMode val="edge"/>
          <c:x val="8.0289395857067181E-3"/>
          <c:y val="0.86714554937397748"/>
          <c:w val="0.98289481343746343"/>
          <c:h val="0.1233574576253902"/>
        </c:manualLayout>
      </c:layout>
      <c:overlay val="0"/>
      <c:spPr>
        <a:noFill/>
        <a:ln w="6350">
          <a:solidFill>
            <a:schemeClr val="tx1"/>
          </a:solidFill>
        </a:ln>
      </c:spPr>
    </c:legend>
    <c:plotVisOnly val="1"/>
    <c:dispBlanksAs val="gap"/>
    <c:showDLblsOverMax val="0"/>
  </c:chart>
  <c:spPr>
    <a:solidFill>
      <a:srgbClr val="FFFFFF"/>
    </a:solidFill>
    <a:ln w="3175">
      <a:noFill/>
      <a:prstDash val="solid"/>
    </a:ln>
  </c:spPr>
  <c:txPr>
    <a:bodyPr/>
    <a:lstStyle/>
    <a:p>
      <a:pPr>
        <a:defRPr sz="800" b="0" i="0" u="none" strike="noStrike" baseline="0">
          <a:solidFill>
            <a:srgbClr val="000000"/>
          </a:solidFill>
          <a:latin typeface="Arial CE"/>
          <a:ea typeface="Arial CE"/>
          <a:cs typeface="Arial CE"/>
        </a:defRPr>
      </a:pPr>
      <a:endParaRPr lang="cs-CZ"/>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2463354219552944E-2"/>
          <c:y val="1.5803328678987451E-2"/>
          <c:w val="0.86647319020345381"/>
          <c:h val="0.72803718351631797"/>
        </c:manualLayout>
      </c:layout>
      <c:barChart>
        <c:barDir val="col"/>
        <c:grouping val="stacked"/>
        <c:varyColors val="0"/>
        <c:ser>
          <c:idx val="0"/>
          <c:order val="1"/>
          <c:tx>
            <c:strRef>
              <c:f>'Služby-příspěvkyk růstu'!$D$25</c:f>
              <c:strCache>
                <c:ptCount val="1"/>
                <c:pt idx="0">
                  <c:v>Doprava a skladování</c:v>
                </c:pt>
              </c:strCache>
            </c:strRef>
          </c:tx>
          <c:spPr>
            <a:ln>
              <a:noFill/>
            </a:ln>
          </c:spPr>
          <c:invertIfNegative val="0"/>
          <c:cat>
            <c:multiLvlStrRef>
              <c:f>'Služby-příspěvkyk růstu'!$A$26:$B$57</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2012</c:v>
                  </c:pt>
                  <c:pt idx="4">
                    <c:v>2013</c:v>
                  </c:pt>
                  <c:pt idx="8">
                    <c:v>2014</c:v>
                  </c:pt>
                  <c:pt idx="12">
                    <c:v>2015</c:v>
                  </c:pt>
                  <c:pt idx="16">
                    <c:v>2016</c:v>
                  </c:pt>
                  <c:pt idx="20">
                    <c:v>2017</c:v>
                  </c:pt>
                  <c:pt idx="24">
                    <c:v>2018</c:v>
                  </c:pt>
                  <c:pt idx="28">
                    <c:v>2019</c:v>
                  </c:pt>
                </c:lvl>
              </c:multiLvlStrCache>
            </c:multiLvlStrRef>
          </c:cat>
          <c:val>
            <c:numRef>
              <c:f>'Služby-příspěvkyk růstu'!$D$26:$D$57</c:f>
              <c:numCache>
                <c:formatCode>0.0</c:formatCode>
                <c:ptCount val="32"/>
                <c:pt idx="0">
                  <c:v>0.43191998983539565</c:v>
                </c:pt>
                <c:pt idx="1">
                  <c:v>0.66333375922143512</c:v>
                </c:pt>
                <c:pt idx="2">
                  <c:v>1.2791398260001572</c:v>
                </c:pt>
                <c:pt idx="3">
                  <c:v>-0.53271916185202561</c:v>
                </c:pt>
                <c:pt idx="4">
                  <c:v>0.90288300616908002</c:v>
                </c:pt>
                <c:pt idx="5">
                  <c:v>0.80698407861996879</c:v>
                </c:pt>
                <c:pt idx="6">
                  <c:v>0.57831552602430325</c:v>
                </c:pt>
                <c:pt idx="7">
                  <c:v>2.8060347040089466</c:v>
                </c:pt>
                <c:pt idx="8">
                  <c:v>0.97830647478171584</c:v>
                </c:pt>
                <c:pt idx="9">
                  <c:v>0.72319048554818133</c:v>
                </c:pt>
                <c:pt idx="10">
                  <c:v>1.2187713396299102</c:v>
                </c:pt>
                <c:pt idx="11">
                  <c:v>-0.13187528956663824</c:v>
                </c:pt>
                <c:pt idx="12">
                  <c:v>0.17678420459666908</c:v>
                </c:pt>
                <c:pt idx="13">
                  <c:v>-4.1142603966534207E-2</c:v>
                </c:pt>
                <c:pt idx="14">
                  <c:v>0.1974789599360518</c:v>
                </c:pt>
                <c:pt idx="15">
                  <c:v>4.4100127595165045E-2</c:v>
                </c:pt>
                <c:pt idx="16">
                  <c:v>0.28166181359078835</c:v>
                </c:pt>
                <c:pt idx="17">
                  <c:v>0.20692103974525453</c:v>
                </c:pt>
                <c:pt idx="18">
                  <c:v>0.13822128647433826</c:v>
                </c:pt>
                <c:pt idx="19">
                  <c:v>0.86056366284127561</c:v>
                </c:pt>
                <c:pt idx="20">
                  <c:v>1.6328068322029226</c:v>
                </c:pt>
                <c:pt idx="21">
                  <c:v>1.0875660780966196</c:v>
                </c:pt>
                <c:pt idx="22">
                  <c:v>1.1378548611106076</c:v>
                </c:pt>
                <c:pt idx="23">
                  <c:v>0.60484518288217237</c:v>
                </c:pt>
                <c:pt idx="24">
                  <c:v>1.7511692205268421</c:v>
                </c:pt>
                <c:pt idx="25">
                  <c:v>1.919432195003689</c:v>
                </c:pt>
                <c:pt idx="26">
                  <c:v>1.468778873734859</c:v>
                </c:pt>
                <c:pt idx="27">
                  <c:v>0.49882746808583972</c:v>
                </c:pt>
                <c:pt idx="28">
                  <c:v>0.75233594161737627</c:v>
                </c:pt>
                <c:pt idx="29">
                  <c:v>-7.9304890776343617E-2</c:v>
                </c:pt>
                <c:pt idx="30">
                  <c:v>-0.67512827232934247</c:v>
                </c:pt>
                <c:pt idx="31">
                  <c:v>-0.53929406168792737</c:v>
                </c:pt>
              </c:numCache>
            </c:numRef>
          </c:val>
          <c:extLst>
            <c:ext xmlns:c16="http://schemas.microsoft.com/office/drawing/2014/chart" uri="{C3380CC4-5D6E-409C-BE32-E72D297353CC}">
              <c16:uniqueId val="{00000000-F2DD-4426-B39C-54BA02CE298E}"/>
            </c:ext>
          </c:extLst>
        </c:ser>
        <c:ser>
          <c:idx val="1"/>
          <c:order val="2"/>
          <c:tx>
            <c:strRef>
              <c:f>'Služby-příspěvkyk růstu'!$E$25</c:f>
              <c:strCache>
                <c:ptCount val="1"/>
                <c:pt idx="0">
                  <c:v>Ubytování, stravování a pohostinství</c:v>
                </c:pt>
              </c:strCache>
            </c:strRef>
          </c:tx>
          <c:spPr>
            <a:ln>
              <a:noFill/>
            </a:ln>
          </c:spPr>
          <c:invertIfNegative val="0"/>
          <c:cat>
            <c:multiLvlStrRef>
              <c:f>'Služby-příspěvkyk růstu'!$A$26:$B$57</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2012</c:v>
                  </c:pt>
                  <c:pt idx="4">
                    <c:v>2013</c:v>
                  </c:pt>
                  <c:pt idx="8">
                    <c:v>2014</c:v>
                  </c:pt>
                  <c:pt idx="12">
                    <c:v>2015</c:v>
                  </c:pt>
                  <c:pt idx="16">
                    <c:v>2016</c:v>
                  </c:pt>
                  <c:pt idx="20">
                    <c:v>2017</c:v>
                  </c:pt>
                  <c:pt idx="24">
                    <c:v>2018</c:v>
                  </c:pt>
                  <c:pt idx="28">
                    <c:v>2019</c:v>
                  </c:pt>
                </c:lvl>
              </c:multiLvlStrCache>
            </c:multiLvlStrRef>
          </c:cat>
          <c:val>
            <c:numRef>
              <c:f>'Služby-příspěvkyk růstu'!$E$26:$E$57</c:f>
              <c:numCache>
                <c:formatCode>0.0</c:formatCode>
                <c:ptCount val="32"/>
                <c:pt idx="0">
                  <c:v>-0.18592983251326589</c:v>
                </c:pt>
                <c:pt idx="1">
                  <c:v>-0.23202357573458587</c:v>
                </c:pt>
                <c:pt idx="2">
                  <c:v>-0.16559933023792778</c:v>
                </c:pt>
                <c:pt idx="3">
                  <c:v>-0.30845461117760814</c:v>
                </c:pt>
                <c:pt idx="4">
                  <c:v>4.3938191000977331E-2</c:v>
                </c:pt>
                <c:pt idx="5">
                  <c:v>3.8645349419182087E-2</c:v>
                </c:pt>
                <c:pt idx="6">
                  <c:v>0.13539005860123743</c:v>
                </c:pt>
                <c:pt idx="7">
                  <c:v>5.5128620896128071E-2</c:v>
                </c:pt>
                <c:pt idx="8">
                  <c:v>-8.1477489853959528E-2</c:v>
                </c:pt>
                <c:pt idx="9">
                  <c:v>-5.1709898317767795E-2</c:v>
                </c:pt>
                <c:pt idx="10">
                  <c:v>-7.891529596770519E-2</c:v>
                </c:pt>
                <c:pt idx="11">
                  <c:v>0.62890649551115219</c:v>
                </c:pt>
                <c:pt idx="12">
                  <c:v>0.23117761835012351</c:v>
                </c:pt>
                <c:pt idx="13">
                  <c:v>0.65517333666107125</c:v>
                </c:pt>
                <c:pt idx="14">
                  <c:v>0.65622217746122746</c:v>
                </c:pt>
                <c:pt idx="15">
                  <c:v>0.40151103547324907</c:v>
                </c:pt>
                <c:pt idx="16">
                  <c:v>0.42949178914699221</c:v>
                </c:pt>
                <c:pt idx="17">
                  <c:v>0.18923041762394455</c:v>
                </c:pt>
                <c:pt idx="18">
                  <c:v>0.56803284767473683</c:v>
                </c:pt>
                <c:pt idx="19">
                  <c:v>0.59863914821539044</c:v>
                </c:pt>
                <c:pt idx="20">
                  <c:v>0.95183083817999614</c:v>
                </c:pt>
                <c:pt idx="21">
                  <c:v>1.2114688392981621</c:v>
                </c:pt>
                <c:pt idx="22">
                  <c:v>0.55113645410264323</c:v>
                </c:pt>
                <c:pt idx="23">
                  <c:v>0.45462717250539203</c:v>
                </c:pt>
                <c:pt idx="24">
                  <c:v>0.18144865877241922</c:v>
                </c:pt>
                <c:pt idx="25">
                  <c:v>6.8047966010392827E-2</c:v>
                </c:pt>
                <c:pt idx="26">
                  <c:v>5.8849522681225439E-2</c:v>
                </c:pt>
                <c:pt idx="27">
                  <c:v>-3.6624106551020275E-2</c:v>
                </c:pt>
                <c:pt idx="28">
                  <c:v>0.2195464265987532</c:v>
                </c:pt>
                <c:pt idx="29">
                  <c:v>0.16903929045485583</c:v>
                </c:pt>
                <c:pt idx="30">
                  <c:v>-1.7591071373448529E-2</c:v>
                </c:pt>
                <c:pt idx="31">
                  <c:v>-1.9422304392821957E-2</c:v>
                </c:pt>
              </c:numCache>
            </c:numRef>
          </c:val>
          <c:extLst>
            <c:ext xmlns:c16="http://schemas.microsoft.com/office/drawing/2014/chart" uri="{C3380CC4-5D6E-409C-BE32-E72D297353CC}">
              <c16:uniqueId val="{00000001-F2DD-4426-B39C-54BA02CE298E}"/>
            </c:ext>
          </c:extLst>
        </c:ser>
        <c:ser>
          <c:idx val="2"/>
          <c:order val="3"/>
          <c:tx>
            <c:strRef>
              <c:f>'Služby-příspěvkyk růstu'!$F$25</c:f>
              <c:strCache>
                <c:ptCount val="1"/>
                <c:pt idx="0">
                  <c:v>Informační a komunikační činnosti</c:v>
                </c:pt>
              </c:strCache>
            </c:strRef>
          </c:tx>
          <c:spPr>
            <a:ln>
              <a:noFill/>
            </a:ln>
          </c:spPr>
          <c:invertIfNegative val="0"/>
          <c:cat>
            <c:multiLvlStrRef>
              <c:f>'Služby-příspěvkyk růstu'!$A$26:$B$57</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2012</c:v>
                  </c:pt>
                  <c:pt idx="4">
                    <c:v>2013</c:v>
                  </c:pt>
                  <c:pt idx="8">
                    <c:v>2014</c:v>
                  </c:pt>
                  <c:pt idx="12">
                    <c:v>2015</c:v>
                  </c:pt>
                  <c:pt idx="16">
                    <c:v>2016</c:v>
                  </c:pt>
                  <c:pt idx="20">
                    <c:v>2017</c:v>
                  </c:pt>
                  <c:pt idx="24">
                    <c:v>2018</c:v>
                  </c:pt>
                  <c:pt idx="28">
                    <c:v>2019</c:v>
                  </c:pt>
                </c:lvl>
              </c:multiLvlStrCache>
            </c:multiLvlStrRef>
          </c:cat>
          <c:val>
            <c:numRef>
              <c:f>'Služby-příspěvkyk růstu'!$F$26:$F$57</c:f>
              <c:numCache>
                <c:formatCode>0.0</c:formatCode>
                <c:ptCount val="32"/>
                <c:pt idx="0">
                  <c:v>0.14684653735824613</c:v>
                </c:pt>
                <c:pt idx="1">
                  <c:v>-1.3198262082582986E-2</c:v>
                </c:pt>
                <c:pt idx="2">
                  <c:v>0.26611556612644732</c:v>
                </c:pt>
                <c:pt idx="3">
                  <c:v>-6.6505121032571141E-2</c:v>
                </c:pt>
                <c:pt idx="4">
                  <c:v>-0.35656165738649603</c:v>
                </c:pt>
                <c:pt idx="5">
                  <c:v>5.3644476063567485E-4</c:v>
                </c:pt>
                <c:pt idx="6">
                  <c:v>-0.43822150144124394</c:v>
                </c:pt>
                <c:pt idx="7">
                  <c:v>6.4617171303634535E-2</c:v>
                </c:pt>
                <c:pt idx="8">
                  <c:v>5.503087060633078E-2</c:v>
                </c:pt>
                <c:pt idx="9">
                  <c:v>0.2076729980645598</c:v>
                </c:pt>
                <c:pt idx="10">
                  <c:v>0.5549850227757358</c:v>
                </c:pt>
                <c:pt idx="11">
                  <c:v>0.3901211155247678</c:v>
                </c:pt>
                <c:pt idx="12">
                  <c:v>1.4063208469213437</c:v>
                </c:pt>
                <c:pt idx="13">
                  <c:v>0.82443942688163474</c:v>
                </c:pt>
                <c:pt idx="14">
                  <c:v>0.81792809882639494</c:v>
                </c:pt>
                <c:pt idx="15">
                  <c:v>1.3074153955222541</c:v>
                </c:pt>
                <c:pt idx="16">
                  <c:v>0.36940166834784149</c:v>
                </c:pt>
                <c:pt idx="17">
                  <c:v>0.13353542081881928</c:v>
                </c:pt>
                <c:pt idx="18">
                  <c:v>0.33302131533229939</c:v>
                </c:pt>
                <c:pt idx="19">
                  <c:v>0.17729355556114995</c:v>
                </c:pt>
                <c:pt idx="20">
                  <c:v>0.73598215067156625</c:v>
                </c:pt>
                <c:pt idx="21">
                  <c:v>1.0078518119893651</c:v>
                </c:pt>
                <c:pt idx="22">
                  <c:v>0.77848398616253034</c:v>
                </c:pt>
                <c:pt idx="23">
                  <c:v>0.59029299649215194</c:v>
                </c:pt>
                <c:pt idx="24">
                  <c:v>1.4571786542074963</c:v>
                </c:pt>
                <c:pt idx="25">
                  <c:v>0.76023226586947656</c:v>
                </c:pt>
                <c:pt idx="26">
                  <c:v>1.4180945031018091</c:v>
                </c:pt>
                <c:pt idx="27">
                  <c:v>0.98416336470675536</c:v>
                </c:pt>
                <c:pt idx="28">
                  <c:v>1.2345719301142268</c:v>
                </c:pt>
                <c:pt idx="29">
                  <c:v>1.1685388565286352</c:v>
                </c:pt>
                <c:pt idx="30">
                  <c:v>0.89236199644931158</c:v>
                </c:pt>
                <c:pt idx="31">
                  <c:v>1.1649247825769646</c:v>
                </c:pt>
              </c:numCache>
            </c:numRef>
          </c:val>
          <c:extLst>
            <c:ext xmlns:c16="http://schemas.microsoft.com/office/drawing/2014/chart" uri="{C3380CC4-5D6E-409C-BE32-E72D297353CC}">
              <c16:uniqueId val="{00000002-F2DD-4426-B39C-54BA02CE298E}"/>
            </c:ext>
          </c:extLst>
        </c:ser>
        <c:ser>
          <c:idx val="4"/>
          <c:order val="4"/>
          <c:tx>
            <c:strRef>
              <c:f>'Služby-příspěvkyk růstu'!$G$25</c:f>
              <c:strCache>
                <c:ptCount val="1"/>
                <c:pt idx="0">
                  <c:v>Činnosti v oblasti nemovitostí</c:v>
                </c:pt>
              </c:strCache>
            </c:strRef>
          </c:tx>
          <c:spPr>
            <a:ln>
              <a:noFill/>
              <a:prstDash val="sysDash"/>
            </a:ln>
          </c:spPr>
          <c:invertIfNegative val="0"/>
          <c:cat>
            <c:multiLvlStrRef>
              <c:f>'Služby-příspěvkyk růstu'!$A$26:$B$57</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2012</c:v>
                  </c:pt>
                  <c:pt idx="4">
                    <c:v>2013</c:v>
                  </c:pt>
                  <c:pt idx="8">
                    <c:v>2014</c:v>
                  </c:pt>
                  <c:pt idx="12">
                    <c:v>2015</c:v>
                  </c:pt>
                  <c:pt idx="16">
                    <c:v>2016</c:v>
                  </c:pt>
                  <c:pt idx="20">
                    <c:v>2017</c:v>
                  </c:pt>
                  <c:pt idx="24">
                    <c:v>2018</c:v>
                  </c:pt>
                  <c:pt idx="28">
                    <c:v>2019</c:v>
                  </c:pt>
                </c:lvl>
              </c:multiLvlStrCache>
            </c:multiLvlStrRef>
          </c:cat>
          <c:val>
            <c:numRef>
              <c:f>'Služby-příspěvkyk růstu'!$G$26:$G$57</c:f>
              <c:numCache>
                <c:formatCode>0.0</c:formatCode>
                <c:ptCount val="32"/>
                <c:pt idx="0">
                  <c:v>-0.34137236158909179</c:v>
                </c:pt>
                <c:pt idx="1">
                  <c:v>-0.32388973194562126</c:v>
                </c:pt>
                <c:pt idx="2">
                  <c:v>-0.37058828980655789</c:v>
                </c:pt>
                <c:pt idx="3">
                  <c:v>-0.30099897115709839</c:v>
                </c:pt>
                <c:pt idx="4">
                  <c:v>-0.12420970825265641</c:v>
                </c:pt>
                <c:pt idx="5">
                  <c:v>-0.28603737777812438</c:v>
                </c:pt>
                <c:pt idx="6">
                  <c:v>0.14203788124466329</c:v>
                </c:pt>
                <c:pt idx="7">
                  <c:v>-0.4964721024754466</c:v>
                </c:pt>
                <c:pt idx="8">
                  <c:v>-0.27243920620683193</c:v>
                </c:pt>
                <c:pt idx="9">
                  <c:v>0.13121599842368425</c:v>
                </c:pt>
                <c:pt idx="10">
                  <c:v>-2.3565265518776128E-2</c:v>
                </c:pt>
                <c:pt idx="11">
                  <c:v>-0.14403624877141019</c:v>
                </c:pt>
                <c:pt idx="12">
                  <c:v>4.5114687229023245E-2</c:v>
                </c:pt>
                <c:pt idx="13">
                  <c:v>-4.6332032044239775E-3</c:v>
                </c:pt>
                <c:pt idx="14">
                  <c:v>8.501573906631088E-2</c:v>
                </c:pt>
                <c:pt idx="15">
                  <c:v>4.2208307670905748E-2</c:v>
                </c:pt>
                <c:pt idx="16">
                  <c:v>0.22367935728325808</c:v>
                </c:pt>
                <c:pt idx="17">
                  <c:v>6.8179121728202077E-2</c:v>
                </c:pt>
                <c:pt idx="18">
                  <c:v>0.11569139996329859</c:v>
                </c:pt>
                <c:pt idx="19">
                  <c:v>-7.0466111464403208E-2</c:v>
                </c:pt>
                <c:pt idx="20">
                  <c:v>0.28170347429286569</c:v>
                </c:pt>
                <c:pt idx="21">
                  <c:v>0.36183937476132333</c:v>
                </c:pt>
                <c:pt idx="22">
                  <c:v>-3.8722622297636566E-2</c:v>
                </c:pt>
                <c:pt idx="23">
                  <c:v>0.13751786345915923</c:v>
                </c:pt>
                <c:pt idx="24">
                  <c:v>-1.6524920273683675E-2</c:v>
                </c:pt>
                <c:pt idx="25">
                  <c:v>-0.22648211104296087</c:v>
                </c:pt>
                <c:pt idx="26">
                  <c:v>-0.12424593628184907</c:v>
                </c:pt>
                <c:pt idx="27">
                  <c:v>-0.20693626254554429</c:v>
                </c:pt>
                <c:pt idx="28">
                  <c:v>0.14696794950550035</c:v>
                </c:pt>
                <c:pt idx="29">
                  <c:v>-2.7570979798889395E-2</c:v>
                </c:pt>
                <c:pt idx="30">
                  <c:v>-0.16565733749784456</c:v>
                </c:pt>
                <c:pt idx="31">
                  <c:v>-0.11837811878645006</c:v>
                </c:pt>
              </c:numCache>
            </c:numRef>
          </c:val>
          <c:extLst>
            <c:ext xmlns:c16="http://schemas.microsoft.com/office/drawing/2014/chart" uri="{C3380CC4-5D6E-409C-BE32-E72D297353CC}">
              <c16:uniqueId val="{00000003-F2DD-4426-B39C-54BA02CE298E}"/>
            </c:ext>
          </c:extLst>
        </c:ser>
        <c:ser>
          <c:idx val="5"/>
          <c:order val="5"/>
          <c:tx>
            <c:strRef>
              <c:f>'Služby-příspěvkyk růstu'!$H$25</c:f>
              <c:strCache>
                <c:ptCount val="1"/>
                <c:pt idx="0">
                  <c:v>Profesní, vědecké a technické činnosti</c:v>
                </c:pt>
              </c:strCache>
            </c:strRef>
          </c:tx>
          <c:spPr>
            <a:ln>
              <a:noFill/>
            </a:ln>
          </c:spPr>
          <c:invertIfNegative val="0"/>
          <c:cat>
            <c:multiLvlStrRef>
              <c:f>'Služby-příspěvkyk růstu'!$A$26:$B$57</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2012</c:v>
                  </c:pt>
                  <c:pt idx="4">
                    <c:v>2013</c:v>
                  </c:pt>
                  <c:pt idx="8">
                    <c:v>2014</c:v>
                  </c:pt>
                  <c:pt idx="12">
                    <c:v>2015</c:v>
                  </c:pt>
                  <c:pt idx="16">
                    <c:v>2016</c:v>
                  </c:pt>
                  <c:pt idx="20">
                    <c:v>2017</c:v>
                  </c:pt>
                  <c:pt idx="24">
                    <c:v>2018</c:v>
                  </c:pt>
                  <c:pt idx="28">
                    <c:v>2019</c:v>
                  </c:pt>
                </c:lvl>
              </c:multiLvlStrCache>
            </c:multiLvlStrRef>
          </c:cat>
          <c:val>
            <c:numRef>
              <c:f>'Služby-příspěvkyk růstu'!$H$26:$H$57</c:f>
              <c:numCache>
                <c:formatCode>0.0</c:formatCode>
                <c:ptCount val="32"/>
                <c:pt idx="0">
                  <c:v>0.26056367570512462</c:v>
                </c:pt>
                <c:pt idx="1">
                  <c:v>-1.2681563969543717</c:v>
                </c:pt>
                <c:pt idx="2">
                  <c:v>-0.34037451364596788</c:v>
                </c:pt>
                <c:pt idx="3">
                  <c:v>6.7919988073555683E-3</c:v>
                </c:pt>
                <c:pt idx="4">
                  <c:v>-1.0874700024353192</c:v>
                </c:pt>
                <c:pt idx="5">
                  <c:v>-1.5480941959914887</c:v>
                </c:pt>
                <c:pt idx="6">
                  <c:v>-1.8394581714901601</c:v>
                </c:pt>
                <c:pt idx="7">
                  <c:v>-1.3204939098994952</c:v>
                </c:pt>
                <c:pt idx="8">
                  <c:v>-1.4950404628872149</c:v>
                </c:pt>
                <c:pt idx="9">
                  <c:v>0.15948422892432759</c:v>
                </c:pt>
                <c:pt idx="10">
                  <c:v>0.74053513016277428</c:v>
                </c:pt>
                <c:pt idx="11">
                  <c:v>-0.9975998818470686</c:v>
                </c:pt>
                <c:pt idx="12">
                  <c:v>1.0465087447120796</c:v>
                </c:pt>
                <c:pt idx="13">
                  <c:v>0.71899529557978503</c:v>
                </c:pt>
                <c:pt idx="14">
                  <c:v>1.1388599213036827</c:v>
                </c:pt>
                <c:pt idx="15">
                  <c:v>-6.6242068802780274E-2</c:v>
                </c:pt>
                <c:pt idx="16">
                  <c:v>-0.34411462892244937</c:v>
                </c:pt>
                <c:pt idx="17">
                  <c:v>-1.4098204980910964</c:v>
                </c:pt>
                <c:pt idx="18">
                  <c:v>3.2649225551130943E-2</c:v>
                </c:pt>
                <c:pt idx="19">
                  <c:v>-0.33278353560183283</c:v>
                </c:pt>
                <c:pt idx="20">
                  <c:v>0.84802481927557105</c:v>
                </c:pt>
                <c:pt idx="21">
                  <c:v>0.68467323056450891</c:v>
                </c:pt>
                <c:pt idx="22">
                  <c:v>0.30540176568753491</c:v>
                </c:pt>
                <c:pt idx="23">
                  <c:v>0.4296415627003537</c:v>
                </c:pt>
                <c:pt idx="24">
                  <c:v>1.1045103780905805</c:v>
                </c:pt>
                <c:pt idx="25">
                  <c:v>0.53164385977728257</c:v>
                </c:pt>
                <c:pt idx="26">
                  <c:v>0.35977038412315243</c:v>
                </c:pt>
                <c:pt idx="27">
                  <c:v>-0.26464964990043283</c:v>
                </c:pt>
                <c:pt idx="28">
                  <c:v>0.68091892995391812</c:v>
                </c:pt>
                <c:pt idx="29">
                  <c:v>0.61155652902522017</c:v>
                </c:pt>
                <c:pt idx="30">
                  <c:v>-0.82404704134539009</c:v>
                </c:pt>
                <c:pt idx="31">
                  <c:v>-0.54931785073438844</c:v>
                </c:pt>
              </c:numCache>
            </c:numRef>
          </c:val>
          <c:extLst>
            <c:ext xmlns:c16="http://schemas.microsoft.com/office/drawing/2014/chart" uri="{C3380CC4-5D6E-409C-BE32-E72D297353CC}">
              <c16:uniqueId val="{00000004-F2DD-4426-B39C-54BA02CE298E}"/>
            </c:ext>
          </c:extLst>
        </c:ser>
        <c:ser>
          <c:idx val="6"/>
          <c:order val="6"/>
          <c:tx>
            <c:strRef>
              <c:f>'Služby-příspěvkyk růstu'!$I$25</c:f>
              <c:strCache>
                <c:ptCount val="1"/>
                <c:pt idx="0">
                  <c:v>Administrativní a podpůrné činnosti</c:v>
                </c:pt>
              </c:strCache>
            </c:strRef>
          </c:tx>
          <c:spPr>
            <a:ln>
              <a:noFill/>
            </a:ln>
          </c:spPr>
          <c:invertIfNegative val="0"/>
          <c:cat>
            <c:multiLvlStrRef>
              <c:f>'Služby-příspěvkyk růstu'!$A$26:$B$57</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2012</c:v>
                  </c:pt>
                  <c:pt idx="4">
                    <c:v>2013</c:v>
                  </c:pt>
                  <c:pt idx="8">
                    <c:v>2014</c:v>
                  </c:pt>
                  <c:pt idx="12">
                    <c:v>2015</c:v>
                  </c:pt>
                  <c:pt idx="16">
                    <c:v>2016</c:v>
                  </c:pt>
                  <c:pt idx="20">
                    <c:v>2017</c:v>
                  </c:pt>
                  <c:pt idx="24">
                    <c:v>2018</c:v>
                  </c:pt>
                  <c:pt idx="28">
                    <c:v>2019</c:v>
                  </c:pt>
                </c:lvl>
              </c:multiLvlStrCache>
            </c:multiLvlStrRef>
          </c:cat>
          <c:val>
            <c:numRef>
              <c:f>'Služby-příspěvkyk růstu'!$I$26:$I$57</c:f>
              <c:numCache>
                <c:formatCode>0.0</c:formatCode>
                <c:ptCount val="32"/>
                <c:pt idx="0">
                  <c:v>0.50933352272292842</c:v>
                </c:pt>
                <c:pt idx="1">
                  <c:v>0.24565467207768599</c:v>
                </c:pt>
                <c:pt idx="2">
                  <c:v>0.43263158283951764</c:v>
                </c:pt>
                <c:pt idx="3">
                  <c:v>-0.1954380072477136</c:v>
                </c:pt>
                <c:pt idx="4">
                  <c:v>-4.6157108767479256E-2</c:v>
                </c:pt>
                <c:pt idx="5">
                  <c:v>0.11156845127038885</c:v>
                </c:pt>
                <c:pt idx="6">
                  <c:v>9.5698006705440861E-2</c:v>
                </c:pt>
                <c:pt idx="7">
                  <c:v>0.39258903384665172</c:v>
                </c:pt>
                <c:pt idx="8">
                  <c:v>-0.17112005260044436</c:v>
                </c:pt>
                <c:pt idx="9">
                  <c:v>0.54546233626259299</c:v>
                </c:pt>
                <c:pt idx="10">
                  <c:v>0.38601770735091684</c:v>
                </c:pt>
                <c:pt idx="11">
                  <c:v>0.5291203825218157</c:v>
                </c:pt>
                <c:pt idx="12">
                  <c:v>0.51421326534391676</c:v>
                </c:pt>
                <c:pt idx="13">
                  <c:v>0.62116568461804889</c:v>
                </c:pt>
                <c:pt idx="14">
                  <c:v>0.43416445431934747</c:v>
                </c:pt>
                <c:pt idx="15">
                  <c:v>0.50274935479142402</c:v>
                </c:pt>
                <c:pt idx="16">
                  <c:v>0.52429949141648902</c:v>
                </c:pt>
                <c:pt idx="17">
                  <c:v>0.16570167360343493</c:v>
                </c:pt>
                <c:pt idx="18">
                  <c:v>0.26961649380729313</c:v>
                </c:pt>
                <c:pt idx="19">
                  <c:v>0.51431629338922669</c:v>
                </c:pt>
                <c:pt idx="20">
                  <c:v>1.2356312951926256</c:v>
                </c:pt>
                <c:pt idx="21">
                  <c:v>1.0866573951085376</c:v>
                </c:pt>
                <c:pt idx="22">
                  <c:v>0.64106947424468408</c:v>
                </c:pt>
                <c:pt idx="23">
                  <c:v>0.30440357534892626</c:v>
                </c:pt>
                <c:pt idx="24">
                  <c:v>0.53272062163062639</c:v>
                </c:pt>
                <c:pt idx="25">
                  <c:v>0.37833296302356378</c:v>
                </c:pt>
                <c:pt idx="26">
                  <c:v>0.43545533031232775</c:v>
                </c:pt>
                <c:pt idx="27">
                  <c:v>-1.237765959276311E-2</c:v>
                </c:pt>
                <c:pt idx="28">
                  <c:v>0.47282485439966671</c:v>
                </c:pt>
                <c:pt idx="29">
                  <c:v>0.12918024380744797</c:v>
                </c:pt>
                <c:pt idx="30">
                  <c:v>-0.12207408079754292</c:v>
                </c:pt>
                <c:pt idx="31">
                  <c:v>-0.21599446728932631</c:v>
                </c:pt>
              </c:numCache>
            </c:numRef>
          </c:val>
          <c:extLst>
            <c:ext xmlns:c16="http://schemas.microsoft.com/office/drawing/2014/chart" uri="{C3380CC4-5D6E-409C-BE32-E72D297353CC}">
              <c16:uniqueId val="{00000005-F2DD-4426-B39C-54BA02CE298E}"/>
            </c:ext>
          </c:extLst>
        </c:ser>
        <c:dLbls>
          <c:showLegendKey val="0"/>
          <c:showVal val="0"/>
          <c:showCatName val="0"/>
          <c:showSerName val="0"/>
          <c:showPercent val="0"/>
          <c:showBubbleSize val="0"/>
        </c:dLbls>
        <c:gapWidth val="32"/>
        <c:overlap val="100"/>
        <c:axId val="156100864"/>
        <c:axId val="156573696"/>
      </c:barChart>
      <c:lineChart>
        <c:grouping val="standard"/>
        <c:varyColors val="0"/>
        <c:ser>
          <c:idx val="3"/>
          <c:order val="0"/>
          <c:tx>
            <c:strRef>
              <c:f>'Služby-příspěvkyk růstu'!$C$25</c:f>
              <c:strCache>
                <c:ptCount val="1"/>
                <c:pt idx="0">
                  <c:v>Služby celkem</c:v>
                </c:pt>
              </c:strCache>
            </c:strRef>
          </c:tx>
          <c:spPr>
            <a:ln>
              <a:noFill/>
            </a:ln>
          </c:spPr>
          <c:marker>
            <c:symbol val="dash"/>
            <c:size val="10"/>
            <c:spPr>
              <a:solidFill>
                <a:schemeClr val="tx1">
                  <a:lumMod val="95000"/>
                  <a:lumOff val="5000"/>
                </a:schemeClr>
              </a:solidFill>
              <a:ln>
                <a:noFill/>
              </a:ln>
            </c:spPr>
          </c:marker>
          <c:cat>
            <c:multiLvlStrRef>
              <c:f>'Služby-příspěvkyk růstu'!$A$26:$B$57</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2012</c:v>
                  </c:pt>
                  <c:pt idx="4">
                    <c:v>2013</c:v>
                  </c:pt>
                  <c:pt idx="8">
                    <c:v>2014</c:v>
                  </c:pt>
                  <c:pt idx="12">
                    <c:v>2015</c:v>
                  </c:pt>
                  <c:pt idx="16">
                    <c:v>2016</c:v>
                  </c:pt>
                  <c:pt idx="20">
                    <c:v>2017</c:v>
                  </c:pt>
                  <c:pt idx="24">
                    <c:v>2018</c:v>
                  </c:pt>
                  <c:pt idx="28">
                    <c:v>2019</c:v>
                  </c:pt>
                </c:lvl>
              </c:multiLvlStrCache>
            </c:multiLvlStrRef>
          </c:cat>
          <c:val>
            <c:numRef>
              <c:f>'Služby-příspěvkyk růstu'!$C$26:$C$57</c:f>
              <c:numCache>
                <c:formatCode>0.0</c:formatCode>
                <c:ptCount val="32"/>
                <c:pt idx="0">
                  <c:v>0.44716083626813941</c:v>
                </c:pt>
                <c:pt idx="1">
                  <c:v>-1.205618351088134</c:v>
                </c:pt>
                <c:pt idx="2">
                  <c:v>1.1119879111190585</c:v>
                </c:pt>
                <c:pt idx="3">
                  <c:v>-1.3703161378149815</c:v>
                </c:pt>
                <c:pt idx="4">
                  <c:v>-0.22134403967748995</c:v>
                </c:pt>
                <c:pt idx="5">
                  <c:v>-0.88400747104550703</c:v>
                </c:pt>
                <c:pt idx="6">
                  <c:v>-1.3618552952282101</c:v>
                </c:pt>
                <c:pt idx="7">
                  <c:v>1.6284062996127346</c:v>
                </c:pt>
                <c:pt idx="8">
                  <c:v>-0.7859715475108402</c:v>
                </c:pt>
                <c:pt idx="9">
                  <c:v>1.5809745598362355</c:v>
                </c:pt>
                <c:pt idx="10">
                  <c:v>2.5911234214958512</c:v>
                </c:pt>
                <c:pt idx="11">
                  <c:v>0.43047434534355489</c:v>
                </c:pt>
                <c:pt idx="12">
                  <c:v>3.2637766911846455</c:v>
                </c:pt>
                <c:pt idx="13">
                  <c:v>2.7078584856150485</c:v>
                </c:pt>
                <c:pt idx="14">
                  <c:v>3.2907142690075517</c:v>
                </c:pt>
                <c:pt idx="15">
                  <c:v>2.1897925834519043</c:v>
                </c:pt>
                <c:pt idx="16">
                  <c:v>1.4456719593731719</c:v>
                </c:pt>
                <c:pt idx="17">
                  <c:v>-0.89050342973393981</c:v>
                </c:pt>
                <c:pt idx="18">
                  <c:v>1.4392341652332448</c:v>
                </c:pt>
                <c:pt idx="19">
                  <c:v>1.5966870501338946</c:v>
                </c:pt>
                <c:pt idx="20">
                  <c:v>5.6859794098155474</c:v>
                </c:pt>
                <c:pt idx="21">
                  <c:v>5.440056729818517</c:v>
                </c:pt>
                <c:pt idx="22">
                  <c:v>3.3752239190103639</c:v>
                </c:pt>
                <c:pt idx="23">
                  <c:v>2.5213283533881556</c:v>
                </c:pt>
                <c:pt idx="24">
                  <c:v>5.0105026129542809</c:v>
                </c:pt>
                <c:pt idx="25">
                  <c:v>3.4312071386414438</c:v>
                </c:pt>
                <c:pt idx="26">
                  <c:v>3.6167026776715248</c:v>
                </c:pt>
                <c:pt idx="27">
                  <c:v>0.96240315420283451</c:v>
                </c:pt>
                <c:pt idx="28">
                  <c:v>3.5071660321894416</c:v>
                </c:pt>
                <c:pt idx="29">
                  <c:v>1.9714390492409262</c:v>
                </c:pt>
                <c:pt idx="30">
                  <c:v>-0.91213580689425688</c:v>
                </c:pt>
                <c:pt idx="31">
                  <c:v>-0.27748202031394953</c:v>
                </c:pt>
              </c:numCache>
            </c:numRef>
          </c:val>
          <c:smooth val="0"/>
          <c:extLst>
            <c:ext xmlns:c16="http://schemas.microsoft.com/office/drawing/2014/chart" uri="{C3380CC4-5D6E-409C-BE32-E72D297353CC}">
              <c16:uniqueId val="{00000006-F2DD-4426-B39C-54BA02CE298E}"/>
            </c:ext>
          </c:extLst>
        </c:ser>
        <c:dLbls>
          <c:showLegendKey val="0"/>
          <c:showVal val="0"/>
          <c:showCatName val="0"/>
          <c:showSerName val="0"/>
          <c:showPercent val="0"/>
          <c:showBubbleSize val="0"/>
        </c:dLbls>
        <c:marker val="1"/>
        <c:smooth val="0"/>
        <c:axId val="156100864"/>
        <c:axId val="156573696"/>
      </c:lineChart>
      <c:lineChart>
        <c:grouping val="standard"/>
        <c:varyColors val="0"/>
        <c:ser>
          <c:idx val="7"/>
          <c:order val="7"/>
          <c:tx>
            <c:strRef>
              <c:f>'Služby-příspěvkyk růstu'!$J$25</c:f>
              <c:strCache>
                <c:ptCount val="1"/>
                <c:pt idx="0">
                  <c:v>Saldo indik.důvěry ve službách (pr. osa)</c:v>
                </c:pt>
              </c:strCache>
            </c:strRef>
          </c:tx>
          <c:spPr>
            <a:ln w="28575">
              <a:noFill/>
            </a:ln>
          </c:spPr>
          <c:marker>
            <c:symbol val="diamond"/>
            <c:size val="5"/>
            <c:spPr>
              <a:solidFill>
                <a:srgbClr val="FFFF00"/>
              </a:solidFill>
              <a:ln w="6350">
                <a:solidFill>
                  <a:schemeClr val="tx1">
                    <a:lumMod val="95000"/>
                    <a:lumOff val="5000"/>
                  </a:schemeClr>
                </a:solidFill>
              </a:ln>
            </c:spPr>
          </c:marker>
          <c:cat>
            <c:multiLvlStrRef>
              <c:f>'Služby-příspěvkyk růstu'!$A$26:$B$57</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2012</c:v>
                  </c:pt>
                  <c:pt idx="4">
                    <c:v>2013</c:v>
                  </c:pt>
                  <c:pt idx="8">
                    <c:v>2014</c:v>
                  </c:pt>
                  <c:pt idx="12">
                    <c:v>2015</c:v>
                  </c:pt>
                  <c:pt idx="16">
                    <c:v>2016</c:v>
                  </c:pt>
                  <c:pt idx="20">
                    <c:v>2017</c:v>
                  </c:pt>
                  <c:pt idx="24">
                    <c:v>2018</c:v>
                  </c:pt>
                  <c:pt idx="28">
                    <c:v>2019</c:v>
                  </c:pt>
                </c:lvl>
              </c:multiLvlStrCache>
            </c:multiLvlStrRef>
          </c:cat>
          <c:val>
            <c:numRef>
              <c:f>'Služby-příspěvkyk růstu'!$J$26:$J$57</c:f>
              <c:numCache>
                <c:formatCode>0.0</c:formatCode>
                <c:ptCount val="32"/>
                <c:pt idx="0">
                  <c:v>26.333333333333332</c:v>
                </c:pt>
                <c:pt idx="1">
                  <c:v>25.666666666666668</c:v>
                </c:pt>
                <c:pt idx="2">
                  <c:v>23.866666666666664</c:v>
                </c:pt>
                <c:pt idx="3">
                  <c:v>23.3</c:v>
                </c:pt>
                <c:pt idx="4">
                  <c:v>23.666666666666668</c:v>
                </c:pt>
                <c:pt idx="5">
                  <c:v>22.233333333333334</c:v>
                </c:pt>
                <c:pt idx="6">
                  <c:v>22.366666666666664</c:v>
                </c:pt>
                <c:pt idx="7">
                  <c:v>26.333333333333332</c:v>
                </c:pt>
                <c:pt idx="8">
                  <c:v>26.900000000000002</c:v>
                </c:pt>
                <c:pt idx="9">
                  <c:v>26.666666666666668</c:v>
                </c:pt>
                <c:pt idx="10">
                  <c:v>29.233333333333334</c:v>
                </c:pt>
                <c:pt idx="11">
                  <c:v>31.666666666666668</c:v>
                </c:pt>
                <c:pt idx="12">
                  <c:v>29.466666666666669</c:v>
                </c:pt>
                <c:pt idx="13">
                  <c:v>29.133333333333336</c:v>
                </c:pt>
                <c:pt idx="14">
                  <c:v>30.633333333333336</c:v>
                </c:pt>
                <c:pt idx="15">
                  <c:v>32.466666666666669</c:v>
                </c:pt>
                <c:pt idx="16">
                  <c:v>33.56666666666667</c:v>
                </c:pt>
                <c:pt idx="17">
                  <c:v>32.43333333333333</c:v>
                </c:pt>
                <c:pt idx="18">
                  <c:v>33.666666666666664</c:v>
                </c:pt>
                <c:pt idx="19">
                  <c:v>36.700000000000003</c:v>
                </c:pt>
                <c:pt idx="20">
                  <c:v>35.299999999999997</c:v>
                </c:pt>
                <c:pt idx="21">
                  <c:v>37.366666666666667</c:v>
                </c:pt>
                <c:pt idx="22">
                  <c:v>37.533333333333331</c:v>
                </c:pt>
                <c:pt idx="23">
                  <c:v>35.9</c:v>
                </c:pt>
                <c:pt idx="24">
                  <c:v>37.199999999999996</c:v>
                </c:pt>
                <c:pt idx="25">
                  <c:v>37.56666666666667</c:v>
                </c:pt>
                <c:pt idx="26">
                  <c:v>38.1</c:v>
                </c:pt>
                <c:pt idx="27">
                  <c:v>39</c:v>
                </c:pt>
                <c:pt idx="28">
                  <c:v>38</c:v>
                </c:pt>
                <c:pt idx="29">
                  <c:v>34.666666666666664</c:v>
                </c:pt>
                <c:pt idx="30">
                  <c:v>33.233333333333334</c:v>
                </c:pt>
                <c:pt idx="31">
                  <c:v>32.133333333333333</c:v>
                </c:pt>
              </c:numCache>
            </c:numRef>
          </c:val>
          <c:smooth val="0"/>
          <c:extLst>
            <c:ext xmlns:c16="http://schemas.microsoft.com/office/drawing/2014/chart" uri="{C3380CC4-5D6E-409C-BE32-E72D297353CC}">
              <c16:uniqueId val="{00000007-F2DD-4426-B39C-54BA02CE298E}"/>
            </c:ext>
          </c:extLst>
        </c:ser>
        <c:ser>
          <c:idx val="8"/>
          <c:order val="8"/>
          <c:tx>
            <c:strRef>
              <c:f>'Služby-příspěvkyk růstu'!$K$25</c:f>
              <c:strCache>
                <c:ptCount val="1"/>
                <c:pt idx="0">
                  <c:v>Bariéra růstu: nedost. poptávka (pr. osa)</c:v>
                </c:pt>
              </c:strCache>
            </c:strRef>
          </c:tx>
          <c:spPr>
            <a:ln w="15875">
              <a:solidFill>
                <a:srgbClr val="00B050"/>
              </a:solidFill>
            </a:ln>
          </c:spPr>
          <c:marker>
            <c:symbol val="none"/>
          </c:marker>
          <c:cat>
            <c:multiLvlStrRef>
              <c:f>'Služby-příspěvkyk růstu'!$A$26:$B$57</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2012</c:v>
                  </c:pt>
                  <c:pt idx="4">
                    <c:v>2013</c:v>
                  </c:pt>
                  <c:pt idx="8">
                    <c:v>2014</c:v>
                  </c:pt>
                  <c:pt idx="12">
                    <c:v>2015</c:v>
                  </c:pt>
                  <c:pt idx="16">
                    <c:v>2016</c:v>
                  </c:pt>
                  <c:pt idx="20">
                    <c:v>2017</c:v>
                  </c:pt>
                  <c:pt idx="24">
                    <c:v>2018</c:v>
                  </c:pt>
                  <c:pt idx="28">
                    <c:v>2019</c:v>
                  </c:pt>
                </c:lvl>
              </c:multiLvlStrCache>
            </c:multiLvlStrRef>
          </c:cat>
          <c:val>
            <c:numRef>
              <c:f>'Služby-příspěvkyk růstu'!$K$26:$K$57</c:f>
              <c:numCache>
                <c:formatCode>#\ ##0.0</c:formatCode>
                <c:ptCount val="32"/>
                <c:pt idx="0">
                  <c:v>32.200000000000003</c:v>
                </c:pt>
                <c:pt idx="1">
                  <c:v>27.5</c:v>
                </c:pt>
                <c:pt idx="2">
                  <c:v>25.1</c:v>
                </c:pt>
                <c:pt idx="3">
                  <c:v>38.299999999999997</c:v>
                </c:pt>
                <c:pt idx="4">
                  <c:v>37.200000000000003</c:v>
                </c:pt>
                <c:pt idx="5">
                  <c:v>34.5</c:v>
                </c:pt>
                <c:pt idx="6">
                  <c:v>37.4</c:v>
                </c:pt>
                <c:pt idx="7">
                  <c:v>35.5</c:v>
                </c:pt>
                <c:pt idx="8">
                  <c:v>33.9</c:v>
                </c:pt>
                <c:pt idx="9">
                  <c:v>34.200000000000003</c:v>
                </c:pt>
                <c:pt idx="10">
                  <c:v>31.4</c:v>
                </c:pt>
                <c:pt idx="11">
                  <c:v>24.7</c:v>
                </c:pt>
                <c:pt idx="12">
                  <c:v>26.2</c:v>
                </c:pt>
                <c:pt idx="13">
                  <c:v>29</c:v>
                </c:pt>
                <c:pt idx="14">
                  <c:v>26.9</c:v>
                </c:pt>
                <c:pt idx="15">
                  <c:v>23.3</c:v>
                </c:pt>
                <c:pt idx="16">
                  <c:v>24</c:v>
                </c:pt>
                <c:pt idx="17">
                  <c:v>24.5</c:v>
                </c:pt>
                <c:pt idx="18">
                  <c:v>21</c:v>
                </c:pt>
                <c:pt idx="19">
                  <c:v>23.3</c:v>
                </c:pt>
                <c:pt idx="20">
                  <c:v>26.2</c:v>
                </c:pt>
                <c:pt idx="21">
                  <c:v>20.5</c:v>
                </c:pt>
                <c:pt idx="22">
                  <c:v>19.899999999999999</c:v>
                </c:pt>
                <c:pt idx="23">
                  <c:v>20.9</c:v>
                </c:pt>
                <c:pt idx="24">
                  <c:v>17.3</c:v>
                </c:pt>
                <c:pt idx="25">
                  <c:v>18.600000000000001</c:v>
                </c:pt>
                <c:pt idx="26">
                  <c:v>18.899999999999999</c:v>
                </c:pt>
                <c:pt idx="27">
                  <c:v>19.8</c:v>
                </c:pt>
                <c:pt idx="28">
                  <c:v>20.7</c:v>
                </c:pt>
                <c:pt idx="29">
                  <c:v>17.100000000000001</c:v>
                </c:pt>
                <c:pt idx="30">
                  <c:v>21.7</c:v>
                </c:pt>
                <c:pt idx="31">
                  <c:v>14.1</c:v>
                </c:pt>
              </c:numCache>
            </c:numRef>
          </c:val>
          <c:smooth val="0"/>
          <c:extLst>
            <c:ext xmlns:c16="http://schemas.microsoft.com/office/drawing/2014/chart" uri="{C3380CC4-5D6E-409C-BE32-E72D297353CC}">
              <c16:uniqueId val="{00000008-F2DD-4426-B39C-54BA02CE298E}"/>
            </c:ext>
          </c:extLst>
        </c:ser>
        <c:ser>
          <c:idx val="9"/>
          <c:order val="9"/>
          <c:tx>
            <c:strRef>
              <c:f>'Služby-příspěvkyk růstu'!$L$25</c:f>
              <c:strCache>
                <c:ptCount val="1"/>
                <c:pt idx="0">
                  <c:v>Bariéra růstu: nedost. pracovníků (pr. osa)</c:v>
                </c:pt>
              </c:strCache>
            </c:strRef>
          </c:tx>
          <c:spPr>
            <a:ln w="15875">
              <a:solidFill>
                <a:srgbClr val="00B050"/>
              </a:solidFill>
              <a:prstDash val="sysDash"/>
            </a:ln>
          </c:spPr>
          <c:marker>
            <c:symbol val="none"/>
          </c:marker>
          <c:cat>
            <c:multiLvlStrRef>
              <c:f>'Služby-příspěvkyk růstu'!$A$26:$B$57</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2012</c:v>
                  </c:pt>
                  <c:pt idx="4">
                    <c:v>2013</c:v>
                  </c:pt>
                  <c:pt idx="8">
                    <c:v>2014</c:v>
                  </c:pt>
                  <c:pt idx="12">
                    <c:v>2015</c:v>
                  </c:pt>
                  <c:pt idx="16">
                    <c:v>2016</c:v>
                  </c:pt>
                  <c:pt idx="20">
                    <c:v>2017</c:v>
                  </c:pt>
                  <c:pt idx="24">
                    <c:v>2018</c:v>
                  </c:pt>
                  <c:pt idx="28">
                    <c:v>2019</c:v>
                  </c:pt>
                </c:lvl>
              </c:multiLvlStrCache>
            </c:multiLvlStrRef>
          </c:cat>
          <c:val>
            <c:numRef>
              <c:f>'Služby-příspěvkyk růstu'!$L$26:$L$57</c:f>
              <c:numCache>
                <c:formatCode>#\ ##0.0</c:formatCode>
                <c:ptCount val="32"/>
                <c:pt idx="0">
                  <c:v>0.8</c:v>
                </c:pt>
                <c:pt idx="1">
                  <c:v>2.6</c:v>
                </c:pt>
                <c:pt idx="2">
                  <c:v>3.7</c:v>
                </c:pt>
                <c:pt idx="3">
                  <c:v>1.5</c:v>
                </c:pt>
                <c:pt idx="4">
                  <c:v>0.8</c:v>
                </c:pt>
                <c:pt idx="5">
                  <c:v>0.3</c:v>
                </c:pt>
                <c:pt idx="6">
                  <c:v>0.1</c:v>
                </c:pt>
                <c:pt idx="7">
                  <c:v>2.1</c:v>
                </c:pt>
                <c:pt idx="8">
                  <c:v>0.8</c:v>
                </c:pt>
                <c:pt idx="9">
                  <c:v>2.6</c:v>
                </c:pt>
                <c:pt idx="10">
                  <c:v>2.5</c:v>
                </c:pt>
                <c:pt idx="11">
                  <c:v>3.8</c:v>
                </c:pt>
                <c:pt idx="12">
                  <c:v>2.8</c:v>
                </c:pt>
                <c:pt idx="13">
                  <c:v>5.7</c:v>
                </c:pt>
                <c:pt idx="14">
                  <c:v>5.9</c:v>
                </c:pt>
                <c:pt idx="15">
                  <c:v>5.8</c:v>
                </c:pt>
                <c:pt idx="16">
                  <c:v>8.6999999999999993</c:v>
                </c:pt>
                <c:pt idx="17">
                  <c:v>4.5999999999999996</c:v>
                </c:pt>
                <c:pt idx="18">
                  <c:v>7.1</c:v>
                </c:pt>
                <c:pt idx="19">
                  <c:v>9.1</c:v>
                </c:pt>
                <c:pt idx="20">
                  <c:v>10.1</c:v>
                </c:pt>
                <c:pt idx="21">
                  <c:v>10</c:v>
                </c:pt>
                <c:pt idx="22">
                  <c:v>9.3000000000000007</c:v>
                </c:pt>
                <c:pt idx="23">
                  <c:v>12.2</c:v>
                </c:pt>
                <c:pt idx="24">
                  <c:v>14.2</c:v>
                </c:pt>
                <c:pt idx="25">
                  <c:v>16.600000000000001</c:v>
                </c:pt>
                <c:pt idx="26">
                  <c:v>17.3</c:v>
                </c:pt>
                <c:pt idx="27">
                  <c:v>18.600000000000001</c:v>
                </c:pt>
                <c:pt idx="28">
                  <c:v>19.600000000000001</c:v>
                </c:pt>
                <c:pt idx="29">
                  <c:v>16.600000000000001</c:v>
                </c:pt>
                <c:pt idx="30">
                  <c:v>21.2</c:v>
                </c:pt>
                <c:pt idx="31">
                  <c:v>19.100000000000001</c:v>
                </c:pt>
              </c:numCache>
            </c:numRef>
          </c:val>
          <c:smooth val="0"/>
          <c:extLst>
            <c:ext xmlns:c16="http://schemas.microsoft.com/office/drawing/2014/chart" uri="{C3380CC4-5D6E-409C-BE32-E72D297353CC}">
              <c16:uniqueId val="{00000009-F2DD-4426-B39C-54BA02CE298E}"/>
            </c:ext>
          </c:extLst>
        </c:ser>
        <c:dLbls>
          <c:showLegendKey val="0"/>
          <c:showVal val="0"/>
          <c:showCatName val="0"/>
          <c:showSerName val="0"/>
          <c:showPercent val="0"/>
          <c:showBubbleSize val="0"/>
        </c:dLbls>
        <c:marker val="1"/>
        <c:smooth val="0"/>
        <c:axId val="156576768"/>
        <c:axId val="156575232"/>
      </c:lineChart>
      <c:catAx>
        <c:axId val="156100864"/>
        <c:scaling>
          <c:orientation val="minMax"/>
        </c:scaling>
        <c:delete val="0"/>
        <c:axPos val="b"/>
        <c:numFmt formatCode="General" sourceLinked="0"/>
        <c:majorTickMark val="out"/>
        <c:minorTickMark val="none"/>
        <c:tickLblPos val="low"/>
        <c:txPr>
          <a:bodyPr/>
          <a:lstStyle/>
          <a:p>
            <a:pPr>
              <a:defRPr sz="800"/>
            </a:pPr>
            <a:endParaRPr lang="cs-CZ"/>
          </a:p>
        </c:txPr>
        <c:crossAx val="156573696"/>
        <c:crosses val="autoZero"/>
        <c:auto val="1"/>
        <c:lblAlgn val="ctr"/>
        <c:lblOffset val="0"/>
        <c:noMultiLvlLbl val="0"/>
      </c:catAx>
      <c:valAx>
        <c:axId val="156573696"/>
        <c:scaling>
          <c:orientation val="minMax"/>
          <c:max val="7"/>
          <c:min val="-8"/>
        </c:scaling>
        <c:delete val="0"/>
        <c:axPos val="l"/>
        <c:majorGridlines>
          <c:spPr>
            <a:ln w="6350">
              <a:solidFill>
                <a:schemeClr val="bg1">
                  <a:lumMod val="75000"/>
                </a:schemeClr>
              </a:solidFill>
            </a:ln>
          </c:spPr>
        </c:majorGridlines>
        <c:title>
          <c:tx>
            <c:rich>
              <a:bodyPr/>
              <a:lstStyle/>
              <a:p>
                <a:pPr>
                  <a:defRPr sz="700" b="0" i="1"/>
                </a:pPr>
                <a:r>
                  <a:rPr lang="cs-CZ" sz="700" b="0" i="1"/>
                  <a:t>Příspěvěk</a:t>
                </a:r>
                <a:r>
                  <a:rPr lang="cs-CZ" sz="700" b="0" i="1" baseline="0"/>
                  <a:t> k růstu tržeb</a:t>
                </a:r>
                <a:endParaRPr lang="cs-CZ" sz="700" b="0" i="1"/>
              </a:p>
            </c:rich>
          </c:tx>
          <c:overlay val="0"/>
        </c:title>
        <c:numFmt formatCode="0" sourceLinked="0"/>
        <c:majorTickMark val="out"/>
        <c:minorTickMark val="none"/>
        <c:tickLblPos val="nextTo"/>
        <c:txPr>
          <a:bodyPr/>
          <a:lstStyle/>
          <a:p>
            <a:pPr>
              <a:defRPr sz="800"/>
            </a:pPr>
            <a:endParaRPr lang="cs-CZ"/>
          </a:p>
        </c:txPr>
        <c:crossAx val="156100864"/>
        <c:crosses val="autoZero"/>
        <c:crossBetween val="between"/>
        <c:majorUnit val="1"/>
      </c:valAx>
      <c:valAx>
        <c:axId val="156575232"/>
        <c:scaling>
          <c:orientation val="minMax"/>
          <c:max val="100"/>
        </c:scaling>
        <c:delete val="0"/>
        <c:axPos val="r"/>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700" b="0" i="1" u="none" strike="noStrike" kern="1200" baseline="0">
                    <a:solidFill>
                      <a:sysClr val="windowText" lastClr="000000"/>
                    </a:solidFill>
                    <a:latin typeface="Arial" pitchFamily="34" charset="0"/>
                    <a:ea typeface="+mn-ea"/>
                    <a:cs typeface="+mn-cs"/>
                  </a:defRPr>
                </a:pPr>
                <a:r>
                  <a:rPr lang="cs-CZ" sz="700" b="0" i="1" baseline="0">
                    <a:effectLst/>
                  </a:rPr>
                  <a:t>Saldo indikátoru důvěry, Bariéry růstu</a:t>
                </a:r>
                <a:endParaRPr lang="cs-CZ" sz="700" b="0" i="1">
                  <a:effectLst/>
                </a:endParaRPr>
              </a:p>
            </c:rich>
          </c:tx>
          <c:overlay val="0"/>
        </c:title>
        <c:numFmt formatCode="0" sourceLinked="0"/>
        <c:majorTickMark val="out"/>
        <c:minorTickMark val="none"/>
        <c:tickLblPos val="nextTo"/>
        <c:txPr>
          <a:bodyPr/>
          <a:lstStyle/>
          <a:p>
            <a:pPr>
              <a:defRPr sz="800"/>
            </a:pPr>
            <a:endParaRPr lang="cs-CZ"/>
          </a:p>
        </c:txPr>
        <c:crossAx val="156576768"/>
        <c:crosses val="max"/>
        <c:crossBetween val="between"/>
        <c:majorUnit val="10"/>
      </c:valAx>
      <c:catAx>
        <c:axId val="156576768"/>
        <c:scaling>
          <c:orientation val="minMax"/>
        </c:scaling>
        <c:delete val="1"/>
        <c:axPos val="b"/>
        <c:numFmt formatCode="General" sourceLinked="1"/>
        <c:majorTickMark val="out"/>
        <c:minorTickMark val="none"/>
        <c:tickLblPos val="none"/>
        <c:crossAx val="156575232"/>
        <c:crosses val="autoZero"/>
        <c:auto val="1"/>
        <c:lblAlgn val="ctr"/>
        <c:lblOffset val="100"/>
        <c:noMultiLvlLbl val="0"/>
      </c:catAx>
      <c:spPr>
        <a:ln>
          <a:solidFill>
            <a:schemeClr val="tx1"/>
          </a:solidFill>
        </a:ln>
      </c:spPr>
    </c:plotArea>
    <c:legend>
      <c:legendPos val="r"/>
      <c:layout>
        <c:manualLayout>
          <c:xMode val="edge"/>
          <c:yMode val="edge"/>
          <c:x val="2.7321712325311751E-3"/>
          <c:y val="0.83236472245363968"/>
          <c:w val="0.99197450866656334"/>
          <c:h val="0.16409786326250428"/>
        </c:manualLayout>
      </c:layout>
      <c:overlay val="0"/>
      <c:spPr>
        <a:ln w="6350">
          <a:solidFill>
            <a:schemeClr val="tx1"/>
          </a:solidFill>
        </a:ln>
      </c:spPr>
      <c:txPr>
        <a:bodyPr/>
        <a:lstStyle/>
        <a:p>
          <a:pPr>
            <a:defRPr sz="800"/>
          </a:pPr>
          <a:endParaRPr lang="cs-CZ"/>
        </a:p>
      </c:txPr>
    </c:legend>
    <c:plotVisOnly val="1"/>
    <c:dispBlanksAs val="gap"/>
    <c:showDLblsOverMax val="0"/>
  </c:chart>
  <c:spPr>
    <a:ln>
      <a:noFill/>
    </a:ln>
  </c:spPr>
  <c:txPr>
    <a:bodyPr/>
    <a:lstStyle/>
    <a:p>
      <a:pPr>
        <a:defRPr sz="1500" baseline="0">
          <a:latin typeface="Arial" pitchFamily="34" charset="0"/>
        </a:defRPr>
      </a:pPr>
      <a:endParaRPr lang="cs-CZ"/>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1481551840594413E-2"/>
          <c:y val="2.3304908251716772E-2"/>
          <c:w val="0.90781408308004052"/>
          <c:h val="0.612553754362265"/>
        </c:manualLayout>
      </c:layout>
      <c:barChart>
        <c:barDir val="col"/>
        <c:grouping val="clustered"/>
        <c:varyColors val="0"/>
        <c:ser>
          <c:idx val="0"/>
          <c:order val="0"/>
          <c:tx>
            <c:strRef>
              <c:f>'Vnější vztahy 2'!$A$6</c:f>
              <c:strCache>
                <c:ptCount val="1"/>
                <c:pt idx="0">
                  <c:v>2018</c:v>
                </c:pt>
              </c:strCache>
            </c:strRef>
          </c:tx>
          <c:spPr>
            <a:solidFill>
              <a:schemeClr val="tx1">
                <a:lumMod val="50000"/>
                <a:lumOff val="50000"/>
              </a:schemeClr>
            </a:solidFill>
            <a:ln>
              <a:noFill/>
            </a:ln>
          </c:spPr>
          <c:invertIfNegative val="0"/>
          <c:cat>
            <c:strRef>
              <c:f>'Vnější vztahy 2'!$B$5:$N$5</c:f>
              <c:strCache>
                <c:ptCount val="13"/>
                <c:pt idx="0">
                  <c:v>Ropa a zemní plyn</c:v>
                </c:pt>
                <c:pt idx="1">
                  <c:v>Potrav. výrobky</c:v>
                </c:pt>
                <c:pt idx="2">
                  <c:v>Oděvy</c:v>
                </c:pt>
                <c:pt idx="3">
                  <c:v>Koks, raf. ropné prod.</c:v>
                </c:pt>
                <c:pt idx="4">
                  <c:v>Chem. látky a přípr.</c:v>
                </c:pt>
                <c:pt idx="5">
                  <c:v>Farmac. výrobky</c:v>
                </c:pt>
                <c:pt idx="6">
                  <c:v>Ostat. nekov. minerály</c:v>
                </c:pt>
                <c:pt idx="7">
                  <c:v>Základní kovy</c:v>
                </c:pt>
                <c:pt idx="8">
                  <c:v>Kovodělné výrobky</c:v>
                </c:pt>
                <c:pt idx="9">
                  <c:v>Počítače, opt.                                          a elektron. přístr.</c:v>
                </c:pt>
                <c:pt idx="10">
                  <c:v>Elektrická zařízení</c:v>
                </c:pt>
                <c:pt idx="11">
                  <c:v>Stroje a zařízení j. n.</c:v>
                </c:pt>
                <c:pt idx="12">
                  <c:v>Motorová vozidla</c:v>
                </c:pt>
              </c:strCache>
            </c:strRef>
          </c:cat>
          <c:val>
            <c:numRef>
              <c:f>'Vnější vztahy 2'!$B$6:$N$6</c:f>
              <c:numCache>
                <c:formatCode>General</c:formatCode>
                <c:ptCount val="13"/>
                <c:pt idx="0">
                  <c:v>-131.042</c:v>
                </c:pt>
                <c:pt idx="1">
                  <c:v>-39.988</c:v>
                </c:pt>
                <c:pt idx="2">
                  <c:v>-30.158000000000001</c:v>
                </c:pt>
                <c:pt idx="3">
                  <c:v>-28.908000000000001</c:v>
                </c:pt>
                <c:pt idx="4">
                  <c:v>-116.961</c:v>
                </c:pt>
                <c:pt idx="5">
                  <c:v>-50.207999999999998</c:v>
                </c:pt>
                <c:pt idx="6">
                  <c:v>22.904</c:v>
                </c:pt>
                <c:pt idx="7">
                  <c:v>-129.42699999999999</c:v>
                </c:pt>
                <c:pt idx="8">
                  <c:v>56.871000000000002</c:v>
                </c:pt>
                <c:pt idx="9">
                  <c:v>-25.367000000000001</c:v>
                </c:pt>
                <c:pt idx="10">
                  <c:v>44.972999999999999</c:v>
                </c:pt>
                <c:pt idx="11">
                  <c:v>62.290999999999997</c:v>
                </c:pt>
                <c:pt idx="12">
                  <c:v>438.8</c:v>
                </c:pt>
              </c:numCache>
            </c:numRef>
          </c:val>
          <c:extLst>
            <c:ext xmlns:c16="http://schemas.microsoft.com/office/drawing/2014/chart" uri="{C3380CC4-5D6E-409C-BE32-E72D297353CC}">
              <c16:uniqueId val="{00000000-D2BC-4E87-A2A6-D88D386EAC41}"/>
            </c:ext>
          </c:extLst>
        </c:ser>
        <c:ser>
          <c:idx val="1"/>
          <c:order val="1"/>
          <c:tx>
            <c:strRef>
              <c:f>'Vnější vztahy 2'!$A$7</c:f>
              <c:strCache>
                <c:ptCount val="1"/>
                <c:pt idx="0">
                  <c:v>2019</c:v>
                </c:pt>
              </c:strCache>
            </c:strRef>
          </c:tx>
          <c:spPr>
            <a:solidFill>
              <a:schemeClr val="bg1">
                <a:lumMod val="65000"/>
              </a:schemeClr>
            </a:solidFill>
          </c:spPr>
          <c:invertIfNegative val="0"/>
          <c:val>
            <c:numRef>
              <c:f>'Vnější vztahy 2'!$B$7:$N$7</c:f>
              <c:numCache>
                <c:formatCode>General</c:formatCode>
                <c:ptCount val="13"/>
                <c:pt idx="0">
                  <c:v>-126.05200000000001</c:v>
                </c:pt>
                <c:pt idx="1">
                  <c:v>-44.838999999999999</c:v>
                </c:pt>
                <c:pt idx="2">
                  <c:v>-33.115000000000002</c:v>
                </c:pt>
                <c:pt idx="3">
                  <c:v>-21.524000000000001</c:v>
                </c:pt>
                <c:pt idx="4">
                  <c:v>-112.04900000000001</c:v>
                </c:pt>
                <c:pt idx="5">
                  <c:v>-53.94</c:v>
                </c:pt>
                <c:pt idx="6">
                  <c:v>22.908000000000001</c:v>
                </c:pt>
                <c:pt idx="7">
                  <c:v>-124.312</c:v>
                </c:pt>
                <c:pt idx="8">
                  <c:v>57.139000000000003</c:v>
                </c:pt>
                <c:pt idx="9">
                  <c:v>-31.956</c:v>
                </c:pt>
                <c:pt idx="10">
                  <c:v>41.584000000000003</c:v>
                </c:pt>
                <c:pt idx="11">
                  <c:v>65.299000000000007</c:v>
                </c:pt>
                <c:pt idx="12">
                  <c:v>463.98700000000002</c:v>
                </c:pt>
              </c:numCache>
            </c:numRef>
          </c:val>
          <c:extLst>
            <c:ext xmlns:c16="http://schemas.microsoft.com/office/drawing/2014/chart" uri="{C3380CC4-5D6E-409C-BE32-E72D297353CC}">
              <c16:uniqueId val="{00000001-D2BC-4E87-A2A6-D88D386EAC41}"/>
            </c:ext>
          </c:extLst>
        </c:ser>
        <c:dLbls>
          <c:showLegendKey val="0"/>
          <c:showVal val="0"/>
          <c:showCatName val="0"/>
          <c:showSerName val="0"/>
          <c:showPercent val="0"/>
          <c:showBubbleSize val="0"/>
        </c:dLbls>
        <c:gapWidth val="97"/>
        <c:axId val="269967744"/>
        <c:axId val="269969280"/>
      </c:barChart>
      <c:catAx>
        <c:axId val="269967744"/>
        <c:scaling>
          <c:orientation val="minMax"/>
        </c:scaling>
        <c:delete val="0"/>
        <c:axPos val="b"/>
        <c:numFmt formatCode="General" sourceLinked="0"/>
        <c:majorTickMark val="out"/>
        <c:minorTickMark val="none"/>
        <c:tickLblPos val="low"/>
        <c:spPr>
          <a:ln>
            <a:solidFill>
              <a:schemeClr val="tx1"/>
            </a:solidFill>
          </a:ln>
        </c:spPr>
        <c:txPr>
          <a:bodyPr rot="-5400000" vert="horz"/>
          <a:lstStyle/>
          <a:p>
            <a:pPr>
              <a:defRPr/>
            </a:pPr>
            <a:endParaRPr lang="cs-CZ"/>
          </a:p>
        </c:txPr>
        <c:crossAx val="269969280"/>
        <c:crosses val="autoZero"/>
        <c:auto val="1"/>
        <c:lblAlgn val="ctr"/>
        <c:lblOffset val="100"/>
        <c:noMultiLvlLbl val="0"/>
      </c:catAx>
      <c:valAx>
        <c:axId val="269969280"/>
        <c:scaling>
          <c:orientation val="minMax"/>
        </c:scaling>
        <c:delete val="0"/>
        <c:axPos val="l"/>
        <c:majorGridlines>
          <c:spPr>
            <a:ln w="6350">
              <a:solidFill>
                <a:schemeClr val="bg1">
                  <a:lumMod val="75000"/>
                </a:schemeClr>
              </a:solidFill>
            </a:ln>
          </c:spPr>
        </c:majorGridlines>
        <c:numFmt formatCode="General" sourceLinked="1"/>
        <c:majorTickMark val="out"/>
        <c:minorTickMark val="none"/>
        <c:tickLblPos val="nextTo"/>
        <c:crossAx val="269967744"/>
        <c:crosses val="autoZero"/>
        <c:crossBetween val="between"/>
      </c:valAx>
      <c:spPr>
        <a:ln>
          <a:solidFill>
            <a:schemeClr val="tx1"/>
          </a:solidFill>
        </a:ln>
      </c:spPr>
    </c:plotArea>
    <c:legend>
      <c:legendPos val="b"/>
      <c:layout>
        <c:manualLayout>
          <c:xMode val="edge"/>
          <c:yMode val="edge"/>
          <c:x val="7.9999155690645057E-2"/>
          <c:y val="0.93271781816746591"/>
          <c:w val="0.90181273218507263"/>
          <c:h val="5.4750853511732103E-2"/>
        </c:manualLayout>
      </c:layout>
      <c:overlay val="1"/>
      <c:spPr>
        <a:ln w="6350">
          <a:solidFill>
            <a:sysClr val="windowText" lastClr="000000"/>
          </a:solidFill>
        </a:ln>
      </c:spPr>
    </c:legend>
    <c:plotVisOnly val="1"/>
    <c:dispBlanksAs val="gap"/>
    <c:showDLblsOverMax val="0"/>
  </c:chart>
  <c:spPr>
    <a:ln>
      <a:noFill/>
    </a:ln>
  </c:spPr>
  <c:txPr>
    <a:bodyPr/>
    <a:lstStyle/>
    <a:p>
      <a:pPr>
        <a:defRPr sz="800" baseline="0">
          <a:latin typeface="Arial" panose="020B0604020202020204" pitchFamily="34" charset="0"/>
          <a:cs typeface="Arial" panose="020B0604020202020204" pitchFamily="34" charset="0"/>
        </a:defRPr>
      </a:pPr>
      <a:endParaRPr lang="cs-CZ"/>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568840579710145E-2"/>
          <c:y val="2.1811315924220299E-2"/>
          <c:w val="0.92237743255066085"/>
          <c:h val="0.73318107621299833"/>
        </c:manualLayout>
      </c:layout>
      <c:barChart>
        <c:barDir val="col"/>
        <c:grouping val="clustered"/>
        <c:varyColors val="0"/>
        <c:ser>
          <c:idx val="0"/>
          <c:order val="0"/>
          <c:tx>
            <c:strRef>
              <c:f>'Ceny 2'!$C$5</c:f>
              <c:strCache>
                <c:ptCount val="1"/>
                <c:pt idx="0">
                  <c:v>Celkem</c:v>
                </c:pt>
              </c:strCache>
            </c:strRef>
          </c:tx>
          <c:spPr>
            <a:solidFill>
              <a:schemeClr val="bg1">
                <a:lumMod val="65000"/>
              </a:schemeClr>
            </a:solidFill>
            <a:ln w="19050">
              <a:noFill/>
            </a:ln>
          </c:spPr>
          <c:invertIfNegative val="0"/>
          <c:cat>
            <c:multiLvlStrRef>
              <c:f>'Ceny 2'!$A$14:$B$37</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2014</c:v>
                  </c:pt>
                  <c:pt idx="4">
                    <c:v>2015</c:v>
                  </c:pt>
                  <c:pt idx="8">
                    <c:v>2016</c:v>
                  </c:pt>
                  <c:pt idx="12">
                    <c:v>2017</c:v>
                  </c:pt>
                  <c:pt idx="16">
                    <c:v>2018</c:v>
                  </c:pt>
                  <c:pt idx="20">
                    <c:v>2019</c:v>
                  </c:pt>
                </c:lvl>
              </c:multiLvlStrCache>
            </c:multiLvlStrRef>
          </c:cat>
          <c:val>
            <c:numRef>
              <c:f>'Ceny 2'!$C$14:$C$37</c:f>
              <c:numCache>
                <c:formatCode>0.0</c:formatCode>
                <c:ptCount val="24"/>
                <c:pt idx="0">
                  <c:v>0.20000000000000284</c:v>
                </c:pt>
                <c:pt idx="1">
                  <c:v>0.20000000000000284</c:v>
                </c:pt>
                <c:pt idx="2">
                  <c:v>0.59999999999999432</c:v>
                </c:pt>
                <c:pt idx="3">
                  <c:v>0.5</c:v>
                </c:pt>
                <c:pt idx="4">
                  <c:v>9.9999999999994316E-2</c:v>
                </c:pt>
                <c:pt idx="5">
                  <c:v>0.70000000000000284</c:v>
                </c:pt>
                <c:pt idx="6">
                  <c:v>0.40000000000000568</c:v>
                </c:pt>
                <c:pt idx="7">
                  <c:v>9.9999999999994316E-2</c:v>
                </c:pt>
                <c:pt idx="8">
                  <c:v>0.5</c:v>
                </c:pt>
                <c:pt idx="9">
                  <c:v>0.20000000000000284</c:v>
                </c:pt>
                <c:pt idx="10">
                  <c:v>0.5</c:v>
                </c:pt>
                <c:pt idx="11">
                  <c:v>1.4000000000000057</c:v>
                </c:pt>
                <c:pt idx="12" formatCode="General">
                  <c:v>2.4000000000000057</c:v>
                </c:pt>
                <c:pt idx="13" formatCode="General">
                  <c:v>2.2000000000000028</c:v>
                </c:pt>
                <c:pt idx="14">
                  <c:v>2.5</c:v>
                </c:pt>
                <c:pt idx="15">
                  <c:v>2.6</c:v>
                </c:pt>
                <c:pt idx="16">
                  <c:v>1.9</c:v>
                </c:pt>
                <c:pt idx="17">
                  <c:v>2.2999999999999998</c:v>
                </c:pt>
                <c:pt idx="18">
                  <c:v>2.4</c:v>
                </c:pt>
                <c:pt idx="19">
                  <c:v>2.1</c:v>
                </c:pt>
                <c:pt idx="20">
                  <c:v>2.7</c:v>
                </c:pt>
                <c:pt idx="21">
                  <c:v>2.8</c:v>
                </c:pt>
                <c:pt idx="22">
                  <c:v>2.8</c:v>
                </c:pt>
                <c:pt idx="23">
                  <c:v>3</c:v>
                </c:pt>
              </c:numCache>
            </c:numRef>
          </c:val>
          <c:extLst>
            <c:ext xmlns:c16="http://schemas.microsoft.com/office/drawing/2014/chart" uri="{C3380CC4-5D6E-409C-BE32-E72D297353CC}">
              <c16:uniqueId val="{00000000-4213-4F7F-B503-1CCF196C0DC2}"/>
            </c:ext>
          </c:extLst>
        </c:ser>
        <c:dLbls>
          <c:showLegendKey val="0"/>
          <c:showVal val="0"/>
          <c:showCatName val="0"/>
          <c:showSerName val="0"/>
          <c:showPercent val="0"/>
          <c:showBubbleSize val="0"/>
        </c:dLbls>
        <c:gapWidth val="95"/>
        <c:axId val="270120064"/>
        <c:axId val="270121600"/>
      </c:barChart>
      <c:lineChart>
        <c:grouping val="standard"/>
        <c:varyColors val="0"/>
        <c:ser>
          <c:idx val="1"/>
          <c:order val="1"/>
          <c:tx>
            <c:strRef>
              <c:f>'Ceny 2'!$D$5</c:f>
              <c:strCache>
                <c:ptCount val="1"/>
                <c:pt idx="0">
                  <c:v>Potraviny a nealkoholické nápoje</c:v>
                </c:pt>
              </c:strCache>
            </c:strRef>
          </c:tx>
          <c:spPr>
            <a:ln w="19050">
              <a:solidFill>
                <a:srgbClr val="0071BC"/>
              </a:solidFill>
            </a:ln>
          </c:spPr>
          <c:marker>
            <c:symbol val="none"/>
          </c:marker>
          <c:cat>
            <c:multiLvlStrRef>
              <c:f>'Ceny 2'!$A$14:$B$37</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2014</c:v>
                  </c:pt>
                  <c:pt idx="4">
                    <c:v>2015</c:v>
                  </c:pt>
                  <c:pt idx="8">
                    <c:v>2016</c:v>
                  </c:pt>
                  <c:pt idx="12">
                    <c:v>2017</c:v>
                  </c:pt>
                  <c:pt idx="16">
                    <c:v>2018</c:v>
                  </c:pt>
                  <c:pt idx="20">
                    <c:v>2019</c:v>
                  </c:pt>
                </c:lvl>
              </c:multiLvlStrCache>
            </c:multiLvlStrRef>
          </c:cat>
          <c:val>
            <c:numRef>
              <c:f>'Ceny 2'!$D$14:$D$37</c:f>
              <c:numCache>
                <c:formatCode>0.0</c:formatCode>
                <c:ptCount val="24"/>
                <c:pt idx="0">
                  <c:v>3.9000000000000057</c:v>
                </c:pt>
                <c:pt idx="1">
                  <c:v>1.5</c:v>
                </c:pt>
                <c:pt idx="2">
                  <c:v>1.4000000000000057</c:v>
                </c:pt>
                <c:pt idx="3">
                  <c:v>1.2000000000000028</c:v>
                </c:pt>
                <c:pt idx="4">
                  <c:v>-1.5999999999999943</c:v>
                </c:pt>
                <c:pt idx="5">
                  <c:v>-9.9999999999994316E-2</c:v>
                </c:pt>
                <c:pt idx="6">
                  <c:v>-0.90000000000000568</c:v>
                </c:pt>
                <c:pt idx="7">
                  <c:v>-1.5999999999999943</c:v>
                </c:pt>
                <c:pt idx="8">
                  <c:v>-1.7000000000000028</c:v>
                </c:pt>
                <c:pt idx="9">
                  <c:v>-2.4000000000000057</c:v>
                </c:pt>
                <c:pt idx="10">
                  <c:v>-0.79999999999999716</c:v>
                </c:pt>
                <c:pt idx="11">
                  <c:v>1.2000000000000028</c:v>
                </c:pt>
                <c:pt idx="12" formatCode="General">
                  <c:v>4.2000000000000028</c:v>
                </c:pt>
                <c:pt idx="13" formatCode="General">
                  <c:v>4.5</c:v>
                </c:pt>
                <c:pt idx="14">
                  <c:v>5.7</c:v>
                </c:pt>
                <c:pt idx="15">
                  <c:v>6.3</c:v>
                </c:pt>
                <c:pt idx="16">
                  <c:v>2.9</c:v>
                </c:pt>
                <c:pt idx="17" formatCode="#\ ##0.0_ ;\-#\ ##0.0\ ">
                  <c:v>2.2999999999999998</c:v>
                </c:pt>
                <c:pt idx="18">
                  <c:v>0.6</c:v>
                </c:pt>
                <c:pt idx="19">
                  <c:v>-0.5</c:v>
                </c:pt>
                <c:pt idx="20">
                  <c:v>1</c:v>
                </c:pt>
                <c:pt idx="21">
                  <c:v>2.5</c:v>
                </c:pt>
                <c:pt idx="22">
                  <c:v>3.5</c:v>
                </c:pt>
                <c:pt idx="23">
                  <c:v>4.3</c:v>
                </c:pt>
              </c:numCache>
            </c:numRef>
          </c:val>
          <c:smooth val="0"/>
          <c:extLst>
            <c:ext xmlns:c16="http://schemas.microsoft.com/office/drawing/2014/chart" uri="{C3380CC4-5D6E-409C-BE32-E72D297353CC}">
              <c16:uniqueId val="{00000001-4213-4F7F-B503-1CCF196C0DC2}"/>
            </c:ext>
          </c:extLst>
        </c:ser>
        <c:ser>
          <c:idx val="3"/>
          <c:order val="2"/>
          <c:tx>
            <c:strRef>
              <c:f>'Ceny 2'!$F$5</c:f>
              <c:strCache>
                <c:ptCount val="1"/>
                <c:pt idx="0">
                  <c:v>Bydlení a energie</c:v>
                </c:pt>
              </c:strCache>
            </c:strRef>
          </c:tx>
          <c:spPr>
            <a:ln w="19050">
              <a:solidFill>
                <a:srgbClr val="7DBB2D"/>
              </a:solidFill>
            </a:ln>
          </c:spPr>
          <c:marker>
            <c:symbol val="none"/>
          </c:marker>
          <c:cat>
            <c:multiLvlStrRef>
              <c:f>'Ceny 2'!$A$14:$B$37</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2014</c:v>
                  </c:pt>
                  <c:pt idx="4">
                    <c:v>2015</c:v>
                  </c:pt>
                  <c:pt idx="8">
                    <c:v>2016</c:v>
                  </c:pt>
                  <c:pt idx="12">
                    <c:v>2017</c:v>
                  </c:pt>
                  <c:pt idx="16">
                    <c:v>2018</c:v>
                  </c:pt>
                  <c:pt idx="20">
                    <c:v>2019</c:v>
                  </c:pt>
                </c:lvl>
              </c:multiLvlStrCache>
            </c:multiLvlStrRef>
          </c:cat>
          <c:val>
            <c:numRef>
              <c:f>'Ceny 2'!$F$14:$F$37</c:f>
              <c:numCache>
                <c:formatCode>0.0</c:formatCode>
                <c:ptCount val="24"/>
                <c:pt idx="0">
                  <c:v>-2.4000000000000057</c:v>
                </c:pt>
                <c:pt idx="1">
                  <c:v>-1.7000000000000028</c:v>
                </c:pt>
                <c:pt idx="2">
                  <c:v>-0.70000000000000284</c:v>
                </c:pt>
                <c:pt idx="3">
                  <c:v>-0.59999999999999432</c:v>
                </c:pt>
                <c:pt idx="4">
                  <c:v>1.0999999999999943</c:v>
                </c:pt>
                <c:pt idx="5">
                  <c:v>1.2000000000000028</c:v>
                </c:pt>
                <c:pt idx="6">
                  <c:v>0.79999999999999716</c:v>
                </c:pt>
                <c:pt idx="7">
                  <c:v>0.90000000000000568</c:v>
                </c:pt>
                <c:pt idx="8">
                  <c:v>0.90000000000000568</c:v>
                </c:pt>
                <c:pt idx="9">
                  <c:v>0.5</c:v>
                </c:pt>
                <c:pt idx="10">
                  <c:v>0.40000000000000568</c:v>
                </c:pt>
                <c:pt idx="11">
                  <c:v>0.59999999999999432</c:v>
                </c:pt>
                <c:pt idx="12" formatCode="General">
                  <c:v>0.79999999999999716</c:v>
                </c:pt>
                <c:pt idx="13" formatCode="General">
                  <c:v>1.5</c:v>
                </c:pt>
                <c:pt idx="14">
                  <c:v>2.1</c:v>
                </c:pt>
                <c:pt idx="15">
                  <c:v>2.2000000000000002</c:v>
                </c:pt>
                <c:pt idx="16">
                  <c:v>2.2999999999999998</c:v>
                </c:pt>
                <c:pt idx="17">
                  <c:v>2.6</c:v>
                </c:pt>
                <c:pt idx="18">
                  <c:v>3.2</c:v>
                </c:pt>
                <c:pt idx="19">
                  <c:v>3.8</c:v>
                </c:pt>
                <c:pt idx="20">
                  <c:v>5.4</c:v>
                </c:pt>
                <c:pt idx="21">
                  <c:v>5.7</c:v>
                </c:pt>
                <c:pt idx="22">
                  <c:v>5.2</c:v>
                </c:pt>
                <c:pt idx="23">
                  <c:v>5</c:v>
                </c:pt>
              </c:numCache>
            </c:numRef>
          </c:val>
          <c:smooth val="0"/>
          <c:extLst>
            <c:ext xmlns:c16="http://schemas.microsoft.com/office/drawing/2014/chart" uri="{C3380CC4-5D6E-409C-BE32-E72D297353CC}">
              <c16:uniqueId val="{00000002-4213-4F7F-B503-1CCF196C0DC2}"/>
            </c:ext>
          </c:extLst>
        </c:ser>
        <c:ser>
          <c:idx val="4"/>
          <c:order val="3"/>
          <c:tx>
            <c:strRef>
              <c:f>'Ceny 2'!$G$5</c:f>
              <c:strCache>
                <c:ptCount val="1"/>
                <c:pt idx="0">
                  <c:v>Doprava</c:v>
                </c:pt>
              </c:strCache>
            </c:strRef>
          </c:tx>
          <c:spPr>
            <a:ln w="19050">
              <a:solidFill>
                <a:srgbClr val="FFC000"/>
              </a:solidFill>
            </a:ln>
          </c:spPr>
          <c:marker>
            <c:symbol val="none"/>
          </c:marker>
          <c:cat>
            <c:multiLvlStrRef>
              <c:f>'Ceny 2'!$A$14:$B$37</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2014</c:v>
                  </c:pt>
                  <c:pt idx="4">
                    <c:v>2015</c:v>
                  </c:pt>
                  <c:pt idx="8">
                    <c:v>2016</c:v>
                  </c:pt>
                  <c:pt idx="12">
                    <c:v>2017</c:v>
                  </c:pt>
                  <c:pt idx="16">
                    <c:v>2018</c:v>
                  </c:pt>
                  <c:pt idx="20">
                    <c:v>2019</c:v>
                  </c:pt>
                </c:lvl>
              </c:multiLvlStrCache>
            </c:multiLvlStrRef>
          </c:cat>
          <c:val>
            <c:numRef>
              <c:f>'Ceny 2'!$G$14:$G$37</c:f>
              <c:numCache>
                <c:formatCode>General</c:formatCode>
                <c:ptCount val="24"/>
                <c:pt idx="0">
                  <c:v>9.9999999999994316E-2</c:v>
                </c:pt>
                <c:pt idx="1">
                  <c:v>0.29999999999999716</c:v>
                </c:pt>
                <c:pt idx="2">
                  <c:v>0.5</c:v>
                </c:pt>
                <c:pt idx="3">
                  <c:v>0</c:v>
                </c:pt>
                <c:pt idx="4">
                  <c:v>-4.9000000000000057</c:v>
                </c:pt>
                <c:pt idx="5">
                  <c:v>-3.2999999999999972</c:v>
                </c:pt>
                <c:pt idx="6">
                  <c:v>-3.7999999999999972</c:v>
                </c:pt>
                <c:pt idx="7">
                  <c:v>-4.7000000000000028</c:v>
                </c:pt>
                <c:pt idx="8">
                  <c:v>-2.7000000000000028</c:v>
                </c:pt>
                <c:pt idx="9">
                  <c:v>-2.9000000000000057</c:v>
                </c:pt>
                <c:pt idx="10">
                  <c:v>-2.2999999999999972</c:v>
                </c:pt>
                <c:pt idx="11">
                  <c:v>1.0999999999999943</c:v>
                </c:pt>
                <c:pt idx="12">
                  <c:v>6</c:v>
                </c:pt>
                <c:pt idx="13">
                  <c:v>3.9000000000000057</c:v>
                </c:pt>
                <c:pt idx="14" formatCode="0.0">
                  <c:v>2.5</c:v>
                </c:pt>
                <c:pt idx="15" formatCode="0.0">
                  <c:v>2.5</c:v>
                </c:pt>
                <c:pt idx="16" formatCode="0.0">
                  <c:v>1</c:v>
                </c:pt>
                <c:pt idx="17" formatCode="0.0">
                  <c:v>3</c:v>
                </c:pt>
                <c:pt idx="18" formatCode="0.0">
                  <c:v>4.5</c:v>
                </c:pt>
                <c:pt idx="19" formatCode="0.0">
                  <c:v>2.6</c:v>
                </c:pt>
                <c:pt idx="20" formatCode="0.0">
                  <c:v>0.6</c:v>
                </c:pt>
                <c:pt idx="21" formatCode="0.0">
                  <c:v>0.8</c:v>
                </c:pt>
                <c:pt idx="22" formatCode="0.0">
                  <c:v>-0.2</c:v>
                </c:pt>
                <c:pt idx="23" formatCode="0.0">
                  <c:v>0.5</c:v>
                </c:pt>
              </c:numCache>
            </c:numRef>
          </c:val>
          <c:smooth val="0"/>
          <c:extLst>
            <c:ext xmlns:c16="http://schemas.microsoft.com/office/drawing/2014/chart" uri="{C3380CC4-5D6E-409C-BE32-E72D297353CC}">
              <c16:uniqueId val="{00000003-4213-4F7F-B503-1CCF196C0DC2}"/>
            </c:ext>
          </c:extLst>
        </c:ser>
        <c:ser>
          <c:idx val="2"/>
          <c:order val="4"/>
          <c:tx>
            <c:strRef>
              <c:f>'Ceny 2'!$E$5</c:f>
              <c:strCache>
                <c:ptCount val="1"/>
                <c:pt idx="0">
                  <c:v>Alkoholické nápoje a tabák</c:v>
                </c:pt>
              </c:strCache>
            </c:strRef>
          </c:tx>
          <c:spPr>
            <a:ln w="22225">
              <a:solidFill>
                <a:schemeClr val="accent2"/>
              </a:solidFill>
            </a:ln>
          </c:spPr>
          <c:marker>
            <c:symbol val="none"/>
          </c:marker>
          <c:cat>
            <c:multiLvlStrRef>
              <c:f>'Ceny 2'!$A$14:$B$37</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2014</c:v>
                  </c:pt>
                  <c:pt idx="4">
                    <c:v>2015</c:v>
                  </c:pt>
                  <c:pt idx="8">
                    <c:v>2016</c:v>
                  </c:pt>
                  <c:pt idx="12">
                    <c:v>2017</c:v>
                  </c:pt>
                  <c:pt idx="16">
                    <c:v>2018</c:v>
                  </c:pt>
                  <c:pt idx="20">
                    <c:v>2019</c:v>
                  </c:pt>
                </c:lvl>
              </c:multiLvlStrCache>
            </c:multiLvlStrRef>
          </c:cat>
          <c:val>
            <c:numRef>
              <c:f>'Ceny 2'!$E$14:$E$37</c:f>
              <c:numCache>
                <c:formatCode>0.0</c:formatCode>
                <c:ptCount val="24"/>
                <c:pt idx="0">
                  <c:v>4.0999999999999943</c:v>
                </c:pt>
                <c:pt idx="1">
                  <c:v>2.9000000000000057</c:v>
                </c:pt>
                <c:pt idx="2">
                  <c:v>2.7000000000000028</c:v>
                </c:pt>
                <c:pt idx="3">
                  <c:v>1.4000000000000057</c:v>
                </c:pt>
                <c:pt idx="4">
                  <c:v>3.4000000000000057</c:v>
                </c:pt>
                <c:pt idx="5">
                  <c:v>5.4000000000000057</c:v>
                </c:pt>
                <c:pt idx="6">
                  <c:v>5.2000000000000028</c:v>
                </c:pt>
                <c:pt idx="7">
                  <c:v>4.7000000000000028</c:v>
                </c:pt>
                <c:pt idx="8">
                  <c:v>3.5</c:v>
                </c:pt>
                <c:pt idx="9">
                  <c:v>4.4000000000000057</c:v>
                </c:pt>
                <c:pt idx="10">
                  <c:v>4.5</c:v>
                </c:pt>
                <c:pt idx="11">
                  <c:v>5.2000000000000028</c:v>
                </c:pt>
                <c:pt idx="12" formatCode="General">
                  <c:v>3.4000000000000057</c:v>
                </c:pt>
                <c:pt idx="13" formatCode="General">
                  <c:v>0.79999999999999716</c:v>
                </c:pt>
                <c:pt idx="14">
                  <c:v>1.3</c:v>
                </c:pt>
                <c:pt idx="15">
                  <c:v>1.5</c:v>
                </c:pt>
                <c:pt idx="16">
                  <c:v>2.5</c:v>
                </c:pt>
                <c:pt idx="17">
                  <c:v>3.6</c:v>
                </c:pt>
                <c:pt idx="18">
                  <c:v>2.8</c:v>
                </c:pt>
                <c:pt idx="19">
                  <c:v>3.1</c:v>
                </c:pt>
                <c:pt idx="20">
                  <c:v>3.3</c:v>
                </c:pt>
                <c:pt idx="21">
                  <c:v>1.7</c:v>
                </c:pt>
                <c:pt idx="22">
                  <c:v>1.9</c:v>
                </c:pt>
                <c:pt idx="23">
                  <c:v>1.8</c:v>
                </c:pt>
              </c:numCache>
            </c:numRef>
          </c:val>
          <c:smooth val="0"/>
          <c:extLst>
            <c:ext xmlns:c16="http://schemas.microsoft.com/office/drawing/2014/chart" uri="{C3380CC4-5D6E-409C-BE32-E72D297353CC}">
              <c16:uniqueId val="{00000004-4213-4F7F-B503-1CCF196C0DC2}"/>
            </c:ext>
          </c:extLst>
        </c:ser>
        <c:dLbls>
          <c:showLegendKey val="0"/>
          <c:showVal val="0"/>
          <c:showCatName val="0"/>
          <c:showSerName val="0"/>
          <c:showPercent val="0"/>
          <c:showBubbleSize val="0"/>
        </c:dLbls>
        <c:marker val="1"/>
        <c:smooth val="0"/>
        <c:axId val="270120064"/>
        <c:axId val="270121600"/>
      </c:lineChart>
      <c:catAx>
        <c:axId val="270120064"/>
        <c:scaling>
          <c:orientation val="minMax"/>
        </c:scaling>
        <c:delete val="0"/>
        <c:axPos val="b"/>
        <c:numFmt formatCode="General" sourceLinked="0"/>
        <c:majorTickMark val="out"/>
        <c:minorTickMark val="none"/>
        <c:tickLblPos val="low"/>
        <c:spPr>
          <a:ln>
            <a:solidFill>
              <a:schemeClr val="tx1"/>
            </a:solidFill>
          </a:ln>
        </c:spPr>
        <c:txPr>
          <a:bodyPr rot="0" vert="horz"/>
          <a:lstStyle/>
          <a:p>
            <a:pPr>
              <a:defRPr/>
            </a:pPr>
            <a:endParaRPr lang="cs-CZ"/>
          </a:p>
        </c:txPr>
        <c:crossAx val="270121600"/>
        <c:crosses val="autoZero"/>
        <c:auto val="1"/>
        <c:lblAlgn val="ctr"/>
        <c:lblOffset val="100"/>
        <c:noMultiLvlLbl val="0"/>
      </c:catAx>
      <c:valAx>
        <c:axId val="270121600"/>
        <c:scaling>
          <c:orientation val="minMax"/>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270120064"/>
        <c:crosses val="autoZero"/>
        <c:crossBetween val="between"/>
        <c:majorUnit val="1"/>
      </c:valAx>
      <c:spPr>
        <a:ln>
          <a:solidFill>
            <a:schemeClr val="tx1"/>
          </a:solidFill>
        </a:ln>
      </c:spPr>
    </c:plotArea>
    <c:legend>
      <c:legendPos val="b"/>
      <c:layout>
        <c:manualLayout>
          <c:xMode val="edge"/>
          <c:yMode val="edge"/>
          <c:x val="5.6562816616008108E-2"/>
          <c:y val="0.86183552853765621"/>
          <c:w val="0.91934228301249576"/>
          <c:h val="0.12744174265450864"/>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2A779-585E-4413-B15A-AC8BA44AFEF5}">
  <ds:schemaRefs>
    <ds:schemaRef ds:uri="http://schemas.openxmlformats.org/officeDocument/2006/bibliography"/>
  </ds:schemaRefs>
</ds:datastoreItem>
</file>

<file path=customXml/itemProps2.xml><?xml version="1.0" encoding="utf-8"?>
<ds:datastoreItem xmlns:ds="http://schemas.openxmlformats.org/officeDocument/2006/customXml" ds:itemID="{850FCF15-6FE8-4558-8364-7FF45F0DE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Template>
  <TotalTime>9</TotalTime>
  <Pages>36</Pages>
  <Words>14539</Words>
  <Characters>85782</Characters>
  <Application>Microsoft Office Word</Application>
  <DocSecurity>0</DocSecurity>
  <Lines>714</Lines>
  <Paragraphs>200</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100121</CharactersWithSpaces>
  <SharedDoc>false</SharedDoc>
  <HLinks>
    <vt:vector size="18" baseType="variant">
      <vt:variant>
        <vt:i4>7602181</vt:i4>
      </vt:variant>
      <vt:variant>
        <vt:i4>11092</vt:i4>
      </vt:variant>
      <vt:variant>
        <vt:i4>1025</vt:i4>
      </vt:variant>
      <vt:variant>
        <vt:i4>1</vt:i4>
      </vt:variant>
      <vt:variant>
        <vt:lpwstr>msoFAAF</vt:lpwstr>
      </vt:variant>
      <vt:variant>
        <vt:lpwstr/>
      </vt:variant>
      <vt:variant>
        <vt:i4>7995509</vt:i4>
      </vt:variant>
      <vt:variant>
        <vt:i4>-1</vt:i4>
      </vt:variant>
      <vt:variant>
        <vt:i4>2058</vt:i4>
      </vt:variant>
      <vt:variant>
        <vt:i4>1</vt:i4>
      </vt:variant>
      <vt:variant>
        <vt:lpwstr>CSU RGB CZ logo-02</vt:lpwstr>
      </vt:variant>
      <vt:variant>
        <vt:lpwstr/>
      </vt:variant>
      <vt:variant>
        <vt:i4>7929973</vt:i4>
      </vt:variant>
      <vt:variant>
        <vt:i4>-1</vt:i4>
      </vt:variant>
      <vt:variant>
        <vt:i4>2059</vt:i4>
      </vt:variant>
      <vt:variant>
        <vt:i4>1</vt:i4>
      </vt:variant>
      <vt:variant>
        <vt:lpwstr>CSU RGB CZ logo-01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Karolína Súkupová</dc:creator>
  <cp:lastModifiedBy>Karolina Sukupova</cp:lastModifiedBy>
  <cp:revision>6</cp:revision>
  <cp:lastPrinted>2019-04-08T10:52:00Z</cp:lastPrinted>
  <dcterms:created xsi:type="dcterms:W3CDTF">2020-04-10T07:26:00Z</dcterms:created>
  <dcterms:modified xsi:type="dcterms:W3CDTF">2020-04-10T07:35:00Z</dcterms:modified>
</cp:coreProperties>
</file>