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EECF4" w14:textId="3927D8E4" w:rsidR="00965797" w:rsidRDefault="004A5D4E" w:rsidP="00965797">
      <w:pPr>
        <w:pStyle w:val="Nadpis11"/>
      </w:pPr>
      <w:bookmarkStart w:id="0" w:name="_Toc19090681"/>
      <w:bookmarkStart w:id="1" w:name="_GoBack"/>
      <w:bookmarkEnd w:id="1"/>
      <w:r w:rsidRPr="009110F7">
        <w:t>8</w:t>
      </w:r>
      <w:r>
        <w:t>. </w:t>
      </w:r>
      <w:r w:rsidR="00965797" w:rsidRPr="009110F7">
        <w:t>Státní rozpočet</w:t>
      </w:r>
      <w:bookmarkEnd w:id="0"/>
    </w:p>
    <w:tbl>
      <w:tblPr>
        <w:tblW w:w="96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32"/>
        <w:gridCol w:w="217"/>
        <w:gridCol w:w="7720"/>
      </w:tblGrid>
      <w:tr w:rsidR="00A45CED" w:rsidRPr="003C07E6" w14:paraId="4B2BFBB5" w14:textId="77777777" w:rsidTr="000A3D9E">
        <w:trPr>
          <w:trHeight w:val="145"/>
        </w:trPr>
        <w:tc>
          <w:tcPr>
            <w:tcW w:w="1732" w:type="dxa"/>
            <w:tcBorders>
              <w:top w:val="nil"/>
              <w:left w:val="nil"/>
              <w:bottom w:val="nil"/>
              <w:right w:val="nil"/>
            </w:tcBorders>
            <w:shd w:val="clear" w:color="auto" w:fill="auto"/>
            <w:tcMar>
              <w:left w:w="0" w:type="dxa"/>
            </w:tcMar>
          </w:tcPr>
          <w:p w14:paraId="17A52954" w14:textId="4401F271" w:rsidR="00A45CED" w:rsidRDefault="00A45CED" w:rsidP="00A45CED">
            <w:pPr>
              <w:pStyle w:val="Marginlie"/>
            </w:pPr>
            <w:r>
              <w:t xml:space="preserve">Hospodaření státního rozpočtu skončilo v 1. pololetí schodkem, jenž se meziročně prohloubil. V pozadí stál svižný růst běžných i kapitálových výdajů, jakož </w:t>
            </w:r>
            <w:r w:rsidR="002F1B09">
              <w:t>i </w:t>
            </w:r>
            <w:r>
              <w:t>mírně zvolnění růstu ekonomiky.</w:t>
            </w:r>
          </w:p>
        </w:tc>
        <w:tc>
          <w:tcPr>
            <w:tcW w:w="217" w:type="dxa"/>
            <w:tcBorders>
              <w:top w:val="nil"/>
              <w:left w:val="nil"/>
              <w:bottom w:val="nil"/>
              <w:right w:val="nil"/>
            </w:tcBorders>
            <w:shd w:val="clear" w:color="auto" w:fill="auto"/>
            <w:tcMar>
              <w:left w:w="0" w:type="dxa"/>
            </w:tcMar>
          </w:tcPr>
          <w:p w14:paraId="362F4971"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4F214A4B" w14:textId="69CD9303" w:rsidR="00A45CED" w:rsidRPr="003C07E6" w:rsidRDefault="00A45CED" w:rsidP="00880A0E">
            <w:pPr>
              <w:spacing w:after="220"/>
              <w:rPr>
                <w:spacing w:val="-4"/>
              </w:rPr>
            </w:pPr>
            <w:r>
              <w:rPr>
                <w:spacing w:val="-2"/>
              </w:rPr>
              <w:t>Státní rozpočet</w:t>
            </w:r>
            <w:r w:rsidRPr="00EB2D68">
              <w:rPr>
                <w:spacing w:val="-2"/>
              </w:rPr>
              <w:t xml:space="preserve"> (SR)</w:t>
            </w:r>
            <w:r w:rsidRPr="00EB2D68">
              <w:rPr>
                <w:rStyle w:val="Znakapoznpodarou"/>
                <w:spacing w:val="-2"/>
              </w:rPr>
              <w:footnoteReference w:id="1"/>
            </w:r>
            <w:r>
              <w:rPr>
                <w:spacing w:val="-2"/>
              </w:rPr>
              <w:t xml:space="preserve"> hospodařil</w:t>
            </w:r>
            <w:r w:rsidRPr="00EB2D68">
              <w:rPr>
                <w:spacing w:val="-2"/>
              </w:rPr>
              <w:t xml:space="preserve"> v </w:t>
            </w:r>
            <w:r w:rsidR="004A5D4E" w:rsidRPr="00EB2D68">
              <w:rPr>
                <w:spacing w:val="-2"/>
              </w:rPr>
              <w:t>1</w:t>
            </w:r>
            <w:r w:rsidR="004A5D4E">
              <w:rPr>
                <w:spacing w:val="-2"/>
              </w:rPr>
              <w:t>. </w:t>
            </w:r>
            <w:r w:rsidRPr="00EB2D68">
              <w:rPr>
                <w:spacing w:val="-2"/>
              </w:rPr>
              <w:t xml:space="preserve">pololetí 2019 </w:t>
            </w:r>
            <w:r>
              <w:rPr>
                <w:spacing w:val="-2"/>
              </w:rPr>
              <w:t xml:space="preserve">se </w:t>
            </w:r>
            <w:r w:rsidRPr="00EB2D68">
              <w:rPr>
                <w:spacing w:val="-2"/>
              </w:rPr>
              <w:t xml:space="preserve">schodkem ve výši 20,7 mld. korun. Rozpočtové saldo se meziročně zhoršilo </w:t>
            </w:r>
            <w:r>
              <w:rPr>
                <w:spacing w:val="-2"/>
              </w:rPr>
              <w:t xml:space="preserve">potřetí v řadě </w:t>
            </w:r>
            <w:r w:rsidR="002F1B09">
              <w:rPr>
                <w:spacing w:val="-2"/>
              </w:rPr>
              <w:t>a </w:t>
            </w:r>
            <w:r>
              <w:rPr>
                <w:spacing w:val="-2"/>
              </w:rPr>
              <w:t>podobně jako v</w:t>
            </w:r>
            <w:r w:rsidRPr="00EB2D68">
              <w:rPr>
                <w:spacing w:val="-2"/>
              </w:rPr>
              <w:t xml:space="preserve"> loňském roce se tak </w:t>
            </w:r>
            <w:r w:rsidR="00A16C37" w:rsidRPr="00EB2D68">
              <w:rPr>
                <w:spacing w:val="-2"/>
              </w:rPr>
              <w:t>oc</w:t>
            </w:r>
            <w:r w:rsidR="00A16C37">
              <w:rPr>
                <w:spacing w:val="-2"/>
              </w:rPr>
              <w:t>it</w:t>
            </w:r>
            <w:r w:rsidR="00A16C37" w:rsidRPr="00EB2D68">
              <w:rPr>
                <w:spacing w:val="-2"/>
              </w:rPr>
              <w:t xml:space="preserve">lo </w:t>
            </w:r>
            <w:r w:rsidRPr="00EB2D68">
              <w:rPr>
                <w:spacing w:val="-2"/>
              </w:rPr>
              <w:t xml:space="preserve">v deficitu. </w:t>
            </w:r>
            <w:r w:rsidRPr="00EB2D68">
              <w:rPr>
                <w:rFonts w:cs="Arial"/>
                <w:color w:val="0D0D0D" w:themeColor="text1" w:themeTint="F2"/>
                <w:spacing w:val="-2"/>
              </w:rPr>
              <w:t>Zatímco celkové příjm</w:t>
            </w:r>
            <w:r>
              <w:rPr>
                <w:rFonts w:cs="Arial"/>
                <w:color w:val="0D0D0D" w:themeColor="text1" w:themeTint="F2"/>
                <w:spacing w:val="-2"/>
              </w:rPr>
              <w:t xml:space="preserve">y SR meziročně posílily </w:t>
            </w:r>
            <w:r w:rsidR="002F1B09">
              <w:rPr>
                <w:rFonts w:cs="Arial"/>
                <w:color w:val="0D0D0D" w:themeColor="text1" w:themeTint="F2"/>
                <w:spacing w:val="-2"/>
              </w:rPr>
              <w:t>o </w:t>
            </w:r>
            <w:r>
              <w:rPr>
                <w:rFonts w:cs="Arial"/>
                <w:color w:val="0D0D0D" w:themeColor="text1" w:themeTint="F2"/>
                <w:spacing w:val="-2"/>
              </w:rPr>
              <w:t>8,1</w:t>
            </w:r>
            <w:r w:rsidR="00403F57">
              <w:rPr>
                <w:rFonts w:cs="Arial"/>
                <w:color w:val="0D0D0D" w:themeColor="text1" w:themeTint="F2"/>
                <w:spacing w:val="-2"/>
              </w:rPr>
              <w:t> %</w:t>
            </w:r>
            <w:r>
              <w:rPr>
                <w:rFonts w:cs="Arial"/>
                <w:color w:val="0D0D0D" w:themeColor="text1" w:themeTint="F2"/>
                <w:spacing w:val="-2"/>
              </w:rPr>
              <w:t xml:space="preserve"> </w:t>
            </w:r>
            <w:r w:rsidR="002F1B09">
              <w:rPr>
                <w:rFonts w:cs="Arial"/>
                <w:color w:val="0D0D0D" w:themeColor="text1" w:themeTint="F2"/>
                <w:spacing w:val="-2"/>
              </w:rPr>
              <w:t>a </w:t>
            </w:r>
            <w:r w:rsidRPr="00EB2D68">
              <w:rPr>
                <w:rFonts w:cs="Arial"/>
                <w:color w:val="0D0D0D" w:themeColor="text1" w:themeTint="F2"/>
                <w:spacing w:val="-2"/>
              </w:rPr>
              <w:t xml:space="preserve">výdaje </w:t>
            </w:r>
            <w:r w:rsidR="002F1B09" w:rsidRPr="00EB2D68">
              <w:rPr>
                <w:rFonts w:cs="Arial"/>
                <w:color w:val="0D0D0D" w:themeColor="text1" w:themeTint="F2"/>
                <w:spacing w:val="-2"/>
              </w:rPr>
              <w:t>o</w:t>
            </w:r>
            <w:r w:rsidR="002F1B09">
              <w:rPr>
                <w:rFonts w:cs="Arial"/>
                <w:color w:val="0D0D0D" w:themeColor="text1" w:themeTint="F2"/>
                <w:spacing w:val="-2"/>
              </w:rPr>
              <w:t> </w:t>
            </w:r>
            <w:r w:rsidRPr="00EB2D68">
              <w:rPr>
                <w:rFonts w:cs="Arial"/>
                <w:color w:val="0D0D0D" w:themeColor="text1" w:themeTint="F2"/>
                <w:spacing w:val="-2"/>
              </w:rPr>
              <w:t>10,2</w:t>
            </w:r>
            <w:r w:rsidR="00403F57">
              <w:rPr>
                <w:rFonts w:cs="Arial"/>
                <w:color w:val="0D0D0D" w:themeColor="text1" w:themeTint="F2"/>
                <w:spacing w:val="-2"/>
              </w:rPr>
              <w:t> %</w:t>
            </w:r>
            <w:r w:rsidRPr="00EB2D68">
              <w:rPr>
                <w:rFonts w:cs="Arial"/>
                <w:color w:val="0D0D0D" w:themeColor="text1" w:themeTint="F2"/>
                <w:spacing w:val="-2"/>
              </w:rPr>
              <w:t xml:space="preserve">, jejich tempa citelně převyšovala </w:t>
            </w:r>
            <w:r w:rsidRPr="00EB2D68">
              <w:rPr>
                <w:spacing w:val="-2"/>
              </w:rPr>
              <w:t xml:space="preserve">celoroční rozpočtové očekávání. </w:t>
            </w:r>
            <w:r w:rsidRPr="00EB2D68">
              <w:rPr>
                <w:rFonts w:cs="Arial"/>
                <w:color w:val="0D0D0D" w:themeColor="text1" w:themeTint="F2"/>
                <w:spacing w:val="-2"/>
              </w:rPr>
              <w:t>Saldo SR, jež představuje dominantní položku deficitu či přebytku hospodaření sektoru vládních institucí, dosáhlo v </w:t>
            </w:r>
            <w:r w:rsidR="004A5D4E" w:rsidRPr="00EB2D68">
              <w:rPr>
                <w:rFonts w:cs="Arial"/>
                <w:color w:val="0D0D0D" w:themeColor="text1" w:themeTint="F2"/>
                <w:spacing w:val="-2"/>
              </w:rPr>
              <w:t>1</w:t>
            </w:r>
            <w:r w:rsidR="004A5D4E">
              <w:rPr>
                <w:rFonts w:cs="Arial"/>
                <w:color w:val="0D0D0D" w:themeColor="text1" w:themeTint="F2"/>
                <w:spacing w:val="-2"/>
              </w:rPr>
              <w:t>. </w:t>
            </w:r>
            <w:r w:rsidRPr="00EB2D68">
              <w:rPr>
                <w:rFonts w:cs="Arial"/>
                <w:color w:val="0D0D0D" w:themeColor="text1" w:themeTint="F2"/>
                <w:spacing w:val="-2"/>
              </w:rPr>
              <w:t>pololetí v</w:t>
            </w:r>
            <w:r w:rsidRPr="00EB2D68">
              <w:rPr>
                <w:color w:val="0D0D0D" w:themeColor="text1" w:themeTint="F2"/>
                <w:spacing w:val="-2"/>
              </w:rPr>
              <w:t>e vztahu</w:t>
            </w:r>
            <w:r w:rsidRPr="00EB2D68">
              <w:rPr>
                <w:rFonts w:cs="Arial"/>
                <w:color w:val="0D0D0D" w:themeColor="text1" w:themeTint="F2"/>
                <w:spacing w:val="-2"/>
              </w:rPr>
              <w:t xml:space="preserve"> k</w:t>
            </w:r>
            <w:r w:rsidRPr="00EB2D68">
              <w:rPr>
                <w:color w:val="0D0D0D" w:themeColor="text1" w:themeTint="F2"/>
                <w:spacing w:val="-2"/>
              </w:rPr>
              <w:t> </w:t>
            </w:r>
            <w:r w:rsidRPr="00EB2D68">
              <w:rPr>
                <w:rFonts w:cs="Arial"/>
                <w:color w:val="000000" w:themeColor="text1"/>
                <w:spacing w:val="-2"/>
              </w:rPr>
              <w:t xml:space="preserve">nominálnímu HDP </w:t>
            </w:r>
            <w:r w:rsidRPr="00EB2D68">
              <w:rPr>
                <w:rFonts w:cs="Arial"/>
                <w:color w:val="0D0D0D" w:themeColor="text1" w:themeTint="F2"/>
                <w:spacing w:val="-2"/>
              </w:rPr>
              <w:t>–</w:t>
            </w:r>
            <w:r w:rsidRPr="00EB2D68">
              <w:rPr>
                <w:rFonts w:cs="Arial"/>
                <w:color w:val="000000" w:themeColor="text1"/>
                <w:spacing w:val="-2"/>
              </w:rPr>
              <w:t>0,8</w:t>
            </w:r>
            <w:r>
              <w:rPr>
                <w:rFonts w:cs="Arial"/>
                <w:color w:val="000000" w:themeColor="text1"/>
                <w:spacing w:val="-2"/>
              </w:rPr>
              <w:t> % (o</w:t>
            </w:r>
            <w:r w:rsidRPr="00EB2D68">
              <w:rPr>
                <w:spacing w:val="-2"/>
              </w:rPr>
              <w:t> </w:t>
            </w:r>
            <w:r w:rsidRPr="00EB2D68">
              <w:rPr>
                <w:rFonts w:cs="Arial"/>
                <w:color w:val="000000" w:themeColor="text1"/>
                <w:spacing w:val="-2"/>
              </w:rPr>
              <w:t xml:space="preserve">rok dříve </w:t>
            </w:r>
            <w:r w:rsidRPr="00EB2D68">
              <w:rPr>
                <w:rFonts w:cs="Arial"/>
                <w:color w:val="0D0D0D" w:themeColor="text1" w:themeTint="F2"/>
                <w:spacing w:val="-2"/>
              </w:rPr>
              <w:t>–</w:t>
            </w:r>
            <w:r w:rsidRPr="00EB2D68">
              <w:rPr>
                <w:rFonts w:cs="Arial"/>
                <w:color w:val="000000" w:themeColor="text1"/>
                <w:spacing w:val="-2"/>
              </w:rPr>
              <w:t>0,2</w:t>
            </w:r>
            <w:r w:rsidR="00403F57">
              <w:rPr>
                <w:rFonts w:cs="Arial"/>
                <w:color w:val="000000" w:themeColor="text1"/>
                <w:spacing w:val="-2"/>
              </w:rPr>
              <w:t> %</w:t>
            </w:r>
            <w:r w:rsidRPr="00EB2D68">
              <w:rPr>
                <w:rFonts w:cs="Arial"/>
                <w:color w:val="000000" w:themeColor="text1"/>
                <w:spacing w:val="-2"/>
              </w:rPr>
              <w:t>)</w:t>
            </w:r>
            <w:r>
              <w:rPr>
                <w:rFonts w:cs="Arial"/>
                <w:color w:val="000000" w:themeColor="text1"/>
                <w:spacing w:val="-2"/>
              </w:rPr>
              <w:t xml:space="preserve">. Hlubší deficit odrážel </w:t>
            </w:r>
            <w:r w:rsidR="00A16C37">
              <w:rPr>
                <w:rFonts w:cs="Arial"/>
                <w:color w:val="000000" w:themeColor="text1"/>
                <w:spacing w:val="-2"/>
              </w:rPr>
              <w:t>letošní svižný</w:t>
            </w:r>
            <w:r>
              <w:rPr>
                <w:rFonts w:cs="Arial"/>
                <w:color w:val="000000" w:themeColor="text1"/>
                <w:spacing w:val="-2"/>
              </w:rPr>
              <w:t xml:space="preserve"> růst váhově významných běžných výdajů, jakož </w:t>
            </w:r>
            <w:r w:rsidR="002F1B09">
              <w:rPr>
                <w:rFonts w:cs="Arial"/>
                <w:color w:val="000000" w:themeColor="text1"/>
                <w:spacing w:val="-2"/>
              </w:rPr>
              <w:t>i </w:t>
            </w:r>
            <w:r>
              <w:rPr>
                <w:rFonts w:cs="Arial"/>
                <w:color w:val="000000" w:themeColor="text1"/>
                <w:spacing w:val="-2"/>
              </w:rPr>
              <w:t xml:space="preserve">zrychlení investiční aktivity. Projevilo se </w:t>
            </w:r>
            <w:r w:rsidR="005455F6">
              <w:rPr>
                <w:rFonts w:cs="Arial"/>
                <w:color w:val="000000" w:themeColor="text1"/>
                <w:spacing w:val="-2"/>
              </w:rPr>
              <w:t>také mírné</w:t>
            </w:r>
            <w:r>
              <w:rPr>
                <w:rFonts w:cs="Arial"/>
                <w:color w:val="000000" w:themeColor="text1"/>
                <w:spacing w:val="-2"/>
              </w:rPr>
              <w:t xml:space="preserve"> zpomalení výkonu ekonomiky, neboť dynamika celkových daňových příjmů (včetně pojistného) na úrovni veřejných rozpočtů zvolnila na čtyřleté minimum (+5,9</w:t>
            </w:r>
            <w:r w:rsidR="00403F57">
              <w:rPr>
                <w:rFonts w:cs="Arial"/>
                <w:color w:val="000000" w:themeColor="text1"/>
                <w:spacing w:val="-2"/>
              </w:rPr>
              <w:t> %</w:t>
            </w:r>
            <w:r>
              <w:rPr>
                <w:rFonts w:cs="Arial"/>
                <w:color w:val="000000" w:themeColor="text1"/>
                <w:spacing w:val="-2"/>
              </w:rPr>
              <w:t xml:space="preserve">, </w:t>
            </w:r>
            <w:r w:rsidR="002F1B09">
              <w:rPr>
                <w:rFonts w:cs="Arial"/>
                <w:color w:val="000000" w:themeColor="text1"/>
                <w:spacing w:val="-2"/>
              </w:rPr>
              <w:t>o </w:t>
            </w:r>
            <w:r>
              <w:rPr>
                <w:rFonts w:cs="Arial"/>
                <w:color w:val="000000" w:themeColor="text1"/>
                <w:spacing w:val="-2"/>
              </w:rPr>
              <w:t>rok dříve +6,2</w:t>
            </w:r>
            <w:r w:rsidR="00403F57">
              <w:rPr>
                <w:rFonts w:cs="Arial"/>
                <w:color w:val="000000" w:themeColor="text1"/>
                <w:spacing w:val="-2"/>
              </w:rPr>
              <w:t> %</w:t>
            </w:r>
            <w:r>
              <w:rPr>
                <w:rFonts w:cs="Arial"/>
                <w:color w:val="000000" w:themeColor="text1"/>
                <w:spacing w:val="-2"/>
              </w:rPr>
              <w:t>).</w:t>
            </w:r>
          </w:p>
        </w:tc>
      </w:tr>
      <w:tr w:rsidR="00A45CED" w:rsidRPr="000B394E" w14:paraId="562FF593" w14:textId="77777777" w:rsidTr="000A3D9E">
        <w:trPr>
          <w:trHeight w:val="145"/>
        </w:trPr>
        <w:tc>
          <w:tcPr>
            <w:tcW w:w="1732" w:type="dxa"/>
            <w:tcBorders>
              <w:top w:val="nil"/>
              <w:left w:val="nil"/>
              <w:bottom w:val="nil"/>
              <w:right w:val="nil"/>
            </w:tcBorders>
            <w:shd w:val="clear" w:color="auto" w:fill="auto"/>
            <w:tcMar>
              <w:left w:w="0" w:type="dxa"/>
            </w:tcMar>
          </w:tcPr>
          <w:p w14:paraId="71642E23" w14:textId="74C2CAF9" w:rsidR="00A45CED" w:rsidRDefault="00A45CED" w:rsidP="00A45CED">
            <w:pPr>
              <w:pStyle w:val="Marginlie"/>
            </w:pPr>
            <w:r>
              <w:t xml:space="preserve">Na růstu celkových příjmů se projevily pozitivně výběr pojistného </w:t>
            </w:r>
            <w:r w:rsidR="002F1B09">
              <w:t>i </w:t>
            </w:r>
            <w:r>
              <w:t>vyšší daňové inkaso, negativně mírné snížení příjmů z rozpočtu EU.</w:t>
            </w:r>
          </w:p>
        </w:tc>
        <w:tc>
          <w:tcPr>
            <w:tcW w:w="217" w:type="dxa"/>
            <w:tcBorders>
              <w:top w:val="nil"/>
              <w:left w:val="nil"/>
              <w:bottom w:val="nil"/>
              <w:right w:val="nil"/>
            </w:tcBorders>
            <w:shd w:val="clear" w:color="auto" w:fill="auto"/>
            <w:tcMar>
              <w:left w:w="0" w:type="dxa"/>
            </w:tcMar>
          </w:tcPr>
          <w:p w14:paraId="2B4AD752"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71334020" w14:textId="1AF894F4" w:rsidR="00A45CED" w:rsidRPr="000B394E" w:rsidRDefault="00A45CED" w:rsidP="00A45CED">
            <w:pPr>
              <w:spacing w:after="220"/>
              <w:rPr>
                <w:spacing w:val="-4"/>
              </w:rPr>
            </w:pPr>
            <w:r>
              <w:rPr>
                <w:spacing w:val="-4"/>
              </w:rPr>
              <w:t>Meziroční růst příjmů SR (</w:t>
            </w:r>
            <w:r w:rsidR="002F1B09">
              <w:rPr>
                <w:spacing w:val="-4"/>
              </w:rPr>
              <w:t>o </w:t>
            </w:r>
            <w:r>
              <w:rPr>
                <w:spacing w:val="-4"/>
              </w:rPr>
              <w:t>55,8</w:t>
            </w:r>
            <w:r w:rsidR="00403F57">
              <w:rPr>
                <w:spacing w:val="-4"/>
              </w:rPr>
              <w:t> mld.</w:t>
            </w:r>
            <w:r>
              <w:rPr>
                <w:spacing w:val="-4"/>
              </w:rPr>
              <w:t xml:space="preserve"> korun) byl téměř ze tří čtvrtin tažen vyššími daňovými příjmy </w:t>
            </w:r>
            <w:r>
              <w:rPr>
                <w:rFonts w:cs="Arial"/>
                <w:color w:val="000000" w:themeColor="text1"/>
                <w:spacing w:val="-2"/>
              </w:rPr>
              <w:t>(včetně pojistného)</w:t>
            </w:r>
            <w:r>
              <w:rPr>
                <w:spacing w:val="-4"/>
              </w:rPr>
              <w:t xml:space="preserve">. Pozitivně působily </w:t>
            </w:r>
            <w:r w:rsidR="002F1B09">
              <w:rPr>
                <w:spacing w:val="-4"/>
              </w:rPr>
              <w:t>i </w:t>
            </w:r>
            <w:r>
              <w:rPr>
                <w:spacing w:val="-4"/>
              </w:rPr>
              <w:t xml:space="preserve">nedaňové </w:t>
            </w:r>
            <w:r w:rsidR="002F1B09">
              <w:rPr>
                <w:spacing w:val="-4"/>
              </w:rPr>
              <w:t>a </w:t>
            </w:r>
            <w:r>
              <w:rPr>
                <w:spacing w:val="-4"/>
              </w:rPr>
              <w:t xml:space="preserve">kapitálové příjmy (meziročně vyšší </w:t>
            </w:r>
            <w:r w:rsidR="002F1B09">
              <w:rPr>
                <w:spacing w:val="-4"/>
              </w:rPr>
              <w:t>o </w:t>
            </w:r>
            <w:r>
              <w:rPr>
                <w:spacing w:val="-4"/>
              </w:rPr>
              <w:t>šestinu), neboť mírný pokles příjmů z rozpočtu EU (</w:t>
            </w:r>
            <w:r w:rsidR="002F1B09">
              <w:rPr>
                <w:spacing w:val="-4"/>
              </w:rPr>
              <w:t>o </w:t>
            </w:r>
            <w:r>
              <w:rPr>
                <w:spacing w:val="-4"/>
              </w:rPr>
              <w:t>desetinu, resp. 6,6 mld. korun)</w:t>
            </w:r>
            <w:r>
              <w:rPr>
                <w:rStyle w:val="Znakapoznpodarou"/>
                <w:bCs/>
              </w:rPr>
              <w:footnoteReference w:id="2"/>
            </w:r>
            <w:r>
              <w:rPr>
                <w:spacing w:val="-4"/>
              </w:rPr>
              <w:t xml:space="preserve"> byl kompenzován jednorázovým převodem 18,0 mld. korun z privatizačního účtu. K posílení všech daňových příjmů přispěl (podobně jako v roce 2018) hlavně vyšší výběr pojistného na sociální zabezpečení (+20,8</w:t>
            </w:r>
            <w:r w:rsidR="00403F57">
              <w:rPr>
                <w:spacing w:val="-4"/>
              </w:rPr>
              <w:t> mld.</w:t>
            </w:r>
            <w:r>
              <w:rPr>
                <w:spacing w:val="-4"/>
              </w:rPr>
              <w:t xml:space="preserve"> korun), jen mírně slabší vliv mělo celkové daňové inkaso.</w:t>
            </w:r>
          </w:p>
        </w:tc>
      </w:tr>
      <w:tr w:rsidR="00A45CED" w:rsidRPr="000B394E" w14:paraId="50C19D1B" w14:textId="77777777" w:rsidTr="000A3D9E">
        <w:trPr>
          <w:trHeight w:val="145"/>
        </w:trPr>
        <w:tc>
          <w:tcPr>
            <w:tcW w:w="1732" w:type="dxa"/>
            <w:tcBorders>
              <w:top w:val="nil"/>
              <w:left w:val="nil"/>
              <w:bottom w:val="nil"/>
              <w:right w:val="nil"/>
            </w:tcBorders>
            <w:shd w:val="clear" w:color="auto" w:fill="auto"/>
            <w:tcMar>
              <w:left w:w="0" w:type="dxa"/>
            </w:tcMar>
          </w:tcPr>
          <w:p w14:paraId="28AF3DD8" w14:textId="03363F09" w:rsidR="00A45CED" w:rsidRDefault="00A45CED" w:rsidP="00A45CED">
            <w:pPr>
              <w:pStyle w:val="Marginlie"/>
            </w:pPr>
            <w:r>
              <w:t xml:space="preserve">Inkaso DPH během pololetí sílilo, ale za rozpočtovým očekáváním </w:t>
            </w:r>
            <w:r w:rsidR="002F1B09">
              <w:t>i </w:t>
            </w:r>
            <w:r>
              <w:t>dynamikou konečné spotřeby vlády i domácností zaostávalo.</w:t>
            </w:r>
          </w:p>
        </w:tc>
        <w:tc>
          <w:tcPr>
            <w:tcW w:w="217" w:type="dxa"/>
            <w:tcBorders>
              <w:top w:val="nil"/>
              <w:left w:val="nil"/>
              <w:bottom w:val="nil"/>
              <w:right w:val="nil"/>
            </w:tcBorders>
            <w:shd w:val="clear" w:color="auto" w:fill="auto"/>
            <w:tcMar>
              <w:left w:w="0" w:type="dxa"/>
            </w:tcMar>
          </w:tcPr>
          <w:p w14:paraId="65E44462"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0120574C" w14:textId="506CBB95" w:rsidR="00A45CED" w:rsidRDefault="00A45CED" w:rsidP="00A45CED">
            <w:pPr>
              <w:spacing w:after="220"/>
              <w:rPr>
                <w:spacing w:val="-4"/>
              </w:rPr>
            </w:pPr>
            <w:r>
              <w:rPr>
                <w:spacing w:val="-4"/>
              </w:rPr>
              <w:t>Na váhově dominantní dani –</w:t>
            </w:r>
            <w:r w:rsidR="0091001E">
              <w:rPr>
                <w:spacing w:val="-4"/>
              </w:rPr>
              <w:t> </w:t>
            </w:r>
            <w:r>
              <w:rPr>
                <w:spacing w:val="-4"/>
              </w:rPr>
              <w:t>DPH –</w:t>
            </w:r>
            <w:r w:rsidR="0091001E">
              <w:rPr>
                <w:spacing w:val="-4"/>
              </w:rPr>
              <w:t> </w:t>
            </w:r>
            <w:r>
              <w:rPr>
                <w:spacing w:val="-4"/>
              </w:rPr>
              <w:t xml:space="preserve">získal SR </w:t>
            </w:r>
            <w:r w:rsidR="002F1B09">
              <w:rPr>
                <w:spacing w:val="-4"/>
              </w:rPr>
              <w:t>v </w:t>
            </w:r>
            <w:r w:rsidR="004A5D4E">
              <w:rPr>
                <w:spacing w:val="-4"/>
              </w:rPr>
              <w:t>1. </w:t>
            </w:r>
            <w:r>
              <w:rPr>
                <w:spacing w:val="-4"/>
              </w:rPr>
              <w:t xml:space="preserve">pololetí meziročně </w:t>
            </w:r>
            <w:r w:rsidR="002F1B09">
              <w:rPr>
                <w:spacing w:val="-4"/>
              </w:rPr>
              <w:t>o </w:t>
            </w:r>
            <w:r>
              <w:rPr>
                <w:spacing w:val="-4"/>
              </w:rPr>
              <w:t>3,0</w:t>
            </w:r>
            <w:r w:rsidR="00403F57">
              <w:rPr>
                <w:spacing w:val="-4"/>
              </w:rPr>
              <w:t> %</w:t>
            </w:r>
            <w:r>
              <w:rPr>
                <w:spacing w:val="-4"/>
              </w:rPr>
              <w:t xml:space="preserve"> více, </w:t>
            </w:r>
            <w:r w:rsidR="0091001E">
              <w:rPr>
                <w:spacing w:val="-4"/>
              </w:rPr>
              <w:t>a </w:t>
            </w:r>
            <w:r w:rsidR="005455F6">
              <w:rPr>
                <w:spacing w:val="-4"/>
              </w:rPr>
              <w:t>přestože růstové</w:t>
            </w:r>
            <w:r>
              <w:rPr>
                <w:spacing w:val="-4"/>
              </w:rPr>
              <w:t xml:space="preserve"> tempo v průběhu roku sílilo</w:t>
            </w:r>
            <w:r w:rsidRPr="00EB2D68">
              <w:rPr>
                <w:rStyle w:val="Znakapoznpodarou"/>
                <w:spacing w:val="-2"/>
              </w:rPr>
              <w:footnoteReference w:id="3"/>
            </w:r>
            <w:r>
              <w:rPr>
                <w:spacing w:val="-4"/>
              </w:rPr>
              <w:t xml:space="preserve">, stále za rozpočtovým očekáváním zaostávalo. Tempo výběru DPH klesalo již třetím rokem v řadě </w:t>
            </w:r>
            <w:r w:rsidR="002F1B09">
              <w:rPr>
                <w:spacing w:val="-4"/>
              </w:rPr>
              <w:t>a </w:t>
            </w:r>
            <w:r>
              <w:rPr>
                <w:spacing w:val="-4"/>
              </w:rPr>
              <w:t>letos zatím nedosahovalo ani dynamiky růstu výdajů na konečnou spotřebu domácností (5,7</w:t>
            </w:r>
            <w:r w:rsidR="00403F57">
              <w:rPr>
                <w:spacing w:val="-4"/>
              </w:rPr>
              <w:t> %</w:t>
            </w:r>
            <w:r>
              <w:rPr>
                <w:spacing w:val="-4"/>
              </w:rPr>
              <w:t>) či vládních institucí (8,5</w:t>
            </w:r>
            <w:r w:rsidR="00403F57">
              <w:rPr>
                <w:spacing w:val="-4"/>
              </w:rPr>
              <w:t> %</w:t>
            </w:r>
            <w:r>
              <w:rPr>
                <w:spacing w:val="-4"/>
              </w:rPr>
              <w:t>)</w:t>
            </w:r>
            <w:r w:rsidRPr="00EB2D68">
              <w:rPr>
                <w:rStyle w:val="Znakapoznpodarou"/>
                <w:spacing w:val="-2"/>
              </w:rPr>
              <w:footnoteReference w:id="4"/>
            </w:r>
            <w:r>
              <w:rPr>
                <w:spacing w:val="-4"/>
              </w:rPr>
              <w:t xml:space="preserve">. Inkaso všech spotřebních daní vzrostlo </w:t>
            </w:r>
            <w:r w:rsidR="002F1B09">
              <w:rPr>
                <w:spacing w:val="-4"/>
              </w:rPr>
              <w:t>o </w:t>
            </w:r>
            <w:r>
              <w:rPr>
                <w:spacing w:val="-4"/>
              </w:rPr>
              <w:t>3,9</w:t>
            </w:r>
            <w:r w:rsidR="00403F57">
              <w:rPr>
                <w:spacing w:val="-4"/>
              </w:rPr>
              <w:t> %</w:t>
            </w:r>
            <w:r>
              <w:rPr>
                <w:spacing w:val="-4"/>
              </w:rPr>
              <w:t xml:space="preserve"> zásluhou vyššího výběru všech hlavních druhů daně. Ten u objemově nejvýznamnější </w:t>
            </w:r>
            <w:r w:rsidRPr="00677AA8">
              <w:rPr>
                <w:spacing w:val="-4"/>
              </w:rPr>
              <w:t>daně</w:t>
            </w:r>
            <w:r w:rsidRPr="00677AA8">
              <w:rPr>
                <w:iCs/>
                <w:spacing w:val="-4"/>
              </w:rPr>
              <w:t xml:space="preserve"> </w:t>
            </w:r>
            <w:r w:rsidR="002F1B09" w:rsidRPr="00677AA8">
              <w:rPr>
                <w:iCs/>
                <w:spacing w:val="-4"/>
              </w:rPr>
              <w:t>z</w:t>
            </w:r>
            <w:r w:rsidR="002F1B09">
              <w:rPr>
                <w:iCs/>
                <w:spacing w:val="-4"/>
              </w:rPr>
              <w:t> </w:t>
            </w:r>
            <w:r w:rsidRPr="00677AA8">
              <w:rPr>
                <w:iCs/>
                <w:spacing w:val="-4"/>
              </w:rPr>
              <w:t>minerálních olejů</w:t>
            </w:r>
            <w:r>
              <w:rPr>
                <w:iCs/>
                <w:spacing w:val="-4"/>
              </w:rPr>
              <w:t xml:space="preserve"> posílil </w:t>
            </w:r>
            <w:r w:rsidR="002F1B09">
              <w:rPr>
                <w:iCs/>
                <w:spacing w:val="-4"/>
              </w:rPr>
              <w:t>o </w:t>
            </w:r>
            <w:r>
              <w:rPr>
                <w:iCs/>
                <w:spacing w:val="-4"/>
              </w:rPr>
              <w:t>2,3</w:t>
            </w:r>
            <w:r w:rsidR="00403F57">
              <w:rPr>
                <w:iCs/>
                <w:spacing w:val="-4"/>
              </w:rPr>
              <w:t> %</w:t>
            </w:r>
            <w:r>
              <w:rPr>
                <w:rStyle w:val="Znakapoznpodarou"/>
                <w:color w:val="000000" w:themeColor="text1"/>
                <w:spacing w:val="-4"/>
              </w:rPr>
              <w:footnoteReference w:id="5"/>
            </w:r>
            <w:r>
              <w:rPr>
                <w:iCs/>
                <w:spacing w:val="-4"/>
              </w:rPr>
              <w:t xml:space="preserve"> </w:t>
            </w:r>
            <w:r w:rsidR="002F1B09">
              <w:rPr>
                <w:iCs/>
                <w:spacing w:val="-4"/>
              </w:rPr>
              <w:t>a </w:t>
            </w:r>
            <w:r>
              <w:rPr>
                <w:iCs/>
                <w:spacing w:val="-4"/>
              </w:rPr>
              <w:t>díky vyšší dynamice v samotném 2</w:t>
            </w:r>
            <w:r w:rsidR="004A5D4E">
              <w:rPr>
                <w:iCs/>
                <w:spacing w:val="-4"/>
              </w:rPr>
              <w:t>. čtvrtlet</w:t>
            </w:r>
            <w:r>
              <w:rPr>
                <w:iCs/>
                <w:spacing w:val="-4"/>
              </w:rPr>
              <w:t xml:space="preserve">í se tak držel na úrovni rozpočtových očekávání. Vyšším tempem rostlo inkaso daně z tabákových výrobků navzdory tomu, že letos (poprvé od roku 2011) nedošlo ke </w:t>
            </w:r>
            <w:r>
              <w:t>zvyšování sazeb. Její výběr však bývá během roku kolísavý, zejména z důvodu častých předzásobení.</w:t>
            </w:r>
          </w:p>
        </w:tc>
      </w:tr>
      <w:tr w:rsidR="00A45CED" w:rsidRPr="000B394E" w14:paraId="030746B1" w14:textId="77777777" w:rsidTr="000A3D9E">
        <w:trPr>
          <w:trHeight w:val="145"/>
        </w:trPr>
        <w:tc>
          <w:tcPr>
            <w:tcW w:w="1732" w:type="dxa"/>
            <w:tcBorders>
              <w:top w:val="nil"/>
              <w:left w:val="nil"/>
              <w:bottom w:val="nil"/>
              <w:right w:val="nil"/>
            </w:tcBorders>
            <w:shd w:val="clear" w:color="auto" w:fill="auto"/>
            <w:tcMar>
              <w:left w:w="0" w:type="dxa"/>
            </w:tcMar>
          </w:tcPr>
          <w:p w14:paraId="2EB4EBE1" w14:textId="0EC427AA" w:rsidR="00A45CED" w:rsidRDefault="00A45CED" w:rsidP="00A45CED">
            <w:pPr>
              <w:pStyle w:val="Marginlie"/>
            </w:pPr>
            <w:r>
              <w:t xml:space="preserve">Růst daně </w:t>
            </w:r>
            <w:r w:rsidR="005B0EDA">
              <w:t>z </w:t>
            </w:r>
            <w:r>
              <w:t>příjmů fyzických osob ze závislé činnosti již nezrychloval, jeho tempo přesto převyšovalo úroveň z vrcholu konjunktury minulé dekády.</w:t>
            </w:r>
          </w:p>
        </w:tc>
        <w:tc>
          <w:tcPr>
            <w:tcW w:w="217" w:type="dxa"/>
            <w:tcBorders>
              <w:top w:val="nil"/>
              <w:left w:val="nil"/>
              <w:bottom w:val="nil"/>
              <w:right w:val="nil"/>
            </w:tcBorders>
            <w:shd w:val="clear" w:color="auto" w:fill="auto"/>
            <w:tcMar>
              <w:left w:w="0" w:type="dxa"/>
            </w:tcMar>
          </w:tcPr>
          <w:p w14:paraId="6DC9D839"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7378F977" w14:textId="0A678377" w:rsidR="00A45CED" w:rsidRDefault="002F1B09" w:rsidP="005455F6">
            <w:pPr>
              <w:spacing w:after="0"/>
              <w:rPr>
                <w:spacing w:val="-4"/>
              </w:rPr>
            </w:pPr>
            <w:r>
              <w:rPr>
                <w:rFonts w:cs="Arial"/>
                <w:color w:val="000000" w:themeColor="text1"/>
                <w:spacing w:val="-4"/>
              </w:rPr>
              <w:t>K </w:t>
            </w:r>
            <w:r w:rsidR="00A45CED">
              <w:rPr>
                <w:rFonts w:cs="Arial"/>
                <w:color w:val="000000" w:themeColor="text1"/>
                <w:spacing w:val="-4"/>
              </w:rPr>
              <w:t xml:space="preserve">růstu celostátního výběru přímých daní přispěla nadále nejvíce daň z příjmů fyzických osob ze závislé činnosti, jež meziročně posílila </w:t>
            </w:r>
            <w:r>
              <w:rPr>
                <w:rFonts w:cs="Arial"/>
                <w:color w:val="000000" w:themeColor="text1"/>
                <w:spacing w:val="-4"/>
              </w:rPr>
              <w:t>o </w:t>
            </w:r>
            <w:r w:rsidR="00A45CED">
              <w:rPr>
                <w:rFonts w:cs="Arial"/>
                <w:color w:val="000000" w:themeColor="text1"/>
                <w:spacing w:val="-4"/>
              </w:rPr>
              <w:t>13,3</w:t>
            </w:r>
            <w:r w:rsidR="00403F57">
              <w:rPr>
                <w:rFonts w:cs="Arial"/>
                <w:color w:val="000000" w:themeColor="text1"/>
                <w:spacing w:val="-4"/>
              </w:rPr>
              <w:t> %</w:t>
            </w:r>
            <w:r w:rsidR="00A45CED">
              <w:rPr>
                <w:rFonts w:cs="Arial"/>
                <w:color w:val="000000" w:themeColor="text1"/>
                <w:spacing w:val="-4"/>
              </w:rPr>
              <w:t xml:space="preserve">, mírně pod úrovní rozpočtového očekávání. </w:t>
            </w:r>
            <w:r w:rsidR="00A45CED">
              <w:rPr>
                <w:rFonts w:cs="Arial"/>
                <w:color w:val="0D0D0D" w:themeColor="text1" w:themeTint="F2"/>
                <w:spacing w:val="-4"/>
              </w:rPr>
              <w:t xml:space="preserve">Přestože tempo růstu inkasa na rozdíl od let 2016 až 2018 již nesílilo, stále převyšovalo dynamiku </w:t>
            </w:r>
            <w:r>
              <w:rPr>
                <w:rFonts w:cs="Arial"/>
                <w:color w:val="0D0D0D" w:themeColor="text1" w:themeTint="F2"/>
                <w:spacing w:val="-4"/>
              </w:rPr>
              <w:t>z </w:t>
            </w:r>
            <w:r w:rsidR="00A45CED">
              <w:rPr>
                <w:rFonts w:cs="Arial"/>
                <w:color w:val="0D0D0D" w:themeColor="text1" w:themeTint="F2"/>
                <w:spacing w:val="-4"/>
              </w:rPr>
              <w:t xml:space="preserve">konjunkturního období minulé dekády. Zasloužil se </w:t>
            </w:r>
            <w:r>
              <w:rPr>
                <w:rFonts w:cs="Arial"/>
                <w:color w:val="0D0D0D" w:themeColor="text1" w:themeTint="F2"/>
                <w:spacing w:val="-4"/>
              </w:rPr>
              <w:t>o </w:t>
            </w:r>
            <w:r w:rsidR="00A45CED">
              <w:rPr>
                <w:rFonts w:cs="Arial"/>
                <w:color w:val="0D0D0D" w:themeColor="text1" w:themeTint="F2"/>
                <w:spacing w:val="-4"/>
              </w:rPr>
              <w:t xml:space="preserve">to </w:t>
            </w:r>
            <w:r>
              <w:rPr>
                <w:rFonts w:cs="Arial"/>
                <w:color w:val="0D0D0D" w:themeColor="text1" w:themeTint="F2"/>
                <w:spacing w:val="-4"/>
              </w:rPr>
              <w:t>i </w:t>
            </w:r>
            <w:r w:rsidR="00A45CED">
              <w:rPr>
                <w:rFonts w:cs="Arial"/>
                <w:color w:val="0D0D0D" w:themeColor="text1" w:themeTint="F2"/>
                <w:spacing w:val="-4"/>
              </w:rPr>
              <w:t xml:space="preserve">rekordní počet pracujících osob </w:t>
            </w:r>
            <w:r>
              <w:rPr>
                <w:rFonts w:cs="Arial"/>
                <w:color w:val="0D0D0D" w:themeColor="text1" w:themeTint="F2"/>
                <w:spacing w:val="-4"/>
              </w:rPr>
              <w:t>a </w:t>
            </w:r>
            <w:r w:rsidR="00A45CED">
              <w:rPr>
                <w:rFonts w:cs="Arial"/>
                <w:color w:val="0D0D0D" w:themeColor="text1" w:themeTint="F2"/>
                <w:spacing w:val="-4"/>
              </w:rPr>
              <w:t xml:space="preserve">dále též svižný růst průměrných výdělků, především ve službách. Dvojciferný růst převyšující rozpočtové očekávání zaznamenala </w:t>
            </w:r>
            <w:r>
              <w:rPr>
                <w:rFonts w:cs="Arial"/>
                <w:color w:val="0D0D0D" w:themeColor="text1" w:themeTint="F2"/>
                <w:spacing w:val="-4"/>
              </w:rPr>
              <w:t>i </w:t>
            </w:r>
            <w:r w:rsidR="00A45CED">
              <w:rPr>
                <w:rFonts w:cs="Arial"/>
                <w:color w:val="0D0D0D" w:themeColor="text1" w:themeTint="F2"/>
                <w:spacing w:val="-4"/>
              </w:rPr>
              <w:t xml:space="preserve">daň z kapitálových výnosů. Posílilo </w:t>
            </w:r>
            <w:r>
              <w:rPr>
                <w:rFonts w:cs="Arial"/>
                <w:color w:val="0D0D0D" w:themeColor="text1" w:themeTint="F2"/>
                <w:spacing w:val="-4"/>
              </w:rPr>
              <w:t>i </w:t>
            </w:r>
            <w:r w:rsidR="00A45CED">
              <w:rPr>
                <w:rFonts w:cs="Arial"/>
                <w:color w:val="0D0D0D" w:themeColor="text1" w:themeTint="F2"/>
                <w:spacing w:val="-4"/>
              </w:rPr>
              <w:t xml:space="preserve">inkaso daně z příjmů fyzických osob </w:t>
            </w:r>
            <w:r w:rsidR="00A45CED">
              <w:rPr>
                <w:rFonts w:cs="Arial"/>
                <w:spacing w:val="-4"/>
              </w:rPr>
              <w:t xml:space="preserve">z přiznání související zejména s objemem tržeb plynoucích z drobného podnikání. Projevoval se zde nadále svižný růst tuzemské poptávky, opačným směrem působilo rozšíření daňových úlev </w:t>
            </w:r>
            <w:r>
              <w:rPr>
                <w:rFonts w:cs="Arial"/>
                <w:spacing w:val="-4"/>
              </w:rPr>
              <w:t>a </w:t>
            </w:r>
            <w:r w:rsidR="00A45CED">
              <w:rPr>
                <w:rFonts w:cs="Arial"/>
                <w:spacing w:val="-4"/>
              </w:rPr>
              <w:t>zvýhodnění (např.</w:t>
            </w:r>
            <w:r w:rsidR="005B0EDA">
              <w:rPr>
                <w:rFonts w:cs="Arial"/>
                <w:spacing w:val="-4"/>
              </w:rPr>
              <w:t> </w:t>
            </w:r>
            <w:r w:rsidR="00A45CED">
              <w:rPr>
                <w:rFonts w:cs="Arial"/>
                <w:spacing w:val="-4"/>
              </w:rPr>
              <w:t xml:space="preserve">na děti). Celostátní inkaso korporátní daně vzrostlo </w:t>
            </w:r>
            <w:r>
              <w:rPr>
                <w:rFonts w:cs="Arial"/>
                <w:spacing w:val="-4"/>
              </w:rPr>
              <w:t>o </w:t>
            </w:r>
            <w:r w:rsidR="00A45CED">
              <w:rPr>
                <w:rFonts w:cs="Arial"/>
                <w:spacing w:val="-4"/>
              </w:rPr>
              <w:t xml:space="preserve">6,3 % </w:t>
            </w:r>
            <w:r>
              <w:rPr>
                <w:rFonts w:cs="Arial"/>
                <w:spacing w:val="-4"/>
              </w:rPr>
              <w:t>a </w:t>
            </w:r>
            <w:r w:rsidR="00A45CED">
              <w:rPr>
                <w:rFonts w:cs="Arial"/>
                <w:spacing w:val="-4"/>
              </w:rPr>
              <w:t xml:space="preserve">odráželo </w:t>
            </w:r>
            <w:r w:rsidR="00A45CED">
              <w:rPr>
                <w:rFonts w:cs="Arial"/>
                <w:color w:val="0D0D0D" w:themeColor="text1" w:themeTint="F2"/>
                <w:spacing w:val="-4"/>
              </w:rPr>
              <w:t>klesající ziskovost podniků</w:t>
            </w:r>
            <w:r w:rsidR="00F54934">
              <w:rPr>
                <w:rFonts w:cs="Arial"/>
                <w:color w:val="0D0D0D" w:themeColor="text1" w:themeTint="F2"/>
                <w:spacing w:val="-4"/>
              </w:rPr>
              <w:t>,</w:t>
            </w:r>
            <w:r w:rsidR="00A45CED">
              <w:rPr>
                <w:rFonts w:cs="Arial"/>
                <w:color w:val="0D0D0D" w:themeColor="text1" w:themeTint="F2"/>
                <w:spacing w:val="-4"/>
              </w:rPr>
              <w:t xml:space="preserve"> hlavně vlivem sílících mzdových nákladů, ale </w:t>
            </w:r>
            <w:r>
              <w:rPr>
                <w:rFonts w:cs="Arial"/>
                <w:color w:val="0D0D0D" w:themeColor="text1" w:themeTint="F2"/>
                <w:spacing w:val="-4"/>
              </w:rPr>
              <w:t>i </w:t>
            </w:r>
            <w:r w:rsidR="00A45CED">
              <w:rPr>
                <w:rFonts w:cs="Arial"/>
                <w:color w:val="0D0D0D" w:themeColor="text1" w:themeTint="F2"/>
                <w:spacing w:val="-4"/>
              </w:rPr>
              <w:t>relativně slabší loňskou základnu této daně.</w:t>
            </w:r>
          </w:p>
        </w:tc>
      </w:tr>
      <w:tr w:rsidR="00A45CED" w:rsidRPr="000B394E" w14:paraId="29F04A37" w14:textId="77777777" w:rsidTr="000A3D9E">
        <w:trPr>
          <w:trHeight w:val="145"/>
        </w:trPr>
        <w:tc>
          <w:tcPr>
            <w:tcW w:w="1732" w:type="dxa"/>
            <w:tcBorders>
              <w:top w:val="nil"/>
              <w:left w:val="nil"/>
              <w:bottom w:val="nil"/>
              <w:right w:val="nil"/>
            </w:tcBorders>
            <w:shd w:val="clear" w:color="auto" w:fill="auto"/>
            <w:tcMar>
              <w:left w:w="0" w:type="dxa"/>
            </w:tcMar>
          </w:tcPr>
          <w:p w14:paraId="21EEBA63" w14:textId="4966B210" w:rsidR="00A45CED" w:rsidRDefault="00A45CED" w:rsidP="00A45CED">
            <w:pPr>
              <w:pStyle w:val="Marginlie"/>
            </w:pPr>
            <w:r>
              <w:t>Kladná čistá pozice ČR vůči rozpočtu EU vystoupala v rámci 1. pololetí na tříleté maximum.</w:t>
            </w:r>
          </w:p>
        </w:tc>
        <w:tc>
          <w:tcPr>
            <w:tcW w:w="217" w:type="dxa"/>
            <w:tcBorders>
              <w:top w:val="nil"/>
              <w:left w:val="nil"/>
              <w:bottom w:val="nil"/>
              <w:right w:val="nil"/>
            </w:tcBorders>
            <w:shd w:val="clear" w:color="auto" w:fill="auto"/>
            <w:tcMar>
              <w:left w:w="0" w:type="dxa"/>
            </w:tcMar>
          </w:tcPr>
          <w:p w14:paraId="5E71275A"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35FF9B29" w14:textId="083629D6" w:rsidR="00A45CED" w:rsidRDefault="00A45CED" w:rsidP="00A45CED">
            <w:pPr>
              <w:spacing w:after="220"/>
              <w:rPr>
                <w:spacing w:val="-4"/>
              </w:rPr>
            </w:pPr>
            <w:r>
              <w:rPr>
                <w:spacing w:val="-4"/>
              </w:rPr>
              <w:t>Přestože letos došlo ve srovnání s </w:t>
            </w:r>
            <w:r w:rsidR="004A5D4E">
              <w:rPr>
                <w:spacing w:val="-4"/>
              </w:rPr>
              <w:t>1. </w:t>
            </w:r>
            <w:r>
              <w:rPr>
                <w:spacing w:val="-4"/>
              </w:rPr>
              <w:t>pololetím roku 2018 k mírnému snížení příjmů SR z rozpočtu EU (v</w:t>
            </w:r>
            <w:r w:rsidR="00403F57">
              <w:rPr>
                <w:spacing w:val="-4"/>
              </w:rPr>
              <w:t>č. </w:t>
            </w:r>
            <w:r>
              <w:rPr>
                <w:spacing w:val="-4"/>
              </w:rPr>
              <w:t>finančních mechanismů), tento pokles se netýkal současného programového období (2014</w:t>
            </w:r>
            <w:r w:rsidR="00403F57">
              <w:rPr>
                <w:spacing w:val="-4"/>
              </w:rPr>
              <w:t>–</w:t>
            </w:r>
            <w:r>
              <w:rPr>
                <w:spacing w:val="-4"/>
              </w:rPr>
              <w:t xml:space="preserve">2020). To dokládá </w:t>
            </w:r>
            <w:r w:rsidR="002F1B09">
              <w:rPr>
                <w:spacing w:val="-4"/>
              </w:rPr>
              <w:t>i </w:t>
            </w:r>
            <w:r>
              <w:rPr>
                <w:spacing w:val="-4"/>
              </w:rPr>
              <w:t>čistá pozice ČR vůči rozpočtu EU. Ta dosáhla v </w:t>
            </w:r>
            <w:r w:rsidR="004A5D4E">
              <w:rPr>
                <w:spacing w:val="-4"/>
              </w:rPr>
              <w:t>1. </w:t>
            </w:r>
            <w:r>
              <w:rPr>
                <w:spacing w:val="-4"/>
              </w:rPr>
              <w:t>pololetí +24,4</w:t>
            </w:r>
            <w:r w:rsidR="00403F57">
              <w:rPr>
                <w:spacing w:val="-4"/>
              </w:rPr>
              <w:t> mld.</w:t>
            </w:r>
            <w:r>
              <w:rPr>
                <w:spacing w:val="-4"/>
              </w:rPr>
              <w:t xml:space="preserve"> korun </w:t>
            </w:r>
            <w:r w:rsidR="002F1B09">
              <w:rPr>
                <w:spacing w:val="-4"/>
              </w:rPr>
              <w:t>a </w:t>
            </w:r>
            <w:r>
              <w:rPr>
                <w:spacing w:val="-4"/>
              </w:rPr>
              <w:t xml:space="preserve">byla </w:t>
            </w:r>
            <w:r w:rsidR="002F1B09">
              <w:rPr>
                <w:spacing w:val="-4"/>
              </w:rPr>
              <w:t>v </w:t>
            </w:r>
            <w:r>
              <w:rPr>
                <w:spacing w:val="-4"/>
              </w:rPr>
              <w:t xml:space="preserve">tomto období nejvyšší za poslední tři roky. </w:t>
            </w:r>
            <w:r>
              <w:rPr>
                <w:spacing w:val="-4"/>
              </w:rPr>
              <w:lastRenderedPageBreak/>
              <w:t xml:space="preserve">K posílení </w:t>
            </w:r>
            <w:r w:rsidR="00DF2C5D">
              <w:rPr>
                <w:spacing w:val="-4"/>
              </w:rPr>
              <w:t xml:space="preserve">čisté </w:t>
            </w:r>
            <w:r>
              <w:rPr>
                <w:spacing w:val="-4"/>
              </w:rPr>
              <w:t>pozice došlo letos výhradně vlivem výraznějšího nárůstu příjmů (</w:t>
            </w:r>
            <w:r w:rsidR="002F1B09">
              <w:rPr>
                <w:spacing w:val="-4"/>
              </w:rPr>
              <w:t>z </w:t>
            </w:r>
            <w:r>
              <w:rPr>
                <w:spacing w:val="-4"/>
              </w:rPr>
              <w:t>32,</w:t>
            </w:r>
            <w:r w:rsidR="002F1B09">
              <w:rPr>
                <w:spacing w:val="-4"/>
              </w:rPr>
              <w:t>9</w:t>
            </w:r>
            <w:r w:rsidR="009A0BFF">
              <w:rPr>
                <w:spacing w:val="-4"/>
              </w:rPr>
              <w:t xml:space="preserve"> </w:t>
            </w:r>
            <w:r>
              <w:rPr>
                <w:spacing w:val="-4"/>
              </w:rPr>
              <w:t>na 53,9</w:t>
            </w:r>
            <w:r w:rsidRPr="00EB2D68">
              <w:rPr>
                <w:spacing w:val="-2"/>
              </w:rPr>
              <w:t> </w:t>
            </w:r>
            <w:r w:rsidR="00DF2C5D">
              <w:rPr>
                <w:spacing w:val="-4"/>
              </w:rPr>
              <w:t>mld. korun). V</w:t>
            </w:r>
            <w:r>
              <w:rPr>
                <w:spacing w:val="-4"/>
              </w:rPr>
              <w:t>ýše plateb ČR do rozpočtu EU se meziročně navýšila (</w:t>
            </w:r>
            <w:r w:rsidR="002F1B09">
              <w:rPr>
                <w:spacing w:val="-4"/>
              </w:rPr>
              <w:t>o </w:t>
            </w:r>
            <w:r>
              <w:rPr>
                <w:spacing w:val="-4"/>
              </w:rPr>
              <w:t>bezmála třetinu na 29,6</w:t>
            </w:r>
            <w:r w:rsidR="00403F57">
              <w:rPr>
                <w:spacing w:val="-4"/>
              </w:rPr>
              <w:t> mld.</w:t>
            </w:r>
            <w:r>
              <w:rPr>
                <w:spacing w:val="-4"/>
              </w:rPr>
              <w:t>)</w:t>
            </w:r>
            <w:r w:rsidRPr="00EB2D68">
              <w:rPr>
                <w:rStyle w:val="Znakapoznpodarou"/>
                <w:spacing w:val="-2"/>
              </w:rPr>
              <w:footnoteReference w:id="6"/>
            </w:r>
            <w:r>
              <w:rPr>
                <w:spacing w:val="-2"/>
              </w:rPr>
              <w:t xml:space="preserve">. Posílení příjmů zrcadlilo rychlejší čerpání zejména </w:t>
            </w:r>
            <w:r w:rsidR="002F1B09">
              <w:rPr>
                <w:spacing w:val="-2"/>
              </w:rPr>
              <w:t>u </w:t>
            </w:r>
            <w:r>
              <w:rPr>
                <w:spacing w:val="-2"/>
              </w:rPr>
              <w:t xml:space="preserve">strukturálních </w:t>
            </w:r>
            <w:r w:rsidR="002F1B09">
              <w:rPr>
                <w:spacing w:val="-2"/>
              </w:rPr>
              <w:t>a</w:t>
            </w:r>
            <w:r>
              <w:rPr>
                <w:spacing w:val="-4"/>
              </w:rPr>
              <w:t> </w:t>
            </w:r>
            <w:r>
              <w:rPr>
                <w:spacing w:val="-2"/>
              </w:rPr>
              <w:t>kohezních fondů (+17,5</w:t>
            </w:r>
            <w:r w:rsidR="00403F57">
              <w:rPr>
                <w:spacing w:val="-2"/>
              </w:rPr>
              <w:t> mld.</w:t>
            </w:r>
            <w:r>
              <w:rPr>
                <w:spacing w:val="-2"/>
              </w:rPr>
              <w:t xml:space="preserve"> korun) </w:t>
            </w:r>
            <w:r w:rsidR="002F1B09">
              <w:rPr>
                <w:spacing w:val="-2"/>
              </w:rPr>
              <w:t>a </w:t>
            </w:r>
            <w:r>
              <w:rPr>
                <w:spacing w:val="-2"/>
              </w:rPr>
              <w:t xml:space="preserve">také </w:t>
            </w:r>
            <w:r w:rsidR="002F1B09">
              <w:rPr>
                <w:spacing w:val="-2"/>
              </w:rPr>
              <w:t>v </w:t>
            </w:r>
            <w:r>
              <w:rPr>
                <w:spacing w:val="-2"/>
              </w:rPr>
              <w:t>programech v oblasti rozvoje venkova.</w:t>
            </w:r>
          </w:p>
        </w:tc>
      </w:tr>
      <w:tr w:rsidR="00A45CED" w:rsidRPr="00F704D2" w14:paraId="5D3CBECC" w14:textId="77777777" w:rsidTr="000A3D9E">
        <w:trPr>
          <w:trHeight w:val="170"/>
        </w:trPr>
        <w:tc>
          <w:tcPr>
            <w:tcW w:w="1732" w:type="dxa"/>
            <w:vMerge w:val="restart"/>
            <w:tcBorders>
              <w:top w:val="nil"/>
              <w:left w:val="nil"/>
              <w:bottom w:val="nil"/>
              <w:right w:val="nil"/>
            </w:tcBorders>
            <w:shd w:val="clear" w:color="auto" w:fill="auto"/>
            <w:tcMar>
              <w:left w:w="0" w:type="dxa"/>
            </w:tcMar>
          </w:tcPr>
          <w:p w14:paraId="08ECDC40" w14:textId="77777777" w:rsidR="00A45CED" w:rsidRDefault="00A45CED" w:rsidP="00A45CED">
            <w:pPr>
              <w:pStyle w:val="Marginlie"/>
            </w:pPr>
          </w:p>
        </w:tc>
        <w:tc>
          <w:tcPr>
            <w:tcW w:w="217" w:type="dxa"/>
            <w:vMerge w:val="restart"/>
            <w:tcBorders>
              <w:top w:val="nil"/>
              <w:left w:val="nil"/>
              <w:bottom w:val="nil"/>
              <w:right w:val="nil"/>
            </w:tcBorders>
            <w:shd w:val="clear" w:color="auto" w:fill="auto"/>
            <w:tcMar>
              <w:left w:w="0" w:type="dxa"/>
            </w:tcMar>
          </w:tcPr>
          <w:p w14:paraId="01CA408C"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6CCF0697" w14:textId="3FAA6C70" w:rsidR="00A45CED" w:rsidRPr="00F704D2" w:rsidRDefault="00A45CED" w:rsidP="00F13FDB">
            <w:pPr>
              <w:spacing w:after="0" w:line="240" w:lineRule="auto"/>
              <w:rPr>
                <w:rFonts w:cs="Arial"/>
                <w:bCs/>
              </w:rPr>
            </w:pPr>
            <w:r w:rsidRPr="00C06323">
              <w:rPr>
                <w:rFonts w:cs="Arial"/>
                <w:b/>
                <w:bCs/>
                <w:color w:val="000000"/>
                <w:szCs w:val="20"/>
              </w:rPr>
              <w:t xml:space="preserve">Graf </w:t>
            </w:r>
            <w:r w:rsidR="00403F57">
              <w:rPr>
                <w:rFonts w:cs="Arial"/>
                <w:b/>
                <w:bCs/>
                <w:color w:val="000000"/>
                <w:szCs w:val="20"/>
              </w:rPr>
              <w:t>č. </w:t>
            </w:r>
            <w:r>
              <w:rPr>
                <w:rFonts w:cs="Arial"/>
                <w:b/>
                <w:bCs/>
                <w:color w:val="000000"/>
                <w:szCs w:val="20"/>
              </w:rPr>
              <w:t>17</w:t>
            </w:r>
            <w:r w:rsidRPr="00631BC9">
              <w:rPr>
                <w:rFonts w:cs="Arial"/>
                <w:b/>
                <w:bCs/>
                <w:color w:val="000000"/>
                <w:sz w:val="18"/>
                <w:szCs w:val="18"/>
              </w:rPr>
              <w:t xml:space="preserve"> </w:t>
            </w:r>
            <w:r>
              <w:rPr>
                <w:rFonts w:cs="Arial"/>
                <w:b/>
                <w:bCs/>
                <w:color w:val="000000"/>
                <w:sz w:val="18"/>
                <w:szCs w:val="18"/>
              </w:rPr>
              <w:t xml:space="preserve"> </w:t>
            </w:r>
            <w:r>
              <w:rPr>
                <w:rFonts w:cs="Arial"/>
                <w:b/>
                <w:bCs/>
              </w:rPr>
              <w:t xml:space="preserve">Celostátní inkasa vybraných daňových příjmů </w:t>
            </w:r>
            <w:r>
              <w:rPr>
                <w:rFonts w:cs="Arial"/>
                <w:bCs/>
              </w:rPr>
              <w:t>(</w:t>
            </w:r>
            <w:r w:rsidRPr="00E62A33">
              <w:rPr>
                <w:spacing w:val="-2"/>
              </w:rPr>
              <w:t>meziročně</w:t>
            </w:r>
            <w:r w:rsidRPr="00E62A33">
              <w:rPr>
                <w:bCs/>
                <w:spacing w:val="-2"/>
              </w:rPr>
              <w:t xml:space="preserve"> v</w:t>
            </w:r>
            <w:r>
              <w:rPr>
                <w:bCs/>
                <w:spacing w:val="-2"/>
              </w:rPr>
              <w:t> %</w:t>
            </w:r>
            <w:r w:rsidRPr="00E62A33">
              <w:rPr>
                <w:bCs/>
                <w:spacing w:val="-2"/>
              </w:rPr>
              <w:t>)</w:t>
            </w:r>
            <w:r w:rsidR="00F13FDB">
              <w:rPr>
                <w:bCs/>
                <w:spacing w:val="-2"/>
              </w:rPr>
              <w:t xml:space="preserve"> </w:t>
            </w:r>
            <w:r w:rsidR="00F13FDB">
              <w:rPr>
                <w:bCs/>
                <w:spacing w:val="-2"/>
              </w:rPr>
              <w:br/>
            </w:r>
            <w:r w:rsidR="002F1B09">
              <w:rPr>
                <w:rFonts w:cs="Arial"/>
                <w:b/>
                <w:bCs/>
              </w:rPr>
              <w:t>a </w:t>
            </w:r>
            <w:r>
              <w:rPr>
                <w:rFonts w:cs="Arial"/>
                <w:b/>
                <w:bCs/>
              </w:rPr>
              <w:t>saldo státního rozpočtu</w:t>
            </w:r>
            <w:r>
              <w:t xml:space="preserve"> </w:t>
            </w:r>
            <w:r>
              <w:rPr>
                <w:rFonts w:cs="Arial"/>
                <w:bCs/>
              </w:rPr>
              <w:t xml:space="preserve">(v mld. korun) </w:t>
            </w:r>
            <w:r>
              <w:rPr>
                <w:rFonts w:cs="Arial"/>
                <w:b/>
                <w:bCs/>
              </w:rPr>
              <w:t>v </w:t>
            </w:r>
            <w:r w:rsidR="004A5D4E" w:rsidRPr="00D679F9">
              <w:rPr>
                <w:rFonts w:cs="Arial"/>
                <w:b/>
                <w:bCs/>
              </w:rPr>
              <w:t>1</w:t>
            </w:r>
            <w:r w:rsidR="004A5D4E">
              <w:rPr>
                <w:rFonts w:cs="Arial"/>
                <w:b/>
                <w:bCs/>
              </w:rPr>
              <w:t>. </w:t>
            </w:r>
            <w:r w:rsidRPr="00D679F9">
              <w:rPr>
                <w:rFonts w:cs="Arial"/>
                <w:b/>
                <w:bCs/>
              </w:rPr>
              <w:t>pololetí</w:t>
            </w:r>
          </w:p>
        </w:tc>
      </w:tr>
      <w:tr w:rsidR="00A45CED" w14:paraId="6FF03404" w14:textId="77777777" w:rsidTr="000A3D9E">
        <w:tblPrEx>
          <w:tblCellMar>
            <w:left w:w="70" w:type="dxa"/>
            <w:right w:w="70" w:type="dxa"/>
          </w:tblCellMar>
        </w:tblPrEx>
        <w:trPr>
          <w:trHeight w:val="170"/>
        </w:trPr>
        <w:tc>
          <w:tcPr>
            <w:tcW w:w="1732" w:type="dxa"/>
            <w:vMerge/>
            <w:tcBorders>
              <w:top w:val="nil"/>
              <w:left w:val="nil"/>
              <w:bottom w:val="nil"/>
              <w:right w:val="nil"/>
            </w:tcBorders>
            <w:shd w:val="clear" w:color="auto" w:fill="auto"/>
          </w:tcPr>
          <w:p w14:paraId="7E708055" w14:textId="77777777" w:rsidR="00A45CED" w:rsidRDefault="00A45CED" w:rsidP="00A45CED">
            <w:pPr>
              <w:pStyle w:val="Marginlie"/>
            </w:pPr>
          </w:p>
        </w:tc>
        <w:tc>
          <w:tcPr>
            <w:tcW w:w="217" w:type="dxa"/>
            <w:vMerge/>
            <w:tcBorders>
              <w:top w:val="nil"/>
              <w:left w:val="nil"/>
              <w:bottom w:val="nil"/>
              <w:right w:val="nil"/>
            </w:tcBorders>
            <w:shd w:val="clear" w:color="auto" w:fill="auto"/>
          </w:tcPr>
          <w:p w14:paraId="3CF8301F"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Pr>
          <w:p w14:paraId="185AD6D4" w14:textId="2B1FF31A" w:rsidR="00A45CED" w:rsidRDefault="00A45CED" w:rsidP="00A45CED">
            <w:pPr>
              <w:spacing w:after="0"/>
            </w:pPr>
            <w:r>
              <w:rPr>
                <w:noProof/>
              </w:rPr>
              <w:drawing>
                <wp:inline distT="0" distB="0" distL="0" distR="0" wp14:anchorId="03BDFF9F" wp14:editId="2B041BB4">
                  <wp:extent cx="4741545" cy="3414156"/>
                  <wp:effectExtent l="0" t="0" r="1905" b="0"/>
                  <wp:docPr id="64"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A45CED" w:rsidRPr="007B3A78" w14:paraId="1BAB043A" w14:textId="77777777" w:rsidTr="000A3D9E">
        <w:trPr>
          <w:trHeight w:val="170"/>
        </w:trPr>
        <w:tc>
          <w:tcPr>
            <w:tcW w:w="1732" w:type="dxa"/>
            <w:vMerge/>
            <w:tcBorders>
              <w:top w:val="nil"/>
              <w:left w:val="nil"/>
              <w:bottom w:val="nil"/>
              <w:right w:val="nil"/>
            </w:tcBorders>
            <w:shd w:val="clear" w:color="auto" w:fill="auto"/>
            <w:tcMar>
              <w:left w:w="0" w:type="dxa"/>
            </w:tcMar>
          </w:tcPr>
          <w:p w14:paraId="6D0875B6" w14:textId="77777777" w:rsidR="00A45CED" w:rsidRDefault="00A45CED" w:rsidP="00A45CED">
            <w:pPr>
              <w:pStyle w:val="Marginlie"/>
            </w:pPr>
          </w:p>
        </w:tc>
        <w:tc>
          <w:tcPr>
            <w:tcW w:w="217" w:type="dxa"/>
            <w:vMerge/>
            <w:tcBorders>
              <w:top w:val="nil"/>
              <w:left w:val="nil"/>
              <w:bottom w:val="nil"/>
              <w:right w:val="nil"/>
            </w:tcBorders>
            <w:shd w:val="clear" w:color="auto" w:fill="auto"/>
            <w:tcMar>
              <w:left w:w="0" w:type="dxa"/>
            </w:tcMar>
          </w:tcPr>
          <w:p w14:paraId="7898B57C"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15774551" w14:textId="77E515F7" w:rsidR="00A45CED" w:rsidRPr="007B3A78" w:rsidRDefault="00A45CED" w:rsidP="00A45CED">
            <w:pPr>
              <w:spacing w:after="200" w:line="240" w:lineRule="auto"/>
              <w:jc w:val="left"/>
              <w:rPr>
                <w:rFonts w:cs="Arial"/>
                <w:sz w:val="14"/>
                <w:szCs w:val="14"/>
              </w:rPr>
            </w:pPr>
            <w:r>
              <w:rPr>
                <w:sz w:val="14"/>
                <w:szCs w:val="14"/>
              </w:rPr>
              <w:t>Zdroj: MF</w:t>
            </w:r>
            <w:r w:rsidR="00F13FDB">
              <w:rPr>
                <w:sz w:val="14"/>
                <w:szCs w:val="14"/>
              </w:rPr>
              <w:t> </w:t>
            </w:r>
            <w:r>
              <w:rPr>
                <w:sz w:val="14"/>
                <w:szCs w:val="14"/>
              </w:rPr>
              <w:t>ČR</w:t>
            </w:r>
          </w:p>
        </w:tc>
      </w:tr>
      <w:tr w:rsidR="00A45CED" w:rsidRPr="008266F0" w14:paraId="5C0794C4" w14:textId="77777777" w:rsidTr="000A3D9E">
        <w:trPr>
          <w:trHeight w:val="145"/>
        </w:trPr>
        <w:tc>
          <w:tcPr>
            <w:tcW w:w="1732" w:type="dxa"/>
            <w:tcBorders>
              <w:top w:val="nil"/>
              <w:left w:val="nil"/>
              <w:bottom w:val="nil"/>
              <w:right w:val="nil"/>
            </w:tcBorders>
            <w:shd w:val="clear" w:color="auto" w:fill="auto"/>
            <w:tcMar>
              <w:left w:w="0" w:type="dxa"/>
            </w:tcMar>
          </w:tcPr>
          <w:p w14:paraId="0ACDE9B5" w14:textId="23E72DBF" w:rsidR="00A45CED" w:rsidRDefault="00A45CED" w:rsidP="00A45CED">
            <w:pPr>
              <w:pStyle w:val="Marginlie"/>
            </w:pPr>
            <w:r>
              <w:t>Za posílením investiční aktivity státu stálo rychlejší čerpání prostředků z rozpočtu EU.</w:t>
            </w:r>
          </w:p>
        </w:tc>
        <w:tc>
          <w:tcPr>
            <w:tcW w:w="217" w:type="dxa"/>
            <w:tcBorders>
              <w:top w:val="nil"/>
              <w:left w:val="nil"/>
              <w:bottom w:val="nil"/>
              <w:right w:val="nil"/>
            </w:tcBorders>
            <w:shd w:val="clear" w:color="auto" w:fill="auto"/>
            <w:tcMar>
              <w:left w:w="0" w:type="dxa"/>
            </w:tcMar>
          </w:tcPr>
          <w:p w14:paraId="188B86EB"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3BC3A7C2" w14:textId="33AB2C8D" w:rsidR="00A45CED" w:rsidRPr="008266F0" w:rsidRDefault="00A45CED" w:rsidP="00A45CED">
            <w:pPr>
              <w:spacing w:after="220"/>
            </w:pPr>
            <w:r>
              <w:rPr>
                <w:spacing w:val="-4"/>
              </w:rPr>
              <w:t>Celkové výdaje SR vzrostly v </w:t>
            </w:r>
            <w:r w:rsidR="004A5D4E">
              <w:rPr>
                <w:spacing w:val="-4"/>
              </w:rPr>
              <w:t>1. </w:t>
            </w:r>
            <w:r>
              <w:rPr>
                <w:spacing w:val="-4"/>
              </w:rPr>
              <w:t xml:space="preserve">pololetí meziročně </w:t>
            </w:r>
            <w:r w:rsidR="002F1B09">
              <w:rPr>
                <w:spacing w:val="-4"/>
              </w:rPr>
              <w:t>o </w:t>
            </w:r>
            <w:r>
              <w:rPr>
                <w:spacing w:val="-4"/>
              </w:rPr>
              <w:t>desetinu, shodně jako ve stejném období roku 201</w:t>
            </w:r>
            <w:r w:rsidR="004A5D4E">
              <w:rPr>
                <w:spacing w:val="-4"/>
              </w:rPr>
              <w:t>8.</w:t>
            </w:r>
            <w:r w:rsidR="00AE7269">
              <w:rPr>
                <w:spacing w:val="-4"/>
              </w:rPr>
              <w:t xml:space="preserve"> </w:t>
            </w:r>
            <w:r>
              <w:rPr>
                <w:spacing w:val="-4"/>
              </w:rPr>
              <w:t>K růstu letos přispěly jak běžné (+58,1</w:t>
            </w:r>
            <w:r w:rsidR="00403F57">
              <w:rPr>
                <w:spacing w:val="-4"/>
              </w:rPr>
              <w:t> mld.</w:t>
            </w:r>
            <w:r>
              <w:rPr>
                <w:spacing w:val="-4"/>
              </w:rPr>
              <w:t xml:space="preserve"> korun), tak kapitálové výdaje (+12,5</w:t>
            </w:r>
            <w:r w:rsidR="00403F57">
              <w:rPr>
                <w:spacing w:val="-4"/>
              </w:rPr>
              <w:t> mld.</w:t>
            </w:r>
            <w:r>
              <w:rPr>
                <w:spacing w:val="-4"/>
              </w:rPr>
              <w:t xml:space="preserve">). Více než 70 % investic směřovalo na společné projekty ČR </w:t>
            </w:r>
            <w:r w:rsidR="002F1B09">
              <w:rPr>
                <w:spacing w:val="-4"/>
              </w:rPr>
              <w:t>a </w:t>
            </w:r>
            <w:r>
              <w:rPr>
                <w:spacing w:val="-4"/>
              </w:rPr>
              <w:t>EU</w:t>
            </w:r>
            <w:r w:rsidRPr="003C07E6">
              <w:rPr>
                <w:rStyle w:val="Znakapoznpodarou"/>
                <w:spacing w:val="-4"/>
              </w:rPr>
              <w:footnoteReference w:id="7"/>
            </w:r>
            <w:r>
              <w:rPr>
                <w:spacing w:val="-4"/>
              </w:rPr>
              <w:t xml:space="preserve">, jejich objem meziročně vzrostl </w:t>
            </w:r>
            <w:r w:rsidR="002F1B09">
              <w:rPr>
                <w:spacing w:val="-4"/>
              </w:rPr>
              <w:t>o </w:t>
            </w:r>
            <w:r>
              <w:rPr>
                <w:spacing w:val="-4"/>
              </w:rPr>
              <w:t>bezmála 10 mld. korun. Dosavadní čerpání investic bylo letos (obdobně jako loni) na konci června jen na 36</w:t>
            </w:r>
            <w:r w:rsidR="00403F57">
              <w:rPr>
                <w:spacing w:val="-4"/>
              </w:rPr>
              <w:t> %</w:t>
            </w:r>
            <w:r>
              <w:rPr>
                <w:spacing w:val="-4"/>
              </w:rPr>
              <w:t xml:space="preserve"> celoročně rozpočtované částky, hlavně vlivem pomalejšího náběhu čistě národních investic (17</w:t>
            </w:r>
            <w:r w:rsidR="00403F57">
              <w:rPr>
                <w:spacing w:val="-4"/>
              </w:rPr>
              <w:t> %</w:t>
            </w:r>
            <w:r>
              <w:rPr>
                <w:spacing w:val="-4"/>
              </w:rPr>
              <w:t xml:space="preserve">). Podíl investic na všech výdajích SR se zvyšoval již druhým rokem v řadě </w:t>
            </w:r>
            <w:r w:rsidR="002F1B09">
              <w:rPr>
                <w:spacing w:val="-4"/>
              </w:rPr>
              <w:t>a </w:t>
            </w:r>
            <w:r>
              <w:rPr>
                <w:spacing w:val="-4"/>
              </w:rPr>
              <w:t>letos dosáhl 6,0 % (průměr za celou dekádu činil 6,6</w:t>
            </w:r>
            <w:r w:rsidR="00403F57">
              <w:rPr>
                <w:spacing w:val="-4"/>
              </w:rPr>
              <w:t> %</w:t>
            </w:r>
            <w:r>
              <w:rPr>
                <w:spacing w:val="-4"/>
              </w:rPr>
              <w:t>).</w:t>
            </w:r>
          </w:p>
        </w:tc>
      </w:tr>
      <w:tr w:rsidR="00A45CED" w:rsidRPr="008E4F8A" w14:paraId="19ABD449" w14:textId="77777777" w:rsidTr="000A3D9E">
        <w:trPr>
          <w:trHeight w:val="145"/>
        </w:trPr>
        <w:tc>
          <w:tcPr>
            <w:tcW w:w="1732" w:type="dxa"/>
            <w:tcBorders>
              <w:top w:val="nil"/>
              <w:left w:val="nil"/>
              <w:bottom w:val="nil"/>
              <w:right w:val="nil"/>
            </w:tcBorders>
            <w:shd w:val="clear" w:color="auto" w:fill="auto"/>
            <w:tcMar>
              <w:left w:w="0" w:type="dxa"/>
            </w:tcMar>
          </w:tcPr>
          <w:p w14:paraId="232F556C" w14:textId="2ABF3CDE" w:rsidR="00A45CED" w:rsidRDefault="00A45CED" w:rsidP="00A45CED">
            <w:pPr>
              <w:pStyle w:val="Marginlie"/>
            </w:pPr>
            <w:r>
              <w:t xml:space="preserve">Růst běžných výdajů SR akceleroval především vlivem vyšších výdajů na důchody </w:t>
            </w:r>
            <w:r w:rsidR="002F1B09">
              <w:t>a </w:t>
            </w:r>
            <w:r>
              <w:t>na platy zaměstnancům v rozpočtové sféře.</w:t>
            </w:r>
          </w:p>
          <w:p w14:paraId="69ECD9A9" w14:textId="77777777" w:rsidR="00A45CED" w:rsidRDefault="00A45CED" w:rsidP="00A45CED">
            <w:pPr>
              <w:pStyle w:val="Marginlie"/>
            </w:pPr>
          </w:p>
          <w:p w14:paraId="3E6728E6" w14:textId="77777777" w:rsidR="00A45CED" w:rsidRDefault="00A45CED" w:rsidP="00A45CED">
            <w:pPr>
              <w:pStyle w:val="Marginlie"/>
            </w:pPr>
          </w:p>
          <w:p w14:paraId="1698C6BD" w14:textId="77777777" w:rsidR="00A45CED" w:rsidRDefault="00A45CED" w:rsidP="00A45CED">
            <w:pPr>
              <w:pStyle w:val="Marginlie"/>
            </w:pPr>
          </w:p>
          <w:p w14:paraId="7E0D0990" w14:textId="77777777" w:rsidR="00A45CED" w:rsidRDefault="00A45CED" w:rsidP="00A45CED">
            <w:pPr>
              <w:pStyle w:val="Marginlie"/>
            </w:pPr>
          </w:p>
          <w:p w14:paraId="5534CF66" w14:textId="77777777" w:rsidR="00A45CED" w:rsidRDefault="00A45CED" w:rsidP="00A45CED">
            <w:pPr>
              <w:pStyle w:val="Marginlie"/>
            </w:pPr>
          </w:p>
          <w:p w14:paraId="29E3147F" w14:textId="464035D9" w:rsidR="00A45CED" w:rsidRDefault="00A45CED" w:rsidP="00A45CED">
            <w:pPr>
              <w:pStyle w:val="Marginlie"/>
            </w:pPr>
            <w:r>
              <w:t>Saldo důchodového účtu se mírně snížilo, ale setrvalo v přebytku.</w:t>
            </w:r>
          </w:p>
        </w:tc>
        <w:tc>
          <w:tcPr>
            <w:tcW w:w="217" w:type="dxa"/>
            <w:tcBorders>
              <w:top w:val="nil"/>
              <w:left w:val="nil"/>
              <w:bottom w:val="nil"/>
              <w:right w:val="nil"/>
            </w:tcBorders>
            <w:shd w:val="clear" w:color="auto" w:fill="auto"/>
            <w:tcMar>
              <w:left w:w="0" w:type="dxa"/>
            </w:tcMar>
          </w:tcPr>
          <w:p w14:paraId="07961831"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242AD14A" w14:textId="3CE72867" w:rsidR="00A45CED" w:rsidRPr="008E4F8A" w:rsidRDefault="00A45CED" w:rsidP="00A45CED">
            <w:pPr>
              <w:spacing w:after="200"/>
              <w:rPr>
                <w:spacing w:val="-2"/>
              </w:rPr>
            </w:pPr>
            <w:r>
              <w:rPr>
                <w:spacing w:val="-4"/>
              </w:rPr>
              <w:t xml:space="preserve">Tempo růstu běžných výdajů SR sílilo v rámci </w:t>
            </w:r>
            <w:r w:rsidR="004A5D4E">
              <w:rPr>
                <w:spacing w:val="-4"/>
              </w:rPr>
              <w:t>1. </w:t>
            </w:r>
            <w:r>
              <w:rPr>
                <w:spacing w:val="-4"/>
              </w:rPr>
              <w:t>pololetí již třetím rokem v řadě. Letos vystoupalo na 8,8</w:t>
            </w:r>
            <w:r w:rsidR="00403F57">
              <w:rPr>
                <w:spacing w:val="-4"/>
              </w:rPr>
              <w:t> %</w:t>
            </w:r>
            <w:r>
              <w:rPr>
                <w:spacing w:val="-4"/>
              </w:rPr>
              <w:t xml:space="preserve">, nejvíce za posledních třináct let. </w:t>
            </w:r>
            <w:r>
              <w:rPr>
                <w:rFonts w:cs="Arial"/>
                <w:color w:val="0D0D0D" w:themeColor="text1" w:themeTint="F2"/>
                <w:spacing w:val="-4"/>
              </w:rPr>
              <w:t>Bezmála třetinou se na tom podílely vyšší výdaje na sociální dávky (s</w:t>
            </w:r>
            <w:r>
              <w:rPr>
                <w:spacing w:val="-4"/>
              </w:rPr>
              <w:t> </w:t>
            </w:r>
            <w:r>
              <w:rPr>
                <w:rFonts w:cs="Arial"/>
                <w:color w:val="0D0D0D" w:themeColor="text1" w:themeTint="F2"/>
                <w:spacing w:val="-4"/>
              </w:rPr>
              <w:t xml:space="preserve">růstem </w:t>
            </w:r>
            <w:r w:rsidR="002F1B09">
              <w:rPr>
                <w:rFonts w:cs="Arial"/>
                <w:color w:val="0D0D0D" w:themeColor="text1" w:themeTint="F2"/>
                <w:spacing w:val="-4"/>
              </w:rPr>
              <w:t>o </w:t>
            </w:r>
            <w:r>
              <w:rPr>
                <w:rFonts w:cs="Arial"/>
                <w:color w:val="0D0D0D" w:themeColor="text1" w:themeTint="F2"/>
                <w:spacing w:val="-4"/>
              </w:rPr>
              <w:t>22</w:t>
            </w:r>
            <w:r w:rsidR="00403F57">
              <w:rPr>
                <w:rFonts w:cs="Arial"/>
                <w:color w:val="0D0D0D" w:themeColor="text1" w:themeTint="F2"/>
                <w:spacing w:val="-4"/>
              </w:rPr>
              <w:t> mld.</w:t>
            </w:r>
            <w:r>
              <w:rPr>
                <w:rFonts w:cs="Arial"/>
                <w:color w:val="0D0D0D" w:themeColor="text1" w:themeTint="F2"/>
                <w:spacing w:val="-4"/>
              </w:rPr>
              <w:t xml:space="preserve"> korun). Významně přispěly </w:t>
            </w:r>
            <w:r w:rsidR="002F1B09">
              <w:rPr>
                <w:rFonts w:cs="Arial"/>
                <w:color w:val="0D0D0D" w:themeColor="text1" w:themeTint="F2"/>
                <w:spacing w:val="-4"/>
              </w:rPr>
              <w:t>i </w:t>
            </w:r>
            <w:r>
              <w:rPr>
                <w:rFonts w:cs="Arial"/>
                <w:color w:val="0D0D0D" w:themeColor="text1" w:themeTint="F2"/>
                <w:spacing w:val="-4"/>
              </w:rPr>
              <w:t>výdaje na platy v regionálním školství (+13,7</w:t>
            </w:r>
            <w:r w:rsidR="00403F57">
              <w:rPr>
                <w:rFonts w:cs="Arial"/>
                <w:color w:val="0D0D0D" w:themeColor="text1" w:themeTint="F2"/>
                <w:spacing w:val="-4"/>
              </w:rPr>
              <w:t> mld.</w:t>
            </w:r>
            <w:r>
              <w:rPr>
                <w:rFonts w:cs="Arial"/>
                <w:color w:val="0D0D0D" w:themeColor="text1" w:themeTint="F2"/>
                <w:spacing w:val="-4"/>
              </w:rPr>
              <w:t xml:space="preserve">) </w:t>
            </w:r>
            <w:r w:rsidR="002F1B09">
              <w:rPr>
                <w:rFonts w:cs="Arial"/>
                <w:color w:val="0D0D0D" w:themeColor="text1" w:themeTint="F2"/>
                <w:spacing w:val="-4"/>
              </w:rPr>
              <w:t>i </w:t>
            </w:r>
            <w:r>
              <w:rPr>
                <w:rFonts w:cs="Arial"/>
                <w:color w:val="0D0D0D" w:themeColor="text1" w:themeTint="F2"/>
                <w:spacing w:val="-4"/>
              </w:rPr>
              <w:t>na platy v ús</w:t>
            </w:r>
            <w:r w:rsidR="00DF2C5D">
              <w:rPr>
                <w:rFonts w:cs="Arial"/>
                <w:color w:val="0D0D0D" w:themeColor="text1" w:themeTint="F2"/>
                <w:spacing w:val="-4"/>
              </w:rPr>
              <w:t>tředních orgánech státní správy</w:t>
            </w:r>
            <w:r>
              <w:rPr>
                <w:rFonts w:cs="Arial"/>
                <w:color w:val="0D0D0D" w:themeColor="text1" w:themeTint="F2"/>
                <w:spacing w:val="-4"/>
              </w:rPr>
              <w:t xml:space="preserve"> v</w:t>
            </w:r>
            <w:r w:rsidR="00403F57">
              <w:rPr>
                <w:rFonts w:cs="Arial"/>
                <w:color w:val="0D0D0D" w:themeColor="text1" w:themeTint="F2"/>
                <w:spacing w:val="-4"/>
              </w:rPr>
              <w:t>č. </w:t>
            </w:r>
            <w:r>
              <w:rPr>
                <w:rFonts w:cs="Arial"/>
                <w:color w:val="0D0D0D" w:themeColor="text1" w:themeTint="F2"/>
                <w:spacing w:val="-4"/>
              </w:rPr>
              <w:t>ozbrojených složek (+4,4</w:t>
            </w:r>
            <w:r w:rsidR="00403F57">
              <w:rPr>
                <w:rFonts w:cs="Arial"/>
                <w:color w:val="0D0D0D" w:themeColor="text1" w:themeTint="F2"/>
                <w:spacing w:val="-4"/>
              </w:rPr>
              <w:t> mld.</w:t>
            </w:r>
            <w:r>
              <w:rPr>
                <w:rFonts w:cs="Arial"/>
                <w:color w:val="0D0D0D" w:themeColor="text1" w:themeTint="F2"/>
                <w:spacing w:val="-4"/>
              </w:rPr>
              <w:t xml:space="preserve">) </w:t>
            </w:r>
            <w:r w:rsidR="002F1B09">
              <w:rPr>
                <w:rFonts w:cs="Arial"/>
                <w:color w:val="0D0D0D" w:themeColor="text1" w:themeTint="F2"/>
                <w:spacing w:val="-4"/>
              </w:rPr>
              <w:t>a </w:t>
            </w:r>
            <w:r>
              <w:rPr>
                <w:rFonts w:cs="Arial"/>
                <w:color w:val="0D0D0D" w:themeColor="text1" w:themeTint="F2"/>
                <w:spacing w:val="-4"/>
              </w:rPr>
              <w:t xml:space="preserve">dále pak neinvestiční transfery státním fondům </w:t>
            </w:r>
            <w:r w:rsidR="002F1B09">
              <w:rPr>
                <w:rFonts w:cs="Arial"/>
                <w:color w:val="0D0D0D" w:themeColor="text1" w:themeTint="F2"/>
                <w:spacing w:val="-4"/>
              </w:rPr>
              <w:t>i </w:t>
            </w:r>
            <w:r>
              <w:rPr>
                <w:rFonts w:cs="Arial"/>
                <w:color w:val="0D0D0D" w:themeColor="text1" w:themeTint="F2"/>
                <w:spacing w:val="-4"/>
              </w:rPr>
              <w:t>vyšší povinné odvody do rozpočtu EU. Podíl sociálních dávek na všech výdajích SR činil 39,2</w:t>
            </w:r>
            <w:r w:rsidR="00403F57">
              <w:rPr>
                <w:rFonts w:cs="Arial"/>
                <w:color w:val="0D0D0D" w:themeColor="text1" w:themeTint="F2"/>
                <w:spacing w:val="-4"/>
              </w:rPr>
              <w:t> %</w:t>
            </w:r>
            <w:r>
              <w:rPr>
                <w:rFonts w:cs="Arial"/>
                <w:color w:val="0D0D0D" w:themeColor="text1" w:themeTint="F2"/>
                <w:spacing w:val="-4"/>
              </w:rPr>
              <w:t xml:space="preserve"> </w:t>
            </w:r>
            <w:r w:rsidR="002F1B09">
              <w:rPr>
                <w:rFonts w:cs="Arial"/>
                <w:color w:val="0D0D0D" w:themeColor="text1" w:themeTint="F2"/>
                <w:spacing w:val="-4"/>
              </w:rPr>
              <w:t>a </w:t>
            </w:r>
            <w:r>
              <w:rPr>
                <w:rFonts w:cs="Arial"/>
                <w:color w:val="0D0D0D" w:themeColor="text1" w:themeTint="F2"/>
                <w:spacing w:val="-4"/>
              </w:rPr>
              <w:t xml:space="preserve">klesal již druhým rokem v řadě. Nárůst objemu sociálních dávek byl z 86 % tažen prostředky na důchody. Jejich růstové tempo se oproti počátku </w:t>
            </w:r>
            <w:r w:rsidR="00AE7269">
              <w:rPr>
                <w:rFonts w:cs="Arial"/>
                <w:color w:val="0D0D0D" w:themeColor="text1" w:themeTint="F2"/>
                <w:spacing w:val="-4"/>
              </w:rPr>
              <w:t xml:space="preserve">loňského </w:t>
            </w:r>
            <w:r>
              <w:rPr>
                <w:rFonts w:cs="Arial"/>
                <w:color w:val="0D0D0D" w:themeColor="text1" w:themeTint="F2"/>
                <w:spacing w:val="-4"/>
              </w:rPr>
              <w:t>roku zdvojnásobilo (na 8,8</w:t>
            </w:r>
            <w:r w:rsidR="00403F57">
              <w:rPr>
                <w:rFonts w:cs="Arial"/>
                <w:color w:val="0D0D0D" w:themeColor="text1" w:themeTint="F2"/>
                <w:spacing w:val="-4"/>
              </w:rPr>
              <w:t> %</w:t>
            </w:r>
            <w:r>
              <w:rPr>
                <w:rFonts w:cs="Arial"/>
                <w:color w:val="0D0D0D" w:themeColor="text1" w:themeTint="F2"/>
                <w:spacing w:val="-4"/>
              </w:rPr>
              <w:t>) a</w:t>
            </w:r>
            <w:r>
              <w:rPr>
                <w:spacing w:val="-4"/>
              </w:rPr>
              <w:t> </w:t>
            </w:r>
            <w:r>
              <w:rPr>
                <w:rFonts w:cs="Arial"/>
                <w:color w:val="0D0D0D" w:themeColor="text1" w:themeTint="F2"/>
                <w:spacing w:val="-4"/>
              </w:rPr>
              <w:t>zároveň dosáhlo desetiletého maxima. Při stagnaci počtu osob pobírajících důchod se plně projevil vliv zákonných úprav</w:t>
            </w:r>
            <w:r w:rsidRPr="003C07E6">
              <w:rPr>
                <w:rStyle w:val="Znakapoznpodarou"/>
                <w:spacing w:val="-4"/>
              </w:rPr>
              <w:footnoteReference w:id="8"/>
            </w:r>
            <w:r>
              <w:rPr>
                <w:rFonts w:cs="Arial"/>
                <w:color w:val="0D0D0D" w:themeColor="text1" w:themeTint="F2"/>
                <w:spacing w:val="-4"/>
              </w:rPr>
              <w:t xml:space="preserve">. Poprvé od roku 2013 rostly výdaje na důchody </w:t>
            </w:r>
            <w:r>
              <w:rPr>
                <w:rFonts w:cs="Arial"/>
                <w:color w:val="0D0D0D" w:themeColor="text1" w:themeTint="F2"/>
                <w:spacing w:val="-4"/>
              </w:rPr>
              <w:lastRenderedPageBreak/>
              <w:t>vyšším tempem než vybrané pojistné (+7,8</w:t>
            </w:r>
            <w:r w:rsidR="00403F57">
              <w:rPr>
                <w:rFonts w:cs="Arial"/>
                <w:color w:val="0D0D0D" w:themeColor="text1" w:themeTint="F2"/>
                <w:spacing w:val="-4"/>
              </w:rPr>
              <w:t> %</w:t>
            </w:r>
            <w:r>
              <w:rPr>
                <w:rFonts w:cs="Arial"/>
                <w:color w:val="0D0D0D" w:themeColor="text1" w:themeTint="F2"/>
                <w:spacing w:val="-4"/>
              </w:rPr>
              <w:t>)</w:t>
            </w:r>
            <w:r w:rsidRPr="003C07E6">
              <w:rPr>
                <w:rStyle w:val="Znakapoznpodarou"/>
                <w:spacing w:val="-4"/>
              </w:rPr>
              <w:footnoteReference w:id="9"/>
            </w:r>
            <w:r>
              <w:rPr>
                <w:rFonts w:cs="Arial"/>
                <w:color w:val="0D0D0D" w:themeColor="text1" w:themeTint="F2"/>
                <w:spacing w:val="-4"/>
              </w:rPr>
              <w:t xml:space="preserve">. </w:t>
            </w:r>
            <w:r>
              <w:rPr>
                <w:rFonts w:cs="Arial"/>
                <w:color w:val="0D0D0D" w:themeColor="text1" w:themeTint="F2"/>
                <w:spacing w:val="-2"/>
              </w:rPr>
              <w:t>Saldo důchodového účtu</w:t>
            </w:r>
            <w:r>
              <w:rPr>
                <w:rStyle w:val="Znakapoznpodarou"/>
                <w:color w:val="0D0D0D" w:themeColor="text1" w:themeTint="F2"/>
                <w:spacing w:val="-2"/>
              </w:rPr>
              <w:footnoteReference w:id="10"/>
            </w:r>
            <w:r>
              <w:rPr>
                <w:rFonts w:cs="Arial"/>
                <w:color w:val="0D0D0D" w:themeColor="text1" w:themeTint="F2"/>
                <w:spacing w:val="-2"/>
              </w:rPr>
              <w:t xml:space="preserve"> se tak mírně zhoršilo, přesto zůstalo již druhým rokem v řadě kladné (+7,7</w:t>
            </w:r>
            <w:r w:rsidR="00403F57">
              <w:rPr>
                <w:rFonts w:cs="Arial"/>
                <w:color w:val="0D0D0D" w:themeColor="text1" w:themeTint="F2"/>
                <w:spacing w:val="-2"/>
              </w:rPr>
              <w:t> mld.</w:t>
            </w:r>
            <w:r>
              <w:rPr>
                <w:rFonts w:cs="Arial"/>
                <w:color w:val="0D0D0D" w:themeColor="text1" w:themeTint="F2"/>
                <w:spacing w:val="-2"/>
              </w:rPr>
              <w:t xml:space="preserve"> korun).</w:t>
            </w:r>
          </w:p>
        </w:tc>
      </w:tr>
      <w:tr w:rsidR="00A45CED" w14:paraId="6452A11C" w14:textId="77777777" w:rsidTr="000A3D9E">
        <w:trPr>
          <w:trHeight w:val="145"/>
        </w:trPr>
        <w:tc>
          <w:tcPr>
            <w:tcW w:w="1732" w:type="dxa"/>
            <w:tcBorders>
              <w:top w:val="nil"/>
              <w:left w:val="nil"/>
              <w:bottom w:val="nil"/>
              <w:right w:val="nil"/>
            </w:tcBorders>
            <w:shd w:val="clear" w:color="auto" w:fill="auto"/>
            <w:tcMar>
              <w:left w:w="0" w:type="dxa"/>
            </w:tcMar>
          </w:tcPr>
          <w:p w14:paraId="4EE2C45B" w14:textId="77777777" w:rsidR="00A45CED" w:rsidRDefault="00A45CED" w:rsidP="00A45CED">
            <w:pPr>
              <w:pStyle w:val="Marginlie"/>
            </w:pPr>
            <w:r>
              <w:lastRenderedPageBreak/>
              <w:t>Sílící růst výdajů na nedůchodové sociální dávky byl tažen vyšším čerpáním nemocenské.</w:t>
            </w:r>
          </w:p>
          <w:p w14:paraId="6C93ABBA" w14:textId="77777777" w:rsidR="00A45CED" w:rsidRDefault="00A45CED" w:rsidP="00A45CED">
            <w:pPr>
              <w:pStyle w:val="Marginlie"/>
            </w:pPr>
          </w:p>
          <w:p w14:paraId="782FE226" w14:textId="77777777" w:rsidR="00A45CED" w:rsidRDefault="00A45CED" w:rsidP="00A45CED">
            <w:pPr>
              <w:pStyle w:val="Marginlie"/>
            </w:pPr>
          </w:p>
          <w:p w14:paraId="6003B514" w14:textId="77777777" w:rsidR="00A45CED" w:rsidRDefault="00A45CED" w:rsidP="00A45CED">
            <w:pPr>
              <w:pStyle w:val="Marginlie"/>
            </w:pPr>
          </w:p>
          <w:p w14:paraId="0946A20D" w14:textId="77777777" w:rsidR="00A45CED" w:rsidRDefault="00A45CED" w:rsidP="00A45CED">
            <w:pPr>
              <w:pStyle w:val="Marginlie"/>
            </w:pPr>
          </w:p>
          <w:p w14:paraId="6FFBA42C" w14:textId="608BF62D" w:rsidR="00A45CED" w:rsidRDefault="00A45CED" w:rsidP="00A45CED">
            <w:pPr>
              <w:pStyle w:val="Marginlie"/>
            </w:pPr>
            <w:r>
              <w:t>Zlepšování finanční situace domácností se projevilo v podobě nižších výdajů SR na dávky hmotné nouze i dávky státní sociální podpory.</w:t>
            </w:r>
          </w:p>
        </w:tc>
        <w:tc>
          <w:tcPr>
            <w:tcW w:w="217" w:type="dxa"/>
            <w:tcBorders>
              <w:top w:val="nil"/>
              <w:left w:val="nil"/>
              <w:bottom w:val="nil"/>
              <w:right w:val="nil"/>
            </w:tcBorders>
            <w:shd w:val="clear" w:color="auto" w:fill="auto"/>
            <w:tcMar>
              <w:left w:w="0" w:type="dxa"/>
            </w:tcMar>
          </w:tcPr>
          <w:p w14:paraId="23D619E8"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67AC9EBD" w14:textId="7CE4990E" w:rsidR="00A45CED" w:rsidRDefault="00A45CED" w:rsidP="00A45CED">
            <w:pPr>
              <w:spacing w:after="220"/>
              <w:rPr>
                <w:spacing w:val="-4"/>
              </w:rPr>
            </w:pPr>
            <w:r>
              <w:rPr>
                <w:spacing w:val="-4"/>
              </w:rPr>
              <w:t>Výdaje na ostatní sociální dávky (mimo důchody) dosáhly v </w:t>
            </w:r>
            <w:r w:rsidR="004A5D4E">
              <w:rPr>
                <w:spacing w:val="-4"/>
              </w:rPr>
              <w:t>1. </w:t>
            </w:r>
            <w:r>
              <w:rPr>
                <w:spacing w:val="-4"/>
              </w:rPr>
              <w:t>pololetí 64,9</w:t>
            </w:r>
            <w:r w:rsidR="00403F57">
              <w:rPr>
                <w:spacing w:val="-4"/>
              </w:rPr>
              <w:t> mld.</w:t>
            </w:r>
            <w:r>
              <w:rPr>
                <w:spacing w:val="-4"/>
              </w:rPr>
              <w:t xml:space="preserve"> korun, meziročně posílily </w:t>
            </w:r>
            <w:r w:rsidR="002F1B09">
              <w:rPr>
                <w:spacing w:val="-4"/>
              </w:rPr>
              <w:t>o </w:t>
            </w:r>
            <w:r>
              <w:rPr>
                <w:spacing w:val="-4"/>
              </w:rPr>
              <w:t>4,8</w:t>
            </w:r>
            <w:r w:rsidR="00403F57">
              <w:rPr>
                <w:spacing w:val="-4"/>
              </w:rPr>
              <w:t> %</w:t>
            </w:r>
            <w:r>
              <w:rPr>
                <w:spacing w:val="-4"/>
              </w:rPr>
              <w:t>. Jejich růstové tempo se zvyšovalo již čtvrtým rokem v řadě. Tento vývoj byl výrazně ovlivněn dávkami nemocenského pojištění, jejichž čerpání se letos navýšilo o 15,3</w:t>
            </w:r>
            <w:r w:rsidR="00403F57">
              <w:rPr>
                <w:spacing w:val="-4"/>
              </w:rPr>
              <w:t> %</w:t>
            </w:r>
            <w:r>
              <w:rPr>
                <w:rStyle w:val="Znakapoznpodarou"/>
                <w:color w:val="0D0D0D" w:themeColor="text1" w:themeTint="F2"/>
                <w:spacing w:val="-2"/>
              </w:rPr>
              <w:footnoteReference w:id="11"/>
            </w:r>
            <w:r>
              <w:rPr>
                <w:spacing w:val="-4"/>
              </w:rPr>
              <w:t xml:space="preserve"> </w:t>
            </w:r>
            <w:r w:rsidR="002F1B09">
              <w:rPr>
                <w:spacing w:val="-4"/>
              </w:rPr>
              <w:t>a </w:t>
            </w:r>
            <w:r>
              <w:rPr>
                <w:spacing w:val="-4"/>
              </w:rPr>
              <w:t xml:space="preserve">za posledních sedm let se téměř zdvojnásobilo. Poprvé po roce 2008 se tak staly váhově nejvýznamnější skupinou sociálních dávek, když v této roli vystřídaly dávky </w:t>
            </w:r>
            <w:r w:rsidR="00DF77E4">
              <w:rPr>
                <w:spacing w:val="-4"/>
              </w:rPr>
              <w:t xml:space="preserve">státní </w:t>
            </w:r>
            <w:r>
              <w:rPr>
                <w:spacing w:val="-4"/>
              </w:rPr>
              <w:t xml:space="preserve">sociální podpory (SSP). Jejich čerpání se letos naopak snížilo </w:t>
            </w:r>
            <w:r w:rsidR="002F1B09">
              <w:rPr>
                <w:spacing w:val="-4"/>
              </w:rPr>
              <w:t>o </w:t>
            </w:r>
            <w:r>
              <w:rPr>
                <w:spacing w:val="-4"/>
              </w:rPr>
              <w:t>2,5</w:t>
            </w:r>
            <w:r w:rsidR="00403F57">
              <w:rPr>
                <w:spacing w:val="-4"/>
              </w:rPr>
              <w:t> %</w:t>
            </w:r>
            <w:r>
              <w:rPr>
                <w:spacing w:val="-4"/>
              </w:rPr>
              <w:t>, nejvíce za posledních sedm let. Z dílčích dávek SSP posílila jen podpora pěstounské péče. Klesly jak veškeré příjmově testované dávky (např</w:t>
            </w:r>
            <w:r w:rsidR="00DF77E4">
              <w:rPr>
                <w:spacing w:val="-4"/>
              </w:rPr>
              <w:t>íklad</w:t>
            </w:r>
            <w:r>
              <w:rPr>
                <w:spacing w:val="-4"/>
              </w:rPr>
              <w:t xml:space="preserve"> přídavky na děti), tak </w:t>
            </w:r>
            <w:r w:rsidR="002F1B09">
              <w:rPr>
                <w:spacing w:val="-4"/>
              </w:rPr>
              <w:t>i </w:t>
            </w:r>
            <w:r>
              <w:rPr>
                <w:spacing w:val="-4"/>
              </w:rPr>
              <w:t>váhově dominantní rodičovské příspěvky (</w:t>
            </w:r>
            <w:r w:rsidRPr="00EB2D68">
              <w:rPr>
                <w:rFonts w:cs="Arial"/>
                <w:color w:val="0D0D0D" w:themeColor="text1" w:themeTint="F2"/>
                <w:spacing w:val="-2"/>
              </w:rPr>
              <w:t>–</w:t>
            </w:r>
            <w:r>
              <w:rPr>
                <w:spacing w:val="-4"/>
              </w:rPr>
              <w:t>0,8</w:t>
            </w:r>
            <w:r w:rsidR="00403F57">
              <w:rPr>
                <w:spacing w:val="-4"/>
              </w:rPr>
              <w:t> %</w:t>
            </w:r>
            <w:r>
              <w:rPr>
                <w:spacing w:val="-4"/>
              </w:rPr>
              <w:t xml:space="preserve">). Příznivější finanční situaci domácností podtrhoval </w:t>
            </w:r>
            <w:r w:rsidR="002F1B09">
              <w:rPr>
                <w:spacing w:val="-4"/>
              </w:rPr>
              <w:t>i </w:t>
            </w:r>
            <w:r>
              <w:rPr>
                <w:spacing w:val="-4"/>
              </w:rPr>
              <w:t xml:space="preserve">pokles výdajů na dávky hmotné nouze (meziročně </w:t>
            </w:r>
            <w:r w:rsidR="002F1B09">
              <w:rPr>
                <w:spacing w:val="-4"/>
              </w:rPr>
              <w:t>o </w:t>
            </w:r>
            <w:r>
              <w:rPr>
                <w:spacing w:val="-4"/>
              </w:rPr>
              <w:t>21</w:t>
            </w:r>
            <w:r w:rsidR="00403F57">
              <w:rPr>
                <w:spacing w:val="-4"/>
              </w:rPr>
              <w:t> %</w:t>
            </w:r>
            <w:r>
              <w:rPr>
                <w:spacing w:val="-4"/>
              </w:rPr>
              <w:t xml:space="preserve">, za pět let </w:t>
            </w:r>
            <w:r w:rsidR="002F1B09">
              <w:rPr>
                <w:spacing w:val="-4"/>
              </w:rPr>
              <w:t>o </w:t>
            </w:r>
            <w:r>
              <w:rPr>
                <w:spacing w:val="-4"/>
              </w:rPr>
              <w:t>60</w:t>
            </w:r>
            <w:r w:rsidR="00403F57">
              <w:rPr>
                <w:spacing w:val="-4"/>
              </w:rPr>
              <w:t> %</w:t>
            </w:r>
            <w:r>
              <w:rPr>
                <w:spacing w:val="-4"/>
              </w:rPr>
              <w:t xml:space="preserve">). Po pěti letech se naopak zastavila redukce výdajů na podporu </w:t>
            </w:r>
            <w:r w:rsidR="002F1B09">
              <w:rPr>
                <w:spacing w:val="-4"/>
              </w:rPr>
              <w:t>v </w:t>
            </w:r>
            <w:r>
              <w:rPr>
                <w:spacing w:val="-4"/>
              </w:rPr>
              <w:t>nezaměstnanosti, mj.</w:t>
            </w:r>
            <w:r w:rsidR="00DF77E4">
              <w:rPr>
                <w:spacing w:val="-4"/>
              </w:rPr>
              <w:t> </w:t>
            </w:r>
            <w:r>
              <w:rPr>
                <w:spacing w:val="-4"/>
              </w:rPr>
              <w:t>i</w:t>
            </w:r>
            <w:r>
              <w:rPr>
                <w:rFonts w:cs="Arial"/>
                <w:color w:val="0D0D0D" w:themeColor="text1" w:themeTint="F2"/>
                <w:spacing w:val="-4"/>
              </w:rPr>
              <w:t> </w:t>
            </w:r>
            <w:r>
              <w:rPr>
                <w:spacing w:val="-4"/>
              </w:rPr>
              <w:t xml:space="preserve">vlivem vysokého podílu její frikční složky </w:t>
            </w:r>
            <w:r w:rsidR="002F1B09">
              <w:rPr>
                <w:spacing w:val="-4"/>
              </w:rPr>
              <w:t>a </w:t>
            </w:r>
            <w:r>
              <w:rPr>
                <w:spacing w:val="-4"/>
              </w:rPr>
              <w:t xml:space="preserve">růstu výše průměrné měsíční dávky (odvozené od předchozích pracovních výdělků uchazeče </w:t>
            </w:r>
            <w:r w:rsidR="002F1B09">
              <w:rPr>
                <w:spacing w:val="-4"/>
              </w:rPr>
              <w:t>o </w:t>
            </w:r>
            <w:r>
              <w:rPr>
                <w:spacing w:val="-4"/>
              </w:rPr>
              <w:t>práci)</w:t>
            </w:r>
            <w:r>
              <w:rPr>
                <w:rStyle w:val="Znakapoznpodarou"/>
                <w:color w:val="0D0D0D" w:themeColor="text1" w:themeTint="F2"/>
                <w:spacing w:val="-2"/>
              </w:rPr>
              <w:footnoteReference w:id="12"/>
            </w:r>
            <w:r>
              <w:rPr>
                <w:spacing w:val="-4"/>
              </w:rPr>
              <w:t>.</w:t>
            </w:r>
          </w:p>
        </w:tc>
      </w:tr>
      <w:tr w:rsidR="00A45CED" w:rsidRPr="00F704D2" w14:paraId="15D7C4BA" w14:textId="77777777" w:rsidTr="000A3D9E">
        <w:trPr>
          <w:trHeight w:val="170"/>
        </w:trPr>
        <w:tc>
          <w:tcPr>
            <w:tcW w:w="1732" w:type="dxa"/>
            <w:vMerge w:val="restart"/>
            <w:tcBorders>
              <w:top w:val="nil"/>
              <w:left w:val="nil"/>
              <w:bottom w:val="nil"/>
              <w:right w:val="nil"/>
            </w:tcBorders>
            <w:shd w:val="clear" w:color="auto" w:fill="auto"/>
            <w:tcMar>
              <w:left w:w="0" w:type="dxa"/>
            </w:tcMar>
          </w:tcPr>
          <w:p w14:paraId="0279EAD1" w14:textId="77777777" w:rsidR="00A45CED" w:rsidRDefault="00A45CED" w:rsidP="00A45CED">
            <w:pPr>
              <w:pStyle w:val="Marginlie"/>
            </w:pPr>
          </w:p>
        </w:tc>
        <w:tc>
          <w:tcPr>
            <w:tcW w:w="217" w:type="dxa"/>
            <w:vMerge w:val="restart"/>
            <w:tcBorders>
              <w:top w:val="nil"/>
              <w:left w:val="nil"/>
              <w:bottom w:val="nil"/>
              <w:right w:val="nil"/>
            </w:tcBorders>
            <w:shd w:val="clear" w:color="auto" w:fill="auto"/>
            <w:tcMar>
              <w:left w:w="0" w:type="dxa"/>
            </w:tcMar>
          </w:tcPr>
          <w:p w14:paraId="1A31FCFD"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7F30FFF1" w14:textId="7838F21E" w:rsidR="00A45CED" w:rsidRPr="00F704D2" w:rsidRDefault="00A45CED" w:rsidP="00A45CED">
            <w:pPr>
              <w:spacing w:after="40" w:line="240" w:lineRule="auto"/>
              <w:jc w:val="left"/>
              <w:rPr>
                <w:rFonts w:cs="Arial"/>
                <w:bCs/>
              </w:rPr>
            </w:pPr>
            <w:r>
              <w:rPr>
                <w:b/>
                <w:spacing w:val="-2"/>
              </w:rPr>
              <w:t xml:space="preserve">Graf </w:t>
            </w:r>
            <w:r w:rsidR="00403F57">
              <w:rPr>
                <w:b/>
                <w:spacing w:val="-2"/>
              </w:rPr>
              <w:t>č. </w:t>
            </w:r>
            <w:r>
              <w:rPr>
                <w:b/>
                <w:spacing w:val="-2"/>
              </w:rPr>
              <w:t>18</w:t>
            </w:r>
            <w:r w:rsidRPr="00DC43A2">
              <w:rPr>
                <w:b/>
                <w:spacing w:val="-2"/>
              </w:rPr>
              <w:t xml:space="preserve"> </w:t>
            </w:r>
            <w:r w:rsidR="00DF77E4">
              <w:rPr>
                <w:b/>
                <w:spacing w:val="-2"/>
              </w:rPr>
              <w:t xml:space="preserve"> </w:t>
            </w:r>
            <w:r w:rsidRPr="00DC43A2">
              <w:rPr>
                <w:rFonts w:cs="Arial"/>
                <w:b/>
                <w:bCs/>
                <w:spacing w:val="-2"/>
              </w:rPr>
              <w:t>Vybrané výdaje státního rozpočtu</w:t>
            </w:r>
            <w:r w:rsidRPr="00DC43A2">
              <w:rPr>
                <w:rFonts w:cs="Arial"/>
                <w:bCs/>
                <w:spacing w:val="-2"/>
              </w:rPr>
              <w:t xml:space="preserve"> </w:t>
            </w:r>
            <w:r>
              <w:rPr>
                <w:rFonts w:cs="Arial"/>
                <w:b/>
                <w:bCs/>
              </w:rPr>
              <w:t>v </w:t>
            </w:r>
            <w:r w:rsidR="004A5D4E" w:rsidRPr="00D679F9">
              <w:rPr>
                <w:rFonts w:cs="Arial"/>
                <w:b/>
                <w:bCs/>
              </w:rPr>
              <w:t>1</w:t>
            </w:r>
            <w:r w:rsidR="004A5D4E">
              <w:rPr>
                <w:rFonts w:cs="Arial"/>
                <w:b/>
                <w:bCs/>
              </w:rPr>
              <w:t>. </w:t>
            </w:r>
            <w:r w:rsidRPr="00D679F9">
              <w:rPr>
                <w:rFonts w:cs="Arial"/>
                <w:b/>
                <w:bCs/>
              </w:rPr>
              <w:t>pololetí</w:t>
            </w:r>
            <w:r w:rsidRPr="00DC43A2">
              <w:rPr>
                <w:rFonts w:cs="Arial"/>
                <w:bCs/>
                <w:spacing w:val="-2"/>
              </w:rPr>
              <w:t xml:space="preserve"> (v mld. korun)</w:t>
            </w:r>
          </w:p>
        </w:tc>
      </w:tr>
      <w:tr w:rsidR="00A45CED" w14:paraId="33F2E9D2" w14:textId="77777777" w:rsidTr="006E4078">
        <w:tblPrEx>
          <w:tblCellMar>
            <w:left w:w="70" w:type="dxa"/>
            <w:right w:w="70" w:type="dxa"/>
          </w:tblCellMar>
        </w:tblPrEx>
        <w:trPr>
          <w:trHeight w:val="170"/>
        </w:trPr>
        <w:tc>
          <w:tcPr>
            <w:tcW w:w="1732" w:type="dxa"/>
            <w:vMerge/>
            <w:tcBorders>
              <w:top w:val="nil"/>
              <w:left w:val="nil"/>
              <w:bottom w:val="nil"/>
              <w:right w:val="nil"/>
            </w:tcBorders>
            <w:shd w:val="clear" w:color="auto" w:fill="auto"/>
          </w:tcPr>
          <w:p w14:paraId="11A2D6EF" w14:textId="77777777" w:rsidR="00A45CED" w:rsidRDefault="00A45CED" w:rsidP="00A45CED">
            <w:pPr>
              <w:pStyle w:val="Marginlie"/>
            </w:pPr>
          </w:p>
        </w:tc>
        <w:tc>
          <w:tcPr>
            <w:tcW w:w="217" w:type="dxa"/>
            <w:vMerge/>
            <w:tcBorders>
              <w:top w:val="nil"/>
              <w:left w:val="nil"/>
              <w:bottom w:val="nil"/>
              <w:right w:val="nil"/>
            </w:tcBorders>
            <w:shd w:val="clear" w:color="auto" w:fill="auto"/>
          </w:tcPr>
          <w:p w14:paraId="2F1C4D9E"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Pr>
          <w:p w14:paraId="6BDA621D" w14:textId="54E1383E" w:rsidR="00A45CED" w:rsidRDefault="006E4078" w:rsidP="00A45CED">
            <w:pPr>
              <w:spacing w:after="0"/>
            </w:pPr>
            <w:r>
              <w:rPr>
                <w:noProof/>
              </w:rPr>
              <w:drawing>
                <wp:inline distT="0" distB="0" distL="0" distR="0" wp14:anchorId="5F379443" wp14:editId="1F9B628D">
                  <wp:extent cx="4797477" cy="3534569"/>
                  <wp:effectExtent l="0" t="0" r="3175" b="889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45CED" w:rsidRPr="00343AC1" w14:paraId="2551FA53" w14:textId="77777777" w:rsidTr="000A3D9E">
        <w:trPr>
          <w:trHeight w:val="170"/>
        </w:trPr>
        <w:tc>
          <w:tcPr>
            <w:tcW w:w="1732" w:type="dxa"/>
            <w:vMerge/>
            <w:tcBorders>
              <w:top w:val="nil"/>
              <w:left w:val="nil"/>
              <w:bottom w:val="nil"/>
              <w:right w:val="nil"/>
            </w:tcBorders>
            <w:shd w:val="clear" w:color="auto" w:fill="auto"/>
            <w:tcMar>
              <w:left w:w="0" w:type="dxa"/>
            </w:tcMar>
          </w:tcPr>
          <w:p w14:paraId="0900FDBA" w14:textId="77777777" w:rsidR="00A45CED" w:rsidRDefault="00A45CED" w:rsidP="00A45CED">
            <w:pPr>
              <w:pStyle w:val="Marginlie"/>
            </w:pPr>
          </w:p>
        </w:tc>
        <w:tc>
          <w:tcPr>
            <w:tcW w:w="217" w:type="dxa"/>
            <w:vMerge/>
            <w:tcBorders>
              <w:top w:val="nil"/>
              <w:left w:val="nil"/>
              <w:bottom w:val="nil"/>
              <w:right w:val="nil"/>
            </w:tcBorders>
            <w:shd w:val="clear" w:color="auto" w:fill="auto"/>
            <w:tcMar>
              <w:left w:w="0" w:type="dxa"/>
            </w:tcMar>
          </w:tcPr>
          <w:p w14:paraId="06127349"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2272D79A" w14:textId="2A200497" w:rsidR="00A45CED" w:rsidRDefault="00A45CED" w:rsidP="00A45CED">
            <w:pPr>
              <w:pStyle w:val="Textpoznpodarou"/>
              <w:rPr>
                <w:sz w:val="14"/>
                <w:szCs w:val="14"/>
              </w:rPr>
            </w:pPr>
            <w:r>
              <w:rPr>
                <w:sz w:val="14"/>
                <w:szCs w:val="14"/>
              </w:rPr>
              <w:t>*</w:t>
            </w:r>
            <w:r w:rsidR="00F00866">
              <w:rPr>
                <w:sz w:val="14"/>
                <w:szCs w:val="14"/>
              </w:rPr>
              <w:t xml:space="preserve">Pokrývají </w:t>
            </w:r>
            <w:r>
              <w:rPr>
                <w:sz w:val="14"/>
                <w:szCs w:val="14"/>
              </w:rPr>
              <w:t xml:space="preserve">výdaje na platy v ústředních orgánech státní správy. </w:t>
            </w:r>
            <w:r w:rsidR="00F00866">
              <w:rPr>
                <w:sz w:val="14"/>
                <w:szCs w:val="14"/>
              </w:rPr>
              <w:t xml:space="preserve">Nezahrnují </w:t>
            </w:r>
            <w:r>
              <w:rPr>
                <w:sz w:val="14"/>
                <w:szCs w:val="14"/>
              </w:rPr>
              <w:t>např.</w:t>
            </w:r>
            <w:r w:rsidR="00DF77E4">
              <w:rPr>
                <w:sz w:val="14"/>
                <w:szCs w:val="14"/>
              </w:rPr>
              <w:t> </w:t>
            </w:r>
            <w:r>
              <w:rPr>
                <w:sz w:val="14"/>
                <w:szCs w:val="14"/>
              </w:rPr>
              <w:t>mzdové výdaje na regionální školství.</w:t>
            </w:r>
          </w:p>
          <w:p w14:paraId="2AC5E259" w14:textId="78FE26F1" w:rsidR="00A45CED" w:rsidRDefault="00A45CED" w:rsidP="00A45CED">
            <w:pPr>
              <w:pStyle w:val="Textpoznpodarou"/>
              <w:rPr>
                <w:sz w:val="14"/>
                <w:szCs w:val="14"/>
              </w:rPr>
            </w:pPr>
            <w:r>
              <w:rPr>
                <w:sz w:val="14"/>
                <w:szCs w:val="14"/>
              </w:rPr>
              <w:t xml:space="preserve">**Zahrnuje </w:t>
            </w:r>
            <w:r w:rsidR="002F1B09">
              <w:rPr>
                <w:sz w:val="14"/>
                <w:szCs w:val="14"/>
              </w:rPr>
              <w:t>i </w:t>
            </w:r>
            <w:r>
              <w:rPr>
                <w:sz w:val="14"/>
                <w:szCs w:val="14"/>
              </w:rPr>
              <w:t>dávky pěstounské péče. ***</w:t>
            </w:r>
            <w:r w:rsidR="00F00866">
              <w:rPr>
                <w:sz w:val="14"/>
                <w:szCs w:val="14"/>
              </w:rPr>
              <w:t xml:space="preserve">Zahrnují </w:t>
            </w:r>
            <w:r>
              <w:rPr>
                <w:sz w:val="14"/>
                <w:szCs w:val="14"/>
              </w:rPr>
              <w:t>d</w:t>
            </w:r>
            <w:r w:rsidRPr="007E5880">
              <w:rPr>
                <w:sz w:val="14"/>
                <w:szCs w:val="14"/>
              </w:rPr>
              <w:t>ávky pomoci</w:t>
            </w:r>
            <w:r>
              <w:rPr>
                <w:sz w:val="14"/>
                <w:szCs w:val="14"/>
              </w:rPr>
              <w:t xml:space="preserve"> v hmotné</w:t>
            </w:r>
            <w:r w:rsidRPr="007E5880">
              <w:rPr>
                <w:sz w:val="14"/>
                <w:szCs w:val="14"/>
              </w:rPr>
              <w:t xml:space="preserve"> </w:t>
            </w:r>
            <w:r>
              <w:rPr>
                <w:sz w:val="14"/>
                <w:szCs w:val="14"/>
              </w:rPr>
              <w:t>n</w:t>
            </w:r>
            <w:r w:rsidRPr="007E5880">
              <w:rPr>
                <w:sz w:val="14"/>
                <w:szCs w:val="14"/>
              </w:rPr>
              <w:t>ouzi,</w:t>
            </w:r>
            <w:r>
              <w:rPr>
                <w:sz w:val="14"/>
                <w:szCs w:val="14"/>
              </w:rPr>
              <w:t xml:space="preserve"> dávky osobám se zdravotním</w:t>
            </w:r>
            <w:r w:rsidRPr="007E5880">
              <w:rPr>
                <w:sz w:val="14"/>
                <w:szCs w:val="14"/>
              </w:rPr>
              <w:t xml:space="preserve"> </w:t>
            </w:r>
            <w:r>
              <w:rPr>
                <w:sz w:val="14"/>
                <w:szCs w:val="14"/>
              </w:rPr>
              <w:t>p</w:t>
            </w:r>
            <w:r w:rsidRPr="007E5880">
              <w:rPr>
                <w:sz w:val="14"/>
                <w:szCs w:val="14"/>
              </w:rPr>
              <w:t>ostižením, pří</w:t>
            </w:r>
            <w:r>
              <w:rPr>
                <w:sz w:val="14"/>
                <w:szCs w:val="14"/>
              </w:rPr>
              <w:t xml:space="preserve">spěvek na péči dle zákona o sociálních službách. **** </w:t>
            </w:r>
            <w:r w:rsidR="00F00866">
              <w:rPr>
                <w:sz w:val="14"/>
                <w:szCs w:val="14"/>
              </w:rPr>
              <w:t xml:space="preserve">Obsahují </w:t>
            </w:r>
            <w:r>
              <w:rPr>
                <w:sz w:val="14"/>
                <w:szCs w:val="14"/>
              </w:rPr>
              <w:t xml:space="preserve">zejména </w:t>
            </w:r>
            <w:r w:rsidRPr="00D95656">
              <w:rPr>
                <w:sz w:val="14"/>
                <w:szCs w:val="14"/>
              </w:rPr>
              <w:t>výdaje na nákup služeb</w:t>
            </w:r>
            <w:r>
              <w:rPr>
                <w:sz w:val="14"/>
                <w:szCs w:val="14"/>
              </w:rPr>
              <w:t>, materiálu, energií či ostatních služeb (např.</w:t>
            </w:r>
            <w:r w:rsidR="00DF77E4">
              <w:rPr>
                <w:sz w:val="14"/>
                <w:szCs w:val="14"/>
              </w:rPr>
              <w:t> </w:t>
            </w:r>
            <w:r w:rsidRPr="00D95656">
              <w:rPr>
                <w:sz w:val="14"/>
                <w:szCs w:val="14"/>
              </w:rPr>
              <w:t xml:space="preserve">výdaje na opravy </w:t>
            </w:r>
            <w:r w:rsidR="002F1B09" w:rsidRPr="00D95656">
              <w:rPr>
                <w:sz w:val="14"/>
                <w:szCs w:val="14"/>
              </w:rPr>
              <w:t>a</w:t>
            </w:r>
            <w:r w:rsidR="002F1B09">
              <w:rPr>
                <w:sz w:val="14"/>
                <w:szCs w:val="14"/>
              </w:rPr>
              <w:t> </w:t>
            </w:r>
            <w:r w:rsidRPr="00D95656">
              <w:rPr>
                <w:sz w:val="14"/>
                <w:szCs w:val="14"/>
              </w:rPr>
              <w:t>udržování)</w:t>
            </w:r>
            <w:r>
              <w:rPr>
                <w:sz w:val="14"/>
                <w:szCs w:val="14"/>
              </w:rPr>
              <w:t>. *****Odpovídá saldu rozpočtové kapitoly Státní dluh.</w:t>
            </w:r>
          </w:p>
          <w:p w14:paraId="3176601D" w14:textId="489EB735" w:rsidR="00A45CED" w:rsidRPr="00343AC1" w:rsidRDefault="00A45CED" w:rsidP="00A45CED">
            <w:pPr>
              <w:spacing w:after="220" w:line="240" w:lineRule="auto"/>
              <w:rPr>
                <w:rFonts w:cs="Arial"/>
                <w:color w:val="0D0D0D" w:themeColor="text1" w:themeTint="F2"/>
                <w:sz w:val="14"/>
                <w:szCs w:val="14"/>
              </w:rPr>
            </w:pPr>
            <w:r>
              <w:rPr>
                <w:sz w:val="14"/>
                <w:szCs w:val="14"/>
              </w:rPr>
              <w:t>Zdroj: MF</w:t>
            </w:r>
            <w:r w:rsidR="00DF77E4">
              <w:rPr>
                <w:sz w:val="14"/>
                <w:szCs w:val="14"/>
              </w:rPr>
              <w:t> </w:t>
            </w:r>
            <w:r>
              <w:rPr>
                <w:sz w:val="14"/>
                <w:szCs w:val="14"/>
              </w:rPr>
              <w:t>ČR, MPSV</w:t>
            </w:r>
          </w:p>
        </w:tc>
      </w:tr>
      <w:tr w:rsidR="00A45CED" w:rsidRPr="004F63A0" w14:paraId="4A0BE1A0" w14:textId="77777777" w:rsidTr="000A3D9E">
        <w:trPr>
          <w:trHeight w:val="145"/>
        </w:trPr>
        <w:tc>
          <w:tcPr>
            <w:tcW w:w="1732" w:type="dxa"/>
            <w:tcBorders>
              <w:top w:val="nil"/>
              <w:left w:val="nil"/>
              <w:bottom w:val="nil"/>
              <w:right w:val="nil"/>
            </w:tcBorders>
            <w:shd w:val="clear" w:color="auto" w:fill="auto"/>
            <w:tcMar>
              <w:left w:w="0" w:type="dxa"/>
            </w:tcMar>
          </w:tcPr>
          <w:p w14:paraId="3D353869" w14:textId="062AC0A8" w:rsidR="00A45CED" w:rsidRDefault="00A45CED" w:rsidP="00A45CED">
            <w:pPr>
              <w:pStyle w:val="Marginlie"/>
            </w:pPr>
            <w:r>
              <w:t xml:space="preserve">Výše státního dluhu zůstala stabilizovaná. Výpůjční potřeba byla realizována emisí </w:t>
            </w:r>
            <w:r>
              <w:lastRenderedPageBreak/>
              <w:t>středně</w:t>
            </w:r>
            <w:r w:rsidR="00B940A8">
              <w:t>-</w:t>
            </w:r>
            <w:r>
              <w:t xml:space="preserve"> </w:t>
            </w:r>
            <w:r w:rsidR="002F1B09">
              <w:t>a </w:t>
            </w:r>
            <w:r>
              <w:t>dlouhodobých dluhopisů na domácím trhu.</w:t>
            </w:r>
          </w:p>
          <w:p w14:paraId="3DC1D914" w14:textId="77777777" w:rsidR="00A45CED" w:rsidRDefault="00A45CED" w:rsidP="00A45CED">
            <w:pPr>
              <w:pStyle w:val="Marginlie"/>
            </w:pPr>
          </w:p>
          <w:p w14:paraId="50B1B24D" w14:textId="77777777" w:rsidR="00A45CED" w:rsidRDefault="00A45CED" w:rsidP="00A45CED">
            <w:pPr>
              <w:pStyle w:val="Marginlie"/>
            </w:pPr>
          </w:p>
          <w:p w14:paraId="54FD080F" w14:textId="4C120C3D" w:rsidR="00A45CED" w:rsidRDefault="00A45CED" w:rsidP="00A45CED">
            <w:pPr>
              <w:pStyle w:val="Marginlie"/>
            </w:pPr>
            <w:r>
              <w:t>Pokračoval trend poklesu čistých výdajů na státní dluh.</w:t>
            </w:r>
          </w:p>
        </w:tc>
        <w:tc>
          <w:tcPr>
            <w:tcW w:w="217" w:type="dxa"/>
            <w:tcBorders>
              <w:top w:val="nil"/>
              <w:left w:val="nil"/>
              <w:bottom w:val="nil"/>
              <w:right w:val="nil"/>
            </w:tcBorders>
            <w:shd w:val="clear" w:color="auto" w:fill="auto"/>
            <w:tcMar>
              <w:left w:w="0" w:type="dxa"/>
            </w:tcMar>
          </w:tcPr>
          <w:p w14:paraId="0A2B1359"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31920663" w14:textId="4C702D6A" w:rsidR="00A45CED" w:rsidRPr="004F63A0" w:rsidRDefault="00A45CED" w:rsidP="00B940A8">
            <w:pPr>
              <w:pStyle w:val="Textpoznpodarou"/>
              <w:spacing w:after="200" w:line="276" w:lineRule="auto"/>
              <w:jc w:val="both"/>
              <w:rPr>
                <w:rFonts w:cs="Arial"/>
                <w:color w:val="0D0D0D" w:themeColor="text1" w:themeTint="F2"/>
                <w:spacing w:val="-4"/>
              </w:rPr>
            </w:pPr>
            <w:r>
              <w:rPr>
                <w:rFonts w:cs="Arial"/>
                <w:color w:val="0D0D0D" w:themeColor="text1" w:themeTint="F2"/>
                <w:spacing w:val="-4"/>
              </w:rPr>
              <w:t>Státní dluh dosáhl na konci června 2019 výše 1</w:t>
            </w:r>
            <w:r w:rsidR="008A394E">
              <w:rPr>
                <w:rFonts w:cs="Arial"/>
                <w:color w:val="0D0D0D" w:themeColor="text1" w:themeTint="F2"/>
                <w:spacing w:val="-4"/>
              </w:rPr>
              <w:t> 712,6</w:t>
            </w:r>
            <w:r w:rsidR="00403F57">
              <w:rPr>
                <w:rFonts w:cs="Arial"/>
                <w:color w:val="0D0D0D" w:themeColor="text1" w:themeTint="F2"/>
                <w:spacing w:val="-4"/>
              </w:rPr>
              <w:t> mld.</w:t>
            </w:r>
            <w:r>
              <w:rPr>
                <w:rFonts w:cs="Arial"/>
                <w:color w:val="0D0D0D" w:themeColor="text1" w:themeTint="F2"/>
                <w:spacing w:val="-4"/>
              </w:rPr>
              <w:t xml:space="preserve"> korun. Meziročně se téměř nezměnil, oproti předchozímu čtvrtletí mírně klesl (</w:t>
            </w:r>
            <w:r w:rsidR="002F1B09">
              <w:rPr>
                <w:rFonts w:cs="Arial"/>
                <w:color w:val="0D0D0D" w:themeColor="text1" w:themeTint="F2"/>
                <w:spacing w:val="-4"/>
              </w:rPr>
              <w:t>o </w:t>
            </w:r>
            <w:r>
              <w:rPr>
                <w:rFonts w:cs="Arial"/>
                <w:color w:val="0D0D0D" w:themeColor="text1" w:themeTint="F2"/>
                <w:spacing w:val="-4"/>
              </w:rPr>
              <w:t>1,1</w:t>
            </w:r>
            <w:r w:rsidR="00403F57">
              <w:rPr>
                <w:rFonts w:cs="Arial"/>
                <w:color w:val="0D0D0D" w:themeColor="text1" w:themeTint="F2"/>
                <w:spacing w:val="-4"/>
              </w:rPr>
              <w:t> %</w:t>
            </w:r>
            <w:r>
              <w:rPr>
                <w:rFonts w:cs="Arial"/>
                <w:color w:val="0D0D0D" w:themeColor="text1" w:themeTint="F2"/>
                <w:spacing w:val="-4"/>
              </w:rPr>
              <w:t xml:space="preserve">). Stát svou výpůjční potřebu nadále realizoval výhradně na domácím trhu. Korunová hodnota zahraničního dluhu </w:t>
            </w:r>
            <w:r w:rsidR="007056ED">
              <w:rPr>
                <w:rFonts w:cs="Arial"/>
                <w:color w:val="0D0D0D" w:themeColor="text1" w:themeTint="F2"/>
                <w:spacing w:val="-4"/>
              </w:rPr>
              <w:t>se tak</w:t>
            </w:r>
            <w:r>
              <w:rPr>
                <w:rFonts w:cs="Arial"/>
                <w:color w:val="0D0D0D" w:themeColor="text1" w:themeTint="F2"/>
                <w:spacing w:val="-4"/>
              </w:rPr>
              <w:t xml:space="preserve"> </w:t>
            </w:r>
            <w:r>
              <w:rPr>
                <w:rFonts w:cs="Arial"/>
                <w:color w:val="0D0D0D" w:themeColor="text1" w:themeTint="F2"/>
                <w:spacing w:val="-4"/>
              </w:rPr>
              <w:lastRenderedPageBreak/>
              <w:t>meziročně snížila (</w:t>
            </w:r>
            <w:r w:rsidR="002F1B09">
              <w:rPr>
                <w:rFonts w:cs="Arial"/>
                <w:color w:val="0D0D0D" w:themeColor="text1" w:themeTint="F2"/>
                <w:spacing w:val="-4"/>
              </w:rPr>
              <w:t>o </w:t>
            </w:r>
            <w:r>
              <w:rPr>
                <w:rFonts w:cs="Arial"/>
                <w:color w:val="0D0D0D" w:themeColor="text1" w:themeTint="F2"/>
                <w:spacing w:val="-4"/>
              </w:rPr>
              <w:t>38,6</w:t>
            </w:r>
            <w:r w:rsidR="00403F57">
              <w:rPr>
                <w:rFonts w:cs="Arial"/>
                <w:color w:val="0D0D0D" w:themeColor="text1" w:themeTint="F2"/>
                <w:spacing w:val="-4"/>
              </w:rPr>
              <w:t> mld.</w:t>
            </w:r>
            <w:r>
              <w:rPr>
                <w:rFonts w:cs="Arial"/>
                <w:color w:val="0D0D0D" w:themeColor="text1" w:themeTint="F2"/>
                <w:spacing w:val="-4"/>
              </w:rPr>
              <w:t xml:space="preserve">) </w:t>
            </w:r>
            <w:r w:rsidR="002F1B09">
              <w:rPr>
                <w:rFonts w:cs="Arial"/>
                <w:color w:val="0D0D0D" w:themeColor="text1" w:themeTint="F2"/>
                <w:spacing w:val="-4"/>
              </w:rPr>
              <w:t>a </w:t>
            </w:r>
            <w:r>
              <w:rPr>
                <w:rFonts w:cs="Arial"/>
                <w:color w:val="0D0D0D" w:themeColor="text1" w:themeTint="F2"/>
                <w:spacing w:val="-4"/>
              </w:rPr>
              <w:t>podíl vnějšího dluhu na celkové zadluženosti činil 12,6</w:t>
            </w:r>
            <w:r w:rsidR="00403F57">
              <w:rPr>
                <w:rFonts w:cs="Arial"/>
                <w:color w:val="0D0D0D" w:themeColor="text1" w:themeTint="F2"/>
                <w:spacing w:val="-4"/>
              </w:rPr>
              <w:t> %</w:t>
            </w:r>
            <w:r>
              <w:rPr>
                <w:rFonts w:cs="Arial"/>
                <w:color w:val="0D0D0D" w:themeColor="text1" w:themeTint="F2"/>
                <w:spacing w:val="-4"/>
              </w:rPr>
              <w:t>, což bylo nejméně od konce roku 200</w:t>
            </w:r>
            <w:r w:rsidR="004A5D4E">
              <w:rPr>
                <w:rFonts w:cs="Arial"/>
                <w:color w:val="0D0D0D" w:themeColor="text1" w:themeTint="F2"/>
                <w:spacing w:val="-4"/>
              </w:rPr>
              <w:t>4.</w:t>
            </w:r>
            <w:r w:rsidR="008A1C59">
              <w:rPr>
                <w:rFonts w:cs="Arial"/>
                <w:color w:val="0D0D0D" w:themeColor="text1" w:themeTint="F2"/>
                <w:spacing w:val="-4"/>
              </w:rPr>
              <w:t xml:space="preserve"> </w:t>
            </w:r>
            <w:r>
              <w:rPr>
                <w:rFonts w:cs="Arial"/>
                <w:color w:val="0D0D0D" w:themeColor="text1" w:themeTint="F2"/>
                <w:spacing w:val="-4"/>
              </w:rPr>
              <w:t xml:space="preserve">Stát emitoval během </w:t>
            </w:r>
            <w:r w:rsidR="004A5D4E">
              <w:rPr>
                <w:rFonts w:cs="Arial"/>
                <w:color w:val="0D0D0D" w:themeColor="text1" w:themeTint="F2"/>
                <w:spacing w:val="-4"/>
              </w:rPr>
              <w:t>1. </w:t>
            </w:r>
            <w:r>
              <w:rPr>
                <w:rFonts w:cs="Arial"/>
                <w:color w:val="0D0D0D" w:themeColor="text1" w:themeTint="F2"/>
                <w:spacing w:val="-4"/>
              </w:rPr>
              <w:t>pololetí středně</w:t>
            </w:r>
            <w:r w:rsidR="00B940A8">
              <w:rPr>
                <w:rFonts w:cs="Arial"/>
                <w:color w:val="0D0D0D" w:themeColor="text1" w:themeTint="F2"/>
                <w:spacing w:val="-4"/>
              </w:rPr>
              <w:t>-</w:t>
            </w:r>
            <w:r>
              <w:rPr>
                <w:rFonts w:cs="Arial"/>
                <w:color w:val="0D0D0D" w:themeColor="text1" w:themeTint="F2"/>
                <w:spacing w:val="-4"/>
              </w:rPr>
              <w:t xml:space="preserve"> </w:t>
            </w:r>
            <w:r w:rsidR="002F1B09">
              <w:rPr>
                <w:rFonts w:cs="Arial"/>
                <w:color w:val="0D0D0D" w:themeColor="text1" w:themeTint="F2"/>
                <w:spacing w:val="-4"/>
              </w:rPr>
              <w:t>a </w:t>
            </w:r>
            <w:r>
              <w:rPr>
                <w:rFonts w:cs="Arial"/>
                <w:color w:val="0D0D0D" w:themeColor="text1" w:themeTint="F2"/>
                <w:spacing w:val="-4"/>
              </w:rPr>
              <w:t>dlouhodobé dluhopisy ve výši 200,6</w:t>
            </w:r>
            <w:r w:rsidR="00403F57">
              <w:rPr>
                <w:rFonts w:cs="Arial"/>
                <w:color w:val="0D0D0D" w:themeColor="text1" w:themeTint="F2"/>
                <w:spacing w:val="-4"/>
              </w:rPr>
              <w:t> mld.</w:t>
            </w:r>
            <w:r>
              <w:rPr>
                <w:rFonts w:cs="Arial"/>
                <w:color w:val="0D0D0D" w:themeColor="text1" w:themeTint="F2"/>
                <w:spacing w:val="-4"/>
              </w:rPr>
              <w:t xml:space="preserve"> korun, více než tři pětiny z nich měly splatnost nad 1</w:t>
            </w:r>
            <w:r w:rsidR="000C23EC">
              <w:rPr>
                <w:rFonts w:cs="Arial"/>
                <w:color w:val="0D0D0D" w:themeColor="text1" w:themeTint="F2"/>
                <w:spacing w:val="-4"/>
              </w:rPr>
              <w:t>0 </w:t>
            </w:r>
            <w:r>
              <w:rPr>
                <w:rFonts w:cs="Arial"/>
                <w:color w:val="0D0D0D" w:themeColor="text1" w:themeTint="F2"/>
                <w:spacing w:val="-4"/>
              </w:rPr>
              <w:t>let. Stát využíval příznivé podmínky na domácím finančním trhu (výnos státních dluhopisů na delším konci výnosové křivky se dostal na nejnižší úroveň od konce roku 2017). Mezi držiteli korunových dluhopisů převažovali nerezidenti (42,3</w:t>
            </w:r>
            <w:r w:rsidR="00403F57">
              <w:rPr>
                <w:rFonts w:cs="Arial"/>
                <w:color w:val="0D0D0D" w:themeColor="text1" w:themeTint="F2"/>
                <w:spacing w:val="-4"/>
              </w:rPr>
              <w:t> %</w:t>
            </w:r>
            <w:r>
              <w:rPr>
                <w:rFonts w:cs="Arial"/>
                <w:color w:val="0D0D0D" w:themeColor="text1" w:themeTint="F2"/>
                <w:spacing w:val="-4"/>
              </w:rPr>
              <w:t xml:space="preserve">), jejich zastoupení od počátku roku 2018 mírně rostlo. Pokračoval trend snižování čistých výdajů na obsluhu státního dluhu. Ty za </w:t>
            </w:r>
            <w:r w:rsidR="004A5D4E">
              <w:rPr>
                <w:rFonts w:cs="Arial"/>
                <w:color w:val="0D0D0D" w:themeColor="text1" w:themeTint="F2"/>
                <w:spacing w:val="-4"/>
              </w:rPr>
              <w:t>1. </w:t>
            </w:r>
            <w:r>
              <w:rPr>
                <w:rFonts w:cs="Arial"/>
                <w:color w:val="0D0D0D" w:themeColor="text1" w:themeTint="F2"/>
                <w:spacing w:val="-4"/>
              </w:rPr>
              <w:t>pololetí činily 16,9</w:t>
            </w:r>
            <w:r w:rsidR="00403F57">
              <w:rPr>
                <w:rFonts w:cs="Arial"/>
                <w:color w:val="0D0D0D" w:themeColor="text1" w:themeTint="F2"/>
                <w:spacing w:val="-4"/>
              </w:rPr>
              <w:t> mld.</w:t>
            </w:r>
            <w:r>
              <w:rPr>
                <w:rFonts w:cs="Arial"/>
                <w:color w:val="0D0D0D" w:themeColor="text1" w:themeTint="F2"/>
                <w:spacing w:val="-4"/>
              </w:rPr>
              <w:t xml:space="preserve"> korun </w:t>
            </w:r>
            <w:r w:rsidR="002F1B09">
              <w:rPr>
                <w:rFonts w:cs="Arial"/>
                <w:color w:val="0D0D0D" w:themeColor="text1" w:themeTint="F2"/>
                <w:spacing w:val="-4"/>
              </w:rPr>
              <w:t>a </w:t>
            </w:r>
            <w:r>
              <w:rPr>
                <w:rFonts w:cs="Arial"/>
                <w:color w:val="0D0D0D" w:themeColor="text1" w:themeTint="F2"/>
                <w:spacing w:val="-4"/>
              </w:rPr>
              <w:t xml:space="preserve">meziročně se snížily bezmála </w:t>
            </w:r>
            <w:r w:rsidR="00E55E1A">
              <w:rPr>
                <w:rFonts w:cs="Arial"/>
                <w:color w:val="0D0D0D" w:themeColor="text1" w:themeTint="F2"/>
                <w:spacing w:val="-4"/>
              </w:rPr>
              <w:t>o </w:t>
            </w:r>
            <w:r>
              <w:rPr>
                <w:rFonts w:cs="Arial"/>
                <w:color w:val="0D0D0D" w:themeColor="text1" w:themeTint="F2"/>
                <w:spacing w:val="-4"/>
              </w:rPr>
              <w:t xml:space="preserve">šestinu, za posledních šest let téměř </w:t>
            </w:r>
            <w:r w:rsidR="00E55E1A">
              <w:rPr>
                <w:rFonts w:cs="Arial"/>
                <w:color w:val="0D0D0D" w:themeColor="text1" w:themeTint="F2"/>
                <w:spacing w:val="-4"/>
              </w:rPr>
              <w:t>o </w:t>
            </w:r>
            <w:r>
              <w:rPr>
                <w:rFonts w:cs="Arial"/>
                <w:color w:val="0D0D0D" w:themeColor="text1" w:themeTint="F2"/>
                <w:spacing w:val="-4"/>
              </w:rPr>
              <w:t>polovinu.</w:t>
            </w:r>
          </w:p>
        </w:tc>
      </w:tr>
      <w:tr w:rsidR="00A45CED" w:rsidRPr="004F63A0" w14:paraId="2714C1B3" w14:textId="77777777" w:rsidTr="000A3D9E">
        <w:trPr>
          <w:trHeight w:val="145"/>
        </w:trPr>
        <w:tc>
          <w:tcPr>
            <w:tcW w:w="1732" w:type="dxa"/>
            <w:tcBorders>
              <w:top w:val="nil"/>
              <w:left w:val="nil"/>
              <w:bottom w:val="nil"/>
              <w:right w:val="nil"/>
            </w:tcBorders>
            <w:shd w:val="clear" w:color="auto" w:fill="auto"/>
            <w:tcMar>
              <w:left w:w="0" w:type="dxa"/>
            </w:tcMar>
          </w:tcPr>
          <w:p w14:paraId="1B4835B5" w14:textId="14C59721" w:rsidR="00A45CED" w:rsidRDefault="00A45CED" w:rsidP="00A45CED">
            <w:pPr>
              <w:pStyle w:val="Marginlie"/>
            </w:pPr>
            <w:r>
              <w:rPr>
                <w:spacing w:val="-3"/>
              </w:rPr>
              <w:lastRenderedPageBreak/>
              <w:t>Míra zadlužení s</w:t>
            </w:r>
            <w:r w:rsidRPr="002F0708">
              <w:rPr>
                <w:spacing w:val="-3"/>
              </w:rPr>
              <w:t>ektor</w:t>
            </w:r>
            <w:r>
              <w:rPr>
                <w:spacing w:val="-3"/>
              </w:rPr>
              <w:t>u</w:t>
            </w:r>
            <w:r w:rsidRPr="002F0708">
              <w:rPr>
                <w:spacing w:val="-3"/>
              </w:rPr>
              <w:t xml:space="preserve"> vládních institucí</w:t>
            </w:r>
            <w:r>
              <w:rPr>
                <w:spacing w:val="-3"/>
              </w:rPr>
              <w:t xml:space="preserve"> meziročně klesla. Saldo hospodaření bylo prakticky vyrovnané, přebytku dosahovaly místní vládní instituce.</w:t>
            </w:r>
          </w:p>
        </w:tc>
        <w:tc>
          <w:tcPr>
            <w:tcW w:w="217" w:type="dxa"/>
            <w:tcBorders>
              <w:top w:val="nil"/>
              <w:left w:val="nil"/>
              <w:bottom w:val="nil"/>
              <w:right w:val="nil"/>
            </w:tcBorders>
            <w:shd w:val="clear" w:color="auto" w:fill="auto"/>
            <w:tcMar>
              <w:left w:w="0" w:type="dxa"/>
            </w:tcMar>
          </w:tcPr>
          <w:p w14:paraId="3C4111D5"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2755F13F" w14:textId="2667107A" w:rsidR="00A45CED" w:rsidRDefault="00A45CED" w:rsidP="00A45CED">
            <w:pPr>
              <w:pStyle w:val="Textpoznpodarou"/>
              <w:spacing w:after="200" w:line="276" w:lineRule="auto"/>
              <w:jc w:val="both"/>
              <w:rPr>
                <w:rFonts w:cs="Arial"/>
                <w:color w:val="0D0D0D" w:themeColor="text1" w:themeTint="F2"/>
                <w:spacing w:val="-4"/>
              </w:rPr>
            </w:pPr>
            <w:r w:rsidRPr="00117474">
              <w:rPr>
                <w:color w:val="000000" w:themeColor="text1"/>
                <w:spacing w:val="-4"/>
              </w:rPr>
              <w:t>Konsolidovaný dluh</w:t>
            </w:r>
            <w:r w:rsidRPr="00117474">
              <w:rPr>
                <w:color w:val="0D0D0D" w:themeColor="text1" w:themeTint="F2"/>
                <w:spacing w:val="-4"/>
              </w:rPr>
              <w:t xml:space="preserve"> celého sektoru vládních institucí</w:t>
            </w:r>
            <w:r w:rsidRPr="00117474">
              <w:rPr>
                <w:rStyle w:val="Znakapoznpodarou"/>
                <w:spacing w:val="-4"/>
              </w:rPr>
              <w:footnoteReference w:id="13"/>
            </w:r>
            <w:r w:rsidRPr="00117474">
              <w:rPr>
                <w:color w:val="0D0D0D" w:themeColor="text1" w:themeTint="F2"/>
                <w:spacing w:val="-4"/>
              </w:rPr>
              <w:t xml:space="preserve"> </w:t>
            </w:r>
            <w:r>
              <w:rPr>
                <w:color w:val="000000" w:themeColor="text1"/>
                <w:spacing w:val="-4"/>
              </w:rPr>
              <w:t>dosahoval</w:t>
            </w:r>
            <w:r w:rsidRPr="00117474">
              <w:rPr>
                <w:color w:val="000000" w:themeColor="text1"/>
                <w:spacing w:val="-4"/>
              </w:rPr>
              <w:t xml:space="preserve"> d</w:t>
            </w:r>
            <w:r>
              <w:rPr>
                <w:color w:val="000000" w:themeColor="text1"/>
                <w:spacing w:val="-4"/>
              </w:rPr>
              <w:t>le dat ČSÚ na</w:t>
            </w:r>
            <w:r w:rsidR="00E55E1A">
              <w:rPr>
                <w:color w:val="000000" w:themeColor="text1"/>
                <w:spacing w:val="-4"/>
              </w:rPr>
              <w:t xml:space="preserve"> </w:t>
            </w:r>
            <w:r>
              <w:rPr>
                <w:color w:val="000000" w:themeColor="text1"/>
                <w:spacing w:val="-4"/>
              </w:rPr>
              <w:t>konci 1. čtvrt</w:t>
            </w:r>
            <w:r w:rsidRPr="00117474">
              <w:rPr>
                <w:color w:val="000000" w:themeColor="text1"/>
                <w:spacing w:val="-4"/>
              </w:rPr>
              <w:t>letí 201</w:t>
            </w:r>
            <w:r>
              <w:rPr>
                <w:color w:val="000000" w:themeColor="text1"/>
                <w:spacing w:val="-4"/>
              </w:rPr>
              <w:t>9 výše 1 837</w:t>
            </w:r>
            <w:r w:rsidRPr="00117474">
              <w:rPr>
                <w:color w:val="000000" w:themeColor="text1"/>
                <w:spacing w:val="-4"/>
              </w:rPr>
              <w:t xml:space="preserve"> mld. </w:t>
            </w:r>
            <w:r>
              <w:rPr>
                <w:color w:val="000000" w:themeColor="text1"/>
                <w:spacing w:val="-4"/>
              </w:rPr>
              <w:t xml:space="preserve">korun </w:t>
            </w:r>
            <w:r w:rsidR="002F1B09">
              <w:rPr>
                <w:color w:val="000000" w:themeColor="text1"/>
                <w:spacing w:val="-4"/>
              </w:rPr>
              <w:t>a </w:t>
            </w:r>
            <w:r>
              <w:rPr>
                <w:color w:val="000000" w:themeColor="text1"/>
                <w:spacing w:val="-4"/>
              </w:rPr>
              <w:t>mezikvartálně se zvýšil (+102</w:t>
            </w:r>
            <w:r w:rsidR="00403F57">
              <w:rPr>
                <w:color w:val="000000" w:themeColor="text1"/>
                <w:spacing w:val="-4"/>
              </w:rPr>
              <w:t> mld.</w:t>
            </w:r>
            <w:r>
              <w:rPr>
                <w:color w:val="000000" w:themeColor="text1"/>
                <w:spacing w:val="-4"/>
              </w:rPr>
              <w:t xml:space="preserve"> korun). Míra zadlužení činila 34,0</w:t>
            </w:r>
            <w:r w:rsidR="00403F57">
              <w:rPr>
                <w:color w:val="000000" w:themeColor="text1"/>
                <w:spacing w:val="-4"/>
              </w:rPr>
              <w:t> %</w:t>
            </w:r>
            <w:r>
              <w:rPr>
                <w:color w:val="000000" w:themeColor="text1"/>
                <w:spacing w:val="-4"/>
              </w:rPr>
              <w:t xml:space="preserve"> HDP, meziročně poklesla </w:t>
            </w:r>
            <w:r w:rsidR="002F1B09">
              <w:rPr>
                <w:color w:val="000000" w:themeColor="text1"/>
                <w:spacing w:val="-4"/>
              </w:rPr>
              <w:t>o </w:t>
            </w:r>
            <w:r>
              <w:rPr>
                <w:color w:val="000000" w:themeColor="text1"/>
                <w:spacing w:val="-4"/>
              </w:rPr>
              <w:t>1,8</w:t>
            </w:r>
            <w:r w:rsidR="00403F57">
              <w:rPr>
                <w:color w:val="000000" w:themeColor="text1"/>
                <w:spacing w:val="-4"/>
              </w:rPr>
              <w:t> p. b.</w:t>
            </w:r>
            <w:r>
              <w:rPr>
                <w:color w:val="000000" w:themeColor="text1"/>
                <w:spacing w:val="-4"/>
              </w:rPr>
              <w:t xml:space="preserve">, </w:t>
            </w:r>
            <w:r w:rsidR="002F1B09">
              <w:rPr>
                <w:color w:val="000000" w:themeColor="text1"/>
                <w:spacing w:val="-4"/>
              </w:rPr>
              <w:t>a </w:t>
            </w:r>
            <w:r>
              <w:rPr>
                <w:color w:val="000000" w:themeColor="text1"/>
                <w:spacing w:val="-4"/>
              </w:rPr>
              <w:t xml:space="preserve">to výhradně vlivem svižného růstu nominálního HDP. </w:t>
            </w:r>
            <w:r w:rsidRPr="00117474">
              <w:rPr>
                <w:color w:val="000000" w:themeColor="text1"/>
                <w:spacing w:val="-4"/>
              </w:rPr>
              <w:t>V </w:t>
            </w:r>
            <w:r>
              <w:rPr>
                <w:color w:val="000000" w:themeColor="text1"/>
                <w:spacing w:val="-4"/>
              </w:rPr>
              <w:t>1. čtvrt</w:t>
            </w:r>
            <w:r w:rsidRPr="00117474">
              <w:rPr>
                <w:color w:val="000000" w:themeColor="text1"/>
                <w:spacing w:val="-4"/>
              </w:rPr>
              <w:t xml:space="preserve">letí docílil sektor </w:t>
            </w:r>
            <w:r>
              <w:rPr>
                <w:color w:val="000000" w:themeColor="text1"/>
                <w:spacing w:val="-4"/>
              </w:rPr>
              <w:t>vládních institucí v ČR velmi mírného schodku hospodaření ve výši 2,3 mld</w:t>
            </w:r>
            <w:r w:rsidRPr="00117474">
              <w:rPr>
                <w:color w:val="000000" w:themeColor="text1"/>
                <w:spacing w:val="-4"/>
              </w:rPr>
              <w:t>. korun</w:t>
            </w:r>
            <w:r>
              <w:rPr>
                <w:rStyle w:val="Znakapoznpodarou"/>
                <w:color w:val="0D0D0D" w:themeColor="text1" w:themeTint="F2"/>
                <w:spacing w:val="-2"/>
              </w:rPr>
              <w:footnoteReference w:id="14"/>
            </w:r>
            <w:r w:rsidRPr="00117474">
              <w:rPr>
                <w:color w:val="000000" w:themeColor="text1"/>
                <w:spacing w:val="-4"/>
              </w:rPr>
              <w:t xml:space="preserve">, </w:t>
            </w:r>
            <w:r>
              <w:rPr>
                <w:color w:val="000000" w:themeColor="text1"/>
                <w:spacing w:val="-4"/>
              </w:rPr>
              <w:t xml:space="preserve">téměř vyrovnané saldo hospodaření přitom vykazoval i ve stejném období loňského roku. </w:t>
            </w:r>
            <w:r w:rsidRPr="00EB12A3">
              <w:rPr>
                <w:color w:val="000000" w:themeColor="text1"/>
                <w:spacing w:val="-4"/>
              </w:rPr>
              <w:t xml:space="preserve">Saldo hospodaření ústředních vládních institucí se </w:t>
            </w:r>
            <w:r>
              <w:rPr>
                <w:color w:val="000000" w:themeColor="text1"/>
                <w:spacing w:val="-4"/>
              </w:rPr>
              <w:t xml:space="preserve">meziročně zhoršilo </w:t>
            </w:r>
            <w:r w:rsidR="002F1B09">
              <w:rPr>
                <w:color w:val="000000" w:themeColor="text1"/>
                <w:spacing w:val="-4"/>
              </w:rPr>
              <w:t>o </w:t>
            </w:r>
            <w:r>
              <w:rPr>
                <w:color w:val="000000" w:themeColor="text1"/>
                <w:spacing w:val="-4"/>
              </w:rPr>
              <w:t>9,6</w:t>
            </w:r>
            <w:r w:rsidR="00403F57">
              <w:rPr>
                <w:color w:val="000000" w:themeColor="text1"/>
                <w:spacing w:val="-4"/>
              </w:rPr>
              <w:t> mld.</w:t>
            </w:r>
            <w:r>
              <w:rPr>
                <w:color w:val="000000" w:themeColor="text1"/>
                <w:spacing w:val="-4"/>
              </w:rPr>
              <w:t xml:space="preserve"> korun </w:t>
            </w:r>
            <w:r w:rsidR="002F1B09">
              <w:rPr>
                <w:color w:val="000000" w:themeColor="text1"/>
                <w:spacing w:val="-4"/>
              </w:rPr>
              <w:t>a </w:t>
            </w:r>
            <w:r>
              <w:rPr>
                <w:color w:val="000000" w:themeColor="text1"/>
                <w:spacing w:val="-4"/>
              </w:rPr>
              <w:t>docílilo schodku 26,1</w:t>
            </w:r>
            <w:r w:rsidR="00403F57">
              <w:rPr>
                <w:color w:val="000000" w:themeColor="text1"/>
                <w:spacing w:val="-4"/>
              </w:rPr>
              <w:t> mld.</w:t>
            </w:r>
            <w:r w:rsidRPr="00EB12A3">
              <w:rPr>
                <w:color w:val="000000" w:themeColor="text1"/>
                <w:spacing w:val="-4"/>
              </w:rPr>
              <w:t>, zatímco místní vládní instituce hospodařily s př</w:t>
            </w:r>
            <w:r>
              <w:rPr>
                <w:color w:val="000000" w:themeColor="text1"/>
                <w:spacing w:val="-4"/>
              </w:rPr>
              <w:t>ebytkem 20,4</w:t>
            </w:r>
            <w:r w:rsidR="00403F57">
              <w:rPr>
                <w:color w:val="000000" w:themeColor="text1"/>
                <w:spacing w:val="-4"/>
              </w:rPr>
              <w:t> mld.</w:t>
            </w:r>
            <w:r>
              <w:rPr>
                <w:color w:val="000000" w:themeColor="text1"/>
                <w:spacing w:val="-4"/>
              </w:rPr>
              <w:t xml:space="preserve"> korun (meziročně </w:t>
            </w:r>
            <w:r w:rsidR="002F1B09">
              <w:rPr>
                <w:color w:val="000000" w:themeColor="text1"/>
                <w:spacing w:val="-4"/>
              </w:rPr>
              <w:t>o </w:t>
            </w:r>
            <w:r>
              <w:rPr>
                <w:color w:val="000000" w:themeColor="text1"/>
                <w:spacing w:val="-4"/>
              </w:rPr>
              <w:t>6,0</w:t>
            </w:r>
            <w:r w:rsidR="00403F57">
              <w:rPr>
                <w:color w:val="000000" w:themeColor="text1"/>
                <w:spacing w:val="-4"/>
              </w:rPr>
              <w:t> mld.</w:t>
            </w:r>
            <w:r w:rsidRPr="00EB12A3">
              <w:rPr>
                <w:color w:val="000000" w:themeColor="text1"/>
                <w:spacing w:val="-4"/>
              </w:rPr>
              <w:t xml:space="preserve"> vyšší</w:t>
            </w:r>
            <w:r>
              <w:rPr>
                <w:color w:val="000000" w:themeColor="text1"/>
                <w:spacing w:val="-4"/>
              </w:rPr>
              <w:t>m)</w:t>
            </w:r>
            <w:r w:rsidRPr="00EB12A3">
              <w:rPr>
                <w:color w:val="000000" w:themeColor="text1"/>
                <w:spacing w:val="-4"/>
              </w:rPr>
              <w:t xml:space="preserve">. Hospodaření fondů sociálního zabezpečení </w:t>
            </w:r>
            <w:r>
              <w:rPr>
                <w:color w:val="000000" w:themeColor="text1"/>
                <w:spacing w:val="-4"/>
              </w:rPr>
              <w:t xml:space="preserve">(zdravotních pojišťoven) </w:t>
            </w:r>
            <w:r w:rsidRPr="00EB12A3">
              <w:rPr>
                <w:color w:val="000000" w:themeColor="text1"/>
                <w:spacing w:val="-4"/>
              </w:rPr>
              <w:t>se meziročně nezměnil</w:t>
            </w:r>
            <w:r>
              <w:rPr>
                <w:color w:val="000000" w:themeColor="text1"/>
                <w:spacing w:val="-4"/>
              </w:rPr>
              <w:t xml:space="preserve">o </w:t>
            </w:r>
            <w:r w:rsidR="002F1B09">
              <w:rPr>
                <w:color w:val="000000" w:themeColor="text1"/>
                <w:spacing w:val="-4"/>
              </w:rPr>
              <w:t>a </w:t>
            </w:r>
            <w:r>
              <w:rPr>
                <w:color w:val="000000" w:themeColor="text1"/>
                <w:spacing w:val="-4"/>
              </w:rPr>
              <w:t>dosáhlo přebytku 3,4</w:t>
            </w:r>
            <w:r w:rsidR="00403F57">
              <w:rPr>
                <w:color w:val="000000" w:themeColor="text1"/>
                <w:spacing w:val="-4"/>
              </w:rPr>
              <w:t> mld.</w:t>
            </w:r>
            <w:r w:rsidR="00E55E1A">
              <w:rPr>
                <w:color w:val="000000" w:themeColor="text1"/>
                <w:spacing w:val="-4"/>
              </w:rPr>
              <w:t xml:space="preserve"> korun.</w:t>
            </w:r>
          </w:p>
        </w:tc>
      </w:tr>
      <w:tr w:rsidR="00A45CED" w:rsidRPr="004F63A0" w14:paraId="20959130" w14:textId="77777777" w:rsidTr="000A3D9E">
        <w:trPr>
          <w:trHeight w:val="145"/>
        </w:trPr>
        <w:tc>
          <w:tcPr>
            <w:tcW w:w="1732" w:type="dxa"/>
            <w:tcBorders>
              <w:top w:val="nil"/>
              <w:left w:val="nil"/>
              <w:bottom w:val="nil"/>
              <w:right w:val="nil"/>
            </w:tcBorders>
            <w:shd w:val="clear" w:color="auto" w:fill="auto"/>
            <w:tcMar>
              <w:left w:w="0" w:type="dxa"/>
            </w:tcMar>
          </w:tcPr>
          <w:p w14:paraId="39655015" w14:textId="0380688F" w:rsidR="00A45CED" w:rsidRDefault="00A45CED" w:rsidP="00A45CED">
            <w:pPr>
              <w:pStyle w:val="Marginlie"/>
              <w:rPr>
                <w:spacing w:val="-3"/>
              </w:rPr>
            </w:pPr>
            <w:r>
              <w:rPr>
                <w:spacing w:val="-3"/>
              </w:rPr>
              <w:t>Česko dále drželo pozici čtvrté relativně nejméně zadlužené ekonomiky EU.</w:t>
            </w:r>
          </w:p>
          <w:p w14:paraId="7EBE1A7B" w14:textId="77777777" w:rsidR="00A45CED" w:rsidRDefault="00A45CED" w:rsidP="00A45CED">
            <w:pPr>
              <w:pStyle w:val="Marginlie"/>
              <w:rPr>
                <w:spacing w:val="-3"/>
              </w:rPr>
            </w:pPr>
          </w:p>
          <w:p w14:paraId="5E0ACD41" w14:textId="77777777" w:rsidR="00A45CED" w:rsidRDefault="00A45CED" w:rsidP="00A45CED">
            <w:pPr>
              <w:pStyle w:val="Marginlie"/>
              <w:rPr>
                <w:spacing w:val="-3"/>
              </w:rPr>
            </w:pPr>
          </w:p>
          <w:p w14:paraId="5F711818" w14:textId="77777777" w:rsidR="00A45CED" w:rsidRDefault="00A45CED" w:rsidP="00A45CED">
            <w:pPr>
              <w:pStyle w:val="Marginlie"/>
              <w:rPr>
                <w:spacing w:val="-3"/>
              </w:rPr>
            </w:pPr>
          </w:p>
          <w:p w14:paraId="10B636A0" w14:textId="77777777" w:rsidR="00A45CED" w:rsidRDefault="00A45CED" w:rsidP="00A45CED">
            <w:pPr>
              <w:pStyle w:val="Marginlie"/>
              <w:rPr>
                <w:spacing w:val="-3"/>
              </w:rPr>
            </w:pPr>
          </w:p>
          <w:p w14:paraId="1B257CA0" w14:textId="74394455" w:rsidR="00A45CED" w:rsidRDefault="00A45CED" w:rsidP="00A45CED">
            <w:pPr>
              <w:pStyle w:val="Marginlie"/>
            </w:pPr>
            <w:r>
              <w:rPr>
                <w:spacing w:val="-3"/>
              </w:rPr>
              <w:t>Snižování míry zadlužení v Unii probíhá jen velmi pozvoln</w:t>
            </w:r>
            <w:r w:rsidR="004E57BF">
              <w:rPr>
                <w:spacing w:val="-3"/>
              </w:rPr>
              <w:t>a</w:t>
            </w:r>
            <w:r>
              <w:rPr>
                <w:spacing w:val="-3"/>
              </w:rPr>
              <w:t xml:space="preserve">, </w:t>
            </w:r>
            <w:r w:rsidR="002F1B09">
              <w:rPr>
                <w:spacing w:val="-3"/>
              </w:rPr>
              <w:t>a </w:t>
            </w:r>
            <w:r w:rsidR="005455F6">
              <w:rPr>
                <w:spacing w:val="-3"/>
              </w:rPr>
              <w:t>to navzdory</w:t>
            </w:r>
            <w:r>
              <w:rPr>
                <w:spacing w:val="-3"/>
              </w:rPr>
              <w:t xml:space="preserve"> přetrvávajícímu ekonomickému růstu i citelnější redukci schodku hospodaření.</w:t>
            </w:r>
          </w:p>
        </w:tc>
        <w:tc>
          <w:tcPr>
            <w:tcW w:w="217" w:type="dxa"/>
            <w:tcBorders>
              <w:top w:val="nil"/>
              <w:left w:val="nil"/>
              <w:bottom w:val="nil"/>
              <w:right w:val="nil"/>
            </w:tcBorders>
            <w:shd w:val="clear" w:color="auto" w:fill="auto"/>
            <w:tcMar>
              <w:left w:w="0" w:type="dxa"/>
            </w:tcMar>
          </w:tcPr>
          <w:p w14:paraId="082AC5AB" w14:textId="77777777" w:rsidR="00A45CED" w:rsidRDefault="00A45CED" w:rsidP="00A45CED">
            <w:pPr>
              <w:pStyle w:val="Textpoznpodarou"/>
              <w:jc w:val="both"/>
              <w:rPr>
                <w:spacing w:val="-4"/>
              </w:rPr>
            </w:pPr>
          </w:p>
        </w:tc>
        <w:tc>
          <w:tcPr>
            <w:tcW w:w="7720" w:type="dxa"/>
            <w:tcBorders>
              <w:top w:val="nil"/>
              <w:left w:val="nil"/>
              <w:bottom w:val="nil"/>
              <w:right w:val="nil"/>
            </w:tcBorders>
            <w:shd w:val="clear" w:color="auto" w:fill="auto"/>
            <w:tcMar>
              <w:left w:w="0" w:type="dxa"/>
            </w:tcMar>
          </w:tcPr>
          <w:p w14:paraId="6BEDE5CB" w14:textId="71925EA2" w:rsidR="00A45CED" w:rsidRDefault="00A45CED" w:rsidP="00A45CED">
            <w:pPr>
              <w:pStyle w:val="Textpoznpodarou"/>
              <w:spacing w:after="200" w:line="276" w:lineRule="auto"/>
              <w:jc w:val="both"/>
              <w:rPr>
                <w:rFonts w:cs="Arial"/>
                <w:color w:val="0D0D0D" w:themeColor="text1" w:themeTint="F2"/>
                <w:spacing w:val="-4"/>
              </w:rPr>
            </w:pPr>
            <w:r>
              <w:rPr>
                <w:color w:val="000000" w:themeColor="text1"/>
                <w:spacing w:val="-4"/>
              </w:rPr>
              <w:t>Česko drželo na konci 1</w:t>
            </w:r>
            <w:r w:rsidR="004A5D4E">
              <w:rPr>
                <w:color w:val="000000" w:themeColor="text1"/>
                <w:spacing w:val="-4"/>
              </w:rPr>
              <w:t>. čtvrtlet</w:t>
            </w:r>
            <w:r>
              <w:rPr>
                <w:color w:val="000000" w:themeColor="text1"/>
                <w:spacing w:val="-4"/>
              </w:rPr>
              <w:t>í 2019 pozici čtvrtého relativně nejméně zadluženého státu EU. Výrazně příznivější pozice vykázaly přitom jen malé ekonomiky Estonska (8,1</w:t>
            </w:r>
            <w:r w:rsidR="00403F57">
              <w:rPr>
                <w:color w:val="000000" w:themeColor="text1"/>
                <w:spacing w:val="-4"/>
              </w:rPr>
              <w:t> %</w:t>
            </w:r>
            <w:r>
              <w:rPr>
                <w:color w:val="000000" w:themeColor="text1"/>
                <w:spacing w:val="-4"/>
              </w:rPr>
              <w:t>) a</w:t>
            </w:r>
            <w:r w:rsidRPr="00117474">
              <w:rPr>
                <w:color w:val="000000" w:themeColor="text1"/>
                <w:spacing w:val="-4"/>
              </w:rPr>
              <w:t> </w:t>
            </w:r>
            <w:r>
              <w:rPr>
                <w:color w:val="000000" w:themeColor="text1"/>
                <w:spacing w:val="-4"/>
              </w:rPr>
              <w:t>Lucemburska (21,3</w:t>
            </w:r>
            <w:r w:rsidR="00403F57">
              <w:rPr>
                <w:color w:val="000000" w:themeColor="text1"/>
                <w:spacing w:val="-4"/>
              </w:rPr>
              <w:t> %</w:t>
            </w:r>
            <w:r>
              <w:rPr>
                <w:color w:val="000000" w:themeColor="text1"/>
                <w:spacing w:val="-4"/>
              </w:rPr>
              <w:t>). Podobné úrovně zadlužení jako ČR dosahovalo dalších pět států. Zadluženost celé Unie činila 80,7</w:t>
            </w:r>
            <w:r w:rsidR="00403F57">
              <w:rPr>
                <w:color w:val="000000" w:themeColor="text1"/>
                <w:spacing w:val="-4"/>
              </w:rPr>
              <w:t> %</w:t>
            </w:r>
            <w:r>
              <w:rPr>
                <w:color w:val="000000" w:themeColor="text1"/>
                <w:spacing w:val="-4"/>
              </w:rPr>
              <w:t xml:space="preserve"> HDP </w:t>
            </w:r>
            <w:r w:rsidR="002F1B09">
              <w:rPr>
                <w:color w:val="000000" w:themeColor="text1"/>
                <w:spacing w:val="-4"/>
              </w:rPr>
              <w:t>a </w:t>
            </w:r>
            <w:r>
              <w:rPr>
                <w:color w:val="000000" w:themeColor="text1"/>
                <w:spacing w:val="-4"/>
              </w:rPr>
              <w:t>poprvé od počátku roku 2017 se mezikvartálně nesnížila. Malý pozitivní posun na úrovni celé Unie je výsledkem přetrvávající vysoké zadluženosti drtivé většiny významných ekonomik EU (vyjma Německa). Meziročně se mírně zvýšila zadluženost v pěti zemích EU, mj.</w:t>
            </w:r>
            <w:r w:rsidR="004E57BF">
              <w:rPr>
                <w:color w:val="000000" w:themeColor="text1"/>
                <w:spacing w:val="-4"/>
              </w:rPr>
              <w:t> </w:t>
            </w:r>
            <w:r>
              <w:rPr>
                <w:color w:val="000000" w:themeColor="text1"/>
                <w:spacing w:val="-4"/>
              </w:rPr>
              <w:t>v Itálii (na 134,0</w:t>
            </w:r>
            <w:r w:rsidR="00403F57">
              <w:rPr>
                <w:color w:val="000000" w:themeColor="text1"/>
                <w:spacing w:val="-4"/>
              </w:rPr>
              <w:t> %</w:t>
            </w:r>
            <w:r>
              <w:rPr>
                <w:color w:val="000000" w:themeColor="text1"/>
                <w:spacing w:val="-4"/>
              </w:rPr>
              <w:t>), Francii (99,7</w:t>
            </w:r>
            <w:r w:rsidR="00403F57">
              <w:rPr>
                <w:color w:val="000000" w:themeColor="text1"/>
                <w:spacing w:val="-4"/>
              </w:rPr>
              <w:t> %</w:t>
            </w:r>
            <w:r>
              <w:rPr>
                <w:color w:val="000000" w:themeColor="text1"/>
                <w:spacing w:val="-4"/>
              </w:rPr>
              <w:t>) a</w:t>
            </w:r>
            <w:r w:rsidRPr="00117474">
              <w:rPr>
                <w:color w:val="000000" w:themeColor="text1"/>
                <w:spacing w:val="-4"/>
              </w:rPr>
              <w:t> </w:t>
            </w:r>
            <w:r>
              <w:rPr>
                <w:color w:val="000000" w:themeColor="text1"/>
                <w:spacing w:val="-4"/>
              </w:rPr>
              <w:t>Řecku (181,9</w:t>
            </w:r>
            <w:r w:rsidR="00403F57">
              <w:rPr>
                <w:color w:val="000000" w:themeColor="text1"/>
                <w:spacing w:val="-4"/>
              </w:rPr>
              <w:t> %</w:t>
            </w:r>
            <w:r>
              <w:rPr>
                <w:color w:val="000000" w:themeColor="text1"/>
                <w:spacing w:val="-4"/>
              </w:rPr>
              <w:t xml:space="preserve">). </w:t>
            </w:r>
            <w:r>
              <w:rPr>
                <w:rFonts w:cs="Arial"/>
                <w:color w:val="0D0D0D" w:themeColor="text1" w:themeTint="F2"/>
                <w:spacing w:val="-4"/>
              </w:rPr>
              <w:t>Maastrichtské kritérium zadluženosti na úrovni 60</w:t>
            </w:r>
            <w:r w:rsidR="00403F57">
              <w:rPr>
                <w:rFonts w:cs="Arial"/>
                <w:color w:val="0D0D0D" w:themeColor="text1" w:themeTint="F2"/>
                <w:spacing w:val="-4"/>
              </w:rPr>
              <w:t> %</w:t>
            </w:r>
            <w:r>
              <w:rPr>
                <w:rFonts w:cs="Arial"/>
                <w:color w:val="0D0D0D" w:themeColor="text1" w:themeTint="F2"/>
                <w:spacing w:val="-4"/>
              </w:rPr>
              <w:t xml:space="preserve"> HDP splňovala na počátku roku pouze necelá polovina členů </w:t>
            </w:r>
            <w:r w:rsidR="004E57BF">
              <w:rPr>
                <w:rFonts w:cs="Arial"/>
                <w:color w:val="0D0D0D" w:themeColor="text1" w:themeTint="F2"/>
                <w:spacing w:val="-4"/>
              </w:rPr>
              <w:t>eurozóny</w:t>
            </w:r>
            <w:r>
              <w:rPr>
                <w:rFonts w:cs="Arial"/>
                <w:color w:val="0D0D0D" w:themeColor="text1" w:themeTint="F2"/>
                <w:spacing w:val="-4"/>
              </w:rPr>
              <w:t xml:space="preserve">, z větších ekonomik jen Nizozemsko. Přetrvávající hospodářský růst v Unii se pozitivněji projevil na saldu hospodaření sektoru vládních institucí. To dosáhlo (po očištění </w:t>
            </w:r>
            <w:r w:rsidR="002F1B09">
              <w:rPr>
                <w:rFonts w:cs="Arial"/>
                <w:color w:val="0D0D0D" w:themeColor="text1" w:themeTint="F2"/>
                <w:spacing w:val="-4"/>
              </w:rPr>
              <w:t>o </w:t>
            </w:r>
            <w:r>
              <w:rPr>
                <w:rFonts w:cs="Arial"/>
                <w:color w:val="0D0D0D" w:themeColor="text1" w:themeTint="F2"/>
                <w:spacing w:val="-4"/>
              </w:rPr>
              <w:t xml:space="preserve">sezónnost </w:t>
            </w:r>
            <w:r w:rsidR="002F1B09">
              <w:rPr>
                <w:rFonts w:cs="Arial"/>
                <w:color w:val="0D0D0D" w:themeColor="text1" w:themeTint="F2"/>
                <w:spacing w:val="-4"/>
              </w:rPr>
              <w:t>a </w:t>
            </w:r>
            <w:r>
              <w:rPr>
                <w:rFonts w:cs="Arial"/>
                <w:color w:val="0D0D0D" w:themeColor="text1" w:themeTint="F2"/>
                <w:spacing w:val="-4"/>
              </w:rPr>
              <w:t>kalendářní vlivy) v 1</w:t>
            </w:r>
            <w:r w:rsidR="004A5D4E">
              <w:rPr>
                <w:rFonts w:cs="Arial"/>
                <w:color w:val="0D0D0D" w:themeColor="text1" w:themeTint="F2"/>
                <w:spacing w:val="-4"/>
              </w:rPr>
              <w:t>. čtvrtlet</w:t>
            </w:r>
            <w:r>
              <w:rPr>
                <w:rFonts w:cs="Arial"/>
                <w:color w:val="0D0D0D" w:themeColor="text1" w:themeTint="F2"/>
                <w:spacing w:val="-4"/>
              </w:rPr>
              <w:t>í jen mělkého deficitu (0,6</w:t>
            </w:r>
            <w:r w:rsidR="00403F57">
              <w:rPr>
                <w:rFonts w:cs="Arial"/>
                <w:color w:val="0D0D0D" w:themeColor="text1" w:themeTint="F2"/>
                <w:spacing w:val="-4"/>
              </w:rPr>
              <w:t> %</w:t>
            </w:r>
            <w:r>
              <w:rPr>
                <w:rFonts w:cs="Arial"/>
                <w:color w:val="0D0D0D" w:themeColor="text1" w:themeTint="F2"/>
                <w:spacing w:val="-4"/>
              </w:rPr>
              <w:t xml:space="preserve"> HDP) </w:t>
            </w:r>
            <w:r w:rsidR="002F1B09">
              <w:rPr>
                <w:rFonts w:cs="Arial"/>
                <w:color w:val="0D0D0D" w:themeColor="text1" w:themeTint="F2"/>
                <w:spacing w:val="-4"/>
              </w:rPr>
              <w:t>a </w:t>
            </w:r>
            <w:r>
              <w:rPr>
                <w:rFonts w:cs="Arial"/>
                <w:color w:val="0D0D0D" w:themeColor="text1" w:themeTint="F2"/>
                <w:spacing w:val="-4"/>
              </w:rPr>
              <w:t>již druhým rokem v řadě se pohybovalo na úrovni konjunkturního vrcholu let 2007 až 200</w:t>
            </w:r>
            <w:r w:rsidR="004A5D4E">
              <w:rPr>
                <w:rFonts w:cs="Arial"/>
                <w:color w:val="0D0D0D" w:themeColor="text1" w:themeTint="F2"/>
                <w:spacing w:val="-4"/>
              </w:rPr>
              <w:t>8.</w:t>
            </w:r>
            <w:r w:rsidR="008A1C59">
              <w:rPr>
                <w:rFonts w:cs="Arial"/>
                <w:color w:val="0D0D0D" w:themeColor="text1" w:themeTint="F2"/>
                <w:spacing w:val="-4"/>
              </w:rPr>
              <w:t xml:space="preserve"> </w:t>
            </w:r>
            <w:r>
              <w:rPr>
                <w:rFonts w:cs="Arial"/>
                <w:color w:val="0D0D0D" w:themeColor="text1" w:themeTint="F2"/>
                <w:spacing w:val="-4"/>
              </w:rPr>
              <w:t>Přebytek vykázalo letos dvanáct unijních členů, deficit převyšující 3</w:t>
            </w:r>
            <w:r w:rsidR="00403F57">
              <w:rPr>
                <w:rFonts w:cs="Arial"/>
                <w:color w:val="0D0D0D" w:themeColor="text1" w:themeTint="F2"/>
                <w:spacing w:val="-4"/>
              </w:rPr>
              <w:t> %</w:t>
            </w:r>
            <w:r>
              <w:rPr>
                <w:rFonts w:cs="Arial"/>
                <w:color w:val="0D0D0D" w:themeColor="text1" w:themeTint="F2"/>
                <w:spacing w:val="-4"/>
              </w:rPr>
              <w:t xml:space="preserve"> HDP pět –</w:t>
            </w:r>
            <w:r w:rsidR="004E57BF">
              <w:rPr>
                <w:rFonts w:cs="Arial"/>
                <w:color w:val="0D0D0D" w:themeColor="text1" w:themeTint="F2"/>
                <w:spacing w:val="-4"/>
              </w:rPr>
              <w:t> </w:t>
            </w:r>
            <w:r>
              <w:rPr>
                <w:rFonts w:cs="Arial"/>
                <w:color w:val="0D0D0D" w:themeColor="text1" w:themeTint="F2"/>
                <w:spacing w:val="-4"/>
              </w:rPr>
              <w:t>podobně jako v </w:t>
            </w:r>
            <w:r w:rsidR="004A5D4E">
              <w:rPr>
                <w:rFonts w:cs="Arial"/>
                <w:color w:val="0D0D0D" w:themeColor="text1" w:themeTint="F2"/>
                <w:spacing w:val="-4"/>
              </w:rPr>
              <w:t>1. </w:t>
            </w:r>
            <w:r>
              <w:rPr>
                <w:rFonts w:cs="Arial"/>
                <w:color w:val="0D0D0D" w:themeColor="text1" w:themeTint="F2"/>
                <w:spacing w:val="-4"/>
              </w:rPr>
              <w:t xml:space="preserve">loňském čtvrtletí šlo </w:t>
            </w:r>
            <w:r w:rsidR="002F1B09">
              <w:rPr>
                <w:rFonts w:cs="Arial"/>
                <w:color w:val="0D0D0D" w:themeColor="text1" w:themeTint="F2"/>
                <w:spacing w:val="-4"/>
              </w:rPr>
              <w:t>o </w:t>
            </w:r>
            <w:r>
              <w:rPr>
                <w:rFonts w:cs="Arial"/>
                <w:color w:val="0D0D0D" w:themeColor="text1" w:themeTint="F2"/>
                <w:spacing w:val="-4"/>
              </w:rPr>
              <w:t xml:space="preserve">Itálii, Francii, Belgii </w:t>
            </w:r>
            <w:r w:rsidR="002F1B09">
              <w:rPr>
                <w:rFonts w:cs="Arial"/>
                <w:color w:val="0D0D0D" w:themeColor="text1" w:themeTint="F2"/>
                <w:spacing w:val="-4"/>
              </w:rPr>
              <w:t>a </w:t>
            </w:r>
            <w:r w:rsidR="00880A0E">
              <w:rPr>
                <w:rFonts w:cs="Arial"/>
                <w:color w:val="0D0D0D" w:themeColor="text1" w:themeTint="F2"/>
                <w:spacing w:val="-4"/>
              </w:rPr>
              <w:t>Rumunsko, k nim</w:t>
            </w:r>
            <w:r w:rsidR="002F1B09">
              <w:rPr>
                <w:rFonts w:cs="Arial"/>
                <w:color w:val="0D0D0D" w:themeColor="text1" w:themeTint="F2"/>
                <w:spacing w:val="-4"/>
              </w:rPr>
              <w:t> </w:t>
            </w:r>
            <w:r w:rsidR="00880A0E">
              <w:rPr>
                <w:rFonts w:cs="Arial"/>
                <w:color w:val="0D0D0D" w:themeColor="text1" w:themeTint="F2"/>
                <w:spacing w:val="-4"/>
              </w:rPr>
              <w:t>letos přibylo rovněž</w:t>
            </w:r>
            <w:r w:rsidR="002F1B09">
              <w:rPr>
                <w:rFonts w:cs="Arial"/>
                <w:color w:val="0D0D0D" w:themeColor="text1" w:themeTint="F2"/>
                <w:spacing w:val="-4"/>
              </w:rPr>
              <w:t> </w:t>
            </w:r>
            <w:r>
              <w:rPr>
                <w:rFonts w:cs="Arial"/>
                <w:color w:val="0D0D0D" w:themeColor="text1" w:themeTint="F2"/>
                <w:spacing w:val="-4"/>
              </w:rPr>
              <w:t>Řecko.</w:t>
            </w:r>
          </w:p>
        </w:tc>
      </w:tr>
    </w:tbl>
    <w:p w14:paraId="63ECF9C9" w14:textId="6FDDEDF7" w:rsidR="00A50D73" w:rsidRPr="009110F7" w:rsidRDefault="00A50D73" w:rsidP="00E1444C">
      <w:pPr>
        <w:rPr>
          <w:sz w:val="2"/>
          <w:szCs w:val="2"/>
        </w:rPr>
      </w:pPr>
    </w:p>
    <w:sectPr w:rsidR="00A50D73" w:rsidRPr="009110F7" w:rsidSect="00E90948">
      <w:headerReference w:type="even" r:id="rId11"/>
      <w:headerReference w:type="default" r:id="rId12"/>
      <w:footerReference w:type="even" r:id="rId13"/>
      <w:footerReference w:type="default" r:id="rId14"/>
      <w:pgSz w:w="11906" w:h="16838" w:code="9"/>
      <w:pgMar w:top="1134" w:right="1134" w:bottom="1418" w:left="1134" w:header="680" w:footer="737" w:gutter="0"/>
      <w:pgNumType w:start="27"/>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60E42" w16cid:durableId="211A8B45"/>
  <w16cid:commentId w16cid:paraId="0353E24E" w16cid:durableId="211BEE38"/>
  <w16cid:commentId w16cid:paraId="1C386A8F" w16cid:durableId="211A9076"/>
  <w16cid:commentId w16cid:paraId="2A0C002C" w16cid:durableId="211A973A"/>
  <w16cid:commentId w16cid:paraId="706065F0" w16cid:durableId="211A91DA"/>
  <w16cid:commentId w16cid:paraId="22EE5AE9" w16cid:durableId="211B6626"/>
  <w16cid:commentId w16cid:paraId="6884C1E2" w16cid:durableId="211B675E"/>
  <w16cid:commentId w16cid:paraId="6C0EBCAF" w16cid:durableId="211B7A37"/>
  <w16cid:commentId w16cid:paraId="2CEF0B27" w16cid:durableId="211B750B"/>
  <w16cid:commentId w16cid:paraId="3634956F" w16cid:durableId="211BCF1B"/>
  <w16cid:commentId w16cid:paraId="07C1F79B" w16cid:durableId="211BEA3A"/>
  <w16cid:commentId w16cid:paraId="0D4FABC8" w16cid:durableId="211CBB71"/>
  <w16cid:commentId w16cid:paraId="76EE34F0" w16cid:durableId="211CB0AE"/>
  <w16cid:commentId w16cid:paraId="3E708163" w16cid:durableId="211CB1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607F0" w14:textId="77777777" w:rsidR="00663908" w:rsidRDefault="00663908" w:rsidP="00E71A58">
      <w:r>
        <w:separator/>
      </w:r>
    </w:p>
  </w:endnote>
  <w:endnote w:type="continuationSeparator" w:id="0">
    <w:p w14:paraId="4CD06B44" w14:textId="77777777" w:rsidR="00663908" w:rsidRDefault="0066390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04B492BC" w:rsidR="00880A0E" w:rsidRPr="00932443" w:rsidRDefault="00880A0E"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E90948">
      <w:rPr>
        <w:szCs w:val="16"/>
      </w:rPr>
      <w:t>28</w:t>
    </w:r>
    <w:r w:rsidRPr="00932443">
      <w:rPr>
        <w:szCs w:val="16"/>
      </w:rPr>
      <w:fldChar w:fldCharType="end"/>
    </w:r>
    <w:r w:rsidRPr="00932443">
      <w:rPr>
        <w:szCs w:val="16"/>
      </w:rPr>
      <w:tab/>
    </w:r>
    <w:r>
      <w:rPr>
        <w:szCs w:val="16"/>
      </w:rPr>
      <w:t>1. pololetí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6A785072" w:rsidR="00880A0E" w:rsidRPr="00932443" w:rsidRDefault="00880A0E" w:rsidP="00FA6CB6">
    <w:pPr>
      <w:pStyle w:val="Zpat"/>
      <w:rPr>
        <w:szCs w:val="16"/>
      </w:rPr>
    </w:pPr>
    <w:r w:rsidRPr="00FA6CB6">
      <w:rPr>
        <w:szCs w:val="16"/>
      </w:rPr>
      <w:tab/>
      <w:t>1</w:t>
    </w:r>
    <w:r>
      <w:rPr>
        <w:szCs w:val="16"/>
      </w:rPr>
      <w:t>.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t>pololetí</w:t>
    </w:r>
    <w:r>
      <w:rPr>
        <w:szCs w:val="16"/>
      </w:rPr>
      <w:t xml:space="preserve"> 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E90948">
      <w:rPr>
        <w:rStyle w:val="ZpatChar"/>
        <w:szCs w:val="16"/>
      </w:rPr>
      <w:t>27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B240" w14:textId="77777777" w:rsidR="00663908" w:rsidRDefault="00663908" w:rsidP="00A21B4D">
      <w:pPr>
        <w:spacing w:after="0"/>
      </w:pPr>
      <w:r>
        <w:separator/>
      </w:r>
    </w:p>
  </w:footnote>
  <w:footnote w:type="continuationSeparator" w:id="0">
    <w:p w14:paraId="41E19DD6" w14:textId="77777777" w:rsidR="00663908" w:rsidRDefault="00663908" w:rsidP="00E71A58">
      <w:r>
        <w:continuationSeparator/>
      </w:r>
    </w:p>
  </w:footnote>
  <w:footnote w:id="1">
    <w:p w14:paraId="706C8698" w14:textId="7F5293FC" w:rsidR="00880A0E" w:rsidRPr="007F5302" w:rsidRDefault="00880A0E" w:rsidP="002F5285">
      <w:pPr>
        <w:pStyle w:val="Textpoznpodarou"/>
        <w:jc w:val="both"/>
        <w:rPr>
          <w:sz w:val="16"/>
          <w:szCs w:val="16"/>
        </w:rPr>
      </w:pPr>
      <w:r w:rsidRPr="007F5302">
        <w:rPr>
          <w:rStyle w:val="Znakapoznpodarou"/>
          <w:sz w:val="16"/>
          <w:szCs w:val="16"/>
        </w:rPr>
        <w:footnoteRef/>
      </w:r>
      <w:r w:rsidRPr="007F5302">
        <w:rPr>
          <w:sz w:val="16"/>
          <w:szCs w:val="16"/>
        </w:rPr>
        <w:t xml:space="preserve"> </w:t>
      </w:r>
      <w:r w:rsidRPr="007F5302">
        <w:rPr>
          <w:color w:val="0D0D0D" w:themeColor="text1" w:themeTint="F2"/>
          <w:sz w:val="16"/>
          <w:szCs w:val="16"/>
        </w:rPr>
        <w:t xml:space="preserve">Pokud není uvedeno jinak, vycházejí všechny údaje týkající se státního rozpočtu </w:t>
      </w:r>
      <w:r w:rsidRPr="007F5302">
        <w:rPr>
          <w:rFonts w:cs="Arial"/>
          <w:color w:val="0D0D0D" w:themeColor="text1" w:themeTint="F2"/>
          <w:sz w:val="16"/>
          <w:szCs w:val="16"/>
        </w:rPr>
        <w:t>z</w:t>
      </w:r>
      <w:r>
        <w:rPr>
          <w:rFonts w:cs="Arial"/>
          <w:color w:val="0D0D0D" w:themeColor="text1" w:themeTint="F2"/>
          <w:sz w:val="16"/>
          <w:szCs w:val="16"/>
        </w:rPr>
        <w:t> </w:t>
      </w:r>
      <w:r w:rsidRPr="007F5302">
        <w:rPr>
          <w:rFonts w:cs="Arial"/>
          <w:color w:val="0D0D0D" w:themeColor="text1" w:themeTint="F2"/>
          <w:sz w:val="16"/>
          <w:szCs w:val="16"/>
        </w:rPr>
        <w:t>dat Ministerstva financí o pokladním plnění.</w:t>
      </w:r>
    </w:p>
  </w:footnote>
  <w:footnote w:id="2">
    <w:p w14:paraId="79338F0C" w14:textId="2BCDEA7E" w:rsidR="00880A0E" w:rsidRPr="007F5302" w:rsidRDefault="00880A0E" w:rsidP="002F5285">
      <w:pPr>
        <w:pStyle w:val="Textpoznpodarou"/>
        <w:jc w:val="both"/>
        <w:rPr>
          <w:sz w:val="16"/>
          <w:szCs w:val="16"/>
        </w:rPr>
      </w:pPr>
      <w:r w:rsidRPr="007F5302">
        <w:rPr>
          <w:rStyle w:val="Znakapoznpodarou"/>
          <w:sz w:val="16"/>
          <w:szCs w:val="16"/>
        </w:rPr>
        <w:footnoteRef/>
      </w:r>
      <w:r w:rsidRPr="007F5302">
        <w:rPr>
          <w:sz w:val="16"/>
          <w:szCs w:val="16"/>
        </w:rPr>
        <w:t xml:space="preserve"> </w:t>
      </w:r>
      <w:r>
        <w:rPr>
          <w:sz w:val="16"/>
          <w:szCs w:val="16"/>
        </w:rPr>
        <w:t>Tyto příjmy zahrnují</w:t>
      </w:r>
      <w:r w:rsidRPr="007F5302">
        <w:rPr>
          <w:sz w:val="16"/>
          <w:szCs w:val="16"/>
        </w:rPr>
        <w:t xml:space="preserve"> i</w:t>
      </w:r>
      <w:r>
        <w:rPr>
          <w:sz w:val="16"/>
          <w:szCs w:val="16"/>
        </w:rPr>
        <w:t> </w:t>
      </w:r>
      <w:r w:rsidRPr="007F5302">
        <w:rPr>
          <w:sz w:val="16"/>
          <w:szCs w:val="16"/>
        </w:rPr>
        <w:t>příjmy z tzv.</w:t>
      </w:r>
      <w:r>
        <w:rPr>
          <w:sz w:val="16"/>
          <w:szCs w:val="16"/>
        </w:rPr>
        <w:t> </w:t>
      </w:r>
      <w:r w:rsidRPr="007F5302">
        <w:rPr>
          <w:sz w:val="16"/>
          <w:szCs w:val="16"/>
        </w:rPr>
        <w:t xml:space="preserve">finančních mechanismů </w:t>
      </w:r>
      <w:r w:rsidRPr="007F5302">
        <w:rPr>
          <w:rStyle w:val="Zdraznn"/>
          <w:color w:val="0D0D0D" w:themeColor="text1" w:themeTint="F2"/>
          <w:sz w:val="16"/>
          <w:szCs w:val="16"/>
        </w:rPr>
        <w:t>(EHP a</w:t>
      </w:r>
      <w:r>
        <w:rPr>
          <w:rStyle w:val="Zdraznn"/>
          <w:color w:val="0D0D0D" w:themeColor="text1" w:themeTint="F2"/>
          <w:sz w:val="16"/>
          <w:szCs w:val="16"/>
        </w:rPr>
        <w:t> </w:t>
      </w:r>
      <w:r w:rsidRPr="007F5302">
        <w:rPr>
          <w:rStyle w:val="Zdraznn"/>
          <w:color w:val="0D0D0D" w:themeColor="text1" w:themeTint="F2"/>
          <w:sz w:val="16"/>
          <w:szCs w:val="16"/>
        </w:rPr>
        <w:t>Norské fondy, Program švýcarsko</w:t>
      </w:r>
      <w:r>
        <w:rPr>
          <w:rStyle w:val="Zdraznn"/>
          <w:color w:val="0D0D0D" w:themeColor="text1" w:themeTint="F2"/>
          <w:sz w:val="16"/>
          <w:szCs w:val="16"/>
        </w:rPr>
        <w:noBreakHyphen/>
      </w:r>
      <w:r w:rsidRPr="007F5302">
        <w:rPr>
          <w:rStyle w:val="Zdraznn"/>
          <w:color w:val="0D0D0D" w:themeColor="text1" w:themeTint="F2"/>
          <w:sz w:val="16"/>
          <w:szCs w:val="16"/>
        </w:rPr>
        <w:t xml:space="preserve">české spolupráce). </w:t>
      </w:r>
      <w:r w:rsidRPr="007F5302">
        <w:rPr>
          <w:sz w:val="16"/>
          <w:szCs w:val="16"/>
        </w:rPr>
        <w:t>Jejich letošní pokles byl ovlivněn nestandardně vysokou loňskou základnou – v 1</w:t>
      </w:r>
      <w:r>
        <w:rPr>
          <w:sz w:val="16"/>
          <w:szCs w:val="16"/>
        </w:rPr>
        <w:t>. </w:t>
      </w:r>
      <w:r w:rsidRPr="007F5302">
        <w:rPr>
          <w:sz w:val="16"/>
          <w:szCs w:val="16"/>
        </w:rPr>
        <w:t>pololetí 2018 získal SR část závěrečných plateb vztahujících se k již skončenému programovému období 2007 až 2013 (ve výši 20,4 mld. korun).</w:t>
      </w:r>
    </w:p>
  </w:footnote>
  <w:footnote w:id="3">
    <w:p w14:paraId="3C73614F" w14:textId="766ED6E2" w:rsidR="00880A0E" w:rsidRPr="007F5302" w:rsidRDefault="00880A0E" w:rsidP="002F5285">
      <w:pPr>
        <w:pStyle w:val="Textpoznpodarou"/>
        <w:jc w:val="both"/>
        <w:rPr>
          <w:sz w:val="16"/>
          <w:szCs w:val="16"/>
        </w:rPr>
      </w:pPr>
      <w:r w:rsidRPr="007F5302">
        <w:rPr>
          <w:rStyle w:val="Znakapoznpodarou"/>
          <w:sz w:val="16"/>
          <w:szCs w:val="16"/>
        </w:rPr>
        <w:footnoteRef/>
      </w:r>
      <w:r w:rsidRPr="007F5302">
        <w:rPr>
          <w:sz w:val="16"/>
          <w:szCs w:val="16"/>
        </w:rPr>
        <w:t xml:space="preserve"> </w:t>
      </w:r>
      <w:r w:rsidRPr="007F5302">
        <w:rPr>
          <w:color w:val="0D0D0D" w:themeColor="text1" w:themeTint="F2"/>
          <w:sz w:val="16"/>
          <w:szCs w:val="16"/>
        </w:rPr>
        <w:t>V 1</w:t>
      </w:r>
      <w:r>
        <w:rPr>
          <w:color w:val="0D0D0D" w:themeColor="text1" w:themeTint="F2"/>
          <w:sz w:val="16"/>
          <w:szCs w:val="16"/>
        </w:rPr>
        <w:t>. čtvrtlet</w:t>
      </w:r>
      <w:r w:rsidRPr="007F5302">
        <w:rPr>
          <w:color w:val="0D0D0D" w:themeColor="text1" w:themeTint="F2"/>
          <w:sz w:val="16"/>
          <w:szCs w:val="16"/>
        </w:rPr>
        <w:t>í 2019 objem inkasa DPH meziročně stagnoval, ve 2</w:t>
      </w:r>
      <w:r>
        <w:rPr>
          <w:color w:val="0D0D0D" w:themeColor="text1" w:themeTint="F2"/>
          <w:sz w:val="16"/>
          <w:szCs w:val="16"/>
        </w:rPr>
        <w:t>. čtvrtlet</w:t>
      </w:r>
      <w:r w:rsidRPr="007F5302">
        <w:rPr>
          <w:color w:val="0D0D0D" w:themeColor="text1" w:themeTint="F2"/>
          <w:sz w:val="16"/>
          <w:szCs w:val="16"/>
        </w:rPr>
        <w:t>í rostl o</w:t>
      </w:r>
      <w:r>
        <w:rPr>
          <w:color w:val="0D0D0D" w:themeColor="text1" w:themeTint="F2"/>
          <w:sz w:val="16"/>
          <w:szCs w:val="16"/>
        </w:rPr>
        <w:t> </w:t>
      </w:r>
      <w:r w:rsidRPr="007F5302">
        <w:rPr>
          <w:color w:val="0D0D0D" w:themeColor="text1" w:themeTint="F2"/>
          <w:sz w:val="16"/>
          <w:szCs w:val="16"/>
        </w:rPr>
        <w:t>5,9</w:t>
      </w:r>
      <w:r>
        <w:rPr>
          <w:color w:val="0D0D0D" w:themeColor="text1" w:themeTint="F2"/>
          <w:sz w:val="16"/>
          <w:szCs w:val="16"/>
        </w:rPr>
        <w:t> %</w:t>
      </w:r>
      <w:r w:rsidRPr="007F5302">
        <w:rPr>
          <w:color w:val="0D0D0D" w:themeColor="text1" w:themeTint="F2"/>
          <w:sz w:val="16"/>
          <w:szCs w:val="16"/>
        </w:rPr>
        <w:t>. Slabší tempo na počátku roku zčásti souviselo i s meziročně nižším objemem finanční správou zadržovaných nadměrných odpočtů. Dynamizaci výběru DPH během letošního roku stvrdily i</w:t>
      </w:r>
      <w:r>
        <w:rPr>
          <w:color w:val="0D0D0D" w:themeColor="text1" w:themeTint="F2"/>
          <w:sz w:val="16"/>
          <w:szCs w:val="16"/>
        </w:rPr>
        <w:t> </w:t>
      </w:r>
      <w:r w:rsidRPr="007F5302">
        <w:rPr>
          <w:color w:val="0D0D0D" w:themeColor="text1" w:themeTint="F2"/>
          <w:sz w:val="16"/>
          <w:szCs w:val="16"/>
        </w:rPr>
        <w:t>dosud nejaktuálnější údaje –</w:t>
      </w:r>
      <w:r>
        <w:rPr>
          <w:color w:val="0D0D0D" w:themeColor="text1" w:themeTint="F2"/>
          <w:sz w:val="16"/>
          <w:szCs w:val="16"/>
        </w:rPr>
        <w:t> </w:t>
      </w:r>
      <w:r w:rsidRPr="007F5302">
        <w:rPr>
          <w:color w:val="0D0D0D" w:themeColor="text1" w:themeTint="F2"/>
          <w:sz w:val="16"/>
          <w:szCs w:val="16"/>
        </w:rPr>
        <w:t>v úhrnu za prvních osm měsíců posílilo inkaso DPH meziročně o</w:t>
      </w:r>
      <w:r>
        <w:rPr>
          <w:color w:val="0D0D0D" w:themeColor="text1" w:themeTint="F2"/>
          <w:sz w:val="16"/>
          <w:szCs w:val="16"/>
        </w:rPr>
        <w:t> </w:t>
      </w:r>
      <w:r w:rsidRPr="007F5302">
        <w:rPr>
          <w:color w:val="0D0D0D" w:themeColor="text1" w:themeTint="F2"/>
          <w:sz w:val="16"/>
          <w:szCs w:val="16"/>
        </w:rPr>
        <w:t>5,2</w:t>
      </w:r>
      <w:r>
        <w:rPr>
          <w:color w:val="0D0D0D" w:themeColor="text1" w:themeTint="F2"/>
          <w:sz w:val="16"/>
          <w:szCs w:val="16"/>
        </w:rPr>
        <w:t> %</w:t>
      </w:r>
      <w:r w:rsidRPr="007F5302">
        <w:rPr>
          <w:color w:val="0D0D0D" w:themeColor="text1" w:themeTint="F2"/>
          <w:sz w:val="16"/>
          <w:szCs w:val="16"/>
        </w:rPr>
        <w:t>.</w:t>
      </w:r>
    </w:p>
  </w:footnote>
  <w:footnote w:id="4">
    <w:p w14:paraId="3168E9CB" w14:textId="4108D42B" w:rsidR="00880A0E" w:rsidRPr="007F5302" w:rsidRDefault="00880A0E" w:rsidP="002F5285">
      <w:pPr>
        <w:pStyle w:val="Textpoznpodarou"/>
        <w:jc w:val="both"/>
        <w:rPr>
          <w:sz w:val="16"/>
          <w:szCs w:val="16"/>
        </w:rPr>
      </w:pPr>
      <w:r w:rsidRPr="007F5302">
        <w:rPr>
          <w:rStyle w:val="Znakapoznpodarou"/>
          <w:sz w:val="16"/>
          <w:szCs w:val="16"/>
        </w:rPr>
        <w:footnoteRef/>
      </w:r>
      <w:r w:rsidRPr="007F5302">
        <w:rPr>
          <w:sz w:val="16"/>
          <w:szCs w:val="16"/>
        </w:rPr>
        <w:t xml:space="preserve"> Obě hodnoty </w:t>
      </w:r>
      <w:r w:rsidRPr="007F5302">
        <w:rPr>
          <w:color w:val="0D0D0D" w:themeColor="text1" w:themeTint="F2"/>
          <w:sz w:val="16"/>
          <w:szCs w:val="16"/>
        </w:rPr>
        <w:t>vyjadřují meziroční tempo nominální sezónně neočištěné spotřeby za 1</w:t>
      </w:r>
      <w:r>
        <w:rPr>
          <w:color w:val="0D0D0D" w:themeColor="text1" w:themeTint="F2"/>
          <w:sz w:val="16"/>
          <w:szCs w:val="16"/>
        </w:rPr>
        <w:t>. </w:t>
      </w:r>
      <w:r w:rsidRPr="007F5302">
        <w:rPr>
          <w:color w:val="0D0D0D" w:themeColor="text1" w:themeTint="F2"/>
          <w:sz w:val="16"/>
          <w:szCs w:val="16"/>
        </w:rPr>
        <w:t>pololetí 2019.</w:t>
      </w:r>
    </w:p>
  </w:footnote>
  <w:footnote w:id="5">
    <w:p w14:paraId="20DDDF46" w14:textId="6BB42BBB" w:rsidR="00880A0E" w:rsidRDefault="00880A0E" w:rsidP="002F5285">
      <w:pPr>
        <w:pStyle w:val="Textpoznpodarou"/>
        <w:jc w:val="both"/>
      </w:pPr>
      <w:r w:rsidRPr="007F5302">
        <w:rPr>
          <w:rStyle w:val="Znakapoznpodarou"/>
          <w:sz w:val="16"/>
          <w:szCs w:val="16"/>
        </w:rPr>
        <w:footnoteRef/>
      </w:r>
      <w:r w:rsidRPr="007F5302">
        <w:rPr>
          <w:sz w:val="16"/>
          <w:szCs w:val="16"/>
        </w:rPr>
        <w:t xml:space="preserve"> To koresponduje i</w:t>
      </w:r>
      <w:r>
        <w:rPr>
          <w:sz w:val="16"/>
          <w:szCs w:val="16"/>
        </w:rPr>
        <w:t> </w:t>
      </w:r>
      <w:r w:rsidRPr="007F5302">
        <w:rPr>
          <w:sz w:val="16"/>
          <w:szCs w:val="16"/>
        </w:rPr>
        <w:t>s</w:t>
      </w:r>
      <w:r>
        <w:rPr>
          <w:sz w:val="16"/>
          <w:szCs w:val="16"/>
        </w:rPr>
        <w:t> </w:t>
      </w:r>
      <w:r w:rsidRPr="007F5302">
        <w:rPr>
          <w:sz w:val="16"/>
          <w:szCs w:val="16"/>
        </w:rPr>
        <w:t>podrobnějšími údaji ČSÚ o</w:t>
      </w:r>
      <w:r>
        <w:rPr>
          <w:sz w:val="16"/>
          <w:szCs w:val="16"/>
        </w:rPr>
        <w:t> </w:t>
      </w:r>
      <w:r w:rsidRPr="007F5302">
        <w:rPr>
          <w:sz w:val="16"/>
          <w:szCs w:val="16"/>
        </w:rPr>
        <w:t>naturální spotřebě ropných produktů. Během prvních pět</w:t>
      </w:r>
      <w:r>
        <w:rPr>
          <w:sz w:val="16"/>
          <w:szCs w:val="16"/>
        </w:rPr>
        <w:t>i</w:t>
      </w:r>
      <w:r w:rsidRPr="007F5302">
        <w:rPr>
          <w:sz w:val="16"/>
          <w:szCs w:val="16"/>
        </w:rPr>
        <w:t xml:space="preserve"> měsíců roku 2019 meziročně vzrostla spotřeba motorové nafty (+2,4 %) i</w:t>
      </w:r>
      <w:r>
        <w:rPr>
          <w:sz w:val="16"/>
          <w:szCs w:val="16"/>
        </w:rPr>
        <w:t> </w:t>
      </w:r>
      <w:r w:rsidRPr="007F5302">
        <w:rPr>
          <w:sz w:val="16"/>
          <w:szCs w:val="16"/>
        </w:rPr>
        <w:t>leteckého petroleje (+3,6</w:t>
      </w:r>
      <w:r>
        <w:rPr>
          <w:sz w:val="16"/>
          <w:szCs w:val="16"/>
        </w:rPr>
        <w:t> %</w:t>
      </w:r>
      <w:r w:rsidRPr="007F5302">
        <w:rPr>
          <w:sz w:val="16"/>
          <w:szCs w:val="16"/>
        </w:rPr>
        <w:t>), pokles nastal naopak u</w:t>
      </w:r>
      <w:r>
        <w:rPr>
          <w:sz w:val="16"/>
          <w:szCs w:val="16"/>
        </w:rPr>
        <w:t> </w:t>
      </w:r>
      <w:r w:rsidRPr="007F5302">
        <w:rPr>
          <w:sz w:val="16"/>
          <w:szCs w:val="16"/>
        </w:rPr>
        <w:t>motorového benz</w:t>
      </w:r>
      <w:r>
        <w:rPr>
          <w:sz w:val="16"/>
          <w:szCs w:val="16"/>
        </w:rPr>
        <w:t>i</w:t>
      </w:r>
      <w:r w:rsidRPr="007F5302">
        <w:rPr>
          <w:sz w:val="16"/>
          <w:szCs w:val="16"/>
        </w:rPr>
        <w:t>nu (–0,2 %).</w:t>
      </w:r>
    </w:p>
  </w:footnote>
  <w:footnote w:id="6">
    <w:p w14:paraId="7343A6C7" w14:textId="72803B94" w:rsidR="00880A0E" w:rsidRPr="003C770C" w:rsidRDefault="00880A0E" w:rsidP="002F5285">
      <w:pPr>
        <w:pStyle w:val="Textpoznpodarou"/>
        <w:jc w:val="both"/>
        <w:rPr>
          <w:spacing w:val="-2"/>
          <w:sz w:val="16"/>
          <w:szCs w:val="16"/>
        </w:rPr>
      </w:pPr>
      <w:r w:rsidRPr="003C770C">
        <w:rPr>
          <w:rStyle w:val="Znakapoznpodarou"/>
          <w:spacing w:val="-2"/>
          <w:sz w:val="16"/>
          <w:szCs w:val="16"/>
        </w:rPr>
        <w:footnoteRef/>
      </w:r>
      <w:r w:rsidRPr="003C770C">
        <w:rPr>
          <w:spacing w:val="-2"/>
          <w:sz w:val="16"/>
          <w:szCs w:val="16"/>
        </w:rPr>
        <w:t xml:space="preserve"> Za tímto vývojem stálo z velké části odlišné načasování povinných plate</w:t>
      </w:r>
      <w:r>
        <w:rPr>
          <w:spacing w:val="-2"/>
          <w:sz w:val="16"/>
          <w:szCs w:val="16"/>
        </w:rPr>
        <w:t>b ČR v rámci letošního roku, což</w:t>
      </w:r>
      <w:r w:rsidRPr="003C770C">
        <w:rPr>
          <w:spacing w:val="-2"/>
          <w:sz w:val="16"/>
          <w:szCs w:val="16"/>
        </w:rPr>
        <w:t xml:space="preserve"> souvisel</w:t>
      </w:r>
      <w:r>
        <w:rPr>
          <w:spacing w:val="-2"/>
          <w:sz w:val="16"/>
          <w:szCs w:val="16"/>
        </w:rPr>
        <w:t>o</w:t>
      </w:r>
      <w:r w:rsidRPr="003C770C">
        <w:rPr>
          <w:spacing w:val="-2"/>
          <w:sz w:val="16"/>
          <w:szCs w:val="16"/>
        </w:rPr>
        <w:t xml:space="preserve"> s připrav</w:t>
      </w:r>
      <w:r>
        <w:rPr>
          <w:spacing w:val="-2"/>
          <w:sz w:val="16"/>
          <w:szCs w:val="16"/>
        </w:rPr>
        <w:t>ovaným odchodem Velké Británie z</w:t>
      </w:r>
      <w:r w:rsidRPr="003C770C">
        <w:rPr>
          <w:spacing w:val="-2"/>
          <w:sz w:val="16"/>
          <w:szCs w:val="16"/>
        </w:rPr>
        <w:t> EU.</w:t>
      </w:r>
    </w:p>
  </w:footnote>
  <w:footnote w:id="7">
    <w:p w14:paraId="5A1E7C9C" w14:textId="75DCA47C" w:rsidR="00880A0E" w:rsidRPr="006D61C4" w:rsidRDefault="00880A0E" w:rsidP="002F5285">
      <w:pPr>
        <w:pStyle w:val="Textpoznpodarou"/>
        <w:jc w:val="both"/>
        <w:rPr>
          <w:sz w:val="16"/>
          <w:szCs w:val="16"/>
        </w:rPr>
      </w:pPr>
      <w:r w:rsidRPr="006D61C4">
        <w:rPr>
          <w:rStyle w:val="Znakapoznpodarou"/>
          <w:sz w:val="16"/>
          <w:szCs w:val="16"/>
        </w:rPr>
        <w:footnoteRef/>
      </w:r>
      <w:r w:rsidRPr="006D61C4">
        <w:rPr>
          <w:sz w:val="16"/>
          <w:szCs w:val="16"/>
        </w:rPr>
        <w:t xml:space="preserve"> </w:t>
      </w:r>
      <w:r w:rsidRPr="003C770C">
        <w:rPr>
          <w:color w:val="0D0D0D" w:themeColor="text1" w:themeTint="F2"/>
          <w:spacing w:val="-2"/>
          <w:sz w:val="16"/>
          <w:szCs w:val="16"/>
        </w:rPr>
        <w:t>Celkové výdaje (v</w:t>
      </w:r>
      <w:r>
        <w:rPr>
          <w:color w:val="0D0D0D" w:themeColor="text1" w:themeTint="F2"/>
          <w:spacing w:val="-2"/>
          <w:sz w:val="16"/>
          <w:szCs w:val="16"/>
        </w:rPr>
        <w:t>č. </w:t>
      </w:r>
      <w:r w:rsidRPr="003C770C">
        <w:rPr>
          <w:color w:val="0D0D0D" w:themeColor="text1" w:themeTint="F2"/>
          <w:spacing w:val="-2"/>
          <w:sz w:val="16"/>
          <w:szCs w:val="16"/>
        </w:rPr>
        <w:t xml:space="preserve">běžných) </w:t>
      </w:r>
      <w:r w:rsidRPr="003C770C">
        <w:rPr>
          <w:spacing w:val="-2"/>
          <w:sz w:val="16"/>
          <w:szCs w:val="16"/>
        </w:rPr>
        <w:t>na financování společných programů EU a</w:t>
      </w:r>
      <w:r>
        <w:rPr>
          <w:spacing w:val="-2"/>
          <w:sz w:val="16"/>
          <w:szCs w:val="16"/>
        </w:rPr>
        <w:t> </w:t>
      </w:r>
      <w:r w:rsidRPr="003C770C">
        <w:rPr>
          <w:spacing w:val="-2"/>
          <w:sz w:val="16"/>
          <w:szCs w:val="16"/>
        </w:rPr>
        <w:t>ČR v 1</w:t>
      </w:r>
      <w:r>
        <w:rPr>
          <w:spacing w:val="-2"/>
          <w:sz w:val="16"/>
          <w:szCs w:val="16"/>
        </w:rPr>
        <w:t>. </w:t>
      </w:r>
      <w:r w:rsidR="00D322A0">
        <w:rPr>
          <w:spacing w:val="-2"/>
          <w:sz w:val="16"/>
          <w:szCs w:val="16"/>
        </w:rPr>
        <w:t>pololetí činily 65,8 mld. korun</w:t>
      </w:r>
      <w:r w:rsidRPr="003C770C">
        <w:rPr>
          <w:spacing w:val="-2"/>
          <w:sz w:val="16"/>
          <w:szCs w:val="16"/>
        </w:rPr>
        <w:t>, meziročně o 15,2 mld.</w:t>
      </w:r>
      <w:r w:rsidR="00D322A0">
        <w:rPr>
          <w:spacing w:val="-2"/>
          <w:sz w:val="16"/>
          <w:szCs w:val="16"/>
        </w:rPr>
        <w:t xml:space="preserve"> korun</w:t>
      </w:r>
      <w:r w:rsidRPr="003C770C">
        <w:rPr>
          <w:spacing w:val="-2"/>
          <w:sz w:val="16"/>
          <w:szCs w:val="16"/>
        </w:rPr>
        <w:t xml:space="preserve"> více.</w:t>
      </w:r>
    </w:p>
  </w:footnote>
  <w:footnote w:id="8">
    <w:p w14:paraId="47AC6CB9" w14:textId="613301C8" w:rsidR="00880A0E" w:rsidRPr="006D61C4" w:rsidRDefault="00880A0E" w:rsidP="002F5285">
      <w:pPr>
        <w:pStyle w:val="Textpoznpodarou"/>
        <w:jc w:val="both"/>
        <w:rPr>
          <w:sz w:val="16"/>
          <w:szCs w:val="16"/>
        </w:rPr>
      </w:pPr>
      <w:r w:rsidRPr="006D61C4">
        <w:rPr>
          <w:rStyle w:val="Znakapoznpodarou"/>
          <w:sz w:val="16"/>
          <w:szCs w:val="16"/>
        </w:rPr>
        <w:footnoteRef/>
      </w:r>
      <w:r w:rsidRPr="006D61C4">
        <w:rPr>
          <w:sz w:val="16"/>
          <w:szCs w:val="16"/>
        </w:rPr>
        <w:t xml:space="preserve"> </w:t>
      </w:r>
      <w:r>
        <w:rPr>
          <w:color w:val="0D0D0D" w:themeColor="text1" w:themeTint="F2"/>
          <w:spacing w:val="-2"/>
          <w:sz w:val="16"/>
          <w:szCs w:val="16"/>
        </w:rPr>
        <w:t>Jednalo se o </w:t>
      </w:r>
      <w:r w:rsidRPr="008274EF">
        <w:rPr>
          <w:color w:val="0D0D0D" w:themeColor="text1" w:themeTint="F2"/>
          <w:spacing w:val="-2"/>
          <w:sz w:val="16"/>
          <w:szCs w:val="16"/>
        </w:rPr>
        <w:t>zvýšení základní výměry důchodu z</w:t>
      </w:r>
      <w:r>
        <w:rPr>
          <w:color w:val="0D0D0D" w:themeColor="text1" w:themeTint="F2"/>
          <w:spacing w:val="-2"/>
          <w:sz w:val="16"/>
          <w:szCs w:val="16"/>
        </w:rPr>
        <w:t> </w:t>
      </w:r>
      <w:r w:rsidRPr="008274EF">
        <w:rPr>
          <w:color w:val="0D0D0D" w:themeColor="text1" w:themeTint="F2"/>
          <w:spacing w:val="-2"/>
          <w:sz w:val="16"/>
          <w:szCs w:val="16"/>
        </w:rPr>
        <w:t>9 % na 10 % průměrné mzdy</w:t>
      </w:r>
      <w:r w:rsidR="00D322A0">
        <w:rPr>
          <w:color w:val="0D0D0D" w:themeColor="text1" w:themeTint="F2"/>
          <w:spacing w:val="-2"/>
          <w:sz w:val="16"/>
          <w:szCs w:val="16"/>
        </w:rPr>
        <w:t xml:space="preserve">, </w:t>
      </w:r>
      <w:r w:rsidRPr="008274EF">
        <w:rPr>
          <w:color w:val="0D0D0D" w:themeColor="text1" w:themeTint="F2"/>
          <w:spacing w:val="-2"/>
          <w:sz w:val="16"/>
          <w:szCs w:val="16"/>
        </w:rPr>
        <w:t>procentní výměry důchodů o</w:t>
      </w:r>
      <w:r w:rsidR="00D322A0">
        <w:rPr>
          <w:color w:val="0D0D0D" w:themeColor="text1" w:themeTint="F2"/>
          <w:spacing w:val="-2"/>
          <w:sz w:val="16"/>
          <w:szCs w:val="16"/>
        </w:rPr>
        <w:t xml:space="preserve"> 3,4 % a dále o zvýšení o</w:t>
      </w:r>
      <w:r>
        <w:rPr>
          <w:color w:val="0D0D0D" w:themeColor="text1" w:themeTint="F2"/>
          <w:spacing w:val="-2"/>
          <w:sz w:val="16"/>
          <w:szCs w:val="16"/>
        </w:rPr>
        <w:t> </w:t>
      </w:r>
      <w:r w:rsidR="00D322A0">
        <w:rPr>
          <w:color w:val="0D0D0D" w:themeColor="text1" w:themeTint="F2"/>
          <w:spacing w:val="-2"/>
          <w:sz w:val="16"/>
          <w:szCs w:val="16"/>
        </w:rPr>
        <w:t>1 000</w:t>
      </w:r>
      <w:r w:rsidR="00D322A0" w:rsidRPr="003C770C">
        <w:rPr>
          <w:spacing w:val="-2"/>
          <w:sz w:val="16"/>
          <w:szCs w:val="16"/>
        </w:rPr>
        <w:t> </w:t>
      </w:r>
      <w:r w:rsidR="00D322A0">
        <w:rPr>
          <w:color w:val="0D0D0D" w:themeColor="text1" w:themeTint="F2"/>
          <w:spacing w:val="-2"/>
          <w:sz w:val="16"/>
          <w:szCs w:val="16"/>
        </w:rPr>
        <w:t xml:space="preserve">korun </w:t>
      </w:r>
      <w:r w:rsidRPr="008274EF">
        <w:rPr>
          <w:color w:val="0D0D0D" w:themeColor="text1" w:themeTint="F2"/>
          <w:spacing w:val="-2"/>
          <w:sz w:val="16"/>
          <w:szCs w:val="16"/>
        </w:rPr>
        <w:t>u</w:t>
      </w:r>
      <w:r>
        <w:rPr>
          <w:color w:val="0D0D0D" w:themeColor="text1" w:themeTint="F2"/>
          <w:spacing w:val="-2"/>
          <w:sz w:val="16"/>
          <w:szCs w:val="16"/>
        </w:rPr>
        <w:t> </w:t>
      </w:r>
      <w:r w:rsidR="00D322A0">
        <w:rPr>
          <w:color w:val="0D0D0D" w:themeColor="text1" w:themeTint="F2"/>
          <w:spacing w:val="-2"/>
          <w:sz w:val="16"/>
          <w:szCs w:val="16"/>
        </w:rPr>
        <w:t>příjemců důchodů, kteří dosáhnou věku</w:t>
      </w:r>
      <w:r w:rsidRPr="008274EF">
        <w:rPr>
          <w:color w:val="0D0D0D" w:themeColor="text1" w:themeTint="F2"/>
          <w:spacing w:val="-2"/>
          <w:sz w:val="16"/>
          <w:szCs w:val="16"/>
        </w:rPr>
        <w:t xml:space="preserve"> 85</w:t>
      </w:r>
      <w:r>
        <w:rPr>
          <w:color w:val="0D0D0D" w:themeColor="text1" w:themeTint="F2"/>
          <w:spacing w:val="-2"/>
          <w:sz w:val="16"/>
          <w:szCs w:val="16"/>
        </w:rPr>
        <w:t> </w:t>
      </w:r>
      <w:r w:rsidRPr="008274EF">
        <w:rPr>
          <w:color w:val="0D0D0D" w:themeColor="text1" w:themeTint="F2"/>
          <w:spacing w:val="-2"/>
          <w:sz w:val="16"/>
          <w:szCs w:val="16"/>
        </w:rPr>
        <w:t>let.</w:t>
      </w:r>
      <w:r>
        <w:rPr>
          <w:color w:val="0D0D0D" w:themeColor="text1" w:themeTint="F2"/>
          <w:spacing w:val="-2"/>
          <w:sz w:val="16"/>
          <w:szCs w:val="16"/>
        </w:rPr>
        <w:t xml:space="preserve"> Dále je v</w:t>
      </w:r>
      <w:r w:rsidRPr="00257340">
        <w:rPr>
          <w:color w:val="0D0D0D" w:themeColor="text1" w:themeTint="F2"/>
          <w:spacing w:val="-2"/>
          <w:sz w:val="16"/>
          <w:szCs w:val="16"/>
        </w:rPr>
        <w:t>e valorizačním mechanismu od roku 2018 plně reflektován vliv růstu spotřebitelských cen (ev.</w:t>
      </w:r>
      <w:r>
        <w:rPr>
          <w:color w:val="0D0D0D" w:themeColor="text1" w:themeTint="F2"/>
          <w:spacing w:val="-2"/>
          <w:sz w:val="16"/>
          <w:szCs w:val="16"/>
        </w:rPr>
        <w:t> </w:t>
      </w:r>
      <w:r w:rsidRPr="00257340">
        <w:rPr>
          <w:color w:val="0D0D0D" w:themeColor="text1" w:themeTint="F2"/>
          <w:spacing w:val="-2"/>
          <w:sz w:val="16"/>
          <w:szCs w:val="16"/>
        </w:rPr>
        <w:t>růstu životních nákladů důchodců) a</w:t>
      </w:r>
      <w:r>
        <w:rPr>
          <w:color w:val="0D0D0D" w:themeColor="text1" w:themeTint="F2"/>
          <w:spacing w:val="-2"/>
          <w:sz w:val="16"/>
          <w:szCs w:val="16"/>
        </w:rPr>
        <w:t> </w:t>
      </w:r>
      <w:r w:rsidRPr="00257340">
        <w:rPr>
          <w:color w:val="0D0D0D" w:themeColor="text1" w:themeTint="F2"/>
          <w:spacing w:val="-2"/>
          <w:sz w:val="16"/>
          <w:szCs w:val="16"/>
        </w:rPr>
        <w:t xml:space="preserve">je zohledněna </w:t>
      </w:r>
      <w:r>
        <w:rPr>
          <w:color w:val="0D0D0D" w:themeColor="text1" w:themeTint="F2"/>
          <w:spacing w:val="-2"/>
          <w:sz w:val="16"/>
          <w:szCs w:val="16"/>
        </w:rPr>
        <w:t>i </w:t>
      </w:r>
      <w:r w:rsidR="00612756">
        <w:rPr>
          <w:color w:val="0D0D0D" w:themeColor="text1" w:themeTint="F2"/>
          <w:spacing w:val="-2"/>
          <w:sz w:val="16"/>
          <w:szCs w:val="16"/>
        </w:rPr>
        <w:t>polovina růstu reálných mezd v ekonomice.</w:t>
      </w:r>
    </w:p>
  </w:footnote>
  <w:footnote w:id="9">
    <w:p w14:paraId="3CD3DBB6" w14:textId="62459CB6" w:rsidR="00880A0E" w:rsidRPr="006D61C4" w:rsidRDefault="00880A0E" w:rsidP="002F5285">
      <w:pPr>
        <w:pStyle w:val="Textpoznpodarou"/>
        <w:jc w:val="both"/>
        <w:rPr>
          <w:sz w:val="16"/>
          <w:szCs w:val="16"/>
        </w:rPr>
      </w:pPr>
      <w:r w:rsidRPr="006D61C4">
        <w:rPr>
          <w:rStyle w:val="Znakapoznpodarou"/>
          <w:sz w:val="16"/>
          <w:szCs w:val="16"/>
        </w:rPr>
        <w:footnoteRef/>
      </w:r>
      <w:r>
        <w:rPr>
          <w:sz w:val="16"/>
          <w:szCs w:val="16"/>
        </w:rPr>
        <w:t xml:space="preserve"> Tempo meziročního růstu vybraného pojistného na důchody letos poprvé po pěti předchozích letech zvolnilo. V 1. pololetí 2018 dosahovalo rekordních 10,7 %. Tento vývoj </w:t>
      </w:r>
      <w:r w:rsidRPr="00AE4D3A">
        <w:rPr>
          <w:sz w:val="16"/>
          <w:szCs w:val="16"/>
        </w:rPr>
        <w:t>korespondoval s</w:t>
      </w:r>
      <w:r>
        <w:rPr>
          <w:sz w:val="16"/>
          <w:szCs w:val="16"/>
        </w:rPr>
        <w:t> </w:t>
      </w:r>
      <w:r w:rsidRPr="00AE4D3A">
        <w:rPr>
          <w:sz w:val="16"/>
          <w:szCs w:val="16"/>
        </w:rPr>
        <w:t>mírným zpomalením růstu zaměstnanosti v</w:t>
      </w:r>
      <w:r>
        <w:rPr>
          <w:sz w:val="16"/>
          <w:szCs w:val="16"/>
        </w:rPr>
        <w:t> </w:t>
      </w:r>
      <w:r w:rsidRPr="00AE4D3A">
        <w:rPr>
          <w:sz w:val="16"/>
          <w:szCs w:val="16"/>
        </w:rPr>
        <w:t>ekonomice i</w:t>
      </w:r>
      <w:r>
        <w:rPr>
          <w:sz w:val="16"/>
          <w:szCs w:val="16"/>
        </w:rPr>
        <w:t> </w:t>
      </w:r>
      <w:r w:rsidRPr="00AE4D3A">
        <w:rPr>
          <w:sz w:val="16"/>
          <w:szCs w:val="16"/>
        </w:rPr>
        <w:t>s pravděpodobným dos</w:t>
      </w:r>
      <w:r>
        <w:rPr>
          <w:sz w:val="16"/>
          <w:szCs w:val="16"/>
        </w:rPr>
        <w:t>ažením vrcholu</w:t>
      </w:r>
      <w:r w:rsidRPr="00AE4D3A">
        <w:rPr>
          <w:sz w:val="16"/>
          <w:szCs w:val="16"/>
        </w:rPr>
        <w:t xml:space="preserve"> dynamiky průměrných mezd v loňském roce.</w:t>
      </w:r>
    </w:p>
  </w:footnote>
  <w:footnote w:id="10">
    <w:p w14:paraId="26A09B2D" w14:textId="64EA13C0" w:rsidR="00880A0E" w:rsidRDefault="00880A0E" w:rsidP="002F5285">
      <w:pPr>
        <w:pStyle w:val="Textpoznpodarou"/>
        <w:jc w:val="both"/>
      </w:pPr>
      <w:r w:rsidRPr="000315DB">
        <w:rPr>
          <w:rStyle w:val="Znakapoznpodarou"/>
          <w:sz w:val="16"/>
          <w:szCs w:val="16"/>
        </w:rPr>
        <w:footnoteRef/>
      </w:r>
      <w:r w:rsidRPr="000315DB">
        <w:rPr>
          <w:sz w:val="16"/>
          <w:szCs w:val="16"/>
        </w:rPr>
        <w:t xml:space="preserve"> Je vyjádřeno jako </w:t>
      </w:r>
      <w:r w:rsidRPr="000315DB">
        <w:rPr>
          <w:rFonts w:cs="Arial"/>
          <w:color w:val="000000" w:themeColor="text1"/>
          <w:spacing w:val="-4"/>
          <w:sz w:val="16"/>
          <w:szCs w:val="16"/>
        </w:rPr>
        <w:t>rozdíl mezi příjmy a</w:t>
      </w:r>
      <w:r>
        <w:rPr>
          <w:rFonts w:cs="Arial"/>
          <w:color w:val="000000" w:themeColor="text1"/>
          <w:spacing w:val="-4"/>
          <w:sz w:val="16"/>
          <w:szCs w:val="16"/>
        </w:rPr>
        <w:t> </w:t>
      </w:r>
      <w:r w:rsidRPr="000315DB">
        <w:rPr>
          <w:rFonts w:cs="Arial"/>
          <w:color w:val="000000" w:themeColor="text1"/>
          <w:spacing w:val="-4"/>
          <w:sz w:val="16"/>
          <w:szCs w:val="16"/>
        </w:rPr>
        <w:t>výdaji na</w:t>
      </w:r>
      <w:r>
        <w:rPr>
          <w:rFonts w:cs="Arial"/>
          <w:color w:val="000000" w:themeColor="text1"/>
          <w:spacing w:val="-4"/>
          <w:sz w:val="16"/>
          <w:szCs w:val="16"/>
        </w:rPr>
        <w:t xml:space="preserve"> důchody ze SR</w:t>
      </w:r>
      <w:r w:rsidRPr="000315DB">
        <w:rPr>
          <w:rFonts w:cs="Arial"/>
          <w:color w:val="000000" w:themeColor="text1"/>
          <w:spacing w:val="-4"/>
          <w:sz w:val="16"/>
          <w:szCs w:val="16"/>
        </w:rPr>
        <w:t>.</w:t>
      </w:r>
      <w:r>
        <w:rPr>
          <w:rFonts w:cs="Arial"/>
          <w:color w:val="000000" w:themeColor="text1"/>
          <w:spacing w:val="-4"/>
          <w:sz w:val="16"/>
          <w:szCs w:val="16"/>
        </w:rPr>
        <w:t xml:space="preserve"> Nejsou zahrnuty výdaje na správu systému důchodového pojištění (ty za celý rok 2018 dosáhly dle údajů MF výše 6,4 mld. korun).</w:t>
      </w:r>
    </w:p>
  </w:footnote>
  <w:footnote w:id="11">
    <w:p w14:paraId="327508BA" w14:textId="5195AF43" w:rsidR="00880A0E" w:rsidRDefault="00880A0E" w:rsidP="002F5285">
      <w:pPr>
        <w:pStyle w:val="Textpoznpodarou"/>
        <w:jc w:val="both"/>
      </w:pPr>
      <w:r w:rsidRPr="000315DB">
        <w:rPr>
          <w:rStyle w:val="Znakapoznpodarou"/>
          <w:sz w:val="16"/>
          <w:szCs w:val="16"/>
        </w:rPr>
        <w:footnoteRef/>
      </w:r>
      <w:r>
        <w:rPr>
          <w:sz w:val="16"/>
          <w:szCs w:val="16"/>
        </w:rPr>
        <w:t xml:space="preserve"> Stál za tím pokračující růst dočasné pracovní neschopnosti (dle údajů MPSV vzrostl v 1. pololetí počet proplacených dnů nemocenské o 6,7 %). Zvyšoval se i denní vyměřovací základ této dávky (odvozené mj. od výše předchozích výdělků). Růst objemu vyplacených nemocenských dávek byl ovlivněn i vyšším čerpáním peněžité pomoci v mateřství (+7,5 %).</w:t>
      </w:r>
    </w:p>
  </w:footnote>
  <w:footnote w:id="12">
    <w:p w14:paraId="4EDC91F9" w14:textId="06B25FC5" w:rsidR="00880A0E" w:rsidRDefault="00880A0E" w:rsidP="002F5285">
      <w:pPr>
        <w:pStyle w:val="Textpoznpodarou"/>
        <w:jc w:val="both"/>
      </w:pPr>
      <w:r w:rsidRPr="000315DB">
        <w:rPr>
          <w:rStyle w:val="Znakapoznpodarou"/>
          <w:sz w:val="16"/>
          <w:szCs w:val="16"/>
        </w:rPr>
        <w:footnoteRef/>
      </w:r>
      <w:r>
        <w:rPr>
          <w:sz w:val="16"/>
          <w:szCs w:val="16"/>
        </w:rPr>
        <w:t xml:space="preserve"> Na konci června 2019 mělo nárok na pobírání podpory v nezaměstnanosti 34,7 % všech registrovaných uchazečů o práci, o rok dříve 29,7 %. V červnu 2019 činila průměrná měsíční výše dávky 8 011 korun, ve stejném období loňského roku 7 382 korun.</w:t>
      </w:r>
    </w:p>
  </w:footnote>
  <w:footnote w:id="13">
    <w:p w14:paraId="4F340188" w14:textId="41524A44" w:rsidR="00880A0E" w:rsidRPr="00117474" w:rsidRDefault="00880A0E" w:rsidP="00C401A9">
      <w:pPr>
        <w:pStyle w:val="Textpoznpodarou"/>
        <w:rPr>
          <w:spacing w:val="-4"/>
          <w:sz w:val="16"/>
          <w:szCs w:val="16"/>
        </w:rPr>
      </w:pPr>
      <w:r w:rsidRPr="00117474">
        <w:rPr>
          <w:rStyle w:val="Znakapoznpodarou"/>
          <w:spacing w:val="-4"/>
          <w:sz w:val="16"/>
          <w:szCs w:val="16"/>
        </w:rPr>
        <w:footnoteRef/>
      </w:r>
      <w:r w:rsidRPr="00117474">
        <w:rPr>
          <w:spacing w:val="-4"/>
          <w:sz w:val="16"/>
          <w:szCs w:val="16"/>
        </w:rPr>
        <w:t xml:space="preserve"> Předběžné </w:t>
      </w:r>
      <w:r w:rsidRPr="00117474">
        <w:rPr>
          <w:color w:val="0D0D0D" w:themeColor="text1" w:themeTint="F2"/>
          <w:spacing w:val="-4"/>
          <w:sz w:val="16"/>
          <w:szCs w:val="16"/>
        </w:rPr>
        <w:t>údaje o</w:t>
      </w:r>
      <w:r>
        <w:rPr>
          <w:color w:val="0D0D0D" w:themeColor="text1" w:themeTint="F2"/>
          <w:spacing w:val="-4"/>
          <w:sz w:val="16"/>
          <w:szCs w:val="16"/>
        </w:rPr>
        <w:t> </w:t>
      </w:r>
      <w:r w:rsidRPr="00117474">
        <w:rPr>
          <w:color w:val="0D0D0D" w:themeColor="text1" w:themeTint="F2"/>
          <w:spacing w:val="-4"/>
          <w:sz w:val="16"/>
          <w:szCs w:val="16"/>
        </w:rPr>
        <w:t>dluhu a</w:t>
      </w:r>
      <w:r>
        <w:rPr>
          <w:color w:val="0D0D0D" w:themeColor="text1" w:themeTint="F2"/>
          <w:spacing w:val="-4"/>
          <w:sz w:val="16"/>
          <w:szCs w:val="16"/>
        </w:rPr>
        <w:t> </w:t>
      </w:r>
      <w:r w:rsidRPr="00117474">
        <w:rPr>
          <w:color w:val="0D0D0D" w:themeColor="text1" w:themeTint="F2"/>
          <w:spacing w:val="-4"/>
          <w:sz w:val="16"/>
          <w:szCs w:val="16"/>
        </w:rPr>
        <w:t>deficitu</w:t>
      </w:r>
      <w:r>
        <w:rPr>
          <w:color w:val="0D0D0D" w:themeColor="text1" w:themeTint="F2"/>
          <w:spacing w:val="-4"/>
          <w:sz w:val="16"/>
          <w:szCs w:val="16"/>
        </w:rPr>
        <w:t xml:space="preserve"> sektoru vládních institucí za 2. čtvrtletí 2019 zveřejní ČSÚ 2. října 2019, Eurostat pak 22. října 2019.</w:t>
      </w:r>
    </w:p>
  </w:footnote>
  <w:footnote w:id="14">
    <w:p w14:paraId="192B9E51" w14:textId="5AEFEC8A" w:rsidR="00880A0E" w:rsidRPr="00172A59" w:rsidRDefault="00880A0E" w:rsidP="002F5285">
      <w:pPr>
        <w:pStyle w:val="Textpoznpodarou"/>
        <w:jc w:val="both"/>
        <w:rPr>
          <w:color w:val="000000" w:themeColor="text1"/>
          <w:spacing w:val="-4"/>
          <w:sz w:val="16"/>
          <w:szCs w:val="16"/>
        </w:rPr>
      </w:pPr>
      <w:r w:rsidRPr="00172A59">
        <w:rPr>
          <w:rStyle w:val="Znakapoznpodarou"/>
          <w:sz w:val="16"/>
          <w:szCs w:val="16"/>
        </w:rPr>
        <w:footnoteRef/>
      </w:r>
      <w:r w:rsidRPr="00172A59">
        <w:rPr>
          <w:sz w:val="16"/>
          <w:szCs w:val="16"/>
        </w:rPr>
        <w:t xml:space="preserve"> </w:t>
      </w:r>
      <w:r w:rsidRPr="00172A59">
        <w:rPr>
          <w:color w:val="000000" w:themeColor="text1"/>
          <w:spacing w:val="-4"/>
          <w:sz w:val="16"/>
          <w:szCs w:val="16"/>
        </w:rPr>
        <w:t>S</w:t>
      </w:r>
      <w:r w:rsidRPr="00172A59">
        <w:rPr>
          <w:color w:val="0D0D0D" w:themeColor="text1" w:themeTint="F2"/>
          <w:spacing w:val="-4"/>
          <w:sz w:val="16"/>
          <w:szCs w:val="16"/>
        </w:rPr>
        <w:t>aldo hospodaření vládních institucí po očištění o</w:t>
      </w:r>
      <w:r>
        <w:rPr>
          <w:color w:val="0D0D0D" w:themeColor="text1" w:themeTint="F2"/>
          <w:spacing w:val="-4"/>
          <w:sz w:val="16"/>
          <w:szCs w:val="16"/>
        </w:rPr>
        <w:t> </w:t>
      </w:r>
      <w:r w:rsidRPr="00172A59">
        <w:rPr>
          <w:color w:val="0D0D0D" w:themeColor="text1" w:themeTint="F2"/>
          <w:spacing w:val="-4"/>
          <w:sz w:val="16"/>
          <w:szCs w:val="16"/>
        </w:rPr>
        <w:t>sezónní a</w:t>
      </w:r>
      <w:r>
        <w:rPr>
          <w:color w:val="0D0D0D" w:themeColor="text1" w:themeTint="F2"/>
          <w:spacing w:val="-4"/>
          <w:sz w:val="16"/>
          <w:szCs w:val="16"/>
        </w:rPr>
        <w:t> </w:t>
      </w:r>
      <w:r w:rsidRPr="00172A59">
        <w:rPr>
          <w:color w:val="0D0D0D" w:themeColor="text1" w:themeTint="F2"/>
          <w:spacing w:val="-4"/>
          <w:sz w:val="16"/>
          <w:szCs w:val="16"/>
        </w:rPr>
        <w:t xml:space="preserve">kalendářní vlivy skončilo </w:t>
      </w:r>
      <w:r>
        <w:rPr>
          <w:color w:val="0D0D0D" w:themeColor="text1" w:themeTint="F2"/>
          <w:spacing w:val="-4"/>
          <w:sz w:val="16"/>
          <w:szCs w:val="16"/>
        </w:rPr>
        <w:t xml:space="preserve">ale </w:t>
      </w:r>
      <w:r w:rsidRPr="00172A59">
        <w:rPr>
          <w:color w:val="0D0D0D" w:themeColor="text1" w:themeTint="F2"/>
          <w:spacing w:val="-4"/>
          <w:sz w:val="16"/>
          <w:szCs w:val="16"/>
        </w:rPr>
        <w:t>za 1</w:t>
      </w:r>
      <w:r>
        <w:rPr>
          <w:color w:val="0D0D0D" w:themeColor="text1" w:themeTint="F2"/>
          <w:spacing w:val="-4"/>
          <w:sz w:val="16"/>
          <w:szCs w:val="16"/>
        </w:rPr>
        <w:t>. čtvrtlet</w:t>
      </w:r>
      <w:r w:rsidRPr="00172A59">
        <w:rPr>
          <w:color w:val="0D0D0D" w:themeColor="text1" w:themeTint="F2"/>
          <w:spacing w:val="-4"/>
          <w:sz w:val="16"/>
          <w:szCs w:val="16"/>
        </w:rPr>
        <w:t>í v přebytku 15,7</w:t>
      </w:r>
      <w:r>
        <w:rPr>
          <w:color w:val="0D0D0D" w:themeColor="text1" w:themeTint="F2"/>
          <w:spacing w:val="-4"/>
          <w:sz w:val="16"/>
          <w:szCs w:val="16"/>
        </w:rPr>
        <w:t> mld. korun, který představoval 1,1 %</w:t>
      </w:r>
      <w:r w:rsidRPr="00172A59">
        <w:rPr>
          <w:color w:val="0D0D0D" w:themeColor="text1" w:themeTint="F2"/>
          <w:spacing w:val="-4"/>
          <w:sz w:val="16"/>
          <w:szCs w:val="16"/>
        </w:rPr>
        <w:t xml:space="preserve"> </w:t>
      </w:r>
      <w:r>
        <w:rPr>
          <w:color w:val="0D0D0D" w:themeColor="text1" w:themeTint="F2"/>
          <w:spacing w:val="-4"/>
          <w:sz w:val="16"/>
          <w:szCs w:val="16"/>
        </w:rPr>
        <w:t>HDP. Oproti 4. čtvrtletí loňského roku</w:t>
      </w:r>
      <w:r w:rsidRPr="00172A59">
        <w:rPr>
          <w:color w:val="0D0D0D" w:themeColor="text1" w:themeTint="F2"/>
          <w:spacing w:val="-4"/>
          <w:sz w:val="16"/>
          <w:szCs w:val="16"/>
        </w:rPr>
        <w:t xml:space="preserve"> vzros</w:t>
      </w:r>
      <w:r>
        <w:rPr>
          <w:color w:val="0D0D0D" w:themeColor="text1" w:themeTint="F2"/>
          <w:spacing w:val="-4"/>
          <w:sz w:val="16"/>
          <w:szCs w:val="16"/>
        </w:rPr>
        <w:t>tl očištěný přebytek o 4,2 mld. korun</w:t>
      </w:r>
      <w:r w:rsidRPr="00172A59">
        <w:rPr>
          <w:color w:val="0D0D0D" w:themeColor="text1" w:themeTint="F2"/>
          <w:spacing w:val="-4"/>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880A0E" w:rsidRDefault="00880A0E" w:rsidP="00937AE2">
    <w:pPr>
      <w:pStyle w:val="Zhlav"/>
    </w:pPr>
    <w:r>
      <w:t>Vývoj ekonomiky České republiky</w:t>
    </w:r>
  </w:p>
  <w:p w14:paraId="675E4C41" w14:textId="77777777" w:rsidR="00880A0E" w:rsidRPr="006F5416" w:rsidRDefault="00880A0E"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880A0E" w:rsidRDefault="00880A0E" w:rsidP="00937AE2">
    <w:pPr>
      <w:pStyle w:val="Zhlav"/>
    </w:pPr>
    <w:r>
      <w:t>Vývoj ekonomiky České republiky</w:t>
    </w:r>
  </w:p>
  <w:p w14:paraId="0CDCFD48" w14:textId="77777777" w:rsidR="00880A0E" w:rsidRPr="006F5416" w:rsidRDefault="00880A0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6420"/>
    <w:rsid w:val="00017B01"/>
    <w:rsid w:val="00020F22"/>
    <w:rsid w:val="0002195D"/>
    <w:rsid w:val="000228AE"/>
    <w:rsid w:val="000233D1"/>
    <w:rsid w:val="000234D6"/>
    <w:rsid w:val="00023D29"/>
    <w:rsid w:val="00024348"/>
    <w:rsid w:val="00026389"/>
    <w:rsid w:val="00031AE0"/>
    <w:rsid w:val="00031BB2"/>
    <w:rsid w:val="000322EF"/>
    <w:rsid w:val="00033FCD"/>
    <w:rsid w:val="00034DF7"/>
    <w:rsid w:val="00034E68"/>
    <w:rsid w:val="000350C8"/>
    <w:rsid w:val="00036195"/>
    <w:rsid w:val="000374B2"/>
    <w:rsid w:val="000376C0"/>
    <w:rsid w:val="000403A7"/>
    <w:rsid w:val="00040632"/>
    <w:rsid w:val="00041CEC"/>
    <w:rsid w:val="00044183"/>
    <w:rsid w:val="0004694F"/>
    <w:rsid w:val="00047D54"/>
    <w:rsid w:val="000522E4"/>
    <w:rsid w:val="00053713"/>
    <w:rsid w:val="0005434E"/>
    <w:rsid w:val="00055CB6"/>
    <w:rsid w:val="000572DD"/>
    <w:rsid w:val="00057B1E"/>
    <w:rsid w:val="000610E1"/>
    <w:rsid w:val="000616AD"/>
    <w:rsid w:val="000622A6"/>
    <w:rsid w:val="00062EC5"/>
    <w:rsid w:val="00062F22"/>
    <w:rsid w:val="00063975"/>
    <w:rsid w:val="00063CEA"/>
    <w:rsid w:val="000645FC"/>
    <w:rsid w:val="0006533F"/>
    <w:rsid w:val="00065348"/>
    <w:rsid w:val="00065A75"/>
    <w:rsid w:val="00066558"/>
    <w:rsid w:val="00070A87"/>
    <w:rsid w:val="000712B3"/>
    <w:rsid w:val="00072FF5"/>
    <w:rsid w:val="0007474E"/>
    <w:rsid w:val="0007512B"/>
    <w:rsid w:val="00075551"/>
    <w:rsid w:val="00076D90"/>
    <w:rsid w:val="00077FF0"/>
    <w:rsid w:val="00081A55"/>
    <w:rsid w:val="0008263E"/>
    <w:rsid w:val="00082C19"/>
    <w:rsid w:val="000837CD"/>
    <w:rsid w:val="00084BFF"/>
    <w:rsid w:val="00085395"/>
    <w:rsid w:val="00086896"/>
    <w:rsid w:val="00086AC1"/>
    <w:rsid w:val="00086D19"/>
    <w:rsid w:val="00087634"/>
    <w:rsid w:val="00087F2B"/>
    <w:rsid w:val="00090694"/>
    <w:rsid w:val="000913B1"/>
    <w:rsid w:val="00093241"/>
    <w:rsid w:val="00094A84"/>
    <w:rsid w:val="00095025"/>
    <w:rsid w:val="00095135"/>
    <w:rsid w:val="0009626E"/>
    <w:rsid w:val="00097191"/>
    <w:rsid w:val="000974D1"/>
    <w:rsid w:val="0009799E"/>
    <w:rsid w:val="000A0BC0"/>
    <w:rsid w:val="000A1183"/>
    <w:rsid w:val="000A212B"/>
    <w:rsid w:val="000A256D"/>
    <w:rsid w:val="000A3A2C"/>
    <w:rsid w:val="000A3D9E"/>
    <w:rsid w:val="000A4A54"/>
    <w:rsid w:val="000A4ED9"/>
    <w:rsid w:val="000A7377"/>
    <w:rsid w:val="000B03CC"/>
    <w:rsid w:val="000B4212"/>
    <w:rsid w:val="000C0EA8"/>
    <w:rsid w:val="000C13A2"/>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AC5"/>
    <w:rsid w:val="000E6253"/>
    <w:rsid w:val="000E6E4D"/>
    <w:rsid w:val="000E6FBD"/>
    <w:rsid w:val="000E6FCB"/>
    <w:rsid w:val="000F090B"/>
    <w:rsid w:val="000F3F3B"/>
    <w:rsid w:val="000F47E8"/>
    <w:rsid w:val="000F70E4"/>
    <w:rsid w:val="00100F5C"/>
    <w:rsid w:val="00101CDA"/>
    <w:rsid w:val="00102037"/>
    <w:rsid w:val="00103DCB"/>
    <w:rsid w:val="00104C4C"/>
    <w:rsid w:val="00105015"/>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E15"/>
    <w:rsid w:val="00130ADC"/>
    <w:rsid w:val="00130D9F"/>
    <w:rsid w:val="00132C4D"/>
    <w:rsid w:val="00133FC1"/>
    <w:rsid w:val="00134659"/>
    <w:rsid w:val="001405FA"/>
    <w:rsid w:val="00140D1A"/>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7485"/>
    <w:rsid w:val="00167CB9"/>
    <w:rsid w:val="00167DD8"/>
    <w:rsid w:val="001705AD"/>
    <w:rsid w:val="001706D6"/>
    <w:rsid w:val="001714F2"/>
    <w:rsid w:val="00171FEA"/>
    <w:rsid w:val="00175B9F"/>
    <w:rsid w:val="001762F4"/>
    <w:rsid w:val="00181BBC"/>
    <w:rsid w:val="0018385F"/>
    <w:rsid w:val="00184017"/>
    <w:rsid w:val="00184B08"/>
    <w:rsid w:val="00185010"/>
    <w:rsid w:val="00185C22"/>
    <w:rsid w:val="00186BA9"/>
    <w:rsid w:val="0019196C"/>
    <w:rsid w:val="00192F05"/>
    <w:rsid w:val="00194729"/>
    <w:rsid w:val="00194850"/>
    <w:rsid w:val="00195234"/>
    <w:rsid w:val="00196016"/>
    <w:rsid w:val="00197A70"/>
    <w:rsid w:val="00197C0F"/>
    <w:rsid w:val="001A0487"/>
    <w:rsid w:val="001A1F68"/>
    <w:rsid w:val="001A21FA"/>
    <w:rsid w:val="001A4EF0"/>
    <w:rsid w:val="001A552F"/>
    <w:rsid w:val="001B2CA9"/>
    <w:rsid w:val="001B3110"/>
    <w:rsid w:val="001B3E38"/>
    <w:rsid w:val="001B40F5"/>
    <w:rsid w:val="001B4729"/>
    <w:rsid w:val="001B4F0E"/>
    <w:rsid w:val="001B6310"/>
    <w:rsid w:val="001B6C09"/>
    <w:rsid w:val="001C05CD"/>
    <w:rsid w:val="001C0F17"/>
    <w:rsid w:val="001C1B66"/>
    <w:rsid w:val="001C31A2"/>
    <w:rsid w:val="001C4BB8"/>
    <w:rsid w:val="001C5E46"/>
    <w:rsid w:val="001C6B3B"/>
    <w:rsid w:val="001C7E3F"/>
    <w:rsid w:val="001D0EF1"/>
    <w:rsid w:val="001D22C2"/>
    <w:rsid w:val="001D2C99"/>
    <w:rsid w:val="001D54C1"/>
    <w:rsid w:val="001D556E"/>
    <w:rsid w:val="001D5DF2"/>
    <w:rsid w:val="001D68B2"/>
    <w:rsid w:val="001D7EFD"/>
    <w:rsid w:val="001D7F60"/>
    <w:rsid w:val="001E504C"/>
    <w:rsid w:val="001E5A17"/>
    <w:rsid w:val="001E74C5"/>
    <w:rsid w:val="001F1236"/>
    <w:rsid w:val="001F2F90"/>
    <w:rsid w:val="001F4597"/>
    <w:rsid w:val="001F4826"/>
    <w:rsid w:val="001F7CE0"/>
    <w:rsid w:val="00200085"/>
    <w:rsid w:val="00203332"/>
    <w:rsid w:val="00203CD5"/>
    <w:rsid w:val="00203D8F"/>
    <w:rsid w:val="00203DA4"/>
    <w:rsid w:val="00205186"/>
    <w:rsid w:val="00206516"/>
    <w:rsid w:val="002071D5"/>
    <w:rsid w:val="002111E5"/>
    <w:rsid w:val="002118B9"/>
    <w:rsid w:val="002142C0"/>
    <w:rsid w:val="00217C5B"/>
    <w:rsid w:val="00220A43"/>
    <w:rsid w:val="0022139E"/>
    <w:rsid w:val="00222729"/>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6A8"/>
    <w:rsid w:val="0023288F"/>
    <w:rsid w:val="00233603"/>
    <w:rsid w:val="002340EF"/>
    <w:rsid w:val="00234B82"/>
    <w:rsid w:val="00236443"/>
    <w:rsid w:val="00236700"/>
    <w:rsid w:val="00240AF3"/>
    <w:rsid w:val="002418D5"/>
    <w:rsid w:val="00241B06"/>
    <w:rsid w:val="002436BA"/>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4309"/>
    <w:rsid w:val="0026564B"/>
    <w:rsid w:val="00265E85"/>
    <w:rsid w:val="00267B49"/>
    <w:rsid w:val="002700D9"/>
    <w:rsid w:val="0027025F"/>
    <w:rsid w:val="002709CC"/>
    <w:rsid w:val="00271022"/>
    <w:rsid w:val="00271465"/>
    <w:rsid w:val="002721F5"/>
    <w:rsid w:val="00272DF4"/>
    <w:rsid w:val="0027583D"/>
    <w:rsid w:val="00275DEF"/>
    <w:rsid w:val="002763A2"/>
    <w:rsid w:val="00276B33"/>
    <w:rsid w:val="002812E3"/>
    <w:rsid w:val="0028341F"/>
    <w:rsid w:val="002837AE"/>
    <w:rsid w:val="00283C13"/>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EA2"/>
    <w:rsid w:val="002A51AC"/>
    <w:rsid w:val="002A532A"/>
    <w:rsid w:val="002A5846"/>
    <w:rsid w:val="002A5D97"/>
    <w:rsid w:val="002A603E"/>
    <w:rsid w:val="002A63B9"/>
    <w:rsid w:val="002B3EF4"/>
    <w:rsid w:val="002B4845"/>
    <w:rsid w:val="002B5567"/>
    <w:rsid w:val="002B72AA"/>
    <w:rsid w:val="002C1F09"/>
    <w:rsid w:val="002C22A4"/>
    <w:rsid w:val="002C260B"/>
    <w:rsid w:val="002C27A6"/>
    <w:rsid w:val="002C398D"/>
    <w:rsid w:val="002C40D2"/>
    <w:rsid w:val="002C43BD"/>
    <w:rsid w:val="002C5245"/>
    <w:rsid w:val="002C59D8"/>
    <w:rsid w:val="002D05CB"/>
    <w:rsid w:val="002D0E59"/>
    <w:rsid w:val="002D455C"/>
    <w:rsid w:val="002E02A1"/>
    <w:rsid w:val="002E196A"/>
    <w:rsid w:val="002E20C7"/>
    <w:rsid w:val="002E20CD"/>
    <w:rsid w:val="002E222E"/>
    <w:rsid w:val="002E28D8"/>
    <w:rsid w:val="002E37D1"/>
    <w:rsid w:val="002E3BEE"/>
    <w:rsid w:val="002E4E4C"/>
    <w:rsid w:val="002E4EA7"/>
    <w:rsid w:val="002E5846"/>
    <w:rsid w:val="002E792B"/>
    <w:rsid w:val="002F1B09"/>
    <w:rsid w:val="002F1DCB"/>
    <w:rsid w:val="002F1DE4"/>
    <w:rsid w:val="002F333D"/>
    <w:rsid w:val="002F351A"/>
    <w:rsid w:val="002F46D6"/>
    <w:rsid w:val="002F498A"/>
    <w:rsid w:val="002F4AD8"/>
    <w:rsid w:val="002F5285"/>
    <w:rsid w:val="002F5820"/>
    <w:rsid w:val="00300C31"/>
    <w:rsid w:val="00304771"/>
    <w:rsid w:val="003052D4"/>
    <w:rsid w:val="00306C5B"/>
    <w:rsid w:val="00307529"/>
    <w:rsid w:val="00307DB3"/>
    <w:rsid w:val="00307ED2"/>
    <w:rsid w:val="0031076D"/>
    <w:rsid w:val="00311AA6"/>
    <w:rsid w:val="00311C4D"/>
    <w:rsid w:val="003121AB"/>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3CD0"/>
    <w:rsid w:val="0033448D"/>
    <w:rsid w:val="00334AD2"/>
    <w:rsid w:val="0033709C"/>
    <w:rsid w:val="003370C5"/>
    <w:rsid w:val="00340BF3"/>
    <w:rsid w:val="00341D26"/>
    <w:rsid w:val="00341F05"/>
    <w:rsid w:val="0034335E"/>
    <w:rsid w:val="00344668"/>
    <w:rsid w:val="003462D9"/>
    <w:rsid w:val="00347247"/>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810F0"/>
    <w:rsid w:val="003818DC"/>
    <w:rsid w:val="00382513"/>
    <w:rsid w:val="00383388"/>
    <w:rsid w:val="003834F8"/>
    <w:rsid w:val="003838D0"/>
    <w:rsid w:val="003840C2"/>
    <w:rsid w:val="00384327"/>
    <w:rsid w:val="00384A89"/>
    <w:rsid w:val="00385086"/>
    <w:rsid w:val="00385D98"/>
    <w:rsid w:val="00390306"/>
    <w:rsid w:val="003908A6"/>
    <w:rsid w:val="00391989"/>
    <w:rsid w:val="003927F6"/>
    <w:rsid w:val="00396739"/>
    <w:rsid w:val="003A04F6"/>
    <w:rsid w:val="003A0837"/>
    <w:rsid w:val="003A2B4D"/>
    <w:rsid w:val="003A2D12"/>
    <w:rsid w:val="003A2EBA"/>
    <w:rsid w:val="003A45E3"/>
    <w:rsid w:val="003A478C"/>
    <w:rsid w:val="003A5525"/>
    <w:rsid w:val="003A5889"/>
    <w:rsid w:val="003A6B38"/>
    <w:rsid w:val="003A6B83"/>
    <w:rsid w:val="003A6C97"/>
    <w:rsid w:val="003A722F"/>
    <w:rsid w:val="003A7373"/>
    <w:rsid w:val="003B039F"/>
    <w:rsid w:val="003B0DF4"/>
    <w:rsid w:val="003B1F9D"/>
    <w:rsid w:val="003B2AD1"/>
    <w:rsid w:val="003B2D2E"/>
    <w:rsid w:val="003B461F"/>
    <w:rsid w:val="003B483F"/>
    <w:rsid w:val="003B4998"/>
    <w:rsid w:val="003B5A32"/>
    <w:rsid w:val="003B7B50"/>
    <w:rsid w:val="003C0B07"/>
    <w:rsid w:val="003C2CE7"/>
    <w:rsid w:val="003C3490"/>
    <w:rsid w:val="003C3608"/>
    <w:rsid w:val="003C3D2C"/>
    <w:rsid w:val="003C4E13"/>
    <w:rsid w:val="003C6221"/>
    <w:rsid w:val="003C68CC"/>
    <w:rsid w:val="003C7E62"/>
    <w:rsid w:val="003D12B9"/>
    <w:rsid w:val="003D242B"/>
    <w:rsid w:val="003D2492"/>
    <w:rsid w:val="003D29AA"/>
    <w:rsid w:val="003D2A99"/>
    <w:rsid w:val="003D6920"/>
    <w:rsid w:val="003E1EF8"/>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F57"/>
    <w:rsid w:val="00405318"/>
    <w:rsid w:val="004059D2"/>
    <w:rsid w:val="00406C2E"/>
    <w:rsid w:val="00406EB0"/>
    <w:rsid w:val="00407711"/>
    <w:rsid w:val="00407C13"/>
    <w:rsid w:val="004103F6"/>
    <w:rsid w:val="00410638"/>
    <w:rsid w:val="00412511"/>
    <w:rsid w:val="004125C2"/>
    <w:rsid w:val="00412DFA"/>
    <w:rsid w:val="00413465"/>
    <w:rsid w:val="0041501E"/>
    <w:rsid w:val="00415452"/>
    <w:rsid w:val="004159C3"/>
    <w:rsid w:val="00415A57"/>
    <w:rsid w:val="00416DAC"/>
    <w:rsid w:val="00420880"/>
    <w:rsid w:val="00421179"/>
    <w:rsid w:val="00431BFF"/>
    <w:rsid w:val="00432A58"/>
    <w:rsid w:val="004331C3"/>
    <w:rsid w:val="00434617"/>
    <w:rsid w:val="00435051"/>
    <w:rsid w:val="00435C69"/>
    <w:rsid w:val="004360FB"/>
    <w:rsid w:val="00437CED"/>
    <w:rsid w:val="00440900"/>
    <w:rsid w:val="0044121D"/>
    <w:rsid w:val="00441BF6"/>
    <w:rsid w:val="00441D2B"/>
    <w:rsid w:val="004441A0"/>
    <w:rsid w:val="00445861"/>
    <w:rsid w:val="00445A8E"/>
    <w:rsid w:val="00446D44"/>
    <w:rsid w:val="0045078A"/>
    <w:rsid w:val="0045086D"/>
    <w:rsid w:val="00451EF1"/>
    <w:rsid w:val="00452E60"/>
    <w:rsid w:val="0045321B"/>
    <w:rsid w:val="00456FE5"/>
    <w:rsid w:val="00457490"/>
    <w:rsid w:val="00457953"/>
    <w:rsid w:val="00460656"/>
    <w:rsid w:val="00460FB3"/>
    <w:rsid w:val="00464851"/>
    <w:rsid w:val="0046746A"/>
    <w:rsid w:val="00467B14"/>
    <w:rsid w:val="004707FE"/>
    <w:rsid w:val="0047276D"/>
    <w:rsid w:val="00472AF6"/>
    <w:rsid w:val="00473482"/>
    <w:rsid w:val="00474A04"/>
    <w:rsid w:val="00476240"/>
    <w:rsid w:val="00476439"/>
    <w:rsid w:val="004769E1"/>
    <w:rsid w:val="0047735C"/>
    <w:rsid w:val="004776BC"/>
    <w:rsid w:val="00477820"/>
    <w:rsid w:val="00477B96"/>
    <w:rsid w:val="00480BAE"/>
    <w:rsid w:val="0048139F"/>
    <w:rsid w:val="00481E40"/>
    <w:rsid w:val="00482405"/>
    <w:rsid w:val="004826A7"/>
    <w:rsid w:val="0048368C"/>
    <w:rsid w:val="00484ECE"/>
    <w:rsid w:val="00486132"/>
    <w:rsid w:val="0048686D"/>
    <w:rsid w:val="00486A4D"/>
    <w:rsid w:val="004915CB"/>
    <w:rsid w:val="004924DC"/>
    <w:rsid w:val="00492879"/>
    <w:rsid w:val="004979A5"/>
    <w:rsid w:val="004A036E"/>
    <w:rsid w:val="004A14E4"/>
    <w:rsid w:val="004A204E"/>
    <w:rsid w:val="004A26A5"/>
    <w:rsid w:val="004A27F0"/>
    <w:rsid w:val="004A3212"/>
    <w:rsid w:val="004A37CD"/>
    <w:rsid w:val="004A40D9"/>
    <w:rsid w:val="004A4F8A"/>
    <w:rsid w:val="004A5494"/>
    <w:rsid w:val="004A5D4E"/>
    <w:rsid w:val="004A61C5"/>
    <w:rsid w:val="004A62A0"/>
    <w:rsid w:val="004A77DF"/>
    <w:rsid w:val="004B1417"/>
    <w:rsid w:val="004B305C"/>
    <w:rsid w:val="004B339A"/>
    <w:rsid w:val="004B55B7"/>
    <w:rsid w:val="004B6468"/>
    <w:rsid w:val="004B6EF8"/>
    <w:rsid w:val="004B7125"/>
    <w:rsid w:val="004B756A"/>
    <w:rsid w:val="004B7FB1"/>
    <w:rsid w:val="004C0B3F"/>
    <w:rsid w:val="004C2794"/>
    <w:rsid w:val="004C2BB6"/>
    <w:rsid w:val="004C2C2D"/>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3296"/>
    <w:rsid w:val="004D5B0F"/>
    <w:rsid w:val="004D7626"/>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503D54"/>
    <w:rsid w:val="005048E2"/>
    <w:rsid w:val="00506603"/>
    <w:rsid w:val="0050689D"/>
    <w:rsid w:val="005077F5"/>
    <w:rsid w:val="005108C0"/>
    <w:rsid w:val="0051094F"/>
    <w:rsid w:val="00511873"/>
    <w:rsid w:val="00512461"/>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4A28"/>
    <w:rsid w:val="00535018"/>
    <w:rsid w:val="0053595E"/>
    <w:rsid w:val="00537571"/>
    <w:rsid w:val="00540056"/>
    <w:rsid w:val="005410E2"/>
    <w:rsid w:val="00541508"/>
    <w:rsid w:val="00541AE3"/>
    <w:rsid w:val="00543498"/>
    <w:rsid w:val="00544011"/>
    <w:rsid w:val="00544BE5"/>
    <w:rsid w:val="005455F6"/>
    <w:rsid w:val="005500F9"/>
    <w:rsid w:val="00550160"/>
    <w:rsid w:val="005523A8"/>
    <w:rsid w:val="00552F2C"/>
    <w:rsid w:val="00553A25"/>
    <w:rsid w:val="005547EB"/>
    <w:rsid w:val="005555E0"/>
    <w:rsid w:val="0055599F"/>
    <w:rsid w:val="00556D68"/>
    <w:rsid w:val="005570D6"/>
    <w:rsid w:val="00557E45"/>
    <w:rsid w:val="00561F44"/>
    <w:rsid w:val="00562B4D"/>
    <w:rsid w:val="00563EB8"/>
    <w:rsid w:val="005647BF"/>
    <w:rsid w:val="00564AF1"/>
    <w:rsid w:val="005655DB"/>
    <w:rsid w:val="00570270"/>
    <w:rsid w:val="00570BC3"/>
    <w:rsid w:val="0057182A"/>
    <w:rsid w:val="00571E59"/>
    <w:rsid w:val="00572079"/>
    <w:rsid w:val="00572900"/>
    <w:rsid w:val="00573602"/>
    <w:rsid w:val="0057364B"/>
    <w:rsid w:val="00574773"/>
    <w:rsid w:val="005761EC"/>
    <w:rsid w:val="00577C07"/>
    <w:rsid w:val="00577DB1"/>
    <w:rsid w:val="00580AD3"/>
    <w:rsid w:val="00580DE7"/>
    <w:rsid w:val="00583E52"/>
    <w:rsid w:val="00583FFD"/>
    <w:rsid w:val="0058519A"/>
    <w:rsid w:val="005856BD"/>
    <w:rsid w:val="00586BCA"/>
    <w:rsid w:val="00590B28"/>
    <w:rsid w:val="005911BE"/>
    <w:rsid w:val="00591273"/>
    <w:rsid w:val="00591E9E"/>
    <w:rsid w:val="005927A4"/>
    <w:rsid w:val="00593152"/>
    <w:rsid w:val="005956A3"/>
    <w:rsid w:val="00595958"/>
    <w:rsid w:val="00595CAB"/>
    <w:rsid w:val="00597BBF"/>
    <w:rsid w:val="005A0948"/>
    <w:rsid w:val="005A10F2"/>
    <w:rsid w:val="005A21E0"/>
    <w:rsid w:val="005A28FF"/>
    <w:rsid w:val="005A2C09"/>
    <w:rsid w:val="005A3778"/>
    <w:rsid w:val="005A3DF8"/>
    <w:rsid w:val="005A5549"/>
    <w:rsid w:val="005A7CF8"/>
    <w:rsid w:val="005B0EDA"/>
    <w:rsid w:val="005B121D"/>
    <w:rsid w:val="005B41C9"/>
    <w:rsid w:val="005B4853"/>
    <w:rsid w:val="005B6CA1"/>
    <w:rsid w:val="005B770C"/>
    <w:rsid w:val="005C06ED"/>
    <w:rsid w:val="005C11B8"/>
    <w:rsid w:val="005C2609"/>
    <w:rsid w:val="005C2B30"/>
    <w:rsid w:val="005C412B"/>
    <w:rsid w:val="005C43EC"/>
    <w:rsid w:val="005C45DD"/>
    <w:rsid w:val="005D3F06"/>
    <w:rsid w:val="005D4B73"/>
    <w:rsid w:val="005D5802"/>
    <w:rsid w:val="005D5AA9"/>
    <w:rsid w:val="005D66E6"/>
    <w:rsid w:val="005D7119"/>
    <w:rsid w:val="005D76C8"/>
    <w:rsid w:val="005D7890"/>
    <w:rsid w:val="005E19C1"/>
    <w:rsid w:val="005E2194"/>
    <w:rsid w:val="005E24F0"/>
    <w:rsid w:val="005E36FE"/>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D7F"/>
    <w:rsid w:val="005F7174"/>
    <w:rsid w:val="00601EEF"/>
    <w:rsid w:val="0060255A"/>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1787"/>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EC9"/>
    <w:rsid w:val="00662469"/>
    <w:rsid w:val="00663908"/>
    <w:rsid w:val="00664205"/>
    <w:rsid w:val="00664647"/>
    <w:rsid w:val="00664803"/>
    <w:rsid w:val="00665982"/>
    <w:rsid w:val="00665BA4"/>
    <w:rsid w:val="00667856"/>
    <w:rsid w:val="00667AF2"/>
    <w:rsid w:val="00670489"/>
    <w:rsid w:val="006710C9"/>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6C7"/>
    <w:rsid w:val="006968C1"/>
    <w:rsid w:val="006977F6"/>
    <w:rsid w:val="00697A13"/>
    <w:rsid w:val="006A109C"/>
    <w:rsid w:val="006A6565"/>
    <w:rsid w:val="006A7691"/>
    <w:rsid w:val="006A7EE2"/>
    <w:rsid w:val="006B0514"/>
    <w:rsid w:val="006B0F92"/>
    <w:rsid w:val="006B2785"/>
    <w:rsid w:val="006B344A"/>
    <w:rsid w:val="006B58C9"/>
    <w:rsid w:val="006B60ED"/>
    <w:rsid w:val="006B6CC5"/>
    <w:rsid w:val="006B74AC"/>
    <w:rsid w:val="006B78D8"/>
    <w:rsid w:val="006B79EA"/>
    <w:rsid w:val="006C0C5D"/>
    <w:rsid w:val="006C113F"/>
    <w:rsid w:val="006C123E"/>
    <w:rsid w:val="006C15A1"/>
    <w:rsid w:val="006C1752"/>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CA6"/>
    <w:rsid w:val="006D18B3"/>
    <w:rsid w:val="006D1E89"/>
    <w:rsid w:val="006D317E"/>
    <w:rsid w:val="006D3E8A"/>
    <w:rsid w:val="006D61F6"/>
    <w:rsid w:val="006E1332"/>
    <w:rsid w:val="006E279A"/>
    <w:rsid w:val="006E313B"/>
    <w:rsid w:val="006E3A45"/>
    <w:rsid w:val="006E4078"/>
    <w:rsid w:val="006E53AD"/>
    <w:rsid w:val="006E58CB"/>
    <w:rsid w:val="006E7227"/>
    <w:rsid w:val="006F0741"/>
    <w:rsid w:val="006F1C27"/>
    <w:rsid w:val="006F2A65"/>
    <w:rsid w:val="006F40DF"/>
    <w:rsid w:val="006F42BB"/>
    <w:rsid w:val="006F438E"/>
    <w:rsid w:val="006F440B"/>
    <w:rsid w:val="006F48A3"/>
    <w:rsid w:val="006F5416"/>
    <w:rsid w:val="006F624B"/>
    <w:rsid w:val="006F6D87"/>
    <w:rsid w:val="0070398A"/>
    <w:rsid w:val="00705242"/>
    <w:rsid w:val="007055E0"/>
    <w:rsid w:val="007056ED"/>
    <w:rsid w:val="007065C5"/>
    <w:rsid w:val="00706AA0"/>
    <w:rsid w:val="00706AD4"/>
    <w:rsid w:val="00707150"/>
    <w:rsid w:val="007124D7"/>
    <w:rsid w:val="00712C20"/>
    <w:rsid w:val="00713549"/>
    <w:rsid w:val="007140BE"/>
    <w:rsid w:val="00715502"/>
    <w:rsid w:val="00715E4D"/>
    <w:rsid w:val="00716F48"/>
    <w:rsid w:val="00717114"/>
    <w:rsid w:val="0071779F"/>
    <w:rsid w:val="007211F5"/>
    <w:rsid w:val="00722777"/>
    <w:rsid w:val="00723435"/>
    <w:rsid w:val="00723436"/>
    <w:rsid w:val="007240E2"/>
    <w:rsid w:val="0072583E"/>
    <w:rsid w:val="00725BB5"/>
    <w:rsid w:val="00727C02"/>
    <w:rsid w:val="00730AE8"/>
    <w:rsid w:val="00730F1B"/>
    <w:rsid w:val="0073186D"/>
    <w:rsid w:val="0073333D"/>
    <w:rsid w:val="007343D9"/>
    <w:rsid w:val="00735448"/>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51D"/>
    <w:rsid w:val="007578D3"/>
    <w:rsid w:val="007602CF"/>
    <w:rsid w:val="00760391"/>
    <w:rsid w:val="007609C6"/>
    <w:rsid w:val="007615F3"/>
    <w:rsid w:val="0076175D"/>
    <w:rsid w:val="00761CB5"/>
    <w:rsid w:val="007629D5"/>
    <w:rsid w:val="007635F8"/>
    <w:rsid w:val="00763B85"/>
    <w:rsid w:val="00764974"/>
    <w:rsid w:val="00764D18"/>
    <w:rsid w:val="0076521E"/>
    <w:rsid w:val="007661E9"/>
    <w:rsid w:val="00766460"/>
    <w:rsid w:val="00767062"/>
    <w:rsid w:val="00767777"/>
    <w:rsid w:val="00771972"/>
    <w:rsid w:val="00772279"/>
    <w:rsid w:val="00772DAB"/>
    <w:rsid w:val="00774D2C"/>
    <w:rsid w:val="0077605B"/>
    <w:rsid w:val="00776169"/>
    <w:rsid w:val="00776527"/>
    <w:rsid w:val="00777040"/>
    <w:rsid w:val="00777CE6"/>
    <w:rsid w:val="00780EF1"/>
    <w:rsid w:val="00781A91"/>
    <w:rsid w:val="00785778"/>
    <w:rsid w:val="00786C87"/>
    <w:rsid w:val="0078755E"/>
    <w:rsid w:val="007877C9"/>
    <w:rsid w:val="00790764"/>
    <w:rsid w:val="0079085F"/>
    <w:rsid w:val="00790E96"/>
    <w:rsid w:val="00791005"/>
    <w:rsid w:val="00793D78"/>
    <w:rsid w:val="0079453C"/>
    <w:rsid w:val="00794677"/>
    <w:rsid w:val="007A170B"/>
    <w:rsid w:val="007A20EB"/>
    <w:rsid w:val="007A282C"/>
    <w:rsid w:val="007A2A3A"/>
    <w:rsid w:val="007A33E2"/>
    <w:rsid w:val="007A3CAF"/>
    <w:rsid w:val="007A4782"/>
    <w:rsid w:val="007A516D"/>
    <w:rsid w:val="007A5E65"/>
    <w:rsid w:val="007A65E1"/>
    <w:rsid w:val="007A775D"/>
    <w:rsid w:val="007B0834"/>
    <w:rsid w:val="007B0E83"/>
    <w:rsid w:val="007B11FA"/>
    <w:rsid w:val="007B1396"/>
    <w:rsid w:val="007B16D6"/>
    <w:rsid w:val="007B2011"/>
    <w:rsid w:val="007B2CFE"/>
    <w:rsid w:val="007B309B"/>
    <w:rsid w:val="007B3D5E"/>
    <w:rsid w:val="007B3DCB"/>
    <w:rsid w:val="007B5725"/>
    <w:rsid w:val="007B6689"/>
    <w:rsid w:val="007B6747"/>
    <w:rsid w:val="007B6F72"/>
    <w:rsid w:val="007C1F0C"/>
    <w:rsid w:val="007C1FFB"/>
    <w:rsid w:val="007C2D94"/>
    <w:rsid w:val="007C5F92"/>
    <w:rsid w:val="007C6227"/>
    <w:rsid w:val="007C6BBD"/>
    <w:rsid w:val="007C6D89"/>
    <w:rsid w:val="007C6F5E"/>
    <w:rsid w:val="007D0382"/>
    <w:rsid w:val="007D1A1F"/>
    <w:rsid w:val="007D2E18"/>
    <w:rsid w:val="007D40DF"/>
    <w:rsid w:val="007D42E5"/>
    <w:rsid w:val="007D4458"/>
    <w:rsid w:val="007E0535"/>
    <w:rsid w:val="007E0D4A"/>
    <w:rsid w:val="007E1788"/>
    <w:rsid w:val="007E1EE3"/>
    <w:rsid w:val="007E29B4"/>
    <w:rsid w:val="007E2F12"/>
    <w:rsid w:val="007E435A"/>
    <w:rsid w:val="007E49F7"/>
    <w:rsid w:val="007E4C70"/>
    <w:rsid w:val="007E78B6"/>
    <w:rsid w:val="007E7E61"/>
    <w:rsid w:val="007F0845"/>
    <w:rsid w:val="007F20F3"/>
    <w:rsid w:val="007F2353"/>
    <w:rsid w:val="007F2390"/>
    <w:rsid w:val="007F2CAC"/>
    <w:rsid w:val="007F4740"/>
    <w:rsid w:val="007F595A"/>
    <w:rsid w:val="007F708D"/>
    <w:rsid w:val="008006B3"/>
    <w:rsid w:val="0080158A"/>
    <w:rsid w:val="00801E13"/>
    <w:rsid w:val="00803008"/>
    <w:rsid w:val="00803069"/>
    <w:rsid w:val="0080734C"/>
    <w:rsid w:val="00807C82"/>
    <w:rsid w:val="008117CC"/>
    <w:rsid w:val="00813D58"/>
    <w:rsid w:val="00813DCA"/>
    <w:rsid w:val="008161A6"/>
    <w:rsid w:val="008165B8"/>
    <w:rsid w:val="00816905"/>
    <w:rsid w:val="00816D98"/>
    <w:rsid w:val="00817A17"/>
    <w:rsid w:val="00817EC1"/>
    <w:rsid w:val="0082112D"/>
    <w:rsid w:val="00821FF6"/>
    <w:rsid w:val="00822574"/>
    <w:rsid w:val="00822F08"/>
    <w:rsid w:val="00825C4D"/>
    <w:rsid w:val="00826A08"/>
    <w:rsid w:val="00826AC0"/>
    <w:rsid w:val="00827186"/>
    <w:rsid w:val="00827C8E"/>
    <w:rsid w:val="00830569"/>
    <w:rsid w:val="00830AEA"/>
    <w:rsid w:val="00830E86"/>
    <w:rsid w:val="0083143E"/>
    <w:rsid w:val="008315D5"/>
    <w:rsid w:val="00831CDE"/>
    <w:rsid w:val="00834304"/>
    <w:rsid w:val="00834FAA"/>
    <w:rsid w:val="008354FB"/>
    <w:rsid w:val="00836086"/>
    <w:rsid w:val="0083630F"/>
    <w:rsid w:val="00836A06"/>
    <w:rsid w:val="008374BC"/>
    <w:rsid w:val="00837E48"/>
    <w:rsid w:val="00840293"/>
    <w:rsid w:val="008402AD"/>
    <w:rsid w:val="008408D4"/>
    <w:rsid w:val="008417B5"/>
    <w:rsid w:val="00841901"/>
    <w:rsid w:val="008458BD"/>
    <w:rsid w:val="00846121"/>
    <w:rsid w:val="008461C2"/>
    <w:rsid w:val="008466C6"/>
    <w:rsid w:val="0084708F"/>
    <w:rsid w:val="008477C8"/>
    <w:rsid w:val="008478A6"/>
    <w:rsid w:val="008502F6"/>
    <w:rsid w:val="0085114D"/>
    <w:rsid w:val="008520A8"/>
    <w:rsid w:val="00852217"/>
    <w:rsid w:val="00853282"/>
    <w:rsid w:val="00855408"/>
    <w:rsid w:val="00856D65"/>
    <w:rsid w:val="00861B41"/>
    <w:rsid w:val="00861B9F"/>
    <w:rsid w:val="00861BE3"/>
    <w:rsid w:val="008625D3"/>
    <w:rsid w:val="00863434"/>
    <w:rsid w:val="0086344F"/>
    <w:rsid w:val="008641AC"/>
    <w:rsid w:val="00865E4C"/>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CD7"/>
    <w:rsid w:val="00882911"/>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7127"/>
    <w:rsid w:val="008B3A80"/>
    <w:rsid w:val="008B3C07"/>
    <w:rsid w:val="008B3F7B"/>
    <w:rsid w:val="008B6106"/>
    <w:rsid w:val="008B7C02"/>
    <w:rsid w:val="008B7D2B"/>
    <w:rsid w:val="008B7EF9"/>
    <w:rsid w:val="008C0049"/>
    <w:rsid w:val="008C0E88"/>
    <w:rsid w:val="008C1717"/>
    <w:rsid w:val="008C4B50"/>
    <w:rsid w:val="008C7569"/>
    <w:rsid w:val="008D0DBD"/>
    <w:rsid w:val="008D117E"/>
    <w:rsid w:val="008D127E"/>
    <w:rsid w:val="008D1CA8"/>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29B"/>
    <w:rsid w:val="008F2A5D"/>
    <w:rsid w:val="008F3636"/>
    <w:rsid w:val="008F3FC9"/>
    <w:rsid w:val="008F5383"/>
    <w:rsid w:val="008F585B"/>
    <w:rsid w:val="009003A8"/>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3CB0"/>
    <w:rsid w:val="00923D8C"/>
    <w:rsid w:val="00924871"/>
    <w:rsid w:val="00924AC8"/>
    <w:rsid w:val="00925429"/>
    <w:rsid w:val="0092597A"/>
    <w:rsid w:val="00926520"/>
    <w:rsid w:val="00926CF0"/>
    <w:rsid w:val="009273A9"/>
    <w:rsid w:val="0093033E"/>
    <w:rsid w:val="009305FC"/>
    <w:rsid w:val="00930FB1"/>
    <w:rsid w:val="0093139F"/>
    <w:rsid w:val="00932443"/>
    <w:rsid w:val="00932B32"/>
    <w:rsid w:val="00933F4A"/>
    <w:rsid w:val="009341F1"/>
    <w:rsid w:val="00934FF2"/>
    <w:rsid w:val="00935BD4"/>
    <w:rsid w:val="00935DFE"/>
    <w:rsid w:val="009373B2"/>
    <w:rsid w:val="00937AE2"/>
    <w:rsid w:val="0094061F"/>
    <w:rsid w:val="00940F0F"/>
    <w:rsid w:val="0094416B"/>
    <w:rsid w:val="0094427A"/>
    <w:rsid w:val="00944C7C"/>
    <w:rsid w:val="00945245"/>
    <w:rsid w:val="00945523"/>
    <w:rsid w:val="00950921"/>
    <w:rsid w:val="00951D68"/>
    <w:rsid w:val="00952B7B"/>
    <w:rsid w:val="00954F39"/>
    <w:rsid w:val="0095664B"/>
    <w:rsid w:val="009568DC"/>
    <w:rsid w:val="00957445"/>
    <w:rsid w:val="0095759C"/>
    <w:rsid w:val="009618EE"/>
    <w:rsid w:val="009624D2"/>
    <w:rsid w:val="009628D9"/>
    <w:rsid w:val="009637AE"/>
    <w:rsid w:val="009640F6"/>
    <w:rsid w:val="00964776"/>
    <w:rsid w:val="00964A4E"/>
    <w:rsid w:val="00964B35"/>
    <w:rsid w:val="009651C7"/>
    <w:rsid w:val="00965797"/>
    <w:rsid w:val="00965A10"/>
    <w:rsid w:val="009670A3"/>
    <w:rsid w:val="009674BE"/>
    <w:rsid w:val="00970FB5"/>
    <w:rsid w:val="00971710"/>
    <w:rsid w:val="00971B87"/>
    <w:rsid w:val="00971C77"/>
    <w:rsid w:val="00972FCD"/>
    <w:rsid w:val="009741AE"/>
    <w:rsid w:val="009741FC"/>
    <w:rsid w:val="00974923"/>
    <w:rsid w:val="00975909"/>
    <w:rsid w:val="00977C3D"/>
    <w:rsid w:val="00980D3D"/>
    <w:rsid w:val="0098103E"/>
    <w:rsid w:val="00983101"/>
    <w:rsid w:val="00983E41"/>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4D57"/>
    <w:rsid w:val="009A51A5"/>
    <w:rsid w:val="009A60D1"/>
    <w:rsid w:val="009A6225"/>
    <w:rsid w:val="009A64F5"/>
    <w:rsid w:val="009B00D2"/>
    <w:rsid w:val="009B05B3"/>
    <w:rsid w:val="009B284F"/>
    <w:rsid w:val="009B3764"/>
    <w:rsid w:val="009B52AC"/>
    <w:rsid w:val="009B59EA"/>
    <w:rsid w:val="009B66CE"/>
    <w:rsid w:val="009B6FD3"/>
    <w:rsid w:val="009B7DB2"/>
    <w:rsid w:val="009C1750"/>
    <w:rsid w:val="009C2E29"/>
    <w:rsid w:val="009C3E8F"/>
    <w:rsid w:val="009C554B"/>
    <w:rsid w:val="009C7126"/>
    <w:rsid w:val="009C719E"/>
    <w:rsid w:val="009C7799"/>
    <w:rsid w:val="009D07A9"/>
    <w:rsid w:val="009D0AE2"/>
    <w:rsid w:val="009D0EBB"/>
    <w:rsid w:val="009D3ACD"/>
    <w:rsid w:val="009D4F21"/>
    <w:rsid w:val="009D587D"/>
    <w:rsid w:val="009D7731"/>
    <w:rsid w:val="009E1120"/>
    <w:rsid w:val="009E1393"/>
    <w:rsid w:val="009E1922"/>
    <w:rsid w:val="009E1A3D"/>
    <w:rsid w:val="009E4715"/>
    <w:rsid w:val="009E5273"/>
    <w:rsid w:val="009E57A8"/>
    <w:rsid w:val="009E5B85"/>
    <w:rsid w:val="009E5DDB"/>
    <w:rsid w:val="009F2921"/>
    <w:rsid w:val="009F4982"/>
    <w:rsid w:val="009F4CA7"/>
    <w:rsid w:val="009F55BA"/>
    <w:rsid w:val="009F7D36"/>
    <w:rsid w:val="00A00E71"/>
    <w:rsid w:val="00A0306F"/>
    <w:rsid w:val="00A03B10"/>
    <w:rsid w:val="00A03E2E"/>
    <w:rsid w:val="00A04616"/>
    <w:rsid w:val="00A04717"/>
    <w:rsid w:val="00A05EE4"/>
    <w:rsid w:val="00A06F99"/>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3E43"/>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50D73"/>
    <w:rsid w:val="00A52A88"/>
    <w:rsid w:val="00A52CAD"/>
    <w:rsid w:val="00A53FC7"/>
    <w:rsid w:val="00A55569"/>
    <w:rsid w:val="00A60AC1"/>
    <w:rsid w:val="00A626FF"/>
    <w:rsid w:val="00A62CE1"/>
    <w:rsid w:val="00A65469"/>
    <w:rsid w:val="00A65528"/>
    <w:rsid w:val="00A655D3"/>
    <w:rsid w:val="00A662D9"/>
    <w:rsid w:val="00A6741E"/>
    <w:rsid w:val="00A7016A"/>
    <w:rsid w:val="00A7018D"/>
    <w:rsid w:val="00A7191D"/>
    <w:rsid w:val="00A722F9"/>
    <w:rsid w:val="00A72D42"/>
    <w:rsid w:val="00A74C2A"/>
    <w:rsid w:val="00A75E40"/>
    <w:rsid w:val="00A77D1D"/>
    <w:rsid w:val="00A81652"/>
    <w:rsid w:val="00A83150"/>
    <w:rsid w:val="00A83398"/>
    <w:rsid w:val="00A83D6E"/>
    <w:rsid w:val="00A8521A"/>
    <w:rsid w:val="00A857C0"/>
    <w:rsid w:val="00A90F2C"/>
    <w:rsid w:val="00A90FED"/>
    <w:rsid w:val="00A9189D"/>
    <w:rsid w:val="00A91E71"/>
    <w:rsid w:val="00A925B1"/>
    <w:rsid w:val="00A934F9"/>
    <w:rsid w:val="00A940E3"/>
    <w:rsid w:val="00A95F1A"/>
    <w:rsid w:val="00A96116"/>
    <w:rsid w:val="00A9614E"/>
    <w:rsid w:val="00A96C0F"/>
    <w:rsid w:val="00AA0E80"/>
    <w:rsid w:val="00AA17CD"/>
    <w:rsid w:val="00AA212F"/>
    <w:rsid w:val="00AA2996"/>
    <w:rsid w:val="00AA2AF4"/>
    <w:rsid w:val="00AA4282"/>
    <w:rsid w:val="00AA52BF"/>
    <w:rsid w:val="00AA559A"/>
    <w:rsid w:val="00AA6C31"/>
    <w:rsid w:val="00AA7752"/>
    <w:rsid w:val="00AA7CE8"/>
    <w:rsid w:val="00AB1457"/>
    <w:rsid w:val="00AB2AF1"/>
    <w:rsid w:val="00AB3EC7"/>
    <w:rsid w:val="00AB5A64"/>
    <w:rsid w:val="00AB5CA1"/>
    <w:rsid w:val="00AB6456"/>
    <w:rsid w:val="00AC044E"/>
    <w:rsid w:val="00AC2118"/>
    <w:rsid w:val="00AC2395"/>
    <w:rsid w:val="00AC2960"/>
    <w:rsid w:val="00AC2AC4"/>
    <w:rsid w:val="00AC4284"/>
    <w:rsid w:val="00AC45BD"/>
    <w:rsid w:val="00AC50BB"/>
    <w:rsid w:val="00AD0EE7"/>
    <w:rsid w:val="00AD168E"/>
    <w:rsid w:val="00AD306C"/>
    <w:rsid w:val="00AD44CD"/>
    <w:rsid w:val="00AD5AD2"/>
    <w:rsid w:val="00AD6462"/>
    <w:rsid w:val="00AD66C5"/>
    <w:rsid w:val="00AD68C4"/>
    <w:rsid w:val="00AD71F9"/>
    <w:rsid w:val="00AE09B3"/>
    <w:rsid w:val="00AE1A83"/>
    <w:rsid w:val="00AE30BE"/>
    <w:rsid w:val="00AE3E6A"/>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99C"/>
    <w:rsid w:val="00B10A4D"/>
    <w:rsid w:val="00B10C90"/>
    <w:rsid w:val="00B11002"/>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402FC"/>
    <w:rsid w:val="00B422E2"/>
    <w:rsid w:val="00B42D5F"/>
    <w:rsid w:val="00B43216"/>
    <w:rsid w:val="00B439DA"/>
    <w:rsid w:val="00B4411A"/>
    <w:rsid w:val="00B46604"/>
    <w:rsid w:val="00B47089"/>
    <w:rsid w:val="00B47587"/>
    <w:rsid w:val="00B52151"/>
    <w:rsid w:val="00B530CD"/>
    <w:rsid w:val="00B53C7D"/>
    <w:rsid w:val="00B53E56"/>
    <w:rsid w:val="00B55A97"/>
    <w:rsid w:val="00B55F5E"/>
    <w:rsid w:val="00B5642C"/>
    <w:rsid w:val="00B56B6F"/>
    <w:rsid w:val="00B5752E"/>
    <w:rsid w:val="00B60AC1"/>
    <w:rsid w:val="00B61FF6"/>
    <w:rsid w:val="00B62316"/>
    <w:rsid w:val="00B63A11"/>
    <w:rsid w:val="00B64425"/>
    <w:rsid w:val="00B64C24"/>
    <w:rsid w:val="00B65CEF"/>
    <w:rsid w:val="00B6608F"/>
    <w:rsid w:val="00B679FB"/>
    <w:rsid w:val="00B71FBF"/>
    <w:rsid w:val="00B734A0"/>
    <w:rsid w:val="00B73A14"/>
    <w:rsid w:val="00B748BD"/>
    <w:rsid w:val="00B7680F"/>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3787"/>
    <w:rsid w:val="00BA46E8"/>
    <w:rsid w:val="00BA4E19"/>
    <w:rsid w:val="00BA6436"/>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327F"/>
    <w:rsid w:val="00BC3512"/>
    <w:rsid w:val="00BC50BE"/>
    <w:rsid w:val="00BC5332"/>
    <w:rsid w:val="00BC5715"/>
    <w:rsid w:val="00BC5C12"/>
    <w:rsid w:val="00BC7154"/>
    <w:rsid w:val="00BC731E"/>
    <w:rsid w:val="00BC7614"/>
    <w:rsid w:val="00BD25BB"/>
    <w:rsid w:val="00BD2AF8"/>
    <w:rsid w:val="00BD366B"/>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DC"/>
    <w:rsid w:val="00BF4329"/>
    <w:rsid w:val="00BF4E43"/>
    <w:rsid w:val="00BF5C4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513B"/>
    <w:rsid w:val="00C475E8"/>
    <w:rsid w:val="00C50E79"/>
    <w:rsid w:val="00C525FB"/>
    <w:rsid w:val="00C5390B"/>
    <w:rsid w:val="00C54257"/>
    <w:rsid w:val="00C54697"/>
    <w:rsid w:val="00C550CE"/>
    <w:rsid w:val="00C553A5"/>
    <w:rsid w:val="00C55402"/>
    <w:rsid w:val="00C5603B"/>
    <w:rsid w:val="00C61F47"/>
    <w:rsid w:val="00C62828"/>
    <w:rsid w:val="00C719A3"/>
    <w:rsid w:val="00C71D2F"/>
    <w:rsid w:val="00C72984"/>
    <w:rsid w:val="00C73885"/>
    <w:rsid w:val="00C73C93"/>
    <w:rsid w:val="00C7435A"/>
    <w:rsid w:val="00C747B1"/>
    <w:rsid w:val="00C755F9"/>
    <w:rsid w:val="00C8174E"/>
    <w:rsid w:val="00C82191"/>
    <w:rsid w:val="00C83134"/>
    <w:rsid w:val="00C832F3"/>
    <w:rsid w:val="00C845A4"/>
    <w:rsid w:val="00C85545"/>
    <w:rsid w:val="00C855B5"/>
    <w:rsid w:val="00C85F0E"/>
    <w:rsid w:val="00C90CF4"/>
    <w:rsid w:val="00C922DE"/>
    <w:rsid w:val="00C92843"/>
    <w:rsid w:val="00C92EB6"/>
    <w:rsid w:val="00C93389"/>
    <w:rsid w:val="00C94CDD"/>
    <w:rsid w:val="00CA0346"/>
    <w:rsid w:val="00CA1BD6"/>
    <w:rsid w:val="00CA37FF"/>
    <w:rsid w:val="00CA423A"/>
    <w:rsid w:val="00CA47BC"/>
    <w:rsid w:val="00CA6AB4"/>
    <w:rsid w:val="00CA7255"/>
    <w:rsid w:val="00CB2351"/>
    <w:rsid w:val="00CB4930"/>
    <w:rsid w:val="00CB4C63"/>
    <w:rsid w:val="00CB5A48"/>
    <w:rsid w:val="00CB5E10"/>
    <w:rsid w:val="00CB613B"/>
    <w:rsid w:val="00CB6152"/>
    <w:rsid w:val="00CB64E1"/>
    <w:rsid w:val="00CC0834"/>
    <w:rsid w:val="00CC20FE"/>
    <w:rsid w:val="00CC2E7D"/>
    <w:rsid w:val="00CC612B"/>
    <w:rsid w:val="00CC655F"/>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2E4D"/>
    <w:rsid w:val="00CF4205"/>
    <w:rsid w:val="00CF4908"/>
    <w:rsid w:val="00CF51EC"/>
    <w:rsid w:val="00CF545D"/>
    <w:rsid w:val="00CF5873"/>
    <w:rsid w:val="00CF73AE"/>
    <w:rsid w:val="00D0085A"/>
    <w:rsid w:val="00D0242D"/>
    <w:rsid w:val="00D02716"/>
    <w:rsid w:val="00D03A72"/>
    <w:rsid w:val="00D040DD"/>
    <w:rsid w:val="00D04134"/>
    <w:rsid w:val="00D05C65"/>
    <w:rsid w:val="00D06B56"/>
    <w:rsid w:val="00D06D68"/>
    <w:rsid w:val="00D075BE"/>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31537"/>
    <w:rsid w:val="00D31E1E"/>
    <w:rsid w:val="00D322A0"/>
    <w:rsid w:val="00D32824"/>
    <w:rsid w:val="00D334E2"/>
    <w:rsid w:val="00D35AD6"/>
    <w:rsid w:val="00D35BBB"/>
    <w:rsid w:val="00D35E1A"/>
    <w:rsid w:val="00D36DFB"/>
    <w:rsid w:val="00D36E1C"/>
    <w:rsid w:val="00D373AF"/>
    <w:rsid w:val="00D40556"/>
    <w:rsid w:val="00D41F74"/>
    <w:rsid w:val="00D43ED2"/>
    <w:rsid w:val="00D50F46"/>
    <w:rsid w:val="00D5384E"/>
    <w:rsid w:val="00D544E7"/>
    <w:rsid w:val="00D5560A"/>
    <w:rsid w:val="00D56FBF"/>
    <w:rsid w:val="00D57677"/>
    <w:rsid w:val="00D60415"/>
    <w:rsid w:val="00D60E3C"/>
    <w:rsid w:val="00D63BE5"/>
    <w:rsid w:val="00D6475F"/>
    <w:rsid w:val="00D66223"/>
    <w:rsid w:val="00D667B8"/>
    <w:rsid w:val="00D70289"/>
    <w:rsid w:val="00D70822"/>
    <w:rsid w:val="00D72076"/>
    <w:rsid w:val="00D726A9"/>
    <w:rsid w:val="00D743E0"/>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544C"/>
    <w:rsid w:val="00DA5F8E"/>
    <w:rsid w:val="00DA6364"/>
    <w:rsid w:val="00DA7114"/>
    <w:rsid w:val="00DA7C0C"/>
    <w:rsid w:val="00DB08A9"/>
    <w:rsid w:val="00DB2DFA"/>
    <w:rsid w:val="00DB2EC8"/>
    <w:rsid w:val="00DB459B"/>
    <w:rsid w:val="00DB47FD"/>
    <w:rsid w:val="00DB5E9A"/>
    <w:rsid w:val="00DB657E"/>
    <w:rsid w:val="00DB7342"/>
    <w:rsid w:val="00DC17D0"/>
    <w:rsid w:val="00DC2B41"/>
    <w:rsid w:val="00DC435B"/>
    <w:rsid w:val="00DC53D8"/>
    <w:rsid w:val="00DC56FE"/>
    <w:rsid w:val="00DC5B3B"/>
    <w:rsid w:val="00DC6C2D"/>
    <w:rsid w:val="00DC7B1A"/>
    <w:rsid w:val="00DD04B0"/>
    <w:rsid w:val="00DD129F"/>
    <w:rsid w:val="00DD1A3F"/>
    <w:rsid w:val="00DD29B5"/>
    <w:rsid w:val="00DD32DD"/>
    <w:rsid w:val="00DD5287"/>
    <w:rsid w:val="00DE0D8B"/>
    <w:rsid w:val="00DE1237"/>
    <w:rsid w:val="00DE140F"/>
    <w:rsid w:val="00DE2491"/>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694"/>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1771"/>
    <w:rsid w:val="00E31A3E"/>
    <w:rsid w:val="00E32080"/>
    <w:rsid w:val="00E3309D"/>
    <w:rsid w:val="00E3724A"/>
    <w:rsid w:val="00E378B1"/>
    <w:rsid w:val="00E417BE"/>
    <w:rsid w:val="00E41CD5"/>
    <w:rsid w:val="00E4372D"/>
    <w:rsid w:val="00E43A9E"/>
    <w:rsid w:val="00E453F9"/>
    <w:rsid w:val="00E45D7D"/>
    <w:rsid w:val="00E4623F"/>
    <w:rsid w:val="00E4665D"/>
    <w:rsid w:val="00E47854"/>
    <w:rsid w:val="00E47EBA"/>
    <w:rsid w:val="00E50156"/>
    <w:rsid w:val="00E5076C"/>
    <w:rsid w:val="00E50D2E"/>
    <w:rsid w:val="00E53470"/>
    <w:rsid w:val="00E539F6"/>
    <w:rsid w:val="00E54698"/>
    <w:rsid w:val="00E54FB4"/>
    <w:rsid w:val="00E55791"/>
    <w:rsid w:val="00E55E1A"/>
    <w:rsid w:val="00E578A2"/>
    <w:rsid w:val="00E60043"/>
    <w:rsid w:val="00E61740"/>
    <w:rsid w:val="00E61EB5"/>
    <w:rsid w:val="00E6324D"/>
    <w:rsid w:val="00E65084"/>
    <w:rsid w:val="00E6519D"/>
    <w:rsid w:val="00E66062"/>
    <w:rsid w:val="00E6660E"/>
    <w:rsid w:val="00E67305"/>
    <w:rsid w:val="00E67696"/>
    <w:rsid w:val="00E71A58"/>
    <w:rsid w:val="00E72A26"/>
    <w:rsid w:val="00E72A7A"/>
    <w:rsid w:val="00E7335A"/>
    <w:rsid w:val="00E747DC"/>
    <w:rsid w:val="00E74A2D"/>
    <w:rsid w:val="00E75C94"/>
    <w:rsid w:val="00E76B9B"/>
    <w:rsid w:val="00E76E61"/>
    <w:rsid w:val="00E80CA3"/>
    <w:rsid w:val="00E82618"/>
    <w:rsid w:val="00E84E09"/>
    <w:rsid w:val="00E90948"/>
    <w:rsid w:val="00E90CA8"/>
    <w:rsid w:val="00E930A1"/>
    <w:rsid w:val="00E93820"/>
    <w:rsid w:val="00E94A86"/>
    <w:rsid w:val="00E953F6"/>
    <w:rsid w:val="00E96143"/>
    <w:rsid w:val="00E96833"/>
    <w:rsid w:val="00E97506"/>
    <w:rsid w:val="00EA0C68"/>
    <w:rsid w:val="00EA1D0E"/>
    <w:rsid w:val="00EA2841"/>
    <w:rsid w:val="00EA32BC"/>
    <w:rsid w:val="00EA35A7"/>
    <w:rsid w:val="00EA3B32"/>
    <w:rsid w:val="00EA3D05"/>
    <w:rsid w:val="00EA4402"/>
    <w:rsid w:val="00EA4B8D"/>
    <w:rsid w:val="00EA513E"/>
    <w:rsid w:val="00EA7419"/>
    <w:rsid w:val="00EB0E32"/>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F10"/>
    <w:rsid w:val="00ED4D04"/>
    <w:rsid w:val="00ED5907"/>
    <w:rsid w:val="00ED5F5B"/>
    <w:rsid w:val="00ED62C6"/>
    <w:rsid w:val="00ED64C1"/>
    <w:rsid w:val="00EE3446"/>
    <w:rsid w:val="00EE3E78"/>
    <w:rsid w:val="00EE41FD"/>
    <w:rsid w:val="00EE460E"/>
    <w:rsid w:val="00EE4B1B"/>
    <w:rsid w:val="00EE5FBA"/>
    <w:rsid w:val="00EE6E06"/>
    <w:rsid w:val="00EE7179"/>
    <w:rsid w:val="00EF150D"/>
    <w:rsid w:val="00EF1F5A"/>
    <w:rsid w:val="00EF47BF"/>
    <w:rsid w:val="00EF59B1"/>
    <w:rsid w:val="00EF5A13"/>
    <w:rsid w:val="00EF5FF9"/>
    <w:rsid w:val="00EF7CC7"/>
    <w:rsid w:val="00F00866"/>
    <w:rsid w:val="00F0160B"/>
    <w:rsid w:val="00F0193E"/>
    <w:rsid w:val="00F03F8D"/>
    <w:rsid w:val="00F04811"/>
    <w:rsid w:val="00F0488C"/>
    <w:rsid w:val="00F073ED"/>
    <w:rsid w:val="00F07C4C"/>
    <w:rsid w:val="00F10F11"/>
    <w:rsid w:val="00F11159"/>
    <w:rsid w:val="00F12CFB"/>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307CB"/>
    <w:rsid w:val="00F30C65"/>
    <w:rsid w:val="00F32649"/>
    <w:rsid w:val="00F33523"/>
    <w:rsid w:val="00F3364D"/>
    <w:rsid w:val="00F349BF"/>
    <w:rsid w:val="00F34DDC"/>
    <w:rsid w:val="00F37EDC"/>
    <w:rsid w:val="00F437CC"/>
    <w:rsid w:val="00F44537"/>
    <w:rsid w:val="00F46185"/>
    <w:rsid w:val="00F46423"/>
    <w:rsid w:val="00F4696A"/>
    <w:rsid w:val="00F47067"/>
    <w:rsid w:val="00F525EB"/>
    <w:rsid w:val="00F52CB5"/>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4E7D"/>
    <w:rsid w:val="00F85066"/>
    <w:rsid w:val="00F87A4D"/>
    <w:rsid w:val="00F93688"/>
    <w:rsid w:val="00F939F3"/>
    <w:rsid w:val="00F9644E"/>
    <w:rsid w:val="00FA0105"/>
    <w:rsid w:val="00FA05A0"/>
    <w:rsid w:val="00FA17CC"/>
    <w:rsid w:val="00FA1F01"/>
    <w:rsid w:val="00FA26DF"/>
    <w:rsid w:val="00FA32BC"/>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48E4"/>
    <w:rsid w:val="00FE634C"/>
    <w:rsid w:val="00FE6E69"/>
    <w:rsid w:val="00FE6F59"/>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9\QMakro\1.pololet&#237;%202019\Grafy-st&#225;tn&#237;%20rozpo&#269;et-rok-1-pol-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9\QMakro\1.pololet&#237;%202019\Rozpo&#269;et\Grafy-st&#225;tn&#237;%20rozpo&#269;et-rok-1-pol-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577477727787412E-2"/>
          <c:y val="1.7107238390107405E-2"/>
          <c:w val="0.9019171237054221"/>
          <c:h val="0.81882420592062344"/>
        </c:manualLayout>
      </c:layout>
      <c:barChart>
        <c:barDir val="col"/>
        <c:grouping val="clustered"/>
        <c:varyColors val="0"/>
        <c:ser>
          <c:idx val="4"/>
          <c:order val="3"/>
          <c:tx>
            <c:strRef>
              <c:f>'Státní rozpočet-příjmy'!$A$38</c:f>
              <c:strCache>
                <c:ptCount val="1"/>
                <c:pt idx="0">
                  <c:v>Saldo státního rozpočtu (pravá osa)</c:v>
                </c:pt>
              </c:strCache>
            </c:strRef>
          </c:tx>
          <c:spPr>
            <a:solidFill>
              <a:schemeClr val="bg1">
                <a:lumMod val="85000"/>
              </a:schemeClr>
            </a:solidFill>
          </c:spPr>
          <c:invertIfNegative val="0"/>
          <c:cat>
            <c:numRef>
              <c:f>'Státní rozpočet-příjmy'!$B$34:$P$34</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rozpočet-příjmy'!$B$38:$P$38</c:f>
              <c:numCache>
                <c:formatCode>#\ ##0.0</c:formatCode>
                <c:ptCount val="15"/>
                <c:pt idx="0">
                  <c:v>3.76</c:v>
                </c:pt>
                <c:pt idx="1">
                  <c:v>7.64</c:v>
                </c:pt>
                <c:pt idx="2">
                  <c:v>1.2749999999999999</c:v>
                </c:pt>
                <c:pt idx="3">
                  <c:v>-5.6520000000000001</c:v>
                </c:pt>
                <c:pt idx="4">
                  <c:v>-68.259</c:v>
                </c:pt>
                <c:pt idx="5">
                  <c:v>-75.662000000000006</c:v>
                </c:pt>
                <c:pt idx="6">
                  <c:v>-62.856000000000002</c:v>
                </c:pt>
                <c:pt idx="7">
                  <c:v>-71.721999999999994</c:v>
                </c:pt>
                <c:pt idx="8">
                  <c:v>-31.52</c:v>
                </c:pt>
                <c:pt idx="9">
                  <c:v>1.45</c:v>
                </c:pt>
                <c:pt idx="10">
                  <c:v>22.65</c:v>
                </c:pt>
                <c:pt idx="11">
                  <c:v>40.65</c:v>
                </c:pt>
                <c:pt idx="12">
                  <c:v>4.62</c:v>
                </c:pt>
                <c:pt idx="13">
                  <c:v>-5.88</c:v>
                </c:pt>
                <c:pt idx="14">
                  <c:v>-20.68</c:v>
                </c:pt>
              </c:numCache>
            </c:numRef>
          </c:val>
          <c:extLst>
            <c:ext xmlns:c16="http://schemas.microsoft.com/office/drawing/2014/chart" uri="{C3380CC4-5D6E-409C-BE32-E72D297353CC}">
              <c16:uniqueId val="{00000000-F554-405B-9479-ECB7FE164458}"/>
            </c:ext>
          </c:extLst>
        </c:ser>
        <c:dLbls>
          <c:showLegendKey val="0"/>
          <c:showVal val="0"/>
          <c:showCatName val="0"/>
          <c:showSerName val="0"/>
          <c:showPercent val="0"/>
          <c:showBubbleSize val="0"/>
        </c:dLbls>
        <c:gapWidth val="50"/>
        <c:axId val="337259904"/>
        <c:axId val="337258656"/>
      </c:barChart>
      <c:lineChart>
        <c:grouping val="standard"/>
        <c:varyColors val="0"/>
        <c:ser>
          <c:idx val="0"/>
          <c:order val="0"/>
          <c:tx>
            <c:strRef>
              <c:f>'Státní rozpočet-příjmy'!$A$35</c:f>
              <c:strCache>
                <c:ptCount val="1"/>
                <c:pt idx="0">
                  <c:v>DPH a spotřební daně</c:v>
                </c:pt>
              </c:strCache>
            </c:strRef>
          </c:tx>
          <c:spPr>
            <a:ln w="19050">
              <a:noFill/>
            </a:ln>
          </c:spPr>
          <c:marker>
            <c:symbol val="diamond"/>
            <c:size val="6"/>
            <c:spPr>
              <a:solidFill>
                <a:srgbClr val="00B050"/>
              </a:solidFill>
              <a:ln>
                <a:noFill/>
              </a:ln>
            </c:spPr>
          </c:marker>
          <c:cat>
            <c:numRef>
              <c:f>'Státní rozpočet-příjmy'!$B$34:$P$34</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rozpočet-příjmy'!$B$35:$P$35</c:f>
              <c:numCache>
                <c:formatCode>0.0</c:formatCode>
                <c:ptCount val="15"/>
                <c:pt idx="0">
                  <c:v>26.071458881439384</c:v>
                </c:pt>
                <c:pt idx="1">
                  <c:v>14.762706159542233</c:v>
                </c:pt>
                <c:pt idx="2">
                  <c:v>1.7362740497419082</c:v>
                </c:pt>
                <c:pt idx="3">
                  <c:v>4.3646217712176991</c:v>
                </c:pt>
                <c:pt idx="4">
                  <c:v>-2.5247223910281065</c:v>
                </c:pt>
                <c:pt idx="5">
                  <c:v>9.1022443890274189</c:v>
                </c:pt>
                <c:pt idx="6">
                  <c:v>6.7532467532467564</c:v>
                </c:pt>
                <c:pt idx="7">
                  <c:v>-4.4720194647201907</c:v>
                </c:pt>
                <c:pt idx="8">
                  <c:v>8.0077428556874395</c:v>
                </c:pt>
                <c:pt idx="9">
                  <c:v>8.055463849455279</c:v>
                </c:pt>
                <c:pt idx="10">
                  <c:v>-4.5087512548557385</c:v>
                </c:pt>
                <c:pt idx="11">
                  <c:v>6.5682420696590071</c:v>
                </c:pt>
                <c:pt idx="12">
                  <c:v>9.761955822431915</c:v>
                </c:pt>
                <c:pt idx="13">
                  <c:v>6.0607244734476922</c:v>
                </c:pt>
                <c:pt idx="14">
                  <c:v>3.1611524574460077</c:v>
                </c:pt>
              </c:numCache>
            </c:numRef>
          </c:val>
          <c:smooth val="0"/>
          <c:extLst>
            <c:ext xmlns:c16="http://schemas.microsoft.com/office/drawing/2014/chart" uri="{C3380CC4-5D6E-409C-BE32-E72D297353CC}">
              <c16:uniqueId val="{00000001-F554-405B-9479-ECB7FE164458}"/>
            </c:ext>
          </c:extLst>
        </c:ser>
        <c:ser>
          <c:idx val="1"/>
          <c:order val="1"/>
          <c:tx>
            <c:strRef>
              <c:f>'Státní rozpočet-příjmy'!$A$36</c:f>
              <c:strCache>
                <c:ptCount val="1"/>
                <c:pt idx="0">
                  <c:v>Daně z příjmů (DPFO) ze závislé činnosti</c:v>
                </c:pt>
              </c:strCache>
            </c:strRef>
          </c:tx>
          <c:spPr>
            <a:ln w="19050">
              <a:solidFill>
                <a:srgbClr val="BD1B25"/>
              </a:solidFill>
              <a:prstDash val="solid"/>
            </a:ln>
          </c:spPr>
          <c:marker>
            <c:symbol val="none"/>
          </c:marker>
          <c:cat>
            <c:numRef>
              <c:f>'Státní rozpočet-příjmy'!$B$34:$P$34</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rozpočet-příjmy'!$B$36:$P$36</c:f>
              <c:numCache>
                <c:formatCode>0.0</c:formatCode>
                <c:ptCount val="15"/>
                <c:pt idx="0">
                  <c:v>7.2278911564625901</c:v>
                </c:pt>
                <c:pt idx="1">
                  <c:v>2.2997620935765468</c:v>
                </c:pt>
                <c:pt idx="2">
                  <c:v>12.20930232558139</c:v>
                </c:pt>
                <c:pt idx="3">
                  <c:v>-5.4749568221070746</c:v>
                </c:pt>
                <c:pt idx="4">
                  <c:v>-6.0661428832450213</c:v>
                </c:pt>
                <c:pt idx="5">
                  <c:v>-0.11670881151526658</c:v>
                </c:pt>
                <c:pt idx="6">
                  <c:v>6.6601752677702137</c:v>
                </c:pt>
                <c:pt idx="7">
                  <c:v>2.2092386342888375</c:v>
                </c:pt>
                <c:pt idx="8">
                  <c:v>5.4841014648088731</c:v>
                </c:pt>
                <c:pt idx="9">
                  <c:v>4.7417442845046622</c:v>
                </c:pt>
                <c:pt idx="10">
                  <c:v>1.0509296685529534</c:v>
                </c:pt>
                <c:pt idx="11">
                  <c:v>10.704000000000008</c:v>
                </c:pt>
                <c:pt idx="12">
                  <c:v>12.559618441971381</c:v>
                </c:pt>
                <c:pt idx="13">
                  <c:v>15.382639958911156</c:v>
                </c:pt>
                <c:pt idx="14">
                  <c:v>13.265079011796118</c:v>
                </c:pt>
              </c:numCache>
            </c:numRef>
          </c:val>
          <c:smooth val="0"/>
          <c:extLst>
            <c:ext xmlns:c16="http://schemas.microsoft.com/office/drawing/2014/chart" uri="{C3380CC4-5D6E-409C-BE32-E72D297353CC}">
              <c16:uniqueId val="{00000002-F554-405B-9479-ECB7FE164458}"/>
            </c:ext>
          </c:extLst>
        </c:ser>
        <c:ser>
          <c:idx val="3"/>
          <c:order val="2"/>
          <c:tx>
            <c:strRef>
              <c:f>'Státní rozpočet-příjmy'!$A$37</c:f>
              <c:strCache>
                <c:ptCount val="1"/>
                <c:pt idx="0">
                  <c:v>Daně z příjmů právnických osob (DPPO)</c:v>
                </c:pt>
              </c:strCache>
            </c:strRef>
          </c:tx>
          <c:spPr>
            <a:ln w="19050">
              <a:solidFill>
                <a:srgbClr val="0071BC"/>
              </a:solidFill>
              <a:prstDash val="solid"/>
            </a:ln>
          </c:spPr>
          <c:marker>
            <c:symbol val="none"/>
          </c:marker>
          <c:cat>
            <c:numRef>
              <c:f>'Státní rozpočet-příjmy'!$B$34:$P$34</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'Státní rozpočet-příjmy'!$B$37:$P$37</c:f>
              <c:numCache>
                <c:formatCode>0.0</c:formatCode>
                <c:ptCount val="15"/>
                <c:pt idx="0">
                  <c:v>26.596315507064944</c:v>
                </c:pt>
                <c:pt idx="1">
                  <c:v>5.9197513421870553</c:v>
                </c:pt>
                <c:pt idx="2">
                  <c:v>-1.3872215552887752</c:v>
                </c:pt>
                <c:pt idx="3">
                  <c:v>26.565670228594598</c:v>
                </c:pt>
                <c:pt idx="4">
                  <c:v>-22.293470129314954</c:v>
                </c:pt>
                <c:pt idx="5">
                  <c:v>10.16366387016916</c:v>
                </c:pt>
                <c:pt idx="6">
                  <c:v>-13.508114856429458</c:v>
                </c:pt>
                <c:pt idx="7">
                  <c:v>-1.8042725173210101</c:v>
                </c:pt>
                <c:pt idx="8">
                  <c:v>-2.6458915184477405</c:v>
                </c:pt>
                <c:pt idx="9">
                  <c:v>8.3949871659368966</c:v>
                </c:pt>
                <c:pt idx="10">
                  <c:v>8.3855690207549856</c:v>
                </c:pt>
                <c:pt idx="11">
                  <c:v>11.425266675234539</c:v>
                </c:pt>
                <c:pt idx="12">
                  <c:v>7.5778546712802779</c:v>
                </c:pt>
                <c:pt idx="13">
                  <c:v>-7.5050927415020396E-2</c:v>
                </c:pt>
                <c:pt idx="14">
                  <c:v>6.2982832618025668</c:v>
                </c:pt>
              </c:numCache>
            </c:numRef>
          </c:val>
          <c:smooth val="0"/>
          <c:extLst>
            <c:ext xmlns:c16="http://schemas.microsoft.com/office/drawing/2014/chart" uri="{C3380CC4-5D6E-409C-BE32-E72D297353CC}">
              <c16:uniqueId val="{00000003-F554-405B-9479-ECB7FE164458}"/>
            </c:ext>
          </c:extLst>
        </c:ser>
        <c:dLbls>
          <c:showLegendKey val="0"/>
          <c:showVal val="0"/>
          <c:showCatName val="0"/>
          <c:showSerName val="0"/>
          <c:showPercent val="0"/>
          <c:showBubbleSize val="0"/>
        </c:dLbls>
        <c:marker val="1"/>
        <c:smooth val="0"/>
        <c:axId val="79288576"/>
        <c:axId val="66855296"/>
      </c:lineChart>
      <c:catAx>
        <c:axId val="79288576"/>
        <c:scaling>
          <c:orientation val="minMax"/>
        </c:scaling>
        <c:delete val="0"/>
        <c:axPos val="b"/>
        <c:numFmt formatCode="General" sourceLinked="1"/>
        <c:majorTickMark val="out"/>
        <c:minorTickMark val="none"/>
        <c:tickLblPos val="low"/>
        <c:spPr>
          <a:ln w="6350">
            <a:solidFill>
              <a:schemeClr val="tx1"/>
            </a:solidFill>
          </a:ln>
        </c:spPr>
        <c:crossAx val="66855296"/>
        <c:crosses val="autoZero"/>
        <c:auto val="1"/>
        <c:lblAlgn val="ctr"/>
        <c:lblOffset val="0"/>
        <c:noMultiLvlLbl val="0"/>
      </c:catAx>
      <c:valAx>
        <c:axId val="66855296"/>
        <c:scaling>
          <c:orientation val="minMax"/>
          <c:max val="35"/>
          <c:min val="-40"/>
        </c:scaling>
        <c:delete val="0"/>
        <c:axPos val="l"/>
        <c:majorGridlines>
          <c:spPr>
            <a:ln w="6350">
              <a:solidFill>
                <a:schemeClr val="bg1">
                  <a:lumMod val="75000"/>
                </a:schemeClr>
              </a:solidFill>
            </a:ln>
          </c:spPr>
        </c:majorGridlines>
        <c:numFmt formatCode="0" sourceLinked="0"/>
        <c:majorTickMark val="out"/>
        <c:minorTickMark val="none"/>
        <c:tickLblPos val="nextTo"/>
        <c:spPr>
          <a:ln w="6350">
            <a:solidFill>
              <a:schemeClr val="tx1"/>
            </a:solidFill>
          </a:ln>
        </c:spPr>
        <c:crossAx val="79288576"/>
        <c:crosses val="autoZero"/>
        <c:crossBetween val="between"/>
        <c:majorUnit val="5"/>
      </c:valAx>
      <c:valAx>
        <c:axId val="337258656"/>
        <c:scaling>
          <c:orientation val="minMax"/>
          <c:max val="70"/>
          <c:min val="-80"/>
        </c:scaling>
        <c:delete val="0"/>
        <c:axPos val="r"/>
        <c:numFmt formatCode="#,##0" sourceLinked="0"/>
        <c:majorTickMark val="out"/>
        <c:minorTickMark val="none"/>
        <c:tickLblPos val="nextTo"/>
        <c:spPr>
          <a:ln w="6350"/>
        </c:spPr>
        <c:crossAx val="337259904"/>
        <c:crosses val="max"/>
        <c:crossBetween val="between"/>
        <c:majorUnit val="10"/>
      </c:valAx>
      <c:catAx>
        <c:axId val="337259904"/>
        <c:scaling>
          <c:orientation val="minMax"/>
        </c:scaling>
        <c:delete val="1"/>
        <c:axPos val="b"/>
        <c:numFmt formatCode="General" sourceLinked="1"/>
        <c:majorTickMark val="out"/>
        <c:minorTickMark val="none"/>
        <c:tickLblPos val="nextTo"/>
        <c:crossAx val="337258656"/>
        <c:crosses val="autoZero"/>
        <c:auto val="1"/>
        <c:lblAlgn val="ctr"/>
        <c:lblOffset val="100"/>
        <c:noMultiLvlLbl val="0"/>
      </c:catAx>
      <c:spPr>
        <a:ln w="6350">
          <a:solidFill>
            <a:schemeClr val="tx1"/>
          </a:solidFill>
        </a:ln>
      </c:spPr>
    </c:plotArea>
    <c:legend>
      <c:legendPos val="b"/>
      <c:layout>
        <c:manualLayout>
          <c:xMode val="edge"/>
          <c:yMode val="edge"/>
          <c:x val="3.5809113379182592E-2"/>
          <c:y val="0.88349324889693148"/>
          <c:w val="0.92643262075287514"/>
          <c:h val="0.1015176265333846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54503640965086E-2"/>
          <c:y val="1.7112323287741892E-2"/>
          <c:w val="0.88571919735113291"/>
          <c:h val="0.76067747074773961"/>
        </c:manualLayout>
      </c:layout>
      <c:barChart>
        <c:barDir val="col"/>
        <c:grouping val="clustered"/>
        <c:varyColors val="0"/>
        <c:ser>
          <c:idx val="0"/>
          <c:order val="0"/>
          <c:tx>
            <c:strRef>
              <c:f>'SR-výdaje-1q 2019'!$B$31</c:f>
              <c:strCache>
                <c:ptCount val="1"/>
                <c:pt idx="0">
                  <c:v>Běžné výdaje (pravá osa)</c:v>
                </c:pt>
              </c:strCache>
            </c:strRef>
          </c:tx>
          <c:spPr>
            <a:solidFill>
              <a:schemeClr val="bg1">
                <a:lumMod val="75000"/>
              </a:schemeClr>
            </a:solidFill>
            <a:ln>
              <a:noFill/>
            </a:ln>
          </c:spPr>
          <c:invertIfNegative val="0"/>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2019'!$B$32:$B$46</c:f>
              <c:numCache>
                <c:formatCode>0.0</c:formatCode>
                <c:ptCount val="15"/>
                <c:pt idx="0">
                  <c:v>402.04</c:v>
                </c:pt>
                <c:pt idx="1">
                  <c:v>437.53300000000002</c:v>
                </c:pt>
                <c:pt idx="2">
                  <c:v>455.274</c:v>
                </c:pt>
                <c:pt idx="3">
                  <c:v>488.71899999999999</c:v>
                </c:pt>
                <c:pt idx="4">
                  <c:v>523.79999999999995</c:v>
                </c:pt>
                <c:pt idx="5">
                  <c:v>527.73400000000004</c:v>
                </c:pt>
                <c:pt idx="6">
                  <c:v>523.22</c:v>
                </c:pt>
                <c:pt idx="7">
                  <c:v>534.42999999999995</c:v>
                </c:pt>
                <c:pt idx="8">
                  <c:v>544.65</c:v>
                </c:pt>
                <c:pt idx="9">
                  <c:v>552.71100000000001</c:v>
                </c:pt>
                <c:pt idx="10">
                  <c:v>564.13</c:v>
                </c:pt>
                <c:pt idx="11">
                  <c:v>575.57000000000005</c:v>
                </c:pt>
                <c:pt idx="12">
                  <c:v>609.53</c:v>
                </c:pt>
                <c:pt idx="13">
                  <c:v>660.76</c:v>
                </c:pt>
                <c:pt idx="14">
                  <c:v>718.86</c:v>
                </c:pt>
              </c:numCache>
            </c:numRef>
          </c:val>
          <c:extLst>
            <c:ext xmlns:c16="http://schemas.microsoft.com/office/drawing/2014/chart" uri="{C3380CC4-5D6E-409C-BE32-E72D297353CC}">
              <c16:uniqueId val="{00000000-0C1B-4C8A-9D87-41088EABD603}"/>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'SR-výdaje-1q 2019'!$C$31</c:f>
              <c:strCache>
                <c:ptCount val="1"/>
                <c:pt idx="0">
                  <c:v>Platy státních zaměstnanců*</c:v>
                </c:pt>
              </c:strCache>
            </c:strRef>
          </c:tx>
          <c:spPr>
            <a:ln w="15875">
              <a:solidFill>
                <a:srgbClr val="984807"/>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2019'!$C$32:$C$46</c:f>
              <c:numCache>
                <c:formatCode>0.0</c:formatCode>
                <c:ptCount val="15"/>
                <c:pt idx="0">
                  <c:v>34.159999999999997</c:v>
                </c:pt>
                <c:pt idx="1">
                  <c:v>35.65</c:v>
                </c:pt>
                <c:pt idx="2">
                  <c:v>37.92</c:v>
                </c:pt>
                <c:pt idx="3">
                  <c:v>37.729999999999997</c:v>
                </c:pt>
                <c:pt idx="4">
                  <c:v>38.979999999999997</c:v>
                </c:pt>
                <c:pt idx="5">
                  <c:v>39.36</c:v>
                </c:pt>
                <c:pt idx="6">
                  <c:v>35.700000000000003</c:v>
                </c:pt>
                <c:pt idx="7">
                  <c:v>36.299999999999997</c:v>
                </c:pt>
                <c:pt idx="8">
                  <c:v>36.880000000000003</c:v>
                </c:pt>
                <c:pt idx="9">
                  <c:v>38.090000000000003</c:v>
                </c:pt>
                <c:pt idx="10">
                  <c:v>41.88</c:v>
                </c:pt>
                <c:pt idx="11">
                  <c:v>43.22</c:v>
                </c:pt>
                <c:pt idx="12">
                  <c:v>46.52</c:v>
                </c:pt>
                <c:pt idx="13">
                  <c:v>53.13</c:v>
                </c:pt>
                <c:pt idx="14">
                  <c:v>57.57</c:v>
                </c:pt>
              </c:numCache>
            </c:numRef>
          </c:val>
          <c:smooth val="0"/>
          <c:extLst>
            <c:ext xmlns:c16="http://schemas.microsoft.com/office/drawing/2014/chart" uri="{C3380CC4-5D6E-409C-BE32-E72D297353CC}">
              <c16:uniqueId val="{00000001-0C1B-4C8A-9D87-41088EABD603}"/>
            </c:ext>
          </c:extLst>
        </c:ser>
        <c:ser>
          <c:idx val="6"/>
          <c:order val="2"/>
          <c:tx>
            <c:strRef>
              <c:f>'SR-výdaje-1q 2019'!$D$31</c:f>
              <c:strCache>
                <c:ptCount val="1"/>
                <c:pt idx="0">
                  <c:v>Podpora v nezaměstnanosti</c:v>
                </c:pt>
              </c:strCache>
            </c:strRef>
          </c:tx>
          <c:spPr>
            <a:ln w="15875">
              <a:solidFill>
                <a:srgbClr val="48AEE7"/>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2019'!$D$32:$D$46</c:f>
              <c:numCache>
                <c:formatCode>0.0</c:formatCode>
                <c:ptCount val="15"/>
                <c:pt idx="0">
                  <c:v>3.69</c:v>
                </c:pt>
                <c:pt idx="1">
                  <c:v>3.8959999999999999</c:v>
                </c:pt>
                <c:pt idx="2">
                  <c:v>3.78</c:v>
                </c:pt>
                <c:pt idx="3">
                  <c:v>3.56</c:v>
                </c:pt>
                <c:pt idx="4">
                  <c:v>7.3049999999999997</c:v>
                </c:pt>
                <c:pt idx="5">
                  <c:v>7.77</c:v>
                </c:pt>
                <c:pt idx="6">
                  <c:v>6.2279999999999998</c:v>
                </c:pt>
                <c:pt idx="7">
                  <c:v>4.8410000000000002</c:v>
                </c:pt>
                <c:pt idx="8">
                  <c:v>5.3579999999999997</c:v>
                </c:pt>
                <c:pt idx="9">
                  <c:v>5.2690000000000001</c:v>
                </c:pt>
                <c:pt idx="10">
                  <c:v>4.6150000000000002</c:v>
                </c:pt>
                <c:pt idx="11">
                  <c:v>4.4829999999999997</c:v>
                </c:pt>
                <c:pt idx="12">
                  <c:v>4.3310000000000004</c:v>
                </c:pt>
                <c:pt idx="13">
                  <c:v>3.98</c:v>
                </c:pt>
                <c:pt idx="14">
                  <c:v>4.24</c:v>
                </c:pt>
              </c:numCache>
            </c:numRef>
          </c:val>
          <c:smooth val="0"/>
          <c:extLst>
            <c:ext xmlns:c16="http://schemas.microsoft.com/office/drawing/2014/chart" uri="{C3380CC4-5D6E-409C-BE32-E72D297353CC}">
              <c16:uniqueId val="{00000002-0C1B-4C8A-9D87-41088EABD603}"/>
            </c:ext>
          </c:extLst>
        </c:ser>
        <c:ser>
          <c:idx val="7"/>
          <c:order val="3"/>
          <c:tx>
            <c:strRef>
              <c:f>'SR-výdaje-1q 2019'!$E$31</c:f>
              <c:strCache>
                <c:ptCount val="1"/>
                <c:pt idx="0">
                  <c:v>Státní sociální podpora**</c:v>
                </c:pt>
              </c:strCache>
            </c:strRef>
          </c:tx>
          <c:spPr>
            <a:ln w="15875">
              <a:solidFill>
                <a:srgbClr val="00B050"/>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2019'!$E$32:$E$46</c:f>
              <c:numCache>
                <c:formatCode>General</c:formatCode>
                <c:ptCount val="15"/>
                <c:pt idx="0" formatCode="0.00">
                  <c:v>16.649999999999999</c:v>
                </c:pt>
                <c:pt idx="1">
                  <c:v>17.04</c:v>
                </c:pt>
                <c:pt idx="2">
                  <c:v>23.83</c:v>
                </c:pt>
                <c:pt idx="3">
                  <c:v>21.52</c:v>
                </c:pt>
                <c:pt idx="4">
                  <c:v>20.594999999999999</c:v>
                </c:pt>
                <c:pt idx="5">
                  <c:v>20.64</c:v>
                </c:pt>
                <c:pt idx="6">
                  <c:v>18.405999999999999</c:v>
                </c:pt>
                <c:pt idx="7">
                  <c:v>17.881</c:v>
                </c:pt>
                <c:pt idx="8">
                  <c:v>18.681999999999999</c:v>
                </c:pt>
                <c:pt idx="9">
                  <c:v>18.91</c:v>
                </c:pt>
                <c:pt idx="10">
                  <c:v>18.873999999999999</c:v>
                </c:pt>
                <c:pt idx="11">
                  <c:v>18.963999999999999</c:v>
                </c:pt>
                <c:pt idx="12">
                  <c:v>18.742000000000001</c:v>
                </c:pt>
                <c:pt idx="13">
                  <c:v>19.53</c:v>
                </c:pt>
                <c:pt idx="14">
                  <c:v>19.04</c:v>
                </c:pt>
              </c:numCache>
            </c:numRef>
          </c:val>
          <c:smooth val="0"/>
          <c:extLst>
            <c:ext xmlns:c16="http://schemas.microsoft.com/office/drawing/2014/chart" uri="{C3380CC4-5D6E-409C-BE32-E72D297353CC}">
              <c16:uniqueId val="{00000003-0C1B-4C8A-9D87-41088EABD603}"/>
            </c:ext>
          </c:extLst>
        </c:ser>
        <c:ser>
          <c:idx val="2"/>
          <c:order val="4"/>
          <c:tx>
            <c:strRef>
              <c:f>'SR-výdaje-1q 2019'!$F$31</c:f>
              <c:strCache>
                <c:ptCount val="1"/>
                <c:pt idx="0">
                  <c:v>Dávky nemocenského pojištění</c:v>
                </c:pt>
              </c:strCache>
            </c:strRef>
          </c:tx>
          <c:spPr>
            <a:ln w="15875">
              <a:solidFill>
                <a:srgbClr val="0071BC"/>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2019'!$F$32:$F$46</c:f>
              <c:numCache>
                <c:formatCode>0.00</c:formatCode>
                <c:ptCount val="15"/>
                <c:pt idx="0">
                  <c:v>17.497</c:v>
                </c:pt>
                <c:pt idx="1">
                  <c:v>17.936</c:v>
                </c:pt>
                <c:pt idx="2">
                  <c:v>18.398</c:v>
                </c:pt>
                <c:pt idx="3">
                  <c:v>16.734000000000002</c:v>
                </c:pt>
                <c:pt idx="4">
                  <c:v>14.089</c:v>
                </c:pt>
                <c:pt idx="5">
                  <c:v>11.56</c:v>
                </c:pt>
                <c:pt idx="6">
                  <c:v>11.773</c:v>
                </c:pt>
                <c:pt idx="7">
                  <c:v>10.244</c:v>
                </c:pt>
                <c:pt idx="8">
                  <c:v>10.609</c:v>
                </c:pt>
                <c:pt idx="9">
                  <c:v>11.201000000000001</c:v>
                </c:pt>
                <c:pt idx="10">
                  <c:v>12.429</c:v>
                </c:pt>
                <c:pt idx="11">
                  <c:v>13.566000000000001</c:v>
                </c:pt>
                <c:pt idx="12">
                  <c:v>14.757999999999999</c:v>
                </c:pt>
                <c:pt idx="13">
                  <c:v>17.3</c:v>
                </c:pt>
                <c:pt idx="14">
                  <c:v>19.93</c:v>
                </c:pt>
              </c:numCache>
            </c:numRef>
          </c:val>
          <c:smooth val="0"/>
          <c:extLst>
            <c:ext xmlns:c16="http://schemas.microsoft.com/office/drawing/2014/chart" uri="{C3380CC4-5D6E-409C-BE32-E72D297353CC}">
              <c16:uniqueId val="{00000004-0C1B-4C8A-9D87-41088EABD603}"/>
            </c:ext>
          </c:extLst>
        </c:ser>
        <c:ser>
          <c:idx val="3"/>
          <c:order val="5"/>
          <c:tx>
            <c:strRef>
              <c:f>'SR-výdaje-1q 2019'!$G$31</c:f>
              <c:strCache>
                <c:ptCount val="1"/>
                <c:pt idx="0">
                  <c:v>Dávky sociální péče***</c:v>
                </c:pt>
              </c:strCache>
            </c:strRef>
          </c:tx>
          <c:spPr>
            <a:ln w="15875">
              <a:solidFill>
                <a:srgbClr val="7030A0"/>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2019'!$G$32:$G$46</c:f>
              <c:numCache>
                <c:formatCode>General</c:formatCode>
                <c:ptCount val="15"/>
                <c:pt idx="2" formatCode="0.00">
                  <c:v>11.690999999999999</c:v>
                </c:pt>
                <c:pt idx="3" formatCode="0.00">
                  <c:v>13.247</c:v>
                </c:pt>
                <c:pt idx="4" formatCode="0.00">
                  <c:v>13.003</c:v>
                </c:pt>
                <c:pt idx="5" formatCode="0.00">
                  <c:v>13.486000000000001</c:v>
                </c:pt>
                <c:pt idx="6" formatCode="0.00">
                  <c:v>12.911000000000001</c:v>
                </c:pt>
                <c:pt idx="7" formatCode="0.00">
                  <c:v>13.282</c:v>
                </c:pt>
                <c:pt idx="8" formatCode="0.00">
                  <c:v>15.668000000000001</c:v>
                </c:pt>
                <c:pt idx="9" formatCode="0.00">
                  <c:v>16.734999999999999</c:v>
                </c:pt>
                <c:pt idx="10" formatCode="0.00">
                  <c:v>16.93</c:v>
                </c:pt>
                <c:pt idx="11" formatCode="0.00">
                  <c:v>16.78</c:v>
                </c:pt>
                <c:pt idx="12" formatCode="0.00">
                  <c:v>17.489999999999998</c:v>
                </c:pt>
                <c:pt idx="13" formatCode="0.00">
                  <c:v>17.100000000000001</c:v>
                </c:pt>
                <c:pt idx="14" formatCode="0.00">
                  <c:v>17.32</c:v>
                </c:pt>
              </c:numCache>
            </c:numRef>
          </c:val>
          <c:smooth val="0"/>
          <c:extLst>
            <c:ext xmlns:c16="http://schemas.microsoft.com/office/drawing/2014/chart" uri="{C3380CC4-5D6E-409C-BE32-E72D297353CC}">
              <c16:uniqueId val="{00000005-0C1B-4C8A-9D87-41088EABD603}"/>
            </c:ext>
          </c:extLst>
        </c:ser>
        <c:ser>
          <c:idx val="4"/>
          <c:order val="6"/>
          <c:tx>
            <c:strRef>
              <c:f>'SR-výdaje-1q 2019'!$H$31</c:f>
              <c:strCache>
                <c:ptCount val="1"/>
                <c:pt idx="0">
                  <c:v>Neinv. nákupy a souvis. výdaje****</c:v>
                </c:pt>
              </c:strCache>
            </c:strRef>
          </c:tx>
          <c:spPr>
            <a:ln w="15875">
              <a:solidFill>
                <a:srgbClr val="F8A124"/>
              </a:solidFill>
              <a:prstDash val="solid"/>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2019'!$H$32:$H$46</c:f>
              <c:numCache>
                <c:formatCode>0.0</c:formatCode>
                <c:ptCount val="15"/>
                <c:pt idx="0">
                  <c:v>29.280999999999999</c:v>
                </c:pt>
                <c:pt idx="1">
                  <c:v>31.251000000000005</c:v>
                </c:pt>
                <c:pt idx="2">
                  <c:v>33.647000000000006</c:v>
                </c:pt>
                <c:pt idx="3">
                  <c:v>31.934000000000005</c:v>
                </c:pt>
                <c:pt idx="4">
                  <c:v>32.001999999999995</c:v>
                </c:pt>
                <c:pt idx="5">
                  <c:v>31.84</c:v>
                </c:pt>
                <c:pt idx="6">
                  <c:v>29.076999999999998</c:v>
                </c:pt>
                <c:pt idx="7">
                  <c:v>26.950000000000003</c:v>
                </c:pt>
                <c:pt idx="8">
                  <c:v>23.5</c:v>
                </c:pt>
                <c:pt idx="9">
                  <c:v>22.14</c:v>
                </c:pt>
                <c:pt idx="10">
                  <c:v>25.509999999999998</c:v>
                </c:pt>
                <c:pt idx="11">
                  <c:v>25.499999999999996</c:v>
                </c:pt>
                <c:pt idx="12">
                  <c:v>29.889999999999997</c:v>
                </c:pt>
                <c:pt idx="13">
                  <c:v>30.75</c:v>
                </c:pt>
                <c:pt idx="14">
                  <c:v>27.96</c:v>
                </c:pt>
              </c:numCache>
            </c:numRef>
          </c:val>
          <c:smooth val="0"/>
          <c:extLst>
            <c:ext xmlns:c16="http://schemas.microsoft.com/office/drawing/2014/chart" uri="{C3380CC4-5D6E-409C-BE32-E72D297353CC}">
              <c16:uniqueId val="{00000006-0C1B-4C8A-9D87-41088EABD603}"/>
            </c:ext>
          </c:extLst>
        </c:ser>
        <c:ser>
          <c:idx val="5"/>
          <c:order val="7"/>
          <c:tx>
            <c:strRef>
              <c:f>'SR-výdaje-1q 2019'!$I$31</c:f>
              <c:strCache>
                <c:ptCount val="1"/>
                <c:pt idx="0">
                  <c:v>Státní dluh (čisté výdaje)*****</c:v>
                </c:pt>
              </c:strCache>
            </c:strRef>
          </c:tx>
          <c:spPr>
            <a:ln w="15875">
              <a:solidFill>
                <a:srgbClr val="BD1B25"/>
              </a:solidFill>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2019'!$I$32:$I$46</c:f>
              <c:numCache>
                <c:formatCode>0.0</c:formatCode>
                <c:ptCount val="15"/>
                <c:pt idx="0">
                  <c:v>14.81</c:v>
                </c:pt>
                <c:pt idx="1">
                  <c:v>17.16</c:v>
                </c:pt>
                <c:pt idx="2">
                  <c:v>17.05</c:v>
                </c:pt>
                <c:pt idx="3">
                  <c:v>16.5</c:v>
                </c:pt>
                <c:pt idx="4">
                  <c:v>25.770000000000003</c:v>
                </c:pt>
                <c:pt idx="5">
                  <c:v>21.27</c:v>
                </c:pt>
                <c:pt idx="6">
                  <c:v>25.81</c:v>
                </c:pt>
                <c:pt idx="7">
                  <c:v>26.419999999999998</c:v>
                </c:pt>
                <c:pt idx="8">
                  <c:v>30.400000000000002</c:v>
                </c:pt>
                <c:pt idx="9">
                  <c:v>26.86</c:v>
                </c:pt>
                <c:pt idx="10">
                  <c:v>23.55</c:v>
                </c:pt>
                <c:pt idx="11">
                  <c:v>23.76</c:v>
                </c:pt>
                <c:pt idx="12">
                  <c:v>18.739999999999998</c:v>
                </c:pt>
                <c:pt idx="13">
                  <c:v>20.11</c:v>
                </c:pt>
                <c:pt idx="14">
                  <c:v>16.920000000000002</c:v>
                </c:pt>
              </c:numCache>
            </c:numRef>
          </c:val>
          <c:smooth val="0"/>
          <c:extLst>
            <c:ext xmlns:c16="http://schemas.microsoft.com/office/drawing/2014/chart" uri="{C3380CC4-5D6E-409C-BE32-E72D297353CC}">
              <c16:uniqueId val="{00000007-0C1B-4C8A-9D87-41088EABD603}"/>
            </c:ext>
          </c:extLst>
        </c:ser>
        <c:ser>
          <c:idx val="8"/>
          <c:order val="8"/>
          <c:tx>
            <c:strRef>
              <c:f>'SR-výdaje-1q 2019'!$J$31</c:f>
              <c:strCache>
                <c:ptCount val="1"/>
                <c:pt idx="0">
                  <c:v>Kapitálové výdaje</c:v>
                </c:pt>
              </c:strCache>
            </c:strRef>
          </c:tx>
          <c:spPr>
            <a:ln w="15875">
              <a:solidFill>
                <a:schemeClr val="tx1">
                  <a:lumMod val="95000"/>
                  <a:lumOff val="5000"/>
                </a:schemeClr>
              </a:solidFill>
              <a:prstDash val="sysDash"/>
            </a:ln>
          </c:spPr>
          <c:marker>
            <c:symbol val="none"/>
          </c:marker>
          <c:cat>
            <c:numRef>
              <c:f>'SR-výdaje-1q 2019'!$A$32:$A$46</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'SR-výdaje-1q 2019'!$J$32:$J$46</c:f>
              <c:numCache>
                <c:formatCode>0.0</c:formatCode>
                <c:ptCount val="15"/>
                <c:pt idx="0">
                  <c:v>20.45</c:v>
                </c:pt>
                <c:pt idx="1">
                  <c:v>23.643000000000001</c:v>
                </c:pt>
                <c:pt idx="2">
                  <c:v>26.771000000000001</c:v>
                </c:pt>
                <c:pt idx="3">
                  <c:v>53.505000000000003</c:v>
                </c:pt>
                <c:pt idx="4">
                  <c:v>51.149000000000001</c:v>
                </c:pt>
                <c:pt idx="5">
                  <c:v>55.872999999999998</c:v>
                </c:pt>
                <c:pt idx="6">
                  <c:v>47.277000000000001</c:v>
                </c:pt>
                <c:pt idx="7">
                  <c:v>41.93</c:v>
                </c:pt>
                <c:pt idx="8">
                  <c:v>36.779000000000003</c:v>
                </c:pt>
                <c:pt idx="9">
                  <c:v>34.893999999999998</c:v>
                </c:pt>
                <c:pt idx="10">
                  <c:v>54.02</c:v>
                </c:pt>
                <c:pt idx="11">
                  <c:v>39.090000000000003</c:v>
                </c:pt>
                <c:pt idx="12">
                  <c:v>20.309999999999999</c:v>
                </c:pt>
                <c:pt idx="13">
                  <c:v>33.25</c:v>
                </c:pt>
                <c:pt idx="14">
                  <c:v>45.7</c:v>
                </c:pt>
              </c:numCache>
            </c:numRef>
          </c:val>
          <c:smooth val="0"/>
          <c:extLst>
            <c:ext xmlns:c16="http://schemas.microsoft.com/office/drawing/2014/chart" uri="{C3380CC4-5D6E-409C-BE32-E72D297353CC}">
              <c16:uniqueId val="{00000008-0C1B-4C8A-9D87-41088EABD603}"/>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75"/>
          <c:min val="0"/>
        </c:scaling>
        <c:delete val="0"/>
        <c:axPos val="l"/>
        <c:majorGridlines>
          <c:spPr>
            <a:ln w="6350">
              <a:solidFill>
                <a:schemeClr val="bg1">
                  <a:lumMod val="75000"/>
                </a:schemeClr>
              </a:solidFill>
            </a:ln>
          </c:spPr>
        </c:majorGridlines>
        <c:numFmt formatCode="0" sourceLinked="0"/>
        <c:majorTickMark val="out"/>
        <c:minorTickMark val="none"/>
        <c:tickLblPos val="nextTo"/>
        <c:spPr>
          <a:ln w="6350">
            <a:solidFill>
              <a:schemeClr val="tx1"/>
            </a:solidFill>
          </a:ln>
        </c:spPr>
        <c:crossAx val="72827648"/>
        <c:crosses val="autoZero"/>
        <c:crossBetween val="between"/>
        <c:majorUnit val="5"/>
      </c:valAx>
      <c:valAx>
        <c:axId val="72835072"/>
        <c:scaling>
          <c:orientation val="minMax"/>
          <c:max val="750"/>
          <c:min val="0"/>
        </c:scaling>
        <c:delete val="0"/>
        <c:axPos val="r"/>
        <c:numFmt formatCode="0" sourceLinked="0"/>
        <c:majorTickMark val="out"/>
        <c:minorTickMark val="none"/>
        <c:tickLblPos val="nextTo"/>
        <c:spPr>
          <a:ln w="6350">
            <a:solidFill>
              <a:schemeClr val="tx1"/>
            </a:solidFill>
          </a:ln>
        </c:spPr>
        <c:crossAx val="72836608"/>
        <c:crosses val="max"/>
        <c:crossBetween val="between"/>
        <c:majorUnit val="5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5.5741173954559867E-2"/>
          <c:y val="0.83043789088186448"/>
          <c:w val="0.87543098174311207"/>
          <c:h val="0.15864077881410979"/>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9EC6-09F8-4E20-816D-21FA9E9016B2}">
  <ds:schemaRefs>
    <ds:schemaRef ds:uri="http://schemas.openxmlformats.org/officeDocument/2006/bibliography"/>
  </ds:schemaRefs>
</ds:datastoreItem>
</file>

<file path=customXml/itemProps2.xml><?xml version="1.0" encoding="utf-8"?>
<ds:datastoreItem xmlns:ds="http://schemas.openxmlformats.org/officeDocument/2006/customXml" ds:itemID="{E8BCB31C-23C7-4B42-8FC8-D3D8F3B1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5</TotalTime>
  <Pages>4</Pages>
  <Words>1782</Words>
  <Characters>10516</Characters>
  <Application>Microsoft Office Word</Application>
  <DocSecurity>0</DocSecurity>
  <Lines>87</Lines>
  <Paragraphs>24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12274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5</cp:revision>
  <cp:lastPrinted>2019-04-08T10:52:00Z</cp:lastPrinted>
  <dcterms:created xsi:type="dcterms:W3CDTF">2019-09-12T08:38:00Z</dcterms:created>
  <dcterms:modified xsi:type="dcterms:W3CDTF">2019-09-12T09:10:00Z</dcterms:modified>
</cp:coreProperties>
</file>