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B8FDB" w14:textId="737F856A" w:rsidR="00935BD4" w:rsidRDefault="004A5D4E" w:rsidP="001554C2">
      <w:pPr>
        <w:pStyle w:val="Nadpis11"/>
      </w:pPr>
      <w:bookmarkStart w:id="0" w:name="_Toc19090676"/>
      <w:r w:rsidRPr="009F2921">
        <w:t>3. </w:t>
      </w:r>
      <w:bookmarkStart w:id="1" w:name="_Toc454185150"/>
      <w:bookmarkStart w:id="2" w:name="_Toc493683635"/>
      <w:r w:rsidR="00935BD4" w:rsidRPr="009F2921">
        <w:t>Výkonnost odvětví</w:t>
      </w:r>
      <w:bookmarkEnd w:id="0"/>
      <w:bookmarkEnd w:id="1"/>
      <w:bookmarkEnd w:id="2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3"/>
        <w:gridCol w:w="206"/>
        <w:gridCol w:w="7670"/>
      </w:tblGrid>
      <w:tr w:rsidR="00513E9D" w:rsidRPr="00DF6A33" w14:paraId="73336370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587756B" w14:textId="4671E2F0" w:rsidR="00513E9D" w:rsidRDefault="00513E9D" w:rsidP="00513E9D">
            <w:pPr>
              <w:pStyle w:val="Marginlie"/>
            </w:pPr>
            <w:r>
              <w:t>Meziroční růst hrubé přidané hodnoty se během 1. pololetí držel mírně pod 3 %. Ani v mezičtvrtletním vyjádření ekonomika zatím nezpomalovala.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8B03E40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C50CF73" w14:textId="3E28054A" w:rsidR="00513E9D" w:rsidRPr="000E298B" w:rsidRDefault="00513E9D" w:rsidP="00513E9D">
            <w:pPr>
              <w:spacing w:after="220"/>
              <w:rPr>
                <w:spacing w:val="-7"/>
              </w:rPr>
            </w:pPr>
            <w:r w:rsidRPr="000E298B">
              <w:rPr>
                <w:spacing w:val="-7"/>
              </w:rPr>
              <w:t>Výkon všech odvětví ekonomiky zachycený prostřednictvím jimi vytvořené hrubé přidané hodnoty (HPH)</w:t>
            </w:r>
            <w:r w:rsidRPr="000E298B">
              <w:rPr>
                <w:rStyle w:val="Znakapoznpodarou"/>
                <w:spacing w:val="-7"/>
              </w:rPr>
              <w:footnoteReference w:id="1"/>
            </w:r>
            <w:r w:rsidRPr="000E298B">
              <w:rPr>
                <w:spacing w:val="-7"/>
              </w:rPr>
              <w:t xml:space="preserve"> vzrostl v 1. pololetí meziročně o 2,8 % a zopakoval tak výsledek z druhé poloviny loňského roku. Růstové tempo v 1. i 2. letošním čtvrtletí bylo prakticky totožné. Stabilní zůstává rovněž mezičtvrtletní dynamika HPH, a to již od poloviny roku 2017 (v průměru činila 0,7 %, shodně jako ve 2. čtvrtletí 2019). Zejména dosavadní letošní výsledek vyzníval pro tuzemskou ekonomiku pozitivně především v kontextu méně příznivých vnějších faktorů (citelné zpomalení hospodářského růstu v klíčových exportních teritoriích, dále posilované narůstajícími regulačními opatřeními v mezinárodním obchodu i přetrvávající nejistotou ohledně budoucího uspořádání vztahů mezi Velkou Británií a EU).</w:t>
            </w:r>
          </w:p>
        </w:tc>
      </w:tr>
      <w:tr w:rsidR="00513E9D" w:rsidRPr="00DF6A33" w14:paraId="38AA11E2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57AB8D9" w14:textId="034AA3AE" w:rsidR="00513E9D" w:rsidRDefault="00513E9D" w:rsidP="00513E9D">
            <w:pPr>
              <w:pStyle w:val="Marginlie"/>
            </w:pPr>
            <w:r>
              <w:t>Již druhým rokem v řadě se těžiště růstu HPH nacházelo ve službách. V nich pokračoval dynamický vývoj informačních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t>komunikačních činností. Dařilo se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t>obchodu.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0122BBC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4248909" w14:textId="768F50A1" w:rsidR="00513E9D" w:rsidRPr="000E298B" w:rsidRDefault="00513E9D" w:rsidP="00513E9D">
            <w:pPr>
              <w:spacing w:after="220"/>
              <w:rPr>
                <w:spacing w:val="-7"/>
              </w:rPr>
            </w:pPr>
            <w:r w:rsidRPr="000E298B">
              <w:rPr>
                <w:spacing w:val="-7"/>
              </w:rPr>
              <w:t xml:space="preserve">K meziročnímu růstu HPH přispělo letos všech jedenáct hlavních odvětvových uskupení. Podobně jako po celý loňský rok představoval těžiště růstu terciární sektor. Jeho výkon v 1. pololetí 2019 posílil o významná 3,7 % a sám tak zajistil čtyři pětiny růstu HPH celé ekonomiky. V rámci služeb rostly primárně informační a komunikační činnosti (+8,7 %), od konce poslední recese (rok 2013) navýšily svou přidanou hodnotu o více než polovinu. Na silný loňský rok navázalo také váhově významné uskupení obchod, doprava, ubytování a pohostinství (+3,9 %), jež těžilo z rostoucí kupní síly domácností, rozvoje zbožového zahraničního obchodu i příjezdového cestovního ruchu. Dařilo se ale i všem ostatním odvětvím služeb, zejména profesním, vědeckým a technickým </w:t>
            </w:r>
            <w:r w:rsidR="008D117E">
              <w:rPr>
                <w:spacing w:val="-7"/>
              </w:rPr>
              <w:t xml:space="preserve">a administrativních </w:t>
            </w:r>
            <w:r w:rsidRPr="000E298B">
              <w:rPr>
                <w:spacing w:val="-7"/>
              </w:rPr>
              <w:t>činnostem (+4,4 %, nejsilnější pololetní tempo od první poloviny roku 2016). Nejslabším tempem v rámci služeb rostla HPH v uskupení veřejná správa a obrana, vzdělávání, zdravotní a sociální péče (o 1,7 %), jeho dynamika se ale nevymykala z trendů předchozích tří let.</w:t>
            </w:r>
          </w:p>
        </w:tc>
      </w:tr>
      <w:tr w:rsidR="00513E9D" w:rsidRPr="00DF6A33" w14:paraId="62DE986F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6F7CEF6E" w14:textId="14EB04BA" w:rsidR="00513E9D" w:rsidRDefault="00513E9D" w:rsidP="00513E9D">
            <w:pPr>
              <w:pStyle w:val="Marginlie"/>
            </w:pPr>
            <w:r>
              <w:t>Růst HPH ve zpracovatelském průmyslu se ztenčil na 1 %. Spolu s 2. pololetím 2018 vykázal nejslabší tempo od konce poslední recese.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6FA311E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73B23F0" w14:textId="187F050A" w:rsidR="00513E9D" w:rsidRPr="000E298B" w:rsidRDefault="00513E9D" w:rsidP="00513E9D">
            <w:pPr>
              <w:spacing w:after="200"/>
              <w:rPr>
                <w:spacing w:val="-7"/>
              </w:rPr>
            </w:pPr>
            <w:r w:rsidRPr="000E298B">
              <w:rPr>
                <w:spacing w:val="-7"/>
              </w:rPr>
              <w:t>V návaznosti na vývoj v Německu i v celé eurozóně</w:t>
            </w:r>
            <w:r w:rsidRPr="000E298B">
              <w:rPr>
                <w:rStyle w:val="Znakapoznpodarou"/>
                <w:spacing w:val="-7"/>
              </w:rPr>
              <w:footnoteReference w:id="2"/>
            </w:r>
            <w:r w:rsidRPr="000E298B">
              <w:rPr>
                <w:spacing w:val="-7"/>
              </w:rPr>
              <w:t xml:space="preserve"> pokračovalo zpomalování výkonu tuzemského zpracovatelského průmyslu. Ve 2. pololetí 2018 zde HPH klesla o 0,1 % a připsala si tak nejslabší meziroční výkon od konce poslední recese. V následujícím pololetí docílila jen 1% růstu a mezičtvrtletně </w:t>
            </w:r>
            <w:r w:rsidR="008D117E">
              <w:rPr>
                <w:spacing w:val="-7"/>
              </w:rPr>
              <w:t xml:space="preserve">v průměru </w:t>
            </w:r>
            <w:r w:rsidRPr="000E298B">
              <w:rPr>
                <w:spacing w:val="-7"/>
              </w:rPr>
              <w:t xml:space="preserve">pouze stagnovala. Nepatrně lépe se letos dařilo nezpracovatelským průmyslovým oborům, a to díky vývoji v energetice. Po loňském obratu pokračoval v 1. pololetí růst ve stavebnictví (+3,1 %), za úrovní z konjunkturního vrcholu z minulé dekády však výkon odvětví nadále mírně zaostával (o 2 %). V primárním sektoru se HPH v 1. pololetí zvýšila o mírných 0,6 %. Ve směru růstu reálné produkce zde mohl působit vyšší objem těžby kůrovcového dříví, mírné navýšení výroby masa i mléka a dále i meziroční růst osevní plochy i výnosů u nejdříve sklízených </w:t>
            </w:r>
            <w:r w:rsidRPr="000E298B">
              <w:rPr>
                <w:color w:val="0D0D0D" w:themeColor="text1" w:themeTint="F2"/>
                <w:spacing w:val="-7"/>
              </w:rPr>
              <w:t>ozimých obilovin</w:t>
            </w:r>
            <w:r w:rsidRPr="000E298B">
              <w:rPr>
                <w:rStyle w:val="Znakapoznpodarou"/>
                <w:spacing w:val="-7"/>
              </w:rPr>
              <w:footnoteReference w:id="3"/>
            </w:r>
            <w:r w:rsidRPr="000E298B">
              <w:rPr>
                <w:spacing w:val="-7"/>
              </w:rPr>
              <w:t>.</w:t>
            </w:r>
          </w:p>
        </w:tc>
      </w:tr>
      <w:tr w:rsidR="00513E9D" w:rsidRPr="00B01C55" w14:paraId="38B46B39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08AC9E5" w14:textId="16522879" w:rsidR="00513E9D" w:rsidRDefault="00513E9D" w:rsidP="00513E9D">
            <w:pPr>
              <w:pStyle w:val="Marginlie"/>
            </w:pPr>
            <w:r>
              <w:t>Na přelomu let 2018 a 2019 vykazoval tuzemský průmysl opakovaný mezikvartální pokles produkce. Se zpožděním tak reagoval na vývoj v eurozóně.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37701B6D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2D8F824" w14:textId="10B2E915" w:rsidR="00513E9D" w:rsidRPr="000E298B" w:rsidRDefault="00513E9D" w:rsidP="00513E9D">
            <w:pPr>
              <w:spacing w:after="200"/>
              <w:rPr>
                <w:spacing w:val="-7"/>
              </w:rPr>
            </w:pPr>
            <w:r w:rsidRPr="000E298B">
              <w:rPr>
                <w:spacing w:val="-7"/>
              </w:rPr>
              <w:t>Podrobnější pohled na dílčí odvětví poskytují podnikové statistiky. S ohledem na výraznou exportní orientaci tuzemského průmyslu</w:t>
            </w:r>
            <w:r w:rsidRPr="000E298B">
              <w:rPr>
                <w:rStyle w:val="Znakapoznpodarou"/>
                <w:spacing w:val="-7"/>
              </w:rPr>
              <w:footnoteReference w:id="4"/>
            </w:r>
            <w:r w:rsidRPr="000E298B">
              <w:rPr>
                <w:spacing w:val="-7"/>
              </w:rPr>
              <w:t xml:space="preserve"> i silnou provázanost zejména s vývojem v Německu</w:t>
            </w:r>
            <w:r w:rsidRPr="000E298B">
              <w:rPr>
                <w:rStyle w:val="Znakapoznpodarou"/>
                <w:spacing w:val="-7"/>
              </w:rPr>
              <w:footnoteReference w:id="5"/>
            </w:r>
            <w:r w:rsidRPr="000E298B">
              <w:rPr>
                <w:spacing w:val="-7"/>
              </w:rPr>
              <w:t xml:space="preserve"> není překvapivé, že se jeho růst na sklonku loňského roku zastavil. I</w:t>
            </w:r>
            <w:r w:rsidRPr="000E298B">
              <w:rPr>
                <w:color w:val="000000" w:themeColor="text1"/>
                <w:spacing w:val="-7"/>
              </w:rPr>
              <w:t>ndex průmyslové produkce</w:t>
            </w:r>
            <w:r w:rsidRPr="000E298B">
              <w:rPr>
                <w:color w:val="000000" w:themeColor="text1"/>
                <w:spacing w:val="-7"/>
                <w:vertAlign w:val="superscript"/>
              </w:rPr>
              <w:footnoteReference w:id="6"/>
            </w:r>
            <w:r w:rsidRPr="000E298B">
              <w:rPr>
                <w:color w:val="000000" w:themeColor="text1"/>
                <w:spacing w:val="-7"/>
              </w:rPr>
              <w:t xml:space="preserve"> </w:t>
            </w:r>
            <w:r w:rsidRPr="000E298B">
              <w:rPr>
                <w:spacing w:val="-7"/>
              </w:rPr>
              <w:t xml:space="preserve">ve 4. čtvrtletí mezikvartálně klesl o 0,1 % a v následujícím období se dále jeho </w:t>
            </w:r>
            <w:r w:rsidRPr="000E298B">
              <w:rPr>
                <w:spacing w:val="-7"/>
              </w:rPr>
              <w:lastRenderedPageBreak/>
              <w:t>pokles prohloubil na 1,0 %</w:t>
            </w:r>
            <w:r w:rsidRPr="000E298B">
              <w:rPr>
                <w:rStyle w:val="Znakapoznpodarou"/>
                <w:spacing w:val="-7"/>
              </w:rPr>
              <w:footnoteReference w:id="7"/>
            </w:r>
            <w:r w:rsidRPr="000E298B">
              <w:rPr>
                <w:spacing w:val="-7"/>
              </w:rPr>
              <w:t>. Průmysl tak zaznamenal nejslabší výsledek od konce roku 2012. Tento vývoj se postupně otiskl v meziroční dynamice – v 1. čtvrtletí 2019 rostla produkce o 0,3 %, ve 2. čtvrtletí o 1,0 %.</w:t>
            </w:r>
            <w:r w:rsidRPr="000E298B">
              <w:rPr>
                <w:color w:val="000000" w:themeColor="text1"/>
                <w:spacing w:val="-7"/>
              </w:rPr>
              <w:t xml:space="preserve"> Situaci průmyslovým podnikům v ČR neulehčovaly ani některé domácí faktory (</w:t>
            </w:r>
            <w:r w:rsidRPr="000E298B">
              <w:rPr>
                <w:color w:val="0D0D0D" w:themeColor="text1" w:themeTint="F2"/>
                <w:spacing w:val="-7"/>
              </w:rPr>
              <w:t xml:space="preserve">nedostatek kvalifikovaných pracovníků a s ním související vyšší mzdové </w:t>
            </w:r>
            <w:r w:rsidRPr="000E298B">
              <w:rPr>
                <w:color w:val="000000" w:themeColor="text1"/>
                <w:spacing w:val="-7"/>
              </w:rPr>
              <w:t xml:space="preserve">náklady, rostoucí ceny </w:t>
            </w:r>
            <w:r w:rsidRPr="000E298B">
              <w:rPr>
                <w:color w:val="0D0D0D" w:themeColor="text1" w:themeTint="F2"/>
                <w:spacing w:val="-7"/>
              </w:rPr>
              <w:t>energií).</w:t>
            </w:r>
          </w:p>
        </w:tc>
      </w:tr>
      <w:tr w:rsidR="00513E9D" w:rsidRPr="0041745D" w14:paraId="2F1FD45C" w14:textId="77777777" w:rsidTr="000E298B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7C8243FE" w14:textId="77777777" w:rsidR="00513E9D" w:rsidRDefault="00513E9D" w:rsidP="00513E9D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2C7762C2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317E22A" w14:textId="77777777" w:rsidR="00513E9D" w:rsidRPr="000E298B" w:rsidRDefault="00513E9D" w:rsidP="00513E9D">
            <w:pPr>
              <w:spacing w:after="0"/>
              <w:rPr>
                <w:b/>
                <w:spacing w:val="-7"/>
              </w:rPr>
            </w:pPr>
            <w:r w:rsidRPr="000E298B">
              <w:rPr>
                <w:rFonts w:cs="Arial"/>
                <w:b/>
                <w:bCs/>
                <w:color w:val="000000"/>
                <w:spacing w:val="-7"/>
                <w:szCs w:val="20"/>
              </w:rPr>
              <w:t xml:space="preserve">Graf č. 5 </w:t>
            </w:r>
            <w:r w:rsidRPr="000E298B">
              <w:rPr>
                <w:rFonts w:cs="Arial"/>
                <w:b/>
                <w:bCs/>
                <w:color w:val="000000"/>
                <w:spacing w:val="-7"/>
                <w:sz w:val="18"/>
                <w:szCs w:val="18"/>
              </w:rPr>
              <w:t xml:space="preserve"> </w:t>
            </w:r>
            <w:r w:rsidRPr="000E298B">
              <w:rPr>
                <w:b/>
                <w:spacing w:val="-7"/>
              </w:rPr>
              <w:t>Příspěvky dílčích odvětví k meziroční změně průmyslové produkce</w:t>
            </w:r>
          </w:p>
          <w:p w14:paraId="59ABCE8D" w14:textId="264C50C8" w:rsidR="00513E9D" w:rsidRPr="000E298B" w:rsidRDefault="00513E9D" w:rsidP="00513E9D">
            <w:pPr>
              <w:spacing w:after="0"/>
              <w:rPr>
                <w:b/>
                <w:spacing w:val="-7"/>
              </w:rPr>
            </w:pPr>
            <w:r w:rsidRPr="000E298B">
              <w:rPr>
                <w:spacing w:val="-7"/>
              </w:rPr>
              <w:t>(v procentních bodech, očištěno o kalendářní vlivy)</w:t>
            </w:r>
          </w:p>
        </w:tc>
      </w:tr>
      <w:tr w:rsidR="00513E9D" w14:paraId="341350DE" w14:textId="77777777" w:rsidTr="000E298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73229ECB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1232B5A1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3E6E99E9" w14:textId="6BD82AB2" w:rsidR="00513E9D" w:rsidRPr="000E298B" w:rsidRDefault="00513E9D" w:rsidP="00513E9D">
            <w:pPr>
              <w:spacing w:after="0"/>
              <w:rPr>
                <w:color w:val="000000" w:themeColor="text1"/>
                <w:spacing w:val="-7"/>
              </w:rPr>
            </w:pPr>
            <w:r w:rsidRPr="000E298B">
              <w:rPr>
                <w:noProof/>
                <w:color w:val="000000" w:themeColor="text1"/>
                <w:spacing w:val="-7"/>
              </w:rPr>
              <w:drawing>
                <wp:inline distT="0" distB="0" distL="0" distR="0" wp14:anchorId="5EEAEEF1" wp14:editId="75DD6C30">
                  <wp:extent cx="4779722" cy="3452775"/>
                  <wp:effectExtent l="0" t="0" r="0" b="0"/>
                  <wp:docPr id="27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513E9D" w14:paraId="00608180" w14:textId="77777777" w:rsidTr="000E298B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64122A97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27F8C9CF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0E62D3B5" w14:textId="07A7A64B" w:rsidR="00513E9D" w:rsidRPr="000E298B" w:rsidRDefault="00513E9D" w:rsidP="00513E9D">
            <w:pPr>
              <w:spacing w:after="200"/>
              <w:rPr>
                <w:color w:val="000000" w:themeColor="text1"/>
                <w:spacing w:val="-7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>Zdroj: ČSÚ</w:t>
            </w:r>
          </w:p>
        </w:tc>
      </w:tr>
      <w:tr w:rsidR="00513E9D" w:rsidRPr="00B01C55" w14:paraId="431E6029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221D3738" w14:textId="77777777" w:rsidR="00513E9D" w:rsidRDefault="00513E9D" w:rsidP="00513E9D">
            <w:pPr>
              <w:pStyle w:val="Marginlie"/>
            </w:pPr>
            <w:r>
              <w:t>K růstu celkové průmyslové produkce přispěly nejvíce výroba elektrických zařízení a také energetika.</w:t>
            </w:r>
          </w:p>
          <w:p w14:paraId="55DC1C7C" w14:textId="77777777" w:rsidR="00513E9D" w:rsidRDefault="00513E9D" w:rsidP="00513E9D">
            <w:pPr>
              <w:pStyle w:val="Marginlie"/>
            </w:pPr>
          </w:p>
          <w:p w14:paraId="6FADB9A6" w14:textId="5BDB6670" w:rsidR="00513E9D" w:rsidRDefault="00513E9D" w:rsidP="00513E9D">
            <w:pPr>
              <w:pStyle w:val="Marginlie"/>
            </w:pPr>
          </w:p>
          <w:p w14:paraId="76B81401" w14:textId="77777777" w:rsidR="00513E9D" w:rsidRDefault="00513E9D" w:rsidP="00513E9D">
            <w:pPr>
              <w:pStyle w:val="Marginlie"/>
            </w:pPr>
            <w:r>
              <w:t>Pokračoval dlouhodobý rozvoj výroby počítačů, elektronických a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t>optických přístrojů, z menších oborů pak farmacie.</w:t>
            </w:r>
          </w:p>
          <w:p w14:paraId="0EE47090" w14:textId="77777777" w:rsidR="00513E9D" w:rsidRDefault="00513E9D" w:rsidP="00513E9D">
            <w:pPr>
              <w:pStyle w:val="Marginlie"/>
            </w:pPr>
          </w:p>
          <w:p w14:paraId="6CBF0413" w14:textId="77777777" w:rsidR="00513E9D" w:rsidRDefault="00513E9D" w:rsidP="00513E9D">
            <w:pPr>
              <w:pStyle w:val="Marginlie"/>
            </w:pPr>
          </w:p>
          <w:p w14:paraId="770C3CD8" w14:textId="77777777" w:rsidR="00513E9D" w:rsidRDefault="00513E9D" w:rsidP="00513E9D">
            <w:pPr>
              <w:pStyle w:val="Marginlie"/>
            </w:pPr>
            <w:r>
              <w:t>Výrobci motorových vozidel zaznamenali nejslabší růst od 1. pololetí 2013.</w:t>
            </w:r>
          </w:p>
          <w:p w14:paraId="2B8712B2" w14:textId="77777777" w:rsidR="00513E9D" w:rsidRDefault="00513E9D" w:rsidP="00513E9D">
            <w:pPr>
              <w:pStyle w:val="Marginlie"/>
            </w:pPr>
          </w:p>
          <w:p w14:paraId="27C88CC8" w14:textId="770284BF" w:rsidR="00513E9D" w:rsidRDefault="00513E9D" w:rsidP="00513E9D">
            <w:pPr>
              <w:pStyle w:val="Marginlie"/>
            </w:pPr>
            <w:r>
              <w:lastRenderedPageBreak/>
              <w:t>Produkce mírně klesala ve strojírenství, hlouběji v hutnictví, chemickém a dřevozpracujícím průmyslu.</w:t>
            </w:r>
          </w:p>
          <w:p w14:paraId="53CD9A1D" w14:textId="77777777" w:rsidR="00513E9D" w:rsidRDefault="00513E9D" w:rsidP="00513E9D">
            <w:pPr>
              <w:pStyle w:val="Marginlie"/>
            </w:pPr>
          </w:p>
          <w:p w14:paraId="119E32FD" w14:textId="77777777" w:rsidR="00513E9D" w:rsidRDefault="00513E9D" w:rsidP="00513E9D">
            <w:pPr>
              <w:pStyle w:val="Marginlie"/>
            </w:pPr>
          </w:p>
          <w:p w14:paraId="0DF83205" w14:textId="40684BD3" w:rsidR="00513E9D" w:rsidRDefault="00E97506" w:rsidP="00E97506">
            <w:pPr>
              <w:pStyle w:val="Marginlie"/>
            </w:pPr>
            <w:r>
              <w:t>D</w:t>
            </w:r>
            <w:r w:rsidR="00513E9D">
              <w:t>louh</w:t>
            </w:r>
            <w:r w:rsidR="00BB7EB1">
              <w:t>odobý útlum těžby uhlí přetrváv</w:t>
            </w:r>
            <w:r>
              <w:t>al.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5A3920F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F26EB50" w14:textId="6B96AE19" w:rsidR="00513E9D" w:rsidRPr="000E298B" w:rsidRDefault="00513E9D" w:rsidP="00513E9D">
            <w:pPr>
              <w:spacing w:after="200"/>
              <w:rPr>
                <w:spacing w:val="-7"/>
              </w:rPr>
            </w:pPr>
            <w:r w:rsidRPr="000E298B">
              <w:rPr>
                <w:color w:val="000000" w:themeColor="text1"/>
                <w:spacing w:val="-7"/>
              </w:rPr>
              <w:t xml:space="preserve">Navzdory méně příznivému vývoji zahraniční poptávky zaznamenala i v 1. pololetí alespoň mírný meziroční růst produkce většina dílčích průmyslových odvětví. K navýšení celkové průmyslové produkce (o 0,6 %) přispěla hlavně výroba elektrických zařízení (o 0,3 p. b., růst samotného odvětví o 4,4 %), a to hlavně vlivem výraznějšího zrychlení ve 2. čtvrtletí taženého domácí poptávkou. Významný byl i příspěvek dlouhodobě rostoucího, ale váhově okrajového farmaceutického průmyslu (0,2 p. b.), neboť jeho produkce se letos navýšila o více než šestinu. Podobně podpořila celý průmysl i energetika a také </w:t>
            </w:r>
            <w:r w:rsidRPr="000E298B">
              <w:rPr>
                <w:spacing w:val="-7"/>
              </w:rPr>
              <w:t>výroba počítačů, elektronických a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>optických přístrojů, kde svižný růst (+6,2 %) zrcadlil především sílící poptávku z tuzemska. Toto odvětví zároveň patří k nejrychleji rostoucím průmyslovým oborům od konce poslední recese</w:t>
            </w:r>
            <w:r w:rsidRPr="000E298B">
              <w:rPr>
                <w:rStyle w:val="Znakapoznpodarou"/>
                <w:color w:val="000000" w:themeColor="text1"/>
                <w:spacing w:val="-7"/>
              </w:rPr>
              <w:footnoteReference w:id="8"/>
            </w:r>
            <w:r w:rsidRPr="000E298B">
              <w:rPr>
                <w:spacing w:val="-7"/>
              </w:rPr>
              <w:t>. Ve váhově dominantním oboru výroby motorových vozidel vzrostla produkce jen o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>0,7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>%, nejméně od roku 2013. To dokládaly i údaje o fyzické produkci</w:t>
            </w:r>
            <w:r w:rsidRPr="000E298B">
              <w:rPr>
                <w:rStyle w:val="Znakapoznpodarou"/>
                <w:spacing w:val="-7"/>
              </w:rPr>
              <w:footnoteReference w:id="9"/>
            </w:r>
            <w:r w:rsidRPr="000E298B">
              <w:rPr>
                <w:spacing w:val="-7"/>
              </w:rPr>
              <w:t>. Citelné oslabení dynamiky zde již loni signalizovaly nové objednávky (za celý rok vzrostla hodnota zahraničních zakázek o 2,5 %, u tuzemských se o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>1,2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>% snížila). Podstatně lépe se letos i loni vedlo výrobcům ostatních (zejména kolejových) dopravních prostředků a zařízení. Růst produkce (o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>6,3 %) zde v 1. pololetí 2019 táhla hlavně zahraniční poptávka. Z váhově významnějších oborů mírně rostl výkon v opravách a</w:t>
            </w:r>
            <w:r w:rsidRPr="000E298B">
              <w:rPr>
                <w:color w:val="000000" w:themeColor="text1"/>
                <w:spacing w:val="-7"/>
              </w:rPr>
              <w:t> </w:t>
            </w:r>
            <w:r w:rsidRPr="000E298B">
              <w:rPr>
                <w:spacing w:val="-7"/>
              </w:rPr>
              <w:t xml:space="preserve">instalaci strojů a zařízení a též v potravinářském </w:t>
            </w:r>
            <w:r w:rsidRPr="000E298B">
              <w:rPr>
                <w:spacing w:val="-7"/>
              </w:rPr>
              <w:lastRenderedPageBreak/>
              <w:t>průmyslu – tedy v aktivitách primárně zaměřených na tuzemský trh. V gumárenství a plastikářství či v kovovýrobě produkce stagnovala, ve strojírenství navzdory pokračujícímu růstu domácí poptávky mírně klesla (–</w:t>
            </w:r>
            <w:r w:rsidRPr="000E298B">
              <w:rPr>
                <w:color w:val="000000" w:themeColor="text1"/>
                <w:spacing w:val="-7"/>
              </w:rPr>
              <w:t xml:space="preserve">0,7 %). Hlouběji klesl výkon v hutnictví a slévárenství </w:t>
            </w:r>
            <w:r w:rsidRPr="000E298B">
              <w:rPr>
                <w:spacing w:val="-7"/>
              </w:rPr>
              <w:t>(–</w:t>
            </w:r>
            <w:r w:rsidRPr="000E298B">
              <w:rPr>
                <w:color w:val="000000" w:themeColor="text1"/>
                <w:spacing w:val="-7"/>
              </w:rPr>
              <w:t xml:space="preserve">2,8 %), neboť silná tuzemská poptávka z let 2017 a 2018 se již neopakovala. Podobně na tom byla i výroba ostatních nekovových minerálních výrobků, kde již patrně vyprchal silný růstový impulz spojený s tuzemskou poptávkou po stavebních materiálech. Produkce letos klesala i v chemickém průmyslu </w:t>
            </w:r>
            <w:r w:rsidRPr="000E298B">
              <w:rPr>
                <w:spacing w:val="-7"/>
              </w:rPr>
              <w:t>(–</w:t>
            </w:r>
            <w:r w:rsidRPr="000E298B">
              <w:rPr>
                <w:color w:val="000000" w:themeColor="text1"/>
                <w:spacing w:val="-7"/>
              </w:rPr>
              <w:t xml:space="preserve">2,8 %), hlavně vlivem nepravidelností využití výrobních kapacit, které jsou pro tento obor typické. Dlouhodobý útlum v těžbě a dobývání (letos </w:t>
            </w:r>
            <w:r w:rsidRPr="000E298B">
              <w:rPr>
                <w:spacing w:val="-7"/>
              </w:rPr>
              <w:t>o</w:t>
            </w:r>
            <w:r w:rsidRPr="000E298B">
              <w:rPr>
                <w:color w:val="000000" w:themeColor="text1"/>
                <w:spacing w:val="-7"/>
              </w:rPr>
              <w:t> 4,4 %, za patnáct let o 42 %) se týkal hlavně uhlí</w:t>
            </w:r>
            <w:r w:rsidRPr="000E298B">
              <w:rPr>
                <w:rStyle w:val="Znakapoznpodarou"/>
                <w:color w:val="000000" w:themeColor="text1"/>
                <w:spacing w:val="-7"/>
              </w:rPr>
              <w:footnoteReference w:id="10"/>
            </w:r>
            <w:r w:rsidRPr="000E298B">
              <w:rPr>
                <w:color w:val="000000" w:themeColor="text1"/>
                <w:spacing w:val="-7"/>
              </w:rPr>
              <w:t xml:space="preserve">. Produkce v dřevozpracujícím průmyslu se letos snížila o desetinu a vrátila se tak na úroveň první poloviny roku 2016. Navzdory své nízké váze tak tento obor působil proti růstu celého průmyslu nejvíce (příspěvek </w:t>
            </w:r>
            <w:r w:rsidRPr="000E298B">
              <w:rPr>
                <w:spacing w:val="-7"/>
              </w:rPr>
              <w:t>–0,2 p. b.).</w:t>
            </w:r>
          </w:p>
        </w:tc>
      </w:tr>
      <w:tr w:rsidR="00513E9D" w:rsidRPr="00B01C55" w14:paraId="09BACD59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7F5BE7B9" w14:textId="05807B50" w:rsidR="00513E9D" w:rsidRDefault="00513E9D" w:rsidP="00513E9D">
            <w:pPr>
              <w:pStyle w:val="Marginlie"/>
            </w:pPr>
            <w:r>
              <w:lastRenderedPageBreak/>
              <w:t>Tempo růstu domácích tržeb průmyslových podniků převyšovalo tržby z přímého vývozu již třetím rokem v řadě.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03D59474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3ACDD84" w14:textId="0FBDB93D" w:rsidR="00513E9D" w:rsidRPr="000E298B" w:rsidRDefault="00513E9D" w:rsidP="00513E9D">
            <w:pPr>
              <w:spacing w:after="200"/>
              <w:rPr>
                <w:color w:val="000000" w:themeColor="text1"/>
                <w:spacing w:val="-7"/>
              </w:rPr>
            </w:pPr>
            <w:r w:rsidRPr="000E298B">
              <w:rPr>
                <w:color w:val="0D0D0D" w:themeColor="text1" w:themeTint="F2"/>
                <w:spacing w:val="-7"/>
              </w:rPr>
              <w:t>Navzdory oslabování dynamiky produkce vzrostly v 1. pololetí 2019 nominální tržby průmyslových podniků meziročně o 3,1 % (téměř o 2 p. b. více než ve stejném období loňského roku, kdy bylo ještě o jeden pracovní den více). Zřetelně tak ukazovaly vzlínání cen v ekonomice. Obdobně jako v letech 2017 a 2018 rostly letos svižněji domácí tržby (+3,8 %) než tržby z přímého vývozu. Celkové tržby klesly jen ve čtyřech průmyslových oborech, z významnějších šlo o chemický průmysl (o 1,9 %) a hutnictví (o 1,4 %), o více než desetinu se zvýšily např. v kožedělném či farmaceutickém průmyslu a v energetice.</w:t>
            </w:r>
          </w:p>
        </w:tc>
      </w:tr>
      <w:tr w:rsidR="00513E9D" w:rsidRPr="0041745D" w14:paraId="1FD1B0B6" w14:textId="77777777" w:rsidTr="000E298B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5E64923E" w14:textId="77777777" w:rsidR="00513E9D" w:rsidRDefault="00513E9D" w:rsidP="00513E9D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534B363B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6BECA5E7" w14:textId="77777777" w:rsidR="00513E9D" w:rsidRPr="000E298B" w:rsidRDefault="00513E9D" w:rsidP="00513E9D">
            <w:pPr>
              <w:pStyle w:val="Textpoznpodarou"/>
              <w:spacing w:line="276" w:lineRule="auto"/>
              <w:rPr>
                <w:b/>
                <w:spacing w:val="-7"/>
              </w:rPr>
            </w:pPr>
            <w:r w:rsidRPr="000E298B">
              <w:rPr>
                <w:b/>
                <w:spacing w:val="-7"/>
              </w:rPr>
              <w:t>Graf č. 6  Nové zakázky v automobilovém průmyslu, v průmyslu celkem</w:t>
            </w:r>
          </w:p>
          <w:p w14:paraId="605B0B69" w14:textId="70A587B3" w:rsidR="00513E9D" w:rsidRPr="000E298B" w:rsidRDefault="00513E9D" w:rsidP="00513E9D">
            <w:pPr>
              <w:spacing w:after="0"/>
              <w:rPr>
                <w:b/>
                <w:spacing w:val="-7"/>
                <w:sz w:val="18"/>
                <w:szCs w:val="18"/>
              </w:rPr>
            </w:pPr>
            <w:r w:rsidRPr="000E298B">
              <w:rPr>
                <w:bCs/>
                <w:spacing w:val="-7"/>
              </w:rPr>
              <w:t xml:space="preserve">(v běžných cenách, </w:t>
            </w:r>
            <w:r w:rsidRPr="000E298B">
              <w:rPr>
                <w:spacing w:val="-7"/>
              </w:rPr>
              <w:t>meziročně</w:t>
            </w:r>
            <w:r w:rsidRPr="000E298B">
              <w:rPr>
                <w:bCs/>
                <w:spacing w:val="-7"/>
              </w:rPr>
              <w:t xml:space="preserve"> v %),</w:t>
            </w:r>
            <w:r w:rsidRPr="000E298B">
              <w:rPr>
                <w:b/>
                <w:spacing w:val="-7"/>
              </w:rPr>
              <w:t xml:space="preserve"> saldo indikátoru důvěry v průmyslu* </w:t>
            </w:r>
            <w:r w:rsidRPr="000E298B">
              <w:rPr>
                <w:spacing w:val="-7"/>
              </w:rPr>
              <w:t xml:space="preserve">(v bodech) </w:t>
            </w:r>
            <w:r w:rsidRPr="000E298B">
              <w:rPr>
                <w:b/>
                <w:spacing w:val="-7"/>
              </w:rPr>
              <w:t>a využití výrobních kapacit v průmyslu*</w:t>
            </w:r>
            <w:r w:rsidRPr="000E298B">
              <w:rPr>
                <w:spacing w:val="-7"/>
              </w:rPr>
              <w:t xml:space="preserve"> (v %, pravá osa)</w:t>
            </w:r>
          </w:p>
        </w:tc>
      </w:tr>
      <w:tr w:rsidR="00513E9D" w:rsidRPr="00970E6F" w14:paraId="3F579AF7" w14:textId="77777777" w:rsidTr="007A20E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4A74E95E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02299E48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11A9EF8C" w14:textId="382A7A0D" w:rsidR="00513E9D" w:rsidRPr="000E298B" w:rsidRDefault="007A20EB" w:rsidP="00513E9D">
            <w:pPr>
              <w:spacing w:after="0" w:line="240" w:lineRule="auto"/>
              <w:rPr>
                <w:spacing w:val="-7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991C17" wp14:editId="3C0D9CF3">
                  <wp:extent cx="4759549" cy="3553200"/>
                  <wp:effectExtent l="0" t="0" r="3175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513E9D" w:rsidRPr="00DE6706" w14:paraId="40F2665B" w14:textId="77777777" w:rsidTr="000E298B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1EE0BCB1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2EB3864D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834140F" w14:textId="4D9438BF" w:rsidR="00513E9D" w:rsidRPr="000E298B" w:rsidRDefault="00513E9D" w:rsidP="00513E9D">
            <w:pPr>
              <w:spacing w:after="200"/>
              <w:rPr>
                <w:rFonts w:cs="Arial"/>
                <w:spacing w:val="-7"/>
                <w:sz w:val="14"/>
                <w:szCs w:val="14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>*Údaje jsou sezónně očištěny.                                                                                                                         Zdroj: ČSÚ</w:t>
            </w:r>
          </w:p>
        </w:tc>
      </w:tr>
      <w:tr w:rsidR="00513E9D" w14:paraId="7550B65F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3E16E3CA" w14:textId="77777777" w:rsidR="00513E9D" w:rsidRDefault="00513E9D" w:rsidP="00513E9D">
            <w:pPr>
              <w:pStyle w:val="Marginlie"/>
            </w:pPr>
            <w:r>
              <w:t>Hodnota nových zakázek z tuzemska ve 2. čtvrtletí meziročně rostla, u zahraničních stagnovala.</w:t>
            </w:r>
          </w:p>
          <w:p w14:paraId="0F2D885D" w14:textId="77777777" w:rsidR="00513E9D" w:rsidRDefault="00513E9D" w:rsidP="00513E9D">
            <w:pPr>
              <w:pStyle w:val="Marginlie"/>
            </w:pPr>
          </w:p>
          <w:p w14:paraId="60D5124D" w14:textId="77777777" w:rsidR="00513E9D" w:rsidRDefault="00513E9D" w:rsidP="00513E9D">
            <w:pPr>
              <w:pStyle w:val="Marginlie"/>
            </w:pPr>
          </w:p>
          <w:p w14:paraId="0A0109D7" w14:textId="692C0EDA" w:rsidR="00513E9D" w:rsidRDefault="00513E9D" w:rsidP="00513E9D">
            <w:pPr>
              <w:pStyle w:val="Marginlie"/>
            </w:pPr>
            <w:r>
              <w:t>Saldo indikátoru důvěry kleslo na téměř šestileté minimum, hlavní bariérou růstu se po dvou letech opět stala nedostatečná poptávka.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4E32A0F" w14:textId="77777777" w:rsidR="00513E9D" w:rsidRPr="002A4B98" w:rsidRDefault="00513E9D" w:rsidP="00513E9D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9D1810D" w14:textId="2C3ADA70" w:rsidR="00513E9D" w:rsidRPr="000E298B" w:rsidRDefault="00513E9D" w:rsidP="00513E9D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7"/>
              </w:rPr>
            </w:pPr>
            <w:r w:rsidRPr="000E298B">
              <w:rPr>
                <w:color w:val="0D0D0D" w:themeColor="text1" w:themeTint="F2"/>
                <w:spacing w:val="-7"/>
              </w:rPr>
              <w:t>Vyhlídky tuzemského průmyslu směrem k druhé polovině roku 2019 zůstávají rozporuplné. Na jedné straně přetrvává mírný růst hodnoty nových zakázek</w:t>
            </w:r>
            <w:r w:rsidRPr="000E298B">
              <w:rPr>
                <w:rStyle w:val="Znakapoznpodarou"/>
                <w:spacing w:val="-7"/>
              </w:rPr>
              <w:footnoteReference w:id="11"/>
            </w:r>
            <w:r w:rsidRPr="000E298B">
              <w:rPr>
                <w:color w:val="0D0D0D" w:themeColor="text1" w:themeTint="F2"/>
                <w:spacing w:val="-7"/>
              </w:rPr>
              <w:t>. Ten dosahoval ve 2. čtvrtletí 1,7 %</w:t>
            </w:r>
            <w:r w:rsidRPr="000E298B">
              <w:rPr>
                <w:rStyle w:val="Znakapoznpodarou"/>
                <w:spacing w:val="-7"/>
              </w:rPr>
              <w:footnoteReference w:id="12"/>
            </w:r>
            <w:r w:rsidRPr="000E298B">
              <w:rPr>
                <w:color w:val="0D0D0D" w:themeColor="text1" w:themeTint="F2"/>
                <w:spacing w:val="-7"/>
              </w:rPr>
              <w:t xml:space="preserve"> meziročně, byť jen zásluhou objednávek z tuzemska (+5,0 %). Mírný růst poptávky dále signalizoval automobilový průmysl, vč. jeho nejbližších subdodavatelů. Opačně na tom ale </w:t>
            </w:r>
            <w:r w:rsidRPr="000E298B">
              <w:rPr>
                <w:color w:val="0D0D0D" w:themeColor="text1" w:themeTint="F2"/>
                <w:spacing w:val="-7"/>
              </w:rPr>
              <w:lastRenderedPageBreak/>
              <w:t xml:space="preserve">byla významná odvětví – strojírenství, kovovýroba či chemický průmysl. Využití stávajících výrobních kapacit zůstalo vysoké (86 %). Sezónně očištěné saldo 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>indikátoru důvěry v průmyslu sestoupilo na počátku roku 2019 po více než pěti letech do záporného pásma a</w:t>
            </w:r>
            <w:r w:rsidRPr="000E298B">
              <w:rPr>
                <w:spacing w:val="-7"/>
              </w:rPr>
              <w:t> 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 xml:space="preserve">ve 2. čtvrtletí se lehký pesimismus dále prohloubil (na </w:t>
            </w:r>
            <w:r w:rsidRPr="000E298B">
              <w:rPr>
                <w:color w:val="0D0D0D" w:themeColor="text1" w:themeTint="F2"/>
                <w:spacing w:val="-7"/>
              </w:rPr>
              <w:t>–3,0 body v červnu)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>. Z hlavních bariér růstu rostla váha nedostatečné poptávky (ze 33 % ve 4. čtvrt</w:t>
            </w:r>
            <w:r w:rsidR="007A20EB">
              <w:rPr>
                <w:rFonts w:cs="Arial"/>
                <w:color w:val="0D0D0D" w:themeColor="text1" w:themeTint="F2"/>
                <w:spacing w:val="-7"/>
              </w:rPr>
              <w:t>letí 2018 na 40 %, na počátku</w:t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 xml:space="preserve"> 3. čtvrtletí 2019) a klesla role nedostatku pracovní síly (ze 45 % na 39 %)</w:t>
            </w:r>
            <w:r w:rsidRPr="000E298B">
              <w:rPr>
                <w:rStyle w:val="Znakapoznpodarou"/>
                <w:spacing w:val="-7"/>
              </w:rPr>
              <w:footnoteReference w:id="13"/>
            </w:r>
            <w:r w:rsidRPr="000E298B">
              <w:rPr>
                <w:rFonts w:cs="Arial"/>
                <w:color w:val="0D0D0D" w:themeColor="text1" w:themeTint="F2"/>
                <w:spacing w:val="-7"/>
              </w:rPr>
              <w:t>. Od poloviny roku 2018 pociťují podniky více i nedostatek materiálu. Pětina podniků naopak žádné významné bariéry neindikovala (nejvíce v gumárenství a plastikářství).</w:t>
            </w:r>
          </w:p>
        </w:tc>
      </w:tr>
      <w:tr w:rsidR="00513E9D" w14:paraId="37B693CE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34715505" w14:textId="78AAB127" w:rsidR="00513E9D" w:rsidRDefault="00513E9D" w:rsidP="00513E9D">
            <w:pPr>
              <w:pStyle w:val="Marginlie"/>
            </w:pPr>
            <w:r>
              <w:lastRenderedPageBreak/>
              <w:t>Růst stavební produkce pokračoval již třetím rokem v řadě. Projevil se vliv teplého počasí 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t>posílení veřejných investic na infrastrukturní projekty.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7AD77A0E" w14:textId="77777777" w:rsidR="00513E9D" w:rsidRPr="002A4B98" w:rsidRDefault="00513E9D" w:rsidP="00513E9D">
            <w:pPr>
              <w:pStyle w:val="Textpoznpodarou"/>
              <w:jc w:val="both"/>
              <w:rPr>
                <w:spacing w:val="-3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77251BD" w14:textId="18358C07" w:rsidR="00513E9D" w:rsidRPr="000E298B" w:rsidRDefault="00513E9D" w:rsidP="00772279">
            <w:pPr>
              <w:pStyle w:val="Textpoznpodarou"/>
              <w:spacing w:after="200" w:line="276" w:lineRule="auto"/>
              <w:jc w:val="both"/>
              <w:rPr>
                <w:color w:val="0D0D0D" w:themeColor="text1" w:themeTint="F2"/>
                <w:spacing w:val="-7"/>
              </w:rPr>
            </w:pPr>
            <w:r w:rsidRPr="000E298B">
              <w:rPr>
                <w:color w:val="0D0D0D" w:themeColor="text1" w:themeTint="F2"/>
                <w:spacing w:val="-7"/>
              </w:rPr>
              <w:t>Růst s</w:t>
            </w:r>
            <w:r w:rsidRPr="000E298B">
              <w:rPr>
                <w:spacing w:val="-7"/>
              </w:rPr>
              <w:t>tavební produkce</w:t>
            </w:r>
            <w:r w:rsidRPr="000E298B">
              <w:rPr>
                <w:rStyle w:val="Znakapoznpodarou"/>
                <w:spacing w:val="-7"/>
              </w:rPr>
              <w:footnoteReference w:id="14"/>
            </w:r>
            <w:r w:rsidRPr="000E298B">
              <w:rPr>
                <w:spacing w:val="-7"/>
              </w:rPr>
              <w:t xml:space="preserve"> letos po silném loňském roku zvolnil, pokračoval však již třetím rokem v řadě. V 1. pololetí dosáhl meziročně 3,4 %</w:t>
            </w:r>
            <w:r w:rsidRPr="000E298B">
              <w:rPr>
                <w:rStyle w:val="Znakapoznpodarou"/>
                <w:spacing w:val="-7"/>
              </w:rPr>
              <w:footnoteReference w:id="15"/>
            </w:r>
            <w:r w:rsidRPr="000E298B">
              <w:rPr>
                <w:spacing w:val="-7"/>
              </w:rPr>
              <w:t xml:space="preserve">, k čemuž přispěl i svižný vstup do letošního roku </w:t>
            </w:r>
            <w:r w:rsidRPr="000E298B">
              <w:rPr>
                <w:color w:val="0D0D0D" w:themeColor="text1" w:themeTint="F2"/>
                <w:spacing w:val="-7"/>
              </w:rPr>
              <w:t xml:space="preserve">– </w:t>
            </w:r>
            <w:r w:rsidRPr="000E298B">
              <w:rPr>
                <w:spacing w:val="-7"/>
              </w:rPr>
              <w:t>za první tři měsíce vzrostl výkon mezičtvrtletně skoro o 4 %, když rychlejšímu rozjezdu stavebních prací přálo i teplejší počasí. Pozitivně se projevil i vliv vyšších veřejných investic související se zrychleným čerpáním prostředků z rozpočtu EU, jakož i postupný rozvoj bytové výstavby. Navzdory slabší dynamice (+2,6 %) přispělo v 1. pololetí váhově silnější pozemní stavitelství k růstu celkové stavební produkce zhruba o polovinu více než inženýrské stavitelství (+6,2 %).</w:t>
            </w:r>
          </w:p>
        </w:tc>
      </w:tr>
      <w:tr w:rsidR="00513E9D" w:rsidRPr="001A21A7" w14:paraId="0C6D1007" w14:textId="77777777" w:rsidTr="000E298B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72511EFF" w14:textId="77777777" w:rsidR="00513E9D" w:rsidRDefault="00513E9D" w:rsidP="00513E9D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2D1F22AF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E826BC4" w14:textId="6709B78E" w:rsidR="00513E9D" w:rsidRPr="000E298B" w:rsidRDefault="00513E9D" w:rsidP="00513E9D">
            <w:pPr>
              <w:spacing w:after="0"/>
              <w:jc w:val="left"/>
              <w:rPr>
                <w:b/>
                <w:spacing w:val="-7"/>
              </w:rPr>
            </w:pPr>
            <w:r w:rsidRPr="000E298B">
              <w:rPr>
                <w:b/>
                <w:spacing w:val="-7"/>
              </w:rPr>
              <w:t xml:space="preserve">Graf č. 7  Příspěvky odvětví k meziroční změně stavební produkce </w:t>
            </w:r>
            <w:r w:rsidRPr="000E298B">
              <w:rPr>
                <w:spacing w:val="-7"/>
              </w:rPr>
              <w:t xml:space="preserve">(v p. b.), </w:t>
            </w:r>
            <w:r w:rsidRPr="000E298B">
              <w:rPr>
                <w:b/>
                <w:spacing w:val="-7"/>
              </w:rPr>
              <w:t xml:space="preserve">celková stavební produkce a nové zakázky </w:t>
            </w:r>
            <w:r w:rsidRPr="000E298B">
              <w:rPr>
                <w:bCs/>
                <w:spacing w:val="-7"/>
              </w:rPr>
              <w:t>(</w:t>
            </w:r>
            <w:r w:rsidRPr="000E298B">
              <w:rPr>
                <w:spacing w:val="-7"/>
              </w:rPr>
              <w:t>meziročně</w:t>
            </w:r>
            <w:r w:rsidRPr="000E298B">
              <w:rPr>
                <w:bCs/>
                <w:spacing w:val="-7"/>
              </w:rPr>
              <w:t xml:space="preserve"> v %),</w:t>
            </w:r>
            <w:r w:rsidRPr="000E298B">
              <w:rPr>
                <w:b/>
                <w:spacing w:val="-7"/>
              </w:rPr>
              <w:t xml:space="preserve"> saldo indikátoru důvěry ve stavebnictví*</w:t>
            </w:r>
            <w:r w:rsidRPr="000E298B">
              <w:rPr>
                <w:spacing w:val="-7"/>
              </w:rPr>
              <w:t xml:space="preserve"> (v bodech, pravá osa) </w:t>
            </w:r>
            <w:r w:rsidRPr="000E298B">
              <w:rPr>
                <w:b/>
                <w:spacing w:val="-7"/>
              </w:rPr>
              <w:t>a vybr. bariéry růstu</w:t>
            </w:r>
            <w:r w:rsidRPr="000E298B">
              <w:rPr>
                <w:spacing w:val="-7"/>
              </w:rPr>
              <w:t>* (v %, pravá osa)</w:t>
            </w:r>
          </w:p>
        </w:tc>
      </w:tr>
      <w:tr w:rsidR="00513E9D" w:rsidRPr="00B4411A" w14:paraId="73B75831" w14:textId="77777777" w:rsidTr="0074004D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4F0C9D81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32034A36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4342C61E" w14:textId="262B7E58" w:rsidR="00513E9D" w:rsidRPr="000E298B" w:rsidRDefault="0074004D" w:rsidP="00513E9D">
            <w:pPr>
              <w:spacing w:after="0"/>
              <w:rPr>
                <w:spacing w:val="-7"/>
              </w:rPr>
            </w:pPr>
            <w:r>
              <w:rPr>
                <w:noProof/>
              </w:rPr>
              <w:drawing>
                <wp:inline distT="0" distB="0" distL="0" distR="0" wp14:anchorId="6D9ABBB9" wp14:editId="563EFCE9">
                  <wp:extent cx="4749121" cy="3623323"/>
                  <wp:effectExtent l="0" t="0" r="0" b="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513E9D" w:rsidRPr="004621FE" w14:paraId="0FD07375" w14:textId="77777777" w:rsidTr="000E298B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5BBF5433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560E00DE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276B78E" w14:textId="77777777" w:rsidR="00513E9D" w:rsidRPr="000E298B" w:rsidRDefault="00513E9D" w:rsidP="00513E9D">
            <w:pPr>
              <w:spacing w:after="0"/>
              <w:rPr>
                <w:rFonts w:cs="Arial"/>
                <w:spacing w:val="-7"/>
                <w:sz w:val="14"/>
                <w:szCs w:val="14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>Údaje o stavební produkci jsou očištěny o kalendářní vlivy.</w:t>
            </w:r>
          </w:p>
          <w:p w14:paraId="3B3588DE" w14:textId="5F6CACD5" w:rsidR="00513E9D" w:rsidRPr="000E298B" w:rsidRDefault="00513E9D" w:rsidP="00513E9D">
            <w:pPr>
              <w:spacing w:after="200"/>
              <w:rPr>
                <w:rFonts w:cs="Arial"/>
                <w:color w:val="0D0D0D" w:themeColor="text1" w:themeTint="F2"/>
                <w:spacing w:val="-7"/>
              </w:rPr>
            </w:pPr>
            <w:r w:rsidRPr="000E298B">
              <w:rPr>
                <w:rFonts w:cs="Arial"/>
                <w:spacing w:val="-7"/>
                <w:sz w:val="14"/>
                <w:szCs w:val="14"/>
              </w:rPr>
              <w:t>*Údaje jsou sezónně očištěny.                                                                                                                                  Zdroj: ČSÚ</w:t>
            </w:r>
          </w:p>
        </w:tc>
      </w:tr>
      <w:tr w:rsidR="00513E9D" w14:paraId="2238B607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4AEA1BEE" w14:textId="1E276D83" w:rsidR="00513E9D" w:rsidRPr="00D57B48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  <w:r w:rsidRPr="00A805C0">
              <w:t>Svižný růst objemu zahajované bytové výstavby pokračoval již třetím rokem.</w:t>
            </w:r>
            <w:r>
              <w:rPr>
                <w:color w:val="0D0D0D" w:themeColor="text1" w:themeTint="F2"/>
                <w:spacing w:val="-4"/>
              </w:rPr>
              <w:t xml:space="preserve"> Počet bytů v bytových domech </w:t>
            </w:r>
            <w:r>
              <w:rPr>
                <w:color w:val="0D0D0D" w:themeColor="text1" w:themeTint="F2"/>
                <w:spacing w:val="-4"/>
              </w:rPr>
              <w:lastRenderedPageBreak/>
              <w:t>dosáhl nejvyšší hodnoty od konce roku 2008.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123E5DCB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DA0F089" w14:textId="7BC4FFEC" w:rsidR="00513E9D" w:rsidRPr="000E298B" w:rsidRDefault="00513E9D" w:rsidP="00513E9D">
            <w:pPr>
              <w:spacing w:after="200"/>
              <w:rPr>
                <w:color w:val="0D0D0D" w:themeColor="text1" w:themeTint="F2"/>
                <w:spacing w:val="-7"/>
                <w:szCs w:val="20"/>
              </w:rPr>
            </w:pPr>
            <w:r w:rsidRPr="000E298B">
              <w:rPr>
                <w:color w:val="0D0D0D" w:themeColor="text1" w:themeTint="F2"/>
                <w:spacing w:val="-7"/>
                <w:szCs w:val="20"/>
              </w:rPr>
              <w:t>Ve výkonech pozemního stavitelství se projevuje také sílící bytová výstavba, která tak postupně reaguje na dlouhodobě</w:t>
            </w:r>
            <w:r w:rsidR="00194850">
              <w:rPr>
                <w:color w:val="0D0D0D" w:themeColor="text1" w:themeTint="F2"/>
                <w:spacing w:val="-7"/>
                <w:szCs w:val="20"/>
              </w:rPr>
              <w:t xml:space="preserve"> silnou poptávku v této oblasti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 xml:space="preserve">. Počet zahájených bytů v 1. pololetí byl meziročně o 15,4 % vyšší. Za stejné období roku vykázal svižný růst již třetím rokem. Letošní objem výstavby (19,1 tis.) se tak již výrazně přiblížil dosud rekordní hodnotě za stejné období roku 2008 (21,9 tis.). K meziročnímu navýšení zahájených bytů došlo ve všech hlavních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lastRenderedPageBreak/>
              <w:t>druzích výstavby vyjma okrajových segmentů nebytových budov a stavebně upravených nebytových prostor</w:t>
            </w:r>
            <w:r w:rsidRPr="000E298B">
              <w:rPr>
                <w:rStyle w:val="Znakapoznpodarou"/>
                <w:spacing w:val="-7"/>
              </w:rPr>
              <w:footnoteReference w:id="16"/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. Nejvíce přibylo bytů v bytových domech (+59 %), objem výstavby zde dosáhl jedenáctiletého maxima (6,0 tis.). Přestože z pohledu krajů přispěla v 1. pololetí k meziročnímu růstu nejvíce Praha a objem zahajované výstavby zde dosáhl čtyřletého maxima (2,5 tis.), stále za růstem počtu obyvatel i pracovních příležitostí zaostával.</w:t>
            </w:r>
          </w:p>
        </w:tc>
      </w:tr>
      <w:tr w:rsidR="00513E9D" w:rsidRPr="009A5CA3" w14:paraId="4EA9DA27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4079383" w14:textId="77777777" w:rsidR="00513E9D" w:rsidRDefault="00513E9D" w:rsidP="00513E9D">
            <w:pPr>
              <w:pStyle w:val="Marginlie"/>
            </w:pPr>
            <w:r>
              <w:lastRenderedPageBreak/>
              <w:t>Růst nových stavebních zakázek se vlivem vysoké loňské základny ve 2. čtvrtletí zastavil. Celková zásoba práce ale rostla, především díky veřejným zakázkám.</w:t>
            </w:r>
          </w:p>
          <w:p w14:paraId="01B2B2B4" w14:textId="77777777" w:rsidR="00513E9D" w:rsidRDefault="00513E9D" w:rsidP="00513E9D">
            <w:pPr>
              <w:pStyle w:val="Marginlie"/>
            </w:pPr>
          </w:p>
          <w:p w14:paraId="3F7E5A04" w14:textId="77777777" w:rsidR="00513E9D" w:rsidRDefault="00513E9D" w:rsidP="00513E9D">
            <w:pPr>
              <w:pStyle w:val="Marginlie"/>
            </w:pPr>
          </w:p>
          <w:p w14:paraId="6D500EE3" w14:textId="77777777" w:rsidR="00513E9D" w:rsidRDefault="00513E9D" w:rsidP="00513E9D">
            <w:pPr>
              <w:pStyle w:val="Marginlie"/>
            </w:pPr>
          </w:p>
          <w:p w14:paraId="33581D97" w14:textId="77777777" w:rsidR="00513E9D" w:rsidRDefault="00513E9D" w:rsidP="00513E9D">
            <w:pPr>
              <w:pStyle w:val="Marginlie"/>
            </w:pPr>
            <w:r w:rsidRPr="00D57B48">
              <w:rPr>
                <w:color w:val="0D0D0D" w:themeColor="text1" w:themeTint="F2"/>
                <w:spacing w:val="-4"/>
              </w:rPr>
              <w:t>Nálada podnikatelů ve stavebnictv</w:t>
            </w:r>
            <w:r>
              <w:rPr>
                <w:color w:val="0D0D0D" w:themeColor="text1" w:themeTint="F2"/>
                <w:spacing w:val="-4"/>
              </w:rPr>
              <w:t>í zůstala mírně pozitivní. Vysoce vytížené stavební podniky ale citelně sužoval nedostatek</w:t>
            </w:r>
            <w:r w:rsidRPr="00D57B48">
              <w:rPr>
                <w:color w:val="0D0D0D" w:themeColor="text1" w:themeTint="F2"/>
                <w:spacing w:val="-4"/>
              </w:rPr>
              <w:t xml:space="preserve"> pracovní síly.</w:t>
            </w:r>
          </w:p>
          <w:p w14:paraId="6336DAAA" w14:textId="77777777" w:rsidR="00513E9D" w:rsidRDefault="00513E9D" w:rsidP="00513E9D">
            <w:pPr>
              <w:pStyle w:val="Marginlie"/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4A6F9542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5BDD53A" w14:textId="3B069D9D" w:rsidR="00513E9D" w:rsidRPr="000E298B" w:rsidRDefault="00513E9D" w:rsidP="00513E9D">
            <w:pPr>
              <w:spacing w:after="200"/>
              <w:rPr>
                <w:color w:val="0D0D0D" w:themeColor="text1" w:themeTint="F2"/>
                <w:spacing w:val="-7"/>
                <w:szCs w:val="20"/>
              </w:rPr>
            </w:pPr>
            <w:r w:rsidRPr="000E298B">
              <w:rPr>
                <w:spacing w:val="-7"/>
              </w:rPr>
              <w:t>Krátkodobé vyhlídky stavebnictví zůstávají příznivé, a to navzdory tomu, že hodnota nových tuzemských zakázek (</w:t>
            </w:r>
            <w:r w:rsidRPr="000E298B">
              <w:rPr>
                <w:rFonts w:cs="Arial"/>
                <w:spacing w:val="-7"/>
                <w:szCs w:val="20"/>
              </w:rPr>
              <w:t>u podniků s více než 50 zaměstnanci) se ve 2. čtvrtletí 2019 meziročně o desetinu snížila (podobným tempem v pozemním i inženýrském stavitelství). Tento vývoj byl ale ovlivněn primárně vysokou srovnávací základnou</w:t>
            </w:r>
            <w:r w:rsidRPr="000E298B">
              <w:rPr>
                <w:rStyle w:val="Znakapoznpodarou"/>
                <w:spacing w:val="-7"/>
              </w:rPr>
              <w:footnoteReference w:id="17"/>
            </w:r>
            <w:r w:rsidRPr="000E298B">
              <w:rPr>
                <w:rFonts w:cs="Arial"/>
                <w:spacing w:val="-7"/>
                <w:szCs w:val="20"/>
              </w:rPr>
              <w:t xml:space="preserve">. Za celé pololetí objem nových stavebních zakázek stagnoval (při mírném růstu v inženýrském stavitelství). I vlivem výstavby a modernizace dopravní infrastruktury se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více prosazovaly větší projekty, průměrná velikost nové zakázky rostla třetím rokem v řadě (na pololetní 4,3 mil. korun</w:t>
            </w:r>
            <w:r w:rsidRPr="000E298B">
              <w:rPr>
                <w:rStyle w:val="Znakapoznpodarou"/>
                <w:spacing w:val="-7"/>
              </w:rPr>
              <w:footnoteReference w:id="18"/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 xml:space="preserve">). Meziročně posílila rovněž celková zásoba práce (dosud nerealizované zakázky) – o 7 % na 184 mld. korun (dle stavu na konci června), téměř výhradně zásluhou veřejných zakázek, </w:t>
            </w:r>
            <w:r w:rsidRPr="000E298B">
              <w:rPr>
                <w:rFonts w:cs="Arial"/>
                <w:spacing w:val="-7"/>
                <w:szCs w:val="20"/>
              </w:rPr>
              <w:t>které tvořily již tři pětiny rezervoáru prací (vyšší váhu měly naposledy v první polovině roku 2010). Při vysoké vytíženosti stavebních firem</w:t>
            </w:r>
            <w:r w:rsidRPr="000E298B">
              <w:rPr>
                <w:rStyle w:val="Znakapoznpodarou"/>
                <w:spacing w:val="-7"/>
              </w:rPr>
              <w:footnoteReference w:id="19"/>
            </w:r>
            <w:r w:rsidRPr="000E298B">
              <w:rPr>
                <w:rFonts w:cs="Arial"/>
                <w:spacing w:val="-7"/>
                <w:szCs w:val="20"/>
              </w:rPr>
              <w:t xml:space="preserve"> naopak dále klesala role zakázek ze zahraničí, jejich zásoba nedosahovala ani třetiny úrovně roku 2014. </w:t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Indikátor důvěry manažerů stavebních podniků opustil v listopadu 2018 záporné pásmo (poprvé od září 2008) a na počátku roku 2019 těsně překonal dosud rekordní optimismus z roku 2005 (+5,5 bodu). V další části roku již důvěra nerostla, ale stále zůstávala mírně pozitivní. Pokračoval naopak strmý růst podniků, jejichž rozvoj limitoval nedostatek pracovní síly</w:t>
            </w:r>
            <w:r w:rsidRPr="000E298B">
              <w:rPr>
                <w:rStyle w:val="Znakapoznpodarou"/>
                <w:spacing w:val="-7"/>
              </w:rPr>
              <w:footnoteReference w:id="20"/>
            </w:r>
            <w:r w:rsidRPr="000E298B">
              <w:rPr>
                <w:color w:val="0D0D0D" w:themeColor="text1" w:themeTint="F2"/>
                <w:spacing w:val="-7"/>
                <w:szCs w:val="20"/>
              </w:rPr>
              <w:t>.</w:t>
            </w:r>
          </w:p>
        </w:tc>
      </w:tr>
      <w:tr w:rsidR="00513E9D" w:rsidRPr="00FB502E" w14:paraId="749C8708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5E71FABE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tržeb ve vybraných službách se proti loňskému roku zmírnil, zejména vlivem citelného zvolnění v dopravě a skladování.</w:t>
            </w:r>
          </w:p>
          <w:p w14:paraId="0510C3BB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F319F18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5DB14478" w14:textId="6FC7D44E" w:rsidR="00513E9D" w:rsidRPr="000E298B" w:rsidRDefault="00513E9D" w:rsidP="00513E9D">
            <w:pPr>
              <w:spacing w:after="200"/>
              <w:rPr>
                <w:spacing w:val="-7"/>
              </w:rPr>
            </w:pPr>
            <w:r w:rsidRPr="000E298B">
              <w:rPr>
                <w:spacing w:val="-7"/>
              </w:rPr>
              <w:t xml:space="preserve">Tržby </w:t>
            </w:r>
            <w:r w:rsidRPr="000E298B">
              <w:rPr>
                <w:color w:val="0D0D0D" w:themeColor="text1" w:themeTint="F2"/>
                <w:spacing w:val="-7"/>
              </w:rPr>
              <w:t>ve vybraných službách</w:t>
            </w:r>
            <w:r w:rsidRPr="000E298B">
              <w:rPr>
                <w:color w:val="0D0D0D" w:themeColor="text1" w:themeTint="F2"/>
                <w:spacing w:val="-7"/>
                <w:vertAlign w:val="superscript"/>
              </w:rPr>
              <w:footnoteReference w:id="21"/>
            </w:r>
            <w:r w:rsidRPr="000E298B">
              <w:rPr>
                <w:color w:val="0D0D0D" w:themeColor="text1" w:themeTint="F2"/>
                <w:spacing w:val="-7"/>
              </w:rPr>
              <w:t xml:space="preserve"> vzrostly v 1. pololetí 2019 meziročně o 2,0 %, nejslabším tempem po roce 2016. Projevil se mimo jiné vliv slabšího letošního 2. čtvrtletí, kdy tržby mezikvartálně mírně poklesly (o 0,2 %, především vlivem zpomalení výkonu v dopravě a skladování). Alespoň mírně přispěly letos k meziročnímu růstu všechny odvětvové sekce vyjma činností v oblasti nemovitostí, které brzdily nižší tržby v segmentu realitních kanceláří a správy nemovitostí</w:t>
            </w:r>
            <w:r w:rsidRPr="000E298B">
              <w:rPr>
                <w:color w:val="0D0D0D" w:themeColor="text1" w:themeTint="F2"/>
                <w:spacing w:val="-7"/>
                <w:vertAlign w:val="superscript"/>
              </w:rPr>
              <w:footnoteReference w:id="22"/>
            </w:r>
            <w:r w:rsidRPr="000E298B">
              <w:rPr>
                <w:color w:val="0D0D0D" w:themeColor="text1" w:themeTint="F2"/>
                <w:spacing w:val="-7"/>
              </w:rPr>
              <w:t>.</w:t>
            </w:r>
          </w:p>
        </w:tc>
      </w:tr>
      <w:tr w:rsidR="00513E9D" w:rsidRPr="00FA0231" w14:paraId="47829FEC" w14:textId="77777777" w:rsidTr="000E298B">
        <w:trPr>
          <w:trHeight w:val="145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5D1D511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Dlouhodobě silná poptávka v oblasti informačních a komunikačních činností přetrvávala.</w:t>
            </w:r>
          </w:p>
          <w:p w14:paraId="2DE7A4ED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AAED0F8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F938EC4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AD8B26C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6419C12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2E0D3947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4C5B315C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18164B8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C01DFEE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Dařilo se poradenství v oblasti řízení, právním a účetnickým činnostem i průzkumu trhu.</w:t>
            </w:r>
          </w:p>
          <w:p w14:paraId="2EF87552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CB985B0" w14:textId="77777777" w:rsidR="00513E9D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7F2FFFB4" w14:textId="444A5B92" w:rsidR="00513E9D" w:rsidRPr="00D57B48" w:rsidRDefault="00513E9D" w:rsidP="00513E9D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tržeb v administrativních a podpůrných činnostech se téměř zastavil.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6F718849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718647EF" w14:textId="5072D642" w:rsidR="00513E9D" w:rsidRPr="000E298B" w:rsidRDefault="00513E9D" w:rsidP="002700D9">
            <w:pPr>
              <w:spacing w:after="200"/>
              <w:rPr>
                <w:color w:val="0D0D0D" w:themeColor="text1" w:themeTint="F2"/>
                <w:spacing w:val="-7"/>
              </w:rPr>
            </w:pPr>
            <w:r w:rsidRPr="000E298B">
              <w:rPr>
                <w:color w:val="0D0D0D" w:themeColor="text1" w:themeTint="F2"/>
                <w:spacing w:val="-7"/>
              </w:rPr>
              <w:t>Nejvíce letos rostly tržby v dlouhodobě dynamickém odvětví informačních a komunikačních činností (+5,7 %). Toto odvětví přispělo k růstu všech služeb více než polovinou. Vyjma telekomunikačních činností (+2,6 %) zaznamenala dynamický růst všechna dílčí odvětví – nejvíce váhově spíše okrajový segment tzv. filmového a hudebního průmyslu (+13,0 %)</w:t>
            </w:r>
            <w:r w:rsidRPr="000E298B">
              <w:rPr>
                <w:rStyle w:val="Znakapoznpodarou"/>
                <w:spacing w:val="-7"/>
              </w:rPr>
              <w:footnoteReference w:id="23"/>
            </w:r>
            <w:r w:rsidRPr="000E298B">
              <w:rPr>
                <w:color w:val="0D0D0D" w:themeColor="text1" w:themeTint="F2"/>
                <w:spacing w:val="-7"/>
              </w:rPr>
              <w:t>. Odvětví dopravy a skladování na silný výkon z počátku loňského roku nenavázalo, v 1. letošním pololetí vykázalo pouze 0,5% růst tržeb. Projevily se zejména slabší výkony ve skladování. Ke zpomalení ale došlo i ve váhově dominantní pozemní dopravě (na +1,7 %), navzdory vyšší mobilitě obyvatel podpořené rekordní zaměstnaností i rozšířením slev jízdného ve veřejné dopravě. Lépe se vedlo odvětví ubytování, stravování a pohostinství (+2,3 %), za posledních pět let zde tržby stouply o 29 %</w:t>
            </w:r>
            <w:r w:rsidRPr="000E298B">
              <w:rPr>
                <w:color w:val="0D0D0D" w:themeColor="text1" w:themeTint="F2"/>
                <w:spacing w:val="-7"/>
                <w:vertAlign w:val="superscript"/>
              </w:rPr>
              <w:footnoteReference w:id="24"/>
            </w:r>
            <w:r w:rsidRPr="000E298B">
              <w:rPr>
                <w:color w:val="0D0D0D" w:themeColor="text1" w:themeTint="F2"/>
                <w:spacing w:val="-7"/>
              </w:rPr>
              <w:t xml:space="preserve">. Dynamika tržeb odpovídala vývoji počtu </w:t>
            </w:r>
            <w:r w:rsidRPr="000E298B">
              <w:rPr>
                <w:color w:val="0D0D0D" w:themeColor="text1" w:themeTint="F2"/>
                <w:spacing w:val="-7"/>
              </w:rPr>
              <w:lastRenderedPageBreak/>
              <w:t>přenocování v hromadných ubytovacích zařízeních</w:t>
            </w:r>
            <w:r w:rsidRPr="000E298B">
              <w:rPr>
                <w:color w:val="0D0D0D" w:themeColor="text1" w:themeTint="F2"/>
                <w:spacing w:val="-7"/>
                <w:vertAlign w:val="superscript"/>
              </w:rPr>
              <w:footnoteReference w:id="25"/>
            </w:r>
            <w:r w:rsidRPr="000E298B">
              <w:rPr>
                <w:color w:val="0D0D0D" w:themeColor="text1" w:themeTint="F2"/>
                <w:spacing w:val="-7"/>
              </w:rPr>
              <w:t>. V odvětví profesní, vědecké a technické činnosti posílily tržby o 2,4 %. Podobně jako v loňském roce byly taženy hlavně právními a účetnickými činnostmi a také sílící poptávkou po činnostech vedení podniků a poradenství v oblasti řízení. Dvojciferným tempem pokračoval dynamický růst tržeb za průzkum trhu a veřejného mínění. Naopak navzdory rozvoji stavebnictví se jen velmi mírně zvyšovaly tržby za architektonické a inženýrské činnosti (+1,3 %). Odvětví administrativních a podpůrných činností letos rostlo nejslabším tempem po 1. polole</w:t>
            </w:r>
            <w:r w:rsidR="002700D9">
              <w:rPr>
                <w:color w:val="0D0D0D" w:themeColor="text1" w:themeTint="F2"/>
                <w:spacing w:val="-7"/>
              </w:rPr>
              <w:t xml:space="preserve">tí roku 2010 (+0,2 %). </w:t>
            </w:r>
            <w:r w:rsidR="002700D9">
              <w:rPr>
                <w:noProof/>
              </w:rPr>
              <w:t xml:space="preserve">Pokles tržeb bezpečnostních </w:t>
            </w:r>
            <w:r w:rsidR="002700D9">
              <w:rPr>
                <w:color w:val="0D0D0D" w:themeColor="text1" w:themeTint="F2"/>
                <w:spacing w:val="-4"/>
              </w:rPr>
              <w:t>a </w:t>
            </w:r>
            <w:r w:rsidR="002700D9" w:rsidRPr="0096401D">
              <w:rPr>
                <w:color w:val="0D0D0D" w:themeColor="text1" w:themeTint="F2"/>
                <w:spacing w:val="-4"/>
              </w:rPr>
              <w:t>pátrací</w:t>
            </w:r>
            <w:r w:rsidR="002700D9">
              <w:rPr>
                <w:color w:val="0D0D0D" w:themeColor="text1" w:themeTint="F2"/>
                <w:spacing w:val="-4"/>
              </w:rPr>
              <w:t>ch</w:t>
            </w:r>
            <w:r w:rsidR="002700D9">
              <w:rPr>
                <w:noProof/>
                <w:color w:val="0D0D0D" w:themeColor="text1" w:themeTint="F2"/>
                <w:spacing w:val="-4"/>
              </w:rPr>
              <w:t xml:space="preserve"> činností, </w:t>
            </w:r>
            <w:r w:rsidR="002700D9">
              <w:rPr>
                <w:color w:val="0D0D0D" w:themeColor="text1" w:themeTint="F2"/>
                <w:spacing w:val="-4"/>
              </w:rPr>
              <w:t>pracovních agentur</w:t>
            </w:r>
            <w:r w:rsidR="002700D9">
              <w:rPr>
                <w:noProof/>
                <w:color w:val="0D0D0D" w:themeColor="text1" w:themeTint="F2"/>
                <w:spacing w:val="-4"/>
              </w:rPr>
              <w:t xml:space="preserve"> i cestovních </w:t>
            </w:r>
            <w:r w:rsidR="0087347C">
              <w:rPr>
                <w:noProof/>
                <w:color w:val="0D0D0D" w:themeColor="text1" w:themeTint="F2"/>
                <w:spacing w:val="-4"/>
              </w:rPr>
              <w:t xml:space="preserve">kanceláří a </w:t>
            </w:r>
            <w:r w:rsidR="002700D9">
              <w:rPr>
                <w:noProof/>
                <w:color w:val="0D0D0D" w:themeColor="text1" w:themeTint="F2"/>
                <w:spacing w:val="-4"/>
              </w:rPr>
              <w:t xml:space="preserve">agentur byl kompenzován silnou potávkou v </w:t>
            </w:r>
            <w:r w:rsidR="002700D9" w:rsidRPr="005B4D3B">
              <w:rPr>
                <w:color w:val="0D0D0D" w:themeColor="text1" w:themeTint="F2"/>
                <w:spacing w:val="-4"/>
              </w:rPr>
              <w:t>administra</w:t>
            </w:r>
            <w:r w:rsidR="002700D9">
              <w:rPr>
                <w:noProof/>
                <w:color w:val="0D0D0D" w:themeColor="text1" w:themeTint="F2"/>
                <w:spacing w:val="-4"/>
              </w:rPr>
              <w:t xml:space="preserve">tivních a kancelářských činnostech a v oblasti </w:t>
            </w:r>
            <w:r w:rsidR="002700D9">
              <w:rPr>
                <w:color w:val="0D0D0D" w:themeColor="text1" w:themeTint="F2"/>
                <w:spacing w:val="-4"/>
              </w:rPr>
              <w:t>pronájmu a operativního leasingu</w:t>
            </w:r>
            <w:r w:rsidR="002700D9">
              <w:rPr>
                <w:noProof/>
                <w:color w:val="0D0D0D" w:themeColor="text1" w:themeTint="F2"/>
                <w:spacing w:val="-4"/>
              </w:rPr>
              <w:t>.</w:t>
            </w:r>
          </w:p>
        </w:tc>
      </w:tr>
      <w:tr w:rsidR="00513E9D" w:rsidRPr="00A16220" w14:paraId="171A508C" w14:textId="77777777" w:rsidTr="000E298B">
        <w:trPr>
          <w:trHeight w:val="170"/>
        </w:trPr>
        <w:tc>
          <w:tcPr>
            <w:tcW w:w="1763" w:type="dxa"/>
            <w:vMerge w:val="restart"/>
            <w:shd w:val="clear" w:color="auto" w:fill="auto"/>
            <w:tcMar>
              <w:left w:w="0" w:type="dxa"/>
            </w:tcMar>
          </w:tcPr>
          <w:p w14:paraId="793E0390" w14:textId="77777777" w:rsidR="00513E9D" w:rsidRDefault="00513E9D" w:rsidP="00513E9D">
            <w:pPr>
              <w:pStyle w:val="Marginlie"/>
            </w:pPr>
          </w:p>
        </w:tc>
        <w:tc>
          <w:tcPr>
            <w:tcW w:w="206" w:type="dxa"/>
            <w:vMerge w:val="restart"/>
            <w:shd w:val="clear" w:color="auto" w:fill="auto"/>
            <w:tcMar>
              <w:left w:w="0" w:type="dxa"/>
            </w:tcMar>
          </w:tcPr>
          <w:p w14:paraId="5B1B9B8E" w14:textId="77777777" w:rsidR="00513E9D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4D2B7452" w14:textId="61DC139F" w:rsidR="00513E9D" w:rsidRPr="000E298B" w:rsidRDefault="00513E9D" w:rsidP="00513E9D">
            <w:pPr>
              <w:pStyle w:val="Textpoznpodarou"/>
              <w:spacing w:line="276" w:lineRule="auto"/>
              <w:rPr>
                <w:b/>
                <w:spacing w:val="-6"/>
              </w:rPr>
            </w:pPr>
            <w:r w:rsidRPr="000E298B">
              <w:rPr>
                <w:b/>
                <w:spacing w:val="-6"/>
              </w:rPr>
              <w:t xml:space="preserve">Graf č. 8  Tržby ve vybraných sekcích služeb </w:t>
            </w:r>
            <w:r w:rsidRPr="000E298B">
              <w:rPr>
                <w:bCs/>
                <w:spacing w:val="-6"/>
              </w:rPr>
              <w:t xml:space="preserve">(reálně, sezónně </w:t>
            </w:r>
            <w:r w:rsidRPr="000E298B">
              <w:rPr>
                <w:rFonts w:cs="Arial"/>
                <w:spacing w:val="-6"/>
              </w:rPr>
              <w:t xml:space="preserve">očištěno, </w:t>
            </w:r>
            <w:r w:rsidRPr="000E298B">
              <w:rPr>
                <w:spacing w:val="-6"/>
              </w:rPr>
              <w:t>úroveň roku 2015 = 100</w:t>
            </w:r>
            <w:r w:rsidRPr="000E298B">
              <w:rPr>
                <w:bCs/>
                <w:spacing w:val="-6"/>
              </w:rPr>
              <w:t xml:space="preserve">) </w:t>
            </w:r>
            <w:r w:rsidRPr="000E298B">
              <w:rPr>
                <w:b/>
                <w:spacing w:val="-6"/>
              </w:rPr>
              <w:t xml:space="preserve">a saldo indikátoru důvěry ve vybraných službách* </w:t>
            </w:r>
            <w:r w:rsidRPr="000E298B">
              <w:rPr>
                <w:spacing w:val="-6"/>
              </w:rPr>
              <w:t>(v bodech)</w:t>
            </w:r>
          </w:p>
        </w:tc>
      </w:tr>
      <w:tr w:rsidR="00513E9D" w:rsidRPr="00535F78" w14:paraId="00FEAD0E" w14:textId="77777777" w:rsidTr="000E298B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63" w:type="dxa"/>
            <w:vMerge/>
            <w:shd w:val="clear" w:color="auto" w:fill="auto"/>
          </w:tcPr>
          <w:p w14:paraId="6790CDC5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</w:tcPr>
          <w:p w14:paraId="3932E046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</w:tcPr>
          <w:p w14:paraId="6FD2B1DF" w14:textId="65FF493A" w:rsidR="00513E9D" w:rsidRPr="000E298B" w:rsidRDefault="00513E9D" w:rsidP="00513E9D">
            <w:pPr>
              <w:spacing w:after="0"/>
              <w:rPr>
                <w:rFonts w:cs="Arial"/>
                <w:spacing w:val="-6"/>
                <w:sz w:val="14"/>
                <w:szCs w:val="14"/>
              </w:rPr>
            </w:pPr>
            <w:r w:rsidRPr="000E298B">
              <w:rPr>
                <w:rFonts w:cs="Arial"/>
                <w:noProof/>
                <w:spacing w:val="-6"/>
                <w:sz w:val="14"/>
                <w:szCs w:val="14"/>
              </w:rPr>
              <w:drawing>
                <wp:inline distT="0" distB="0" distL="0" distR="0" wp14:anchorId="0DA92977" wp14:editId="2DA86338">
                  <wp:extent cx="4779645" cy="3437907"/>
                  <wp:effectExtent l="0" t="0" r="1905" b="0"/>
                  <wp:docPr id="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13E9D" w:rsidRPr="00535F78" w14:paraId="6379E73D" w14:textId="77777777" w:rsidTr="000E298B">
        <w:trPr>
          <w:trHeight w:val="170"/>
        </w:trPr>
        <w:tc>
          <w:tcPr>
            <w:tcW w:w="1763" w:type="dxa"/>
            <w:vMerge/>
            <w:shd w:val="clear" w:color="auto" w:fill="auto"/>
            <w:tcMar>
              <w:left w:w="0" w:type="dxa"/>
            </w:tcMar>
          </w:tcPr>
          <w:p w14:paraId="45419B12" w14:textId="77777777" w:rsidR="00513E9D" w:rsidRPr="009110F7" w:rsidRDefault="00513E9D" w:rsidP="00513E9D">
            <w:pPr>
              <w:pStyle w:val="Marginlie"/>
            </w:pPr>
          </w:p>
        </w:tc>
        <w:tc>
          <w:tcPr>
            <w:tcW w:w="206" w:type="dxa"/>
            <w:vMerge/>
            <w:shd w:val="clear" w:color="auto" w:fill="auto"/>
            <w:tcMar>
              <w:left w:w="0" w:type="dxa"/>
            </w:tcMar>
          </w:tcPr>
          <w:p w14:paraId="00E6E918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3588FDB5" w14:textId="1C9A684C" w:rsidR="00513E9D" w:rsidRPr="000E298B" w:rsidRDefault="00513E9D" w:rsidP="00513E9D">
            <w:pPr>
              <w:spacing w:after="200"/>
              <w:rPr>
                <w:rFonts w:cs="Arial"/>
                <w:spacing w:val="-6"/>
                <w:sz w:val="14"/>
                <w:szCs w:val="14"/>
              </w:rPr>
            </w:pPr>
            <w:r w:rsidRPr="000E298B">
              <w:rPr>
                <w:rFonts w:cs="Arial"/>
                <w:spacing w:val="-6"/>
                <w:sz w:val="14"/>
                <w:szCs w:val="14"/>
              </w:rPr>
              <w:t>*Údaje jsou sezónně očištěny, zahrnuje i finanční sektor.                                                                                 Zdroj: ČSÚ</w:t>
            </w:r>
          </w:p>
        </w:tc>
      </w:tr>
      <w:tr w:rsidR="00513E9D" w:rsidRPr="00535F78" w14:paraId="2D98EA8E" w14:textId="77777777" w:rsidTr="000E298B">
        <w:trPr>
          <w:trHeight w:val="80"/>
        </w:trPr>
        <w:tc>
          <w:tcPr>
            <w:tcW w:w="1763" w:type="dxa"/>
            <w:shd w:val="clear" w:color="auto" w:fill="auto"/>
            <w:tcMar>
              <w:left w:w="0" w:type="dxa"/>
            </w:tcMar>
          </w:tcPr>
          <w:p w14:paraId="1897EEA2" w14:textId="77777777" w:rsidR="00513E9D" w:rsidRDefault="00513E9D" w:rsidP="00513E9D">
            <w:pPr>
              <w:pStyle w:val="Marginlie"/>
            </w:pPr>
            <w:r>
              <w:t>Svižné a relativně stabilní tempo růstu maloobchodních tržeb přetrvává již pátým rokem v řadě.</w:t>
            </w:r>
          </w:p>
          <w:p w14:paraId="17AA7786" w14:textId="77777777" w:rsidR="00513E9D" w:rsidRDefault="00513E9D" w:rsidP="00513E9D">
            <w:pPr>
              <w:pStyle w:val="Marginlie"/>
            </w:pPr>
          </w:p>
          <w:p w14:paraId="01B80BC7" w14:textId="77777777" w:rsidR="00513E9D" w:rsidRDefault="00513E9D" w:rsidP="00513E9D">
            <w:pPr>
              <w:pStyle w:val="Marginlie"/>
            </w:pPr>
          </w:p>
          <w:p w14:paraId="0CA87856" w14:textId="77777777" w:rsidR="00513E9D" w:rsidRDefault="00513E9D" w:rsidP="00513E9D">
            <w:pPr>
              <w:pStyle w:val="Marginlie"/>
            </w:pPr>
          </w:p>
          <w:p w14:paraId="361D20B6" w14:textId="77777777" w:rsidR="00513E9D" w:rsidRDefault="00513E9D" w:rsidP="00513E9D">
            <w:pPr>
              <w:pStyle w:val="Marginlie"/>
            </w:pPr>
          </w:p>
          <w:p w14:paraId="47587AAE" w14:textId="167CA9B2" w:rsidR="00513E9D" w:rsidRPr="009110F7" w:rsidRDefault="00513E9D" w:rsidP="00513E9D">
            <w:pPr>
              <w:pStyle w:val="Marginlie"/>
            </w:pPr>
            <w:r>
              <w:t>Tržby za prodej nepotravinářského zboží v ČR se zvyšovaly čtvrtým nejvyšším tempem mezi státy EU.</w:t>
            </w:r>
          </w:p>
        </w:tc>
        <w:tc>
          <w:tcPr>
            <w:tcW w:w="206" w:type="dxa"/>
            <w:shd w:val="clear" w:color="auto" w:fill="auto"/>
            <w:tcMar>
              <w:left w:w="0" w:type="dxa"/>
            </w:tcMar>
          </w:tcPr>
          <w:p w14:paraId="286744E5" w14:textId="77777777" w:rsidR="00513E9D" w:rsidRPr="009110F7" w:rsidRDefault="00513E9D" w:rsidP="00513E9D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70" w:type="dxa"/>
            <w:shd w:val="clear" w:color="auto" w:fill="auto"/>
            <w:tcMar>
              <w:left w:w="0" w:type="dxa"/>
            </w:tcMar>
          </w:tcPr>
          <w:p w14:paraId="1CCADD4F" w14:textId="7F2B52BF" w:rsidR="00513E9D" w:rsidRPr="000E298B" w:rsidRDefault="00513E9D" w:rsidP="000E298B">
            <w:pPr>
              <w:spacing w:after="0"/>
              <w:rPr>
                <w:rFonts w:cs="Arial"/>
                <w:spacing w:val="-7"/>
                <w:sz w:val="14"/>
                <w:szCs w:val="14"/>
              </w:rPr>
            </w:pPr>
            <w:r w:rsidRPr="000E298B">
              <w:rPr>
                <w:rFonts w:cs="Arial"/>
                <w:spacing w:val="-7"/>
                <w:szCs w:val="20"/>
              </w:rPr>
              <w:t>Růst kupní síly mezd i důchodů ve spojení s pozitivním (byť mírně slábnoucím) saldem spotřebitelské důvěry vyústil v 1. pololetí v 5,2% meziroční růst maloobchodních tržeb</w:t>
            </w:r>
            <w:r w:rsidRPr="000E298B">
              <w:rPr>
                <w:rStyle w:val="Znakapoznpodarou"/>
                <w:spacing w:val="-7"/>
              </w:rPr>
              <w:footnoteReference w:id="26"/>
            </w:r>
            <w:r w:rsidRPr="000E298B">
              <w:rPr>
                <w:rFonts w:cs="Arial"/>
                <w:spacing w:val="-7"/>
                <w:szCs w:val="20"/>
              </w:rPr>
              <w:t xml:space="preserve">. Podobné </w:t>
            </w:r>
            <w:r w:rsidR="001C7E3F">
              <w:rPr>
                <w:rFonts w:cs="Arial"/>
                <w:spacing w:val="-7"/>
                <w:szCs w:val="20"/>
              </w:rPr>
              <w:t>tempo si tržby udržují již</w:t>
            </w:r>
            <w:r w:rsidRPr="000E298B">
              <w:rPr>
                <w:rFonts w:cs="Arial"/>
                <w:spacing w:val="-7"/>
                <w:szCs w:val="20"/>
              </w:rPr>
              <w:t xml:space="preserve"> pět let. </w:t>
            </w:r>
            <w:r w:rsidRPr="000E298B">
              <w:rPr>
                <w:color w:val="0D0D0D" w:themeColor="text1" w:themeTint="F2"/>
                <w:spacing w:val="-7"/>
              </w:rPr>
              <w:t xml:space="preserve">K meziročnímu posílení maloobchodu v ČR přispěl tradičně nejvíce prodej nepotravinářského zboží (s růstem o 8,0 %, v 1. čtvrtletí dokonce o 9,2 %). Jeho pololetní růst více než dvojnásobně převyšoval tempo v EU a mezi státy Unie vykázaly </w:t>
            </w:r>
            <w:r w:rsidR="001C7E3F">
              <w:rPr>
                <w:color w:val="0D0D0D" w:themeColor="text1" w:themeTint="F2"/>
                <w:spacing w:val="-7"/>
              </w:rPr>
              <w:t>vyšší hodnotu jen Litva (9,9 %), Rumunsko (9,7</w:t>
            </w:r>
            <w:r w:rsidR="001C7E3F" w:rsidRPr="000E298B">
              <w:rPr>
                <w:color w:val="0D0D0D" w:themeColor="text1" w:themeTint="F2"/>
                <w:spacing w:val="-7"/>
              </w:rPr>
              <w:t> %</w:t>
            </w:r>
            <w:r w:rsidR="001C7E3F">
              <w:rPr>
                <w:color w:val="0D0D0D" w:themeColor="text1" w:themeTint="F2"/>
                <w:spacing w:val="-7"/>
              </w:rPr>
              <w:t>) a Maďarsko (8,4</w:t>
            </w:r>
            <w:r w:rsidRPr="000E298B">
              <w:rPr>
                <w:color w:val="0D0D0D" w:themeColor="text1" w:themeTint="F2"/>
                <w:spacing w:val="-7"/>
              </w:rPr>
              <w:t> %). Dařilo se všem druhům specializovaných prodejen, zejména těm s počítačovým a komunikačním zařízením (+10,6 %). Ještě více se dařilo prodeji výrobků pro kulturu a rekreaci (11,5 %), a to zejména díky silným prodejům v 1. čtvrtletí, jež byly stimulovány rychlým nástupem jarní sezóny. Mírný pokles (o 1,2 %) postihl jen specializované prodejny s potravinami. Celkové tržby za prodej potravin ale rostly (+2,3 %), podobně jako loni. Pokles dynamiky se naopak týkal prodejů pohonných hmot, které v samotném 2. čtvrtletí vzrostly meziročně jen o 2,2 % (nejméně od poloviny roku 2014). Tržby za prodej a opravy motorových vozidel se podobně jako vloni dále snižovaly, v mezičtvrtletním vyjádření se ale jejich pokles letos již zastavil.</w:t>
            </w:r>
          </w:p>
        </w:tc>
      </w:tr>
    </w:tbl>
    <w:p w14:paraId="63ECF9C9" w14:textId="6FDDEDF7" w:rsidR="00A50D73" w:rsidRPr="009110F7" w:rsidRDefault="00A50D73" w:rsidP="00C52CC0">
      <w:pPr>
        <w:pStyle w:val="Nadpis11"/>
        <w:rPr>
          <w:sz w:val="2"/>
          <w:szCs w:val="2"/>
        </w:rPr>
      </w:pPr>
      <w:bookmarkStart w:id="3" w:name="_GoBack"/>
      <w:bookmarkEnd w:id="3"/>
    </w:p>
    <w:sectPr w:rsidR="00A50D73" w:rsidRPr="009110F7" w:rsidSect="00C52CC0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60E42" w16cid:durableId="211A8B45"/>
  <w16cid:commentId w16cid:paraId="0353E24E" w16cid:durableId="211BEE38"/>
  <w16cid:commentId w16cid:paraId="1C386A8F" w16cid:durableId="211A9076"/>
  <w16cid:commentId w16cid:paraId="2A0C002C" w16cid:durableId="211A973A"/>
  <w16cid:commentId w16cid:paraId="706065F0" w16cid:durableId="211A91DA"/>
  <w16cid:commentId w16cid:paraId="22EE5AE9" w16cid:durableId="211B6626"/>
  <w16cid:commentId w16cid:paraId="6884C1E2" w16cid:durableId="211B675E"/>
  <w16cid:commentId w16cid:paraId="6C0EBCAF" w16cid:durableId="211B7A37"/>
  <w16cid:commentId w16cid:paraId="2CEF0B27" w16cid:durableId="211B750B"/>
  <w16cid:commentId w16cid:paraId="3634956F" w16cid:durableId="211BCF1B"/>
  <w16cid:commentId w16cid:paraId="07C1F79B" w16cid:durableId="211BEA3A"/>
  <w16cid:commentId w16cid:paraId="0D4FABC8" w16cid:durableId="211CBB71"/>
  <w16cid:commentId w16cid:paraId="76EE34F0" w16cid:durableId="211CB0AE"/>
  <w16cid:commentId w16cid:paraId="3E708163" w16cid:durableId="211CB1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6C03" w14:textId="77777777" w:rsidR="007D45C6" w:rsidRDefault="007D45C6" w:rsidP="00E71A58">
      <w:r>
        <w:separator/>
      </w:r>
    </w:p>
  </w:endnote>
  <w:endnote w:type="continuationSeparator" w:id="0">
    <w:p w14:paraId="096ECE5A" w14:textId="77777777" w:rsidR="007D45C6" w:rsidRDefault="007D45C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1E7ABD6E" w:rsidR="00880A0E" w:rsidRPr="00932443" w:rsidRDefault="00880A0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52CC0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 pololetí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05CA4E8F" w:rsidR="00880A0E" w:rsidRPr="00932443" w:rsidRDefault="00880A0E" w:rsidP="00FA6CB6">
    <w:pPr>
      <w:pStyle w:val="Zpat"/>
      <w:rPr>
        <w:szCs w:val="16"/>
      </w:rPr>
    </w:pPr>
    <w:r w:rsidRPr="00FA6CB6">
      <w:rPr>
        <w:szCs w:val="16"/>
      </w:rPr>
      <w:tab/>
      <w:t>1</w:t>
    </w:r>
    <w:r>
      <w:rPr>
        <w:szCs w:val="16"/>
      </w:rPr>
      <w:t>. 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pololetí</w:t>
    </w:r>
    <w:r>
      <w:rPr>
        <w:szCs w:val="16"/>
      </w:rPr>
      <w:t xml:space="preserve"> 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52CC0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DBA40" w14:textId="77777777" w:rsidR="007D45C6" w:rsidRDefault="007D45C6" w:rsidP="00A21B4D">
      <w:pPr>
        <w:spacing w:after="0"/>
      </w:pPr>
      <w:r>
        <w:separator/>
      </w:r>
    </w:p>
  </w:footnote>
  <w:footnote w:type="continuationSeparator" w:id="0">
    <w:p w14:paraId="0C40BAA6" w14:textId="77777777" w:rsidR="007D45C6" w:rsidRDefault="007D45C6" w:rsidP="00E71A58">
      <w:r>
        <w:continuationSeparator/>
      </w:r>
    </w:p>
  </w:footnote>
  <w:footnote w:id="1">
    <w:p w14:paraId="205FC625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HPH jsou vyjádřeny ve stálých cenách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 očištění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sezónní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kalendářní vlivy.</w:t>
      </w:r>
    </w:p>
  </w:footnote>
  <w:footnote w:id="2">
    <w:p w14:paraId="4B69943B" w14:textId="0B20AE15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Růst celkové hrubé přidané hodnoty v těchto uskupeních výrazně zpomaloval již v průběhu celého loňského roku. V jeho poslední čtvrtině dosahoval v zemích eurozóny slabých 1,2 %, v samotném Německu dokonce jen 0,5 %. Ve 2. čtvrtletí 2019 klesla obdobná tempa na 1,1 %, resp. 0,3 %, horší výsledky se naposledy projevily v roce 2013.</w:t>
      </w:r>
    </w:p>
  </w:footnote>
  <w:footnote w:id="3">
    <w:p w14:paraId="2C686A8F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Dle červencového odhadu sklizní ČSÚ se u letos nejdříve sklízené obiloviny (ozimého ječmene) úroda meziročně zvýšila o 21 %. Osevní plocha vzrostla o 5 %, odhad hektarového výnosu činil 5,74 tuny (meziročně +15 %, proti desetiletému průměru +13 %). Ozimý ječmen loni tvořil necelých 8 % celkové sklizně základních obilovin v ČR. Dle operativní zprávy Ministerstva zemědělství bylo na konci prvního červencového týdne sklizeno 36 % této plodiny. Oproti loňsku začaly sklizně v letošním roce mírně později.</w:t>
      </w:r>
    </w:p>
  </w:footnote>
  <w:footnote w:id="4">
    <w:p w14:paraId="3AA48F30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 1. pololetí 2019 realizovaly průmyslové podniky v ČR téměř 60 % svých tržeb prostřednictvím přímého vývozu (u některých oborů – výroby dopravních prostředků, elektrotechniky či v</w:t>
      </w:r>
      <w:r w:rsidRPr="00E329AE">
        <w:rPr>
          <w:rFonts w:cs="Arial"/>
          <w:color w:val="0D0D0D" w:themeColor="text1" w:themeTint="F2"/>
          <w:spacing w:val="-2"/>
          <w:sz w:val="16"/>
          <w:szCs w:val="16"/>
        </w:rPr>
        <w:t>ýrob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y</w:t>
      </w:r>
      <w:r w:rsidRPr="00E329AE">
        <w:rPr>
          <w:rFonts w:cs="Arial"/>
          <w:color w:val="0D0D0D" w:themeColor="text1" w:themeTint="F2"/>
          <w:spacing w:val="-2"/>
          <w:sz w:val="16"/>
          <w:szCs w:val="16"/>
        </w:rPr>
        <w:t xml:space="preserve"> počít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ačů, elektronických a optických</w:t>
      </w:r>
      <w:r w:rsidRPr="00E329AE">
        <w:rPr>
          <w:rFonts w:cs="Arial"/>
          <w:color w:val="0D0D0D" w:themeColor="text1" w:themeTint="F2"/>
          <w:spacing w:val="-2"/>
          <w:sz w:val="16"/>
          <w:szCs w:val="16"/>
        </w:rPr>
        <w:t xml:space="preserve"> přístrojů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E329AE">
        <w:rPr>
          <w:rFonts w:cs="Arial"/>
          <w:color w:val="0D0D0D" w:themeColor="text1" w:themeTint="F2"/>
          <w:spacing w:val="-2"/>
          <w:sz w:val="16"/>
          <w:szCs w:val="16"/>
        </w:rPr>
        <w:t>zařízení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– to byly tři čtvrtiny, ve farmaceutickém či kožedělném průmyslu dokonce přes 80 %). Se zahraniční poptávkou souvisela i další část tržeb, jež se realizovala formou nepřímých vývozů.</w:t>
      </w:r>
    </w:p>
  </w:footnote>
  <w:footnote w:id="5">
    <w:p w14:paraId="561605FE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Dle národního pojetí zahraničního obchodu mířilo v 1. pololetí do 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>Německa 31,4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 celého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 xml:space="preserve"> zbožového exportu (v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>němž v drtivé většině figurují výrobky průmyslo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vé povahy), do zemí eurozóny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 xml:space="preserve"> v úhrnu dokonce 65,7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%</w:t>
      </w:r>
      <w:r w:rsidRPr="005C012F">
        <w:rPr>
          <w:rFonts w:cs="Arial"/>
          <w:color w:val="0D0D0D" w:themeColor="text1" w:themeTint="F2"/>
          <w:spacing w:val="-2"/>
          <w:sz w:val="16"/>
          <w:szCs w:val="16"/>
        </w:rPr>
        <w:t>.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Oba podíly zůstávají v současné dekádě poměrně stabilní.</w:t>
      </w:r>
    </w:p>
  </w:footnote>
  <w:footnote w:id="6">
    <w:p w14:paraId="25F0CE25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Zahrnuje odvětví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těžby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a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dobývání,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zpracovatelského průmyslu a také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energetiky (zde pojímané jako odvětví výroby a rozvodu elektřiny, plynu, tepla a klimatizovaného vzduchu).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Všechna meziroční tempa produkce (na úrovni odvětvových sekcí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oddílů) j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sou očištěna o kalendářní vlivy, m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ezičtvrtletní 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FB58F4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7">
    <w:p w14:paraId="2221385C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Podniky v Česku tak se zpožděním reagovaly na situaci v eurozóně, kde se růst indexu průmyslové produkce v mezičtvrtletním vyjádření zastavil již na počátku roku 2018 a neožil ani v jeho průběhu. Naopak ve 4. čtvrtletí se pokles výkonu průmyslu prohloubil (na 1,1 %) a 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 xml:space="preserve">poprvé od konce recese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se snížil i meziročně (o 1,9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%). Snížení výkonu v tomto období nastalo současně 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ve všech pěti největších ekonomikách EU (meziročně i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D755AD">
        <w:rPr>
          <w:rFonts w:cs="Arial"/>
          <w:color w:val="0D0D0D" w:themeColor="text1" w:themeTint="F2"/>
          <w:spacing w:val="-2"/>
          <w:sz w:val="16"/>
          <w:szCs w:val="16"/>
        </w:rPr>
        <w:t>mezičtvrtletně).</w:t>
      </w:r>
    </w:p>
  </w:footnote>
  <w:footnote w:id="8">
    <w:p w14:paraId="0EA1F882" w14:textId="77777777" w:rsidR="00880A0E" w:rsidRPr="00FC55E2" w:rsidRDefault="00880A0E" w:rsidP="008402AD">
      <w:pPr>
        <w:pStyle w:val="Textpoznpodarou"/>
        <w:jc w:val="both"/>
        <w:rPr>
          <w:sz w:val="16"/>
          <w:szCs w:val="16"/>
        </w:rPr>
      </w:pPr>
      <w:r w:rsidRPr="00FC55E2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Za posledních šest let (resp. oproti 1. pololetí 2013) zde produkce vzrostla v úhrnu o 61 %, rychlejší tempo zaznamenala pouze výroba motorových vozidel (+70 %). V celém průmyslu činil růst 28 %. Pod úrovní roku 2013 zůstávaly pouze energetika </w:t>
      </w:r>
      <w:r w:rsidRPr="00D073D9">
        <w:rPr>
          <w:sz w:val="16"/>
          <w:szCs w:val="16"/>
        </w:rPr>
        <w:t>(</w:t>
      </w:r>
      <w:r w:rsidRPr="00D073D9">
        <w:rPr>
          <w:spacing w:val="-4"/>
          <w:sz w:val="16"/>
          <w:szCs w:val="16"/>
        </w:rPr>
        <w:t>–</w:t>
      </w:r>
      <w:r w:rsidRPr="00D073D9">
        <w:rPr>
          <w:sz w:val="16"/>
          <w:szCs w:val="16"/>
        </w:rPr>
        <w:t>1</w:t>
      </w:r>
      <w:r>
        <w:rPr>
          <w:sz w:val="16"/>
          <w:szCs w:val="16"/>
        </w:rPr>
        <w:t xml:space="preserve"> %), dřevozpracující průmysl </w:t>
      </w:r>
      <w:r w:rsidRPr="00D073D9">
        <w:rPr>
          <w:sz w:val="16"/>
          <w:szCs w:val="16"/>
        </w:rPr>
        <w:t>(</w:t>
      </w:r>
      <w:r w:rsidRPr="00D073D9">
        <w:rPr>
          <w:spacing w:val="-4"/>
          <w:sz w:val="16"/>
          <w:szCs w:val="16"/>
        </w:rPr>
        <w:t>–</w:t>
      </w:r>
      <w:r>
        <w:rPr>
          <w:sz w:val="16"/>
          <w:szCs w:val="16"/>
        </w:rPr>
        <w:t xml:space="preserve">4 %), těžba a dobývání </w:t>
      </w:r>
      <w:r w:rsidRPr="00D073D9">
        <w:rPr>
          <w:sz w:val="16"/>
          <w:szCs w:val="16"/>
        </w:rPr>
        <w:t>(</w:t>
      </w:r>
      <w:r w:rsidRPr="00D073D9">
        <w:rPr>
          <w:spacing w:val="-4"/>
          <w:sz w:val="16"/>
          <w:szCs w:val="16"/>
        </w:rPr>
        <w:t>–</w:t>
      </w:r>
      <w:r>
        <w:rPr>
          <w:sz w:val="16"/>
          <w:szCs w:val="16"/>
        </w:rPr>
        <w:t xml:space="preserve">18 %) a kožedělný průmysl </w:t>
      </w:r>
      <w:r w:rsidRPr="00D073D9">
        <w:rPr>
          <w:sz w:val="16"/>
          <w:szCs w:val="16"/>
        </w:rPr>
        <w:t>(</w:t>
      </w:r>
      <w:r w:rsidRPr="00D073D9">
        <w:rPr>
          <w:spacing w:val="-4"/>
          <w:sz w:val="16"/>
          <w:szCs w:val="16"/>
        </w:rPr>
        <w:t>–</w:t>
      </w:r>
      <w:r>
        <w:rPr>
          <w:sz w:val="16"/>
          <w:szCs w:val="16"/>
        </w:rPr>
        <w:t>23 %).</w:t>
      </w:r>
    </w:p>
  </w:footnote>
  <w:footnote w:id="9">
    <w:p w14:paraId="76C75DC7" w14:textId="77777777" w:rsidR="00880A0E" w:rsidRPr="00A608B0" w:rsidRDefault="00880A0E" w:rsidP="008402AD">
      <w:pPr>
        <w:pStyle w:val="Textpoznpodarou"/>
        <w:jc w:val="both"/>
        <w:rPr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Dle </w:t>
      </w:r>
      <w:r w:rsidRPr="009479CD">
        <w:rPr>
          <w:rFonts w:cs="Arial"/>
          <w:color w:val="0D0D0D" w:themeColor="text1" w:themeTint="F2"/>
          <w:sz w:val="16"/>
          <w:szCs w:val="16"/>
        </w:rPr>
        <w:t xml:space="preserve">údajů Sdružení automobilového průmyslu </w:t>
      </w:r>
      <w:r>
        <w:rPr>
          <w:rFonts w:cs="Arial"/>
          <w:color w:val="0D0D0D" w:themeColor="text1" w:themeTint="F2"/>
          <w:sz w:val="16"/>
          <w:szCs w:val="16"/>
        </w:rPr>
        <w:t>bylo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>v 1. pololetí 2019 v ČR vyrobeno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z w:val="16"/>
          <w:szCs w:val="16"/>
        </w:rPr>
        <w:t xml:space="preserve">747 tis. 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osobních </w:t>
      </w:r>
      <w:r>
        <w:rPr>
          <w:rFonts w:cs="Arial"/>
          <w:color w:val="0D0D0D" w:themeColor="text1" w:themeTint="F2"/>
          <w:sz w:val="16"/>
          <w:szCs w:val="16"/>
        </w:rPr>
        <w:t>automobilů, a za loňským rekordním počtem tak produkce o 1,5 % zaostala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. </w:t>
      </w:r>
      <w:r>
        <w:rPr>
          <w:rFonts w:cs="Arial"/>
          <w:color w:val="0D0D0D" w:themeColor="text1" w:themeTint="F2"/>
          <w:sz w:val="16"/>
          <w:szCs w:val="16"/>
        </w:rPr>
        <w:t>Mírně naopak rostla výroba v doplňkovém segmentu</w:t>
      </w:r>
      <w:r w:rsidRPr="005813A9">
        <w:rPr>
          <w:rFonts w:cs="Arial"/>
          <w:color w:val="0D0D0D" w:themeColor="text1" w:themeTint="F2"/>
          <w:sz w:val="16"/>
          <w:szCs w:val="16"/>
        </w:rPr>
        <w:t xml:space="preserve"> ostatních druhů motorových vozidel.</w:t>
      </w:r>
    </w:p>
  </w:footnote>
  <w:footnote w:id="10">
    <w:p w14:paraId="5965913B" w14:textId="77777777" w:rsidR="00880A0E" w:rsidRPr="00FC55E2" w:rsidRDefault="00880A0E" w:rsidP="008402AD">
      <w:pPr>
        <w:pStyle w:val="Textpoznpodarou"/>
        <w:jc w:val="both"/>
        <w:rPr>
          <w:sz w:val="16"/>
          <w:szCs w:val="16"/>
        </w:rPr>
      </w:pPr>
      <w:r w:rsidRPr="00FC55E2">
        <w:rPr>
          <w:rStyle w:val="Znakapoznpodarou"/>
          <w:sz w:val="16"/>
          <w:szCs w:val="16"/>
        </w:rPr>
        <w:footnoteRef/>
      </w:r>
      <w:r w:rsidRPr="00FC55E2">
        <w:rPr>
          <w:sz w:val="16"/>
          <w:szCs w:val="16"/>
        </w:rPr>
        <w:t xml:space="preserve"> Naopak v</w:t>
      </w:r>
      <w:r>
        <w:rPr>
          <w:sz w:val="16"/>
          <w:szCs w:val="16"/>
        </w:rPr>
        <w:t> </w:t>
      </w:r>
      <w:r w:rsidRPr="00FC55E2">
        <w:rPr>
          <w:sz w:val="16"/>
          <w:szCs w:val="16"/>
        </w:rPr>
        <w:t>jiném</w:t>
      </w:r>
      <w:r>
        <w:rPr>
          <w:sz w:val="16"/>
          <w:szCs w:val="16"/>
        </w:rPr>
        <w:t>,</w:t>
      </w:r>
      <w:r w:rsidRPr="00FC55E2">
        <w:rPr>
          <w:sz w:val="16"/>
          <w:szCs w:val="16"/>
        </w:rPr>
        <w:t xml:space="preserve"> váhově dosud okrajovém segmentu odvětví těžby a</w:t>
      </w:r>
      <w:r>
        <w:rPr>
          <w:sz w:val="16"/>
          <w:szCs w:val="16"/>
        </w:rPr>
        <w:t> </w:t>
      </w:r>
      <w:r w:rsidRPr="00FC55E2">
        <w:rPr>
          <w:sz w:val="16"/>
          <w:szCs w:val="16"/>
        </w:rPr>
        <w:t>dobývání –</w:t>
      </w:r>
      <w:r>
        <w:rPr>
          <w:sz w:val="16"/>
          <w:szCs w:val="16"/>
        </w:rPr>
        <w:t xml:space="preserve"> </w:t>
      </w:r>
      <w:r w:rsidRPr="00FC55E2">
        <w:rPr>
          <w:sz w:val="16"/>
          <w:szCs w:val="16"/>
        </w:rPr>
        <w:t xml:space="preserve">těžbě stavebních materiálů (zejména kamene, písků </w:t>
      </w:r>
      <w:r>
        <w:rPr>
          <w:sz w:val="16"/>
          <w:szCs w:val="16"/>
        </w:rPr>
        <w:t>a </w:t>
      </w:r>
      <w:r w:rsidRPr="00FC55E2">
        <w:rPr>
          <w:sz w:val="16"/>
          <w:szCs w:val="16"/>
        </w:rPr>
        <w:t>jílů)</w:t>
      </w:r>
      <w:r>
        <w:rPr>
          <w:sz w:val="16"/>
          <w:szCs w:val="16"/>
        </w:rPr>
        <w:t xml:space="preserve"> – produkce svižně rostla již třetím rokem v řadě.</w:t>
      </w:r>
    </w:p>
  </w:footnote>
  <w:footnote w:id="11">
    <w:p w14:paraId="36F3273D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7A20EB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7A20EB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 w:rsidRPr="007A20EB">
        <w:rPr>
          <w:rFonts w:cs="Arial"/>
          <w:color w:val="0D0D0D" w:themeColor="text1" w:themeTint="F2"/>
          <w:sz w:val="16"/>
          <w:szCs w:val="16"/>
        </w:rPr>
        <w:t>Zjišťování zakázek probíhá pouze ve vybraných oddílech CZ</w:t>
      </w:r>
      <w:r w:rsidRPr="007A20EB">
        <w:rPr>
          <w:rFonts w:cs="Arial"/>
          <w:color w:val="0D0D0D" w:themeColor="text1" w:themeTint="F2"/>
          <w:sz w:val="16"/>
          <w:szCs w:val="16"/>
        </w:rPr>
        <w:noBreakHyphen/>
        <w:t>NACE (13, 14, 17, 20, 21, 24, 25, 26, 27, 28, 29, 30), které vyrábějí převážně na zakázku, s dlouhodobějším výrobním cyklem a s většími zásobami zakázek.</w:t>
      </w:r>
    </w:p>
  </w:footnote>
  <w:footnote w:id="12">
    <w:p w14:paraId="2935204F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Příznivější vyhlídky naznačoval červenec 2019, kdy nové zakázky meziročně posílily o desetinu, v automobilovém průmyslu o šestinu.</w:t>
      </w:r>
    </w:p>
  </w:footnote>
  <w:footnote w:id="13">
    <w:p w14:paraId="762545AC" w14:textId="77777777" w:rsidR="00880A0E" w:rsidRPr="00FB58F4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2"/>
          <w:sz w:val="16"/>
          <w:szCs w:val="16"/>
        </w:rPr>
      </w:pPr>
      <w:r w:rsidRPr="00FB58F4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Růst evidenčního počtu zaměstnanců průmyslových podniků se v letošním ro</w:t>
      </w:r>
      <w:r w:rsidRPr="003669D9">
        <w:rPr>
          <w:rFonts w:cs="Arial"/>
          <w:color w:val="0D0D0D" w:themeColor="text1" w:themeTint="F2"/>
          <w:spacing w:val="-2"/>
          <w:sz w:val="16"/>
          <w:szCs w:val="16"/>
        </w:rPr>
        <w:t>ce zastavil.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Ve 2. čtvrtletí byl meziročně o 0,5 % nižší.</w:t>
      </w:r>
    </w:p>
  </w:footnote>
  <w:footnote w:id="14">
    <w:p w14:paraId="6E394787" w14:textId="77777777" w:rsidR="00880A0E" w:rsidRPr="00D85B50" w:rsidRDefault="00880A0E" w:rsidP="008402AD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Všechny meziroční údaje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stavební produkci jsou očištěny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kalendářní vlivy, mezičtvrtletní tempa pak také o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> 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>vliv sezónnosti.</w:t>
      </w:r>
    </w:p>
  </w:footnote>
  <w:footnote w:id="15">
    <w:p w14:paraId="267A06B2" w14:textId="77777777" w:rsidR="00880A0E" w:rsidRPr="00D85B50" w:rsidRDefault="00880A0E" w:rsidP="008402AD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Obdobným tempem rostla produkce i v celé EU. V rámci ní probíhal stavební boom v Rumunsku (+23 %) a také v Maďarsku (+35 %), kde strmý růst pokračoval již třetím rokem v řadě. Růst zaznamenaly v 1. pololetí téměř všechny státy Unie, některým ekonomikám pohybujícím se na hraně recese růst stavebnictví pomohl, např. v Německu (+3,8 %) či Itálii (+4,0 %).</w:t>
      </w:r>
    </w:p>
  </w:footnote>
  <w:footnote w:id="16">
    <w:p w14:paraId="27E840B8" w14:textId="77777777" w:rsidR="00880A0E" w:rsidRPr="00DE063B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„Obliba“ bytů vzniklých ve stavebně upravených nebytových prostorách ale v posledních pěti letech roste. Za celý loňský rok zde vzniklo 1 140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bytů, nejvíce po roce 2005. Více než polovina z nich připadala v roce 2018 na Středočeský a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Ústecký kraj. Roste také četnost bytů vzniklých v nástavbách k bytovým domům. Letos takto vzniklo 1 025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bytů, což představovalo nejvyšší pololetní úhrn po roce 2006. Zejména v největších městech se může jednat 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časově i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finančně zajímavou alternativu k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výrazně převažující výstavbě nových bytových domů.</w:t>
      </w:r>
    </w:p>
  </w:footnote>
  <w:footnote w:id="17">
    <w:p w14:paraId="07D964A2" w14:textId="77777777" w:rsidR="00880A0E" w:rsidRPr="00DE063B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Ve 2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. čtvrtlet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í 2018 vystoupaly nové zakázky na 71,3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mld.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korun. Jejich výše i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meziroční tempo (+33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) patřily k nejvyšším v éře ČR.</w:t>
      </w:r>
    </w:p>
  </w:footnote>
  <w:footnote w:id="18">
    <w:p w14:paraId="39F6511A" w14:textId="44A09326" w:rsidR="00880A0E" w:rsidRPr="00DE063B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Vzrostla i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průměrná orientační hodnota připadající 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na jedno stavební povolení (v 1. pololetí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2019 činila 4,7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mil.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korun, 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rok dříve 4,2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mil.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). Nejrychleji meziročně rostla u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nové výstavby (bytových i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nebytových budov). Celková hodnota stavebních povolení posílila meziročně o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19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%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.</w:t>
      </w:r>
    </w:p>
  </w:footnote>
  <w:footnote w:id="19">
    <w:p w14:paraId="39921967" w14:textId="77777777" w:rsidR="00880A0E" w:rsidRPr="00DE063B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3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3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Celková zásoba zakázek ve 2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. čtvrtlet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í poskytovala stavebním firmám práci v průměru na dalších 10,5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měsíce (ve stejném období roku 2018 „jen“ na 9,2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měsíce). Vytíženost stavebních firem v ČR je tak velmi vysoká nejen v historickém, ale i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mezinárodním pohledu. Více vytížené byly letos jen podniky ve Španělsku (16,8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měsíce) a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Itálii (12,8). Vysoké hodnoty mělo i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Slovensk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o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 xml:space="preserve"> (9,8) a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3"/>
          <w:sz w:val="16"/>
          <w:szCs w:val="16"/>
        </w:rPr>
        <w:t>Polsko (9,6)</w:t>
      </w:r>
      <w:r>
        <w:rPr>
          <w:rFonts w:cs="Arial"/>
          <w:color w:val="0D0D0D" w:themeColor="text1" w:themeTint="F2"/>
          <w:spacing w:val="-3"/>
          <w:sz w:val="16"/>
          <w:szCs w:val="16"/>
        </w:rPr>
        <w:t>.</w:t>
      </w:r>
    </w:p>
  </w:footnote>
  <w:footnote w:id="20">
    <w:p w14:paraId="34E55EC8" w14:textId="77777777" w:rsidR="00880A0E" w:rsidRPr="00DE063B" w:rsidRDefault="00880A0E" w:rsidP="008402AD">
      <w:pPr>
        <w:pStyle w:val="Textpoznpodarou"/>
        <w:jc w:val="both"/>
        <w:rPr>
          <w:rFonts w:cs="Arial"/>
          <w:color w:val="0D0D0D" w:themeColor="text1" w:themeTint="F2"/>
          <w:spacing w:val="-4"/>
          <w:sz w:val="16"/>
          <w:szCs w:val="16"/>
        </w:rPr>
      </w:pPr>
      <w:r w:rsidRPr="00DE063B">
        <w:rPr>
          <w:rStyle w:val="Znakapoznpodarou"/>
          <w:rFonts w:cs="Arial"/>
          <w:color w:val="0D0D0D" w:themeColor="text1" w:themeTint="F2"/>
          <w:spacing w:val="-4"/>
          <w:sz w:val="16"/>
          <w:szCs w:val="16"/>
        </w:rPr>
        <w:footnoteRef/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 xml:space="preserve"> Jestliže ve 3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. čtvrtlet</w:t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>í 2017 sužovala nedostatečná poptávka polovinu stavební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ch</w:t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 xml:space="preserve"> podniků a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>nedostatek pracovníků pětinu z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>nich, o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 </w:t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 xml:space="preserve">dva roky později se tyto relace téměř otočily. Stavebnictví tak ve zvýrazněné podobě zažívalo obdobný stav, jenž proběhl v průmyslu v letech 2016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a </w:t>
      </w:r>
      <w:r w:rsidRPr="00DE063B">
        <w:rPr>
          <w:rFonts w:cs="Arial"/>
          <w:color w:val="0D0D0D" w:themeColor="text1" w:themeTint="F2"/>
          <w:spacing w:val="-4"/>
          <w:sz w:val="16"/>
          <w:szCs w:val="16"/>
        </w:rPr>
        <w:t>2017.</w:t>
      </w:r>
    </w:p>
  </w:footnote>
  <w:footnote w:id="21">
    <w:p w14:paraId="6028B429" w14:textId="7E66E3D5" w:rsidR="00880A0E" w:rsidRPr="00DE38E6" w:rsidRDefault="00880A0E" w:rsidP="008402AD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</w:t>
      </w:r>
      <w:r w:rsidRPr="004A26AF">
        <w:rPr>
          <w:color w:val="0D0D0D" w:themeColor="text1" w:themeTint="F2"/>
          <w:sz w:val="16"/>
          <w:szCs w:val="16"/>
        </w:rPr>
        <w:t>Bez obchodu, peněžnictví, poji</w:t>
      </w:r>
      <w:r>
        <w:rPr>
          <w:color w:val="0D0D0D" w:themeColor="text1" w:themeTint="F2"/>
          <w:sz w:val="16"/>
          <w:szCs w:val="16"/>
        </w:rPr>
        <w:t>šťovnictví, vědy, výzkumu a veřejných</w:t>
      </w:r>
      <w:r w:rsidRPr="004A26AF">
        <w:rPr>
          <w:color w:val="0D0D0D" w:themeColor="text1" w:themeTint="F2"/>
          <w:sz w:val="16"/>
          <w:szCs w:val="16"/>
        </w:rPr>
        <w:t xml:space="preserve"> služeb. Všechny údaje za služby jsou </w:t>
      </w:r>
      <w:r>
        <w:rPr>
          <w:color w:val="0D0D0D" w:themeColor="text1" w:themeTint="F2"/>
          <w:sz w:val="16"/>
          <w:szCs w:val="16"/>
        </w:rPr>
        <w:t xml:space="preserve">ve stálých cenách, meziroční údaje jsou </w:t>
      </w:r>
      <w:r w:rsidRPr="004A26AF">
        <w:rPr>
          <w:color w:val="0D0D0D" w:themeColor="text1" w:themeTint="F2"/>
          <w:sz w:val="16"/>
          <w:szCs w:val="16"/>
        </w:rPr>
        <w:t>očištěny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jsou očištěny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  <w:footnote w:id="22">
    <w:p w14:paraId="1494849B" w14:textId="542D7F9B" w:rsidR="00880A0E" w:rsidRPr="00DE38E6" w:rsidRDefault="00880A0E" w:rsidP="008402AD">
      <w:pPr>
        <w:spacing w:after="0" w:line="240" w:lineRule="auto"/>
      </w:pPr>
      <w:r w:rsidRPr="004A26AF">
        <w:rPr>
          <w:rStyle w:val="Znakapoznpodarou"/>
          <w:color w:val="0D0D0D" w:themeColor="text1" w:themeTint="F2"/>
          <w:sz w:val="16"/>
          <w:szCs w:val="16"/>
        </w:rPr>
        <w:footnoteRef/>
      </w:r>
      <w:r>
        <w:rPr>
          <w:color w:val="0D0D0D" w:themeColor="text1" w:themeTint="F2"/>
          <w:sz w:val="16"/>
          <w:szCs w:val="16"/>
        </w:rPr>
        <w:t xml:space="preserve"> Tržby ve váhově významnějším segmentu prodeje a pronájmu nemovitostí se meziročně významně nezměnily.</w:t>
      </w:r>
    </w:p>
  </w:footnote>
  <w:footnote w:id="23">
    <w:p w14:paraId="004509D3" w14:textId="50FDFD4C" w:rsidR="00880A0E" w:rsidRPr="00D85B50" w:rsidRDefault="00880A0E" w:rsidP="008402AD">
      <w:pPr>
        <w:pStyle w:val="Textpoznpodarou"/>
        <w:jc w:val="both"/>
        <w:rPr>
          <w:spacing w:val="-4"/>
          <w:sz w:val="16"/>
          <w:szCs w:val="16"/>
        </w:rPr>
      </w:pPr>
      <w:r w:rsidRPr="005813A9">
        <w:rPr>
          <w:rStyle w:val="Znakapoznpodarou"/>
          <w:rFonts w:cs="Arial"/>
          <w:color w:val="0D0D0D" w:themeColor="text1" w:themeTint="F2"/>
          <w:spacing w:val="-2"/>
          <w:sz w:val="16"/>
          <w:szCs w:val="16"/>
        </w:rPr>
        <w:footnoteRef/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 Dařilo se</w:t>
      </w:r>
      <w:r w:rsidRPr="005813A9">
        <w:rPr>
          <w:rFonts w:cs="Arial"/>
          <w:color w:val="0D0D0D" w:themeColor="text1" w:themeTint="F2"/>
          <w:spacing w:val="-2"/>
          <w:sz w:val="16"/>
          <w:szCs w:val="16"/>
        </w:rPr>
        <w:t xml:space="preserve"> </w:t>
      </w:r>
      <w:r>
        <w:rPr>
          <w:rFonts w:cs="Arial"/>
          <w:color w:val="0D0D0D" w:themeColor="text1" w:themeTint="F2"/>
          <w:spacing w:val="-2"/>
          <w:sz w:val="16"/>
          <w:szCs w:val="16"/>
        </w:rPr>
        <w:t xml:space="preserve">i samotnému </w:t>
      </w:r>
      <w:r>
        <w:rPr>
          <w:sz w:val="16"/>
          <w:szCs w:val="16"/>
        </w:rPr>
        <w:t>segmentu filmové distribuce. Dle údajů Unie filmových distributorů vzrostly v 1. pololetí 2019 tržby ze vstupného v kinech v ČR meziročně o čtvrtinu a počet návštěvníků dosáhl 8,8</w:t>
      </w:r>
      <w:r w:rsidRPr="00E577B6">
        <w:rPr>
          <w:sz w:val="16"/>
          <w:szCs w:val="16"/>
        </w:rPr>
        <w:t xml:space="preserve"> mil. </w:t>
      </w:r>
      <w:r w:rsidRPr="00E577B6">
        <w:rPr>
          <w:color w:val="0D0D0D" w:themeColor="text1" w:themeTint="F2"/>
          <w:spacing w:val="-4"/>
          <w:sz w:val="16"/>
          <w:szCs w:val="16"/>
        </w:rPr>
        <w:t>–</w:t>
      </w:r>
      <w:r w:rsidRPr="00E577B6">
        <w:rPr>
          <w:color w:val="0D0D0D" w:themeColor="text1" w:themeTint="F2"/>
          <w:spacing w:val="-4"/>
        </w:rPr>
        <w:t xml:space="preserve"> </w:t>
      </w:r>
      <w:r w:rsidRPr="00E577B6">
        <w:rPr>
          <w:sz w:val="16"/>
          <w:szCs w:val="16"/>
        </w:rPr>
        <w:t>nejvyšší</w:t>
      </w:r>
      <w:r>
        <w:rPr>
          <w:sz w:val="16"/>
          <w:szCs w:val="16"/>
        </w:rPr>
        <w:t xml:space="preserve"> hodnoty v rámci 1. pololetí v historii samostatné ČR.</w:t>
      </w:r>
    </w:p>
  </w:footnote>
  <w:footnote w:id="24">
    <w:p w14:paraId="73968990" w14:textId="1C548883" w:rsidR="00880A0E" w:rsidRPr="005C04EC" w:rsidRDefault="00880A0E" w:rsidP="008402AD">
      <w:pPr>
        <w:spacing w:after="0" w:line="240" w:lineRule="auto"/>
        <w:rPr>
          <w:spacing w:val="-2"/>
        </w:rPr>
      </w:pPr>
      <w:r w:rsidRPr="005C04EC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</w:t>
      </w:r>
      <w:r w:rsidRPr="005C04EC">
        <w:rPr>
          <w:spacing w:val="-2"/>
          <w:sz w:val="16"/>
          <w:szCs w:val="16"/>
        </w:rPr>
        <w:t>To bylo nejvíce ze všech odvětvových sekcí služeb. V informačních a</w:t>
      </w:r>
      <w:r>
        <w:rPr>
          <w:spacing w:val="-2"/>
          <w:sz w:val="16"/>
          <w:szCs w:val="16"/>
        </w:rPr>
        <w:t> </w:t>
      </w:r>
      <w:r w:rsidRPr="005C04EC">
        <w:rPr>
          <w:spacing w:val="-2"/>
          <w:sz w:val="16"/>
          <w:szCs w:val="16"/>
        </w:rPr>
        <w:t>komunikačních činnostech činil růst 25</w:t>
      </w:r>
      <w:r>
        <w:rPr>
          <w:spacing w:val="-2"/>
          <w:sz w:val="16"/>
          <w:szCs w:val="16"/>
        </w:rPr>
        <w:t> %</w:t>
      </w:r>
      <w:r w:rsidRPr="005C04EC">
        <w:rPr>
          <w:spacing w:val="-2"/>
          <w:sz w:val="16"/>
          <w:szCs w:val="16"/>
        </w:rPr>
        <w:t>.</w:t>
      </w:r>
    </w:p>
  </w:footnote>
  <w:footnote w:id="25">
    <w:p w14:paraId="71285611" w14:textId="6FA07B16" w:rsidR="00880A0E" w:rsidRPr="005C04EC" w:rsidRDefault="00880A0E" w:rsidP="008402AD">
      <w:pPr>
        <w:spacing w:after="0" w:line="240" w:lineRule="auto"/>
        <w:rPr>
          <w:spacing w:val="-3"/>
        </w:rPr>
      </w:pPr>
      <w:r w:rsidRPr="005C04EC">
        <w:rPr>
          <w:rStyle w:val="Znakapoznpodarou"/>
          <w:color w:val="0D0D0D" w:themeColor="text1" w:themeTint="F2"/>
          <w:spacing w:val="-3"/>
          <w:sz w:val="16"/>
          <w:szCs w:val="16"/>
        </w:rPr>
        <w:footnoteRef/>
      </w:r>
      <w:r>
        <w:rPr>
          <w:color w:val="0D0D0D" w:themeColor="text1" w:themeTint="F2"/>
          <w:spacing w:val="-3"/>
          <w:sz w:val="16"/>
          <w:szCs w:val="16"/>
        </w:rPr>
        <w:t xml:space="preserve"> </w:t>
      </w:r>
      <w:r w:rsidRPr="005C04EC">
        <w:rPr>
          <w:color w:val="0D0D0D" w:themeColor="text1" w:themeTint="F2"/>
          <w:spacing w:val="-3"/>
          <w:sz w:val="16"/>
          <w:szCs w:val="16"/>
        </w:rPr>
        <w:t>Ten vzrostl v 1</w:t>
      </w:r>
      <w:r>
        <w:rPr>
          <w:color w:val="0D0D0D" w:themeColor="text1" w:themeTint="F2"/>
          <w:spacing w:val="-3"/>
          <w:sz w:val="16"/>
          <w:szCs w:val="16"/>
        </w:rPr>
        <w:t>. pololet</w:t>
      </w:r>
      <w:r w:rsidRPr="005C04EC">
        <w:rPr>
          <w:color w:val="0D0D0D" w:themeColor="text1" w:themeTint="F2"/>
          <w:spacing w:val="-3"/>
          <w:sz w:val="16"/>
          <w:szCs w:val="16"/>
        </w:rPr>
        <w:t>í 2019 meziročně o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5C04EC">
        <w:rPr>
          <w:color w:val="0D0D0D" w:themeColor="text1" w:themeTint="F2"/>
          <w:spacing w:val="-3"/>
          <w:sz w:val="16"/>
          <w:szCs w:val="16"/>
        </w:rPr>
        <w:t>2,5</w:t>
      </w:r>
      <w:r>
        <w:rPr>
          <w:color w:val="0D0D0D" w:themeColor="text1" w:themeTint="F2"/>
          <w:spacing w:val="-3"/>
          <w:sz w:val="16"/>
          <w:szCs w:val="16"/>
        </w:rPr>
        <w:t> %</w:t>
      </w:r>
      <w:r w:rsidRPr="005C04EC">
        <w:rPr>
          <w:color w:val="0D0D0D" w:themeColor="text1" w:themeTint="F2"/>
          <w:spacing w:val="-3"/>
          <w:sz w:val="16"/>
          <w:szCs w:val="16"/>
        </w:rPr>
        <w:t>, z velké části zásluhou hostů z tuzemska (+4,0</w:t>
      </w:r>
      <w:r>
        <w:rPr>
          <w:color w:val="0D0D0D" w:themeColor="text1" w:themeTint="F2"/>
          <w:spacing w:val="-3"/>
          <w:sz w:val="16"/>
          <w:szCs w:val="16"/>
        </w:rPr>
        <w:t> %</w:t>
      </w:r>
      <w:r w:rsidRPr="005C04EC">
        <w:rPr>
          <w:color w:val="0D0D0D" w:themeColor="text1" w:themeTint="F2"/>
          <w:spacing w:val="-3"/>
          <w:sz w:val="16"/>
          <w:szCs w:val="16"/>
        </w:rPr>
        <w:t xml:space="preserve">). K mírnému růstu </w:t>
      </w:r>
      <w:r>
        <w:rPr>
          <w:color w:val="0D0D0D" w:themeColor="text1" w:themeTint="F2"/>
          <w:spacing w:val="-3"/>
          <w:sz w:val="16"/>
          <w:szCs w:val="16"/>
        </w:rPr>
        <w:t xml:space="preserve">počtu </w:t>
      </w:r>
      <w:r w:rsidRPr="005C04EC">
        <w:rPr>
          <w:color w:val="0D0D0D" w:themeColor="text1" w:themeTint="F2"/>
          <w:spacing w:val="-3"/>
          <w:sz w:val="16"/>
          <w:szCs w:val="16"/>
        </w:rPr>
        <w:t>přenocování nerezidentů přispěli nejvíce hosté z Německa, z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5C04EC">
        <w:rPr>
          <w:color w:val="0D0D0D" w:themeColor="text1" w:themeTint="F2"/>
          <w:spacing w:val="-3"/>
          <w:sz w:val="16"/>
          <w:szCs w:val="16"/>
        </w:rPr>
        <w:t>ostatních sousedních států ČR a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5C04EC">
        <w:rPr>
          <w:color w:val="0D0D0D" w:themeColor="text1" w:themeTint="F2"/>
          <w:spacing w:val="-3"/>
          <w:sz w:val="16"/>
          <w:szCs w:val="16"/>
        </w:rPr>
        <w:t>také z USA. K poklesu naopak došlo u</w:t>
      </w:r>
      <w:r>
        <w:rPr>
          <w:color w:val="0D0D0D" w:themeColor="text1" w:themeTint="F2"/>
          <w:spacing w:val="-3"/>
          <w:sz w:val="16"/>
          <w:szCs w:val="16"/>
        </w:rPr>
        <w:t> </w:t>
      </w:r>
      <w:r w:rsidRPr="005C04EC">
        <w:rPr>
          <w:color w:val="0D0D0D" w:themeColor="text1" w:themeTint="F2"/>
          <w:spacing w:val="-3"/>
          <w:sz w:val="16"/>
          <w:szCs w:val="16"/>
        </w:rPr>
        <w:t>Rusů (hosté: –1,6</w:t>
      </w:r>
      <w:r>
        <w:rPr>
          <w:color w:val="0D0D0D" w:themeColor="text1" w:themeTint="F2"/>
          <w:spacing w:val="-3"/>
          <w:sz w:val="16"/>
          <w:szCs w:val="16"/>
        </w:rPr>
        <w:t> %</w:t>
      </w:r>
      <w:r w:rsidRPr="005C04EC">
        <w:rPr>
          <w:color w:val="0D0D0D" w:themeColor="text1" w:themeTint="F2"/>
          <w:spacing w:val="-3"/>
          <w:sz w:val="16"/>
          <w:szCs w:val="16"/>
        </w:rPr>
        <w:t>, přenocování: –7,8</w:t>
      </w:r>
      <w:r>
        <w:rPr>
          <w:color w:val="0D0D0D" w:themeColor="text1" w:themeTint="F2"/>
          <w:spacing w:val="-3"/>
          <w:sz w:val="16"/>
          <w:szCs w:val="16"/>
        </w:rPr>
        <w:t> %</w:t>
      </w:r>
      <w:r w:rsidRPr="005C04EC">
        <w:rPr>
          <w:color w:val="0D0D0D" w:themeColor="text1" w:themeTint="F2"/>
          <w:spacing w:val="-3"/>
          <w:sz w:val="16"/>
          <w:szCs w:val="16"/>
        </w:rPr>
        <w:t xml:space="preserve">). </w:t>
      </w:r>
      <w:r>
        <w:rPr>
          <w:color w:val="0D0D0D" w:themeColor="text1" w:themeTint="F2"/>
          <w:spacing w:val="-3"/>
          <w:sz w:val="16"/>
          <w:szCs w:val="16"/>
        </w:rPr>
        <w:t>Nárůst přenocování hostů vykázaly všechny kraje vyjma Zlínského (</w:t>
      </w:r>
      <w:r w:rsidRPr="005C04EC">
        <w:rPr>
          <w:color w:val="0D0D0D" w:themeColor="text1" w:themeTint="F2"/>
          <w:spacing w:val="-3"/>
          <w:sz w:val="16"/>
          <w:szCs w:val="16"/>
        </w:rPr>
        <w:t>–</w:t>
      </w:r>
      <w:r>
        <w:rPr>
          <w:color w:val="0D0D0D" w:themeColor="text1" w:themeTint="F2"/>
          <w:spacing w:val="-3"/>
          <w:sz w:val="16"/>
          <w:szCs w:val="16"/>
        </w:rPr>
        <w:t>1,2 %), v Praze byla tempa slabší (+0,6 %).</w:t>
      </w:r>
    </w:p>
  </w:footnote>
  <w:footnote w:id="26">
    <w:p w14:paraId="3FE98BDF" w14:textId="77777777" w:rsidR="00880A0E" w:rsidRDefault="00880A0E" w:rsidP="008402AD">
      <w:pPr>
        <w:spacing w:after="0" w:line="240" w:lineRule="auto"/>
      </w:pPr>
      <w:r w:rsidRPr="00A85D8E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Všechna</w:t>
      </w:r>
      <w:r w:rsidRPr="00A85D8E">
        <w:rPr>
          <w:sz w:val="16"/>
          <w:szCs w:val="16"/>
        </w:rPr>
        <w:t xml:space="preserve"> </w:t>
      </w:r>
      <w:r>
        <w:rPr>
          <w:sz w:val="16"/>
          <w:szCs w:val="16"/>
        </w:rPr>
        <w:t>meziroční tempa</w:t>
      </w:r>
      <w:r>
        <w:rPr>
          <w:color w:val="0D0D0D" w:themeColor="text1" w:themeTint="F2"/>
          <w:sz w:val="16"/>
          <w:szCs w:val="16"/>
        </w:rPr>
        <w:t xml:space="preserve"> tržeb</w:t>
      </w:r>
      <w:r w:rsidRPr="00A85D8E">
        <w:rPr>
          <w:color w:val="0D0D0D" w:themeColor="text1" w:themeTint="F2"/>
          <w:sz w:val="16"/>
          <w:szCs w:val="16"/>
        </w:rPr>
        <w:t xml:space="preserve"> za maloobchod</w:t>
      </w:r>
      <w:r w:rsidRPr="004A26AF">
        <w:rPr>
          <w:color w:val="0D0D0D" w:themeColor="text1" w:themeTint="F2"/>
          <w:sz w:val="16"/>
          <w:szCs w:val="16"/>
        </w:rPr>
        <w:t xml:space="preserve"> jsou </w:t>
      </w:r>
      <w:r>
        <w:rPr>
          <w:color w:val="0D0D0D" w:themeColor="text1" w:themeTint="F2"/>
          <w:sz w:val="16"/>
          <w:szCs w:val="16"/>
        </w:rPr>
        <w:t>uvedena ve stálých cenách a očištěna</w:t>
      </w:r>
      <w:r w:rsidRPr="004A26AF">
        <w:rPr>
          <w:color w:val="0D0D0D" w:themeColor="text1" w:themeTint="F2"/>
          <w:sz w:val="16"/>
          <w:szCs w:val="16"/>
        </w:rPr>
        <w:t xml:space="preserve"> o</w:t>
      </w:r>
      <w:r>
        <w:rPr>
          <w:color w:val="0D0D0D" w:themeColor="text1" w:themeTint="F2"/>
          <w:sz w:val="16"/>
          <w:szCs w:val="16"/>
        </w:rPr>
        <w:t> </w:t>
      </w:r>
      <w:r w:rsidRPr="004A26AF">
        <w:rPr>
          <w:color w:val="0D0D0D" w:themeColor="text1" w:themeTint="F2"/>
          <w:sz w:val="16"/>
          <w:szCs w:val="16"/>
        </w:rPr>
        <w:t>kal</w:t>
      </w:r>
      <w:r>
        <w:rPr>
          <w:color w:val="0D0D0D" w:themeColor="text1" w:themeTint="F2"/>
          <w:sz w:val="16"/>
          <w:szCs w:val="16"/>
        </w:rPr>
        <w:t>endářní vlivy, mezičtvrtletní tempa jsou očištěna o sezónní vlivy (včetně vlivu počtu pracovních dnů)</w:t>
      </w:r>
      <w:r w:rsidRPr="004A26AF">
        <w:rPr>
          <w:color w:val="0D0D0D" w:themeColor="text1" w:themeTint="F2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880A0E" w:rsidRDefault="00880A0E" w:rsidP="00937AE2">
    <w:pPr>
      <w:pStyle w:val="Zhlav"/>
    </w:pPr>
    <w:r>
      <w:t>Vývoj ekonomiky České republiky</w:t>
    </w:r>
  </w:p>
  <w:p w14:paraId="675E4C41" w14:textId="77777777" w:rsidR="00880A0E" w:rsidRPr="006F5416" w:rsidRDefault="00880A0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880A0E" w:rsidRDefault="00880A0E" w:rsidP="00937AE2">
    <w:pPr>
      <w:pStyle w:val="Zhlav"/>
    </w:pPr>
    <w:r>
      <w:t>Vývoj ekonomiky České republiky</w:t>
    </w:r>
  </w:p>
  <w:p w14:paraId="0CDCFD48" w14:textId="77777777" w:rsidR="00880A0E" w:rsidRPr="006F5416" w:rsidRDefault="00880A0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F22"/>
    <w:rsid w:val="0002195D"/>
    <w:rsid w:val="000228AE"/>
    <w:rsid w:val="000233D1"/>
    <w:rsid w:val="000234D6"/>
    <w:rsid w:val="00023D29"/>
    <w:rsid w:val="00024348"/>
    <w:rsid w:val="00026389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CEC"/>
    <w:rsid w:val="00044183"/>
    <w:rsid w:val="0004694F"/>
    <w:rsid w:val="00047D54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512B"/>
    <w:rsid w:val="00075551"/>
    <w:rsid w:val="00076D90"/>
    <w:rsid w:val="00077FF0"/>
    <w:rsid w:val="00081A55"/>
    <w:rsid w:val="0008263E"/>
    <w:rsid w:val="00082C1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BC0"/>
    <w:rsid w:val="000A1183"/>
    <w:rsid w:val="000A212B"/>
    <w:rsid w:val="000A256D"/>
    <w:rsid w:val="000A3A2C"/>
    <w:rsid w:val="000A3D9E"/>
    <w:rsid w:val="000A4A54"/>
    <w:rsid w:val="000A4ED9"/>
    <w:rsid w:val="000A7377"/>
    <w:rsid w:val="000B03CC"/>
    <w:rsid w:val="000B4212"/>
    <w:rsid w:val="000C0EA8"/>
    <w:rsid w:val="000C13A2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100F5C"/>
    <w:rsid w:val="00101CDA"/>
    <w:rsid w:val="00102037"/>
    <w:rsid w:val="00103DCB"/>
    <w:rsid w:val="00104C4C"/>
    <w:rsid w:val="00105015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E15"/>
    <w:rsid w:val="00130ADC"/>
    <w:rsid w:val="00130D9F"/>
    <w:rsid w:val="00132C4D"/>
    <w:rsid w:val="00133FC1"/>
    <w:rsid w:val="00134659"/>
    <w:rsid w:val="001405FA"/>
    <w:rsid w:val="00140D1A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C05CD"/>
    <w:rsid w:val="001C0F17"/>
    <w:rsid w:val="001C1B66"/>
    <w:rsid w:val="001C31A2"/>
    <w:rsid w:val="001C4BB8"/>
    <w:rsid w:val="001C5E46"/>
    <w:rsid w:val="001C6B3B"/>
    <w:rsid w:val="001C7E3F"/>
    <w:rsid w:val="001D0EF1"/>
    <w:rsid w:val="001D22C2"/>
    <w:rsid w:val="001D2C99"/>
    <w:rsid w:val="001D54C1"/>
    <w:rsid w:val="001D556E"/>
    <w:rsid w:val="001D5DF2"/>
    <w:rsid w:val="001D68B2"/>
    <w:rsid w:val="001D7EFD"/>
    <w:rsid w:val="001D7F60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88F"/>
    <w:rsid w:val="00233603"/>
    <w:rsid w:val="002340EF"/>
    <w:rsid w:val="00234B82"/>
    <w:rsid w:val="00236443"/>
    <w:rsid w:val="00236700"/>
    <w:rsid w:val="00240AF3"/>
    <w:rsid w:val="002418D5"/>
    <w:rsid w:val="00241B06"/>
    <w:rsid w:val="002436BA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4309"/>
    <w:rsid w:val="0026564B"/>
    <w:rsid w:val="00265E85"/>
    <w:rsid w:val="00267B49"/>
    <w:rsid w:val="002700D9"/>
    <w:rsid w:val="0027025F"/>
    <w:rsid w:val="002709CC"/>
    <w:rsid w:val="00271022"/>
    <w:rsid w:val="00271465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EA2"/>
    <w:rsid w:val="002A51AC"/>
    <w:rsid w:val="002A532A"/>
    <w:rsid w:val="002A5846"/>
    <w:rsid w:val="002A5D97"/>
    <w:rsid w:val="002A603E"/>
    <w:rsid w:val="002A63B9"/>
    <w:rsid w:val="002B3EF4"/>
    <w:rsid w:val="002B4845"/>
    <w:rsid w:val="002B5567"/>
    <w:rsid w:val="002B72AA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455C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300C31"/>
    <w:rsid w:val="00304771"/>
    <w:rsid w:val="003052D4"/>
    <w:rsid w:val="00306C5B"/>
    <w:rsid w:val="00307529"/>
    <w:rsid w:val="00307DB3"/>
    <w:rsid w:val="00307ED2"/>
    <w:rsid w:val="0031076D"/>
    <w:rsid w:val="00311AA6"/>
    <w:rsid w:val="00311C4D"/>
    <w:rsid w:val="003121AB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3CD0"/>
    <w:rsid w:val="0033448D"/>
    <w:rsid w:val="00334AD2"/>
    <w:rsid w:val="0033709C"/>
    <w:rsid w:val="003370C5"/>
    <w:rsid w:val="00340BF3"/>
    <w:rsid w:val="00341D26"/>
    <w:rsid w:val="00341F05"/>
    <w:rsid w:val="0034335E"/>
    <w:rsid w:val="00344668"/>
    <w:rsid w:val="003462D9"/>
    <w:rsid w:val="00347247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989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5525"/>
    <w:rsid w:val="003A5889"/>
    <w:rsid w:val="003A6B38"/>
    <w:rsid w:val="003A6B83"/>
    <w:rsid w:val="003A6C97"/>
    <w:rsid w:val="003A722F"/>
    <w:rsid w:val="003A7373"/>
    <w:rsid w:val="003B039F"/>
    <w:rsid w:val="003B0DF4"/>
    <w:rsid w:val="003B1F9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D2C"/>
    <w:rsid w:val="003C4E13"/>
    <w:rsid w:val="003C6221"/>
    <w:rsid w:val="003C68CC"/>
    <w:rsid w:val="003C7E62"/>
    <w:rsid w:val="003D12B9"/>
    <w:rsid w:val="003D242B"/>
    <w:rsid w:val="003D2492"/>
    <w:rsid w:val="003D29AA"/>
    <w:rsid w:val="003D2A99"/>
    <w:rsid w:val="003D6920"/>
    <w:rsid w:val="003E1EF8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F57"/>
    <w:rsid w:val="00405318"/>
    <w:rsid w:val="004059D2"/>
    <w:rsid w:val="00406C2E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501E"/>
    <w:rsid w:val="00415452"/>
    <w:rsid w:val="004159C3"/>
    <w:rsid w:val="00415A57"/>
    <w:rsid w:val="00416DAC"/>
    <w:rsid w:val="00420880"/>
    <w:rsid w:val="00421179"/>
    <w:rsid w:val="00431BFF"/>
    <w:rsid w:val="00432A58"/>
    <w:rsid w:val="004331C3"/>
    <w:rsid w:val="00434617"/>
    <w:rsid w:val="00435051"/>
    <w:rsid w:val="00435C69"/>
    <w:rsid w:val="004360FB"/>
    <w:rsid w:val="00437CED"/>
    <w:rsid w:val="00440900"/>
    <w:rsid w:val="0044121D"/>
    <w:rsid w:val="00441BF6"/>
    <w:rsid w:val="00441D2B"/>
    <w:rsid w:val="004441A0"/>
    <w:rsid w:val="00445861"/>
    <w:rsid w:val="00445A8E"/>
    <w:rsid w:val="00446D44"/>
    <w:rsid w:val="0045078A"/>
    <w:rsid w:val="0045086D"/>
    <w:rsid w:val="00451EF1"/>
    <w:rsid w:val="00452E60"/>
    <w:rsid w:val="0045321B"/>
    <w:rsid w:val="00456FE5"/>
    <w:rsid w:val="00457490"/>
    <w:rsid w:val="00457953"/>
    <w:rsid w:val="00460656"/>
    <w:rsid w:val="00460FB3"/>
    <w:rsid w:val="00464851"/>
    <w:rsid w:val="0046746A"/>
    <w:rsid w:val="00467B14"/>
    <w:rsid w:val="004707FE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4ECE"/>
    <w:rsid w:val="00486132"/>
    <w:rsid w:val="0048686D"/>
    <w:rsid w:val="00486A4D"/>
    <w:rsid w:val="004915CB"/>
    <w:rsid w:val="004924DC"/>
    <w:rsid w:val="00492879"/>
    <w:rsid w:val="004979A5"/>
    <w:rsid w:val="004A036E"/>
    <w:rsid w:val="004A14E4"/>
    <w:rsid w:val="004A204E"/>
    <w:rsid w:val="004A26A5"/>
    <w:rsid w:val="004A27F0"/>
    <w:rsid w:val="004A3212"/>
    <w:rsid w:val="004A37CD"/>
    <w:rsid w:val="004A40D9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55B7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3296"/>
    <w:rsid w:val="004D5B0F"/>
    <w:rsid w:val="004D7626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503D54"/>
    <w:rsid w:val="005048E2"/>
    <w:rsid w:val="00506603"/>
    <w:rsid w:val="0050689D"/>
    <w:rsid w:val="005077F5"/>
    <w:rsid w:val="005108C0"/>
    <w:rsid w:val="0051094F"/>
    <w:rsid w:val="00511873"/>
    <w:rsid w:val="00512461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70270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3E52"/>
    <w:rsid w:val="00583FFD"/>
    <w:rsid w:val="0058519A"/>
    <w:rsid w:val="005856BD"/>
    <w:rsid w:val="00586BCA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7BBF"/>
    <w:rsid w:val="005A0948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41C9"/>
    <w:rsid w:val="005B4853"/>
    <w:rsid w:val="005B6CA1"/>
    <w:rsid w:val="005B770C"/>
    <w:rsid w:val="005C06ED"/>
    <w:rsid w:val="005C11B8"/>
    <w:rsid w:val="005C2609"/>
    <w:rsid w:val="005C2B30"/>
    <w:rsid w:val="005C412B"/>
    <w:rsid w:val="005C43EC"/>
    <w:rsid w:val="005C45DD"/>
    <w:rsid w:val="005D3F06"/>
    <w:rsid w:val="005D4B73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EC9"/>
    <w:rsid w:val="00662469"/>
    <w:rsid w:val="00664205"/>
    <w:rsid w:val="00664647"/>
    <w:rsid w:val="00664803"/>
    <w:rsid w:val="00665982"/>
    <w:rsid w:val="00665BA4"/>
    <w:rsid w:val="00667856"/>
    <w:rsid w:val="00667AF2"/>
    <w:rsid w:val="00670489"/>
    <w:rsid w:val="006710C9"/>
    <w:rsid w:val="006741CD"/>
    <w:rsid w:val="00674D89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6C7"/>
    <w:rsid w:val="006968C1"/>
    <w:rsid w:val="006977F6"/>
    <w:rsid w:val="00697A13"/>
    <w:rsid w:val="006A109C"/>
    <w:rsid w:val="006A6565"/>
    <w:rsid w:val="006A7691"/>
    <w:rsid w:val="006A7EE2"/>
    <w:rsid w:val="006B0514"/>
    <w:rsid w:val="006B0F92"/>
    <w:rsid w:val="006B2785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F0741"/>
    <w:rsid w:val="006F1C27"/>
    <w:rsid w:val="006F2A65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65C5"/>
    <w:rsid w:val="00706AA0"/>
    <w:rsid w:val="00706AD4"/>
    <w:rsid w:val="00707150"/>
    <w:rsid w:val="007124D7"/>
    <w:rsid w:val="00712C20"/>
    <w:rsid w:val="00713549"/>
    <w:rsid w:val="007140BE"/>
    <w:rsid w:val="00715502"/>
    <w:rsid w:val="00715E4D"/>
    <w:rsid w:val="00716F48"/>
    <w:rsid w:val="00717114"/>
    <w:rsid w:val="0071779F"/>
    <w:rsid w:val="007211F5"/>
    <w:rsid w:val="00722777"/>
    <w:rsid w:val="00723435"/>
    <w:rsid w:val="00723436"/>
    <w:rsid w:val="007240E2"/>
    <w:rsid w:val="0072583E"/>
    <w:rsid w:val="00725BB5"/>
    <w:rsid w:val="00727C02"/>
    <w:rsid w:val="00730AE8"/>
    <w:rsid w:val="00730F1B"/>
    <w:rsid w:val="0073186D"/>
    <w:rsid w:val="0073333D"/>
    <w:rsid w:val="007343D9"/>
    <w:rsid w:val="00735448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61E9"/>
    <w:rsid w:val="00766460"/>
    <w:rsid w:val="00767062"/>
    <w:rsid w:val="00767777"/>
    <w:rsid w:val="00771972"/>
    <w:rsid w:val="00772279"/>
    <w:rsid w:val="00772DAB"/>
    <w:rsid w:val="00774D2C"/>
    <w:rsid w:val="0077605B"/>
    <w:rsid w:val="00776169"/>
    <w:rsid w:val="00776527"/>
    <w:rsid w:val="00777040"/>
    <w:rsid w:val="00777CE6"/>
    <w:rsid w:val="00780EF1"/>
    <w:rsid w:val="00781A91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A170B"/>
    <w:rsid w:val="007A20EB"/>
    <w:rsid w:val="007A282C"/>
    <w:rsid w:val="007A2A3A"/>
    <w:rsid w:val="007A33E2"/>
    <w:rsid w:val="007A3CAF"/>
    <w:rsid w:val="007A4782"/>
    <w:rsid w:val="007A516D"/>
    <w:rsid w:val="007A5E65"/>
    <w:rsid w:val="007A65E1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6689"/>
    <w:rsid w:val="007B6747"/>
    <w:rsid w:val="007B6F72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45C6"/>
    <w:rsid w:val="007E0535"/>
    <w:rsid w:val="007E0D4A"/>
    <w:rsid w:val="007E1788"/>
    <w:rsid w:val="007E1EE3"/>
    <w:rsid w:val="007E29B4"/>
    <w:rsid w:val="007E2F12"/>
    <w:rsid w:val="007E435A"/>
    <w:rsid w:val="007E49F7"/>
    <w:rsid w:val="007E4C70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7A17"/>
    <w:rsid w:val="00817EC1"/>
    <w:rsid w:val="0082112D"/>
    <w:rsid w:val="00821FF6"/>
    <w:rsid w:val="00822574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D5"/>
    <w:rsid w:val="00831CDE"/>
    <w:rsid w:val="00834304"/>
    <w:rsid w:val="00834FAA"/>
    <w:rsid w:val="008354FB"/>
    <w:rsid w:val="00836086"/>
    <w:rsid w:val="0083630F"/>
    <w:rsid w:val="00836A06"/>
    <w:rsid w:val="008374BC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7127"/>
    <w:rsid w:val="008B3A80"/>
    <w:rsid w:val="008B3C07"/>
    <w:rsid w:val="008B3F7B"/>
    <w:rsid w:val="008B6106"/>
    <w:rsid w:val="008B7C02"/>
    <w:rsid w:val="008B7D2B"/>
    <w:rsid w:val="008B7EF9"/>
    <w:rsid w:val="008C0049"/>
    <w:rsid w:val="008C0E88"/>
    <w:rsid w:val="008C1717"/>
    <w:rsid w:val="008C4B50"/>
    <w:rsid w:val="008C7569"/>
    <w:rsid w:val="008D0DBD"/>
    <w:rsid w:val="008D117E"/>
    <w:rsid w:val="008D127E"/>
    <w:rsid w:val="008D1CA8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29B"/>
    <w:rsid w:val="008F2A5D"/>
    <w:rsid w:val="008F3636"/>
    <w:rsid w:val="008F3FC9"/>
    <w:rsid w:val="008F5383"/>
    <w:rsid w:val="008F585B"/>
    <w:rsid w:val="009003A8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97A"/>
    <w:rsid w:val="00926520"/>
    <w:rsid w:val="00926CF0"/>
    <w:rsid w:val="009273A9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BD4"/>
    <w:rsid w:val="00935DFE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2B7B"/>
    <w:rsid w:val="00954F39"/>
    <w:rsid w:val="0095664B"/>
    <w:rsid w:val="009568DC"/>
    <w:rsid w:val="00957445"/>
    <w:rsid w:val="0095759C"/>
    <w:rsid w:val="009618EE"/>
    <w:rsid w:val="009624D2"/>
    <w:rsid w:val="009628D9"/>
    <w:rsid w:val="009637AE"/>
    <w:rsid w:val="009640F6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41AE"/>
    <w:rsid w:val="009741FC"/>
    <w:rsid w:val="00974923"/>
    <w:rsid w:val="00975909"/>
    <w:rsid w:val="00977C3D"/>
    <w:rsid w:val="00980D3D"/>
    <w:rsid w:val="0098103E"/>
    <w:rsid w:val="00983101"/>
    <w:rsid w:val="00983E4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DB2"/>
    <w:rsid w:val="009C1750"/>
    <w:rsid w:val="009C2E29"/>
    <w:rsid w:val="009C3E8F"/>
    <w:rsid w:val="009C554B"/>
    <w:rsid w:val="009C7126"/>
    <w:rsid w:val="009C719E"/>
    <w:rsid w:val="009C7799"/>
    <w:rsid w:val="009D07A9"/>
    <w:rsid w:val="009D0AE2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5273"/>
    <w:rsid w:val="009E57A8"/>
    <w:rsid w:val="009E5B85"/>
    <w:rsid w:val="009E5DDB"/>
    <w:rsid w:val="009F2921"/>
    <w:rsid w:val="009F4982"/>
    <w:rsid w:val="009F4CA7"/>
    <w:rsid w:val="009F55BA"/>
    <w:rsid w:val="009F7D36"/>
    <w:rsid w:val="00A00E71"/>
    <w:rsid w:val="00A0306F"/>
    <w:rsid w:val="00A03B10"/>
    <w:rsid w:val="00A03E2E"/>
    <w:rsid w:val="00A04616"/>
    <w:rsid w:val="00A04717"/>
    <w:rsid w:val="00A05EE4"/>
    <w:rsid w:val="00A06F99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3E43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50D73"/>
    <w:rsid w:val="00A52A88"/>
    <w:rsid w:val="00A52CAD"/>
    <w:rsid w:val="00A53FC7"/>
    <w:rsid w:val="00A55569"/>
    <w:rsid w:val="00A60AC1"/>
    <w:rsid w:val="00A626FF"/>
    <w:rsid w:val="00A62CE1"/>
    <w:rsid w:val="00A65469"/>
    <w:rsid w:val="00A65528"/>
    <w:rsid w:val="00A655D3"/>
    <w:rsid w:val="00A662D9"/>
    <w:rsid w:val="00A6741E"/>
    <w:rsid w:val="00A7016A"/>
    <w:rsid w:val="00A7018D"/>
    <w:rsid w:val="00A7191D"/>
    <w:rsid w:val="00A722F9"/>
    <w:rsid w:val="00A72D42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90F2C"/>
    <w:rsid w:val="00A90FED"/>
    <w:rsid w:val="00A9189D"/>
    <w:rsid w:val="00A91E71"/>
    <w:rsid w:val="00A925B1"/>
    <w:rsid w:val="00A934F9"/>
    <w:rsid w:val="00A940E3"/>
    <w:rsid w:val="00A95F1A"/>
    <w:rsid w:val="00A96116"/>
    <w:rsid w:val="00A9614E"/>
    <w:rsid w:val="00A96C0F"/>
    <w:rsid w:val="00AA0E80"/>
    <w:rsid w:val="00AA17CD"/>
    <w:rsid w:val="00AA212F"/>
    <w:rsid w:val="00AA2996"/>
    <w:rsid w:val="00AA2AF4"/>
    <w:rsid w:val="00AA4282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402FC"/>
    <w:rsid w:val="00B422E2"/>
    <w:rsid w:val="00B42D5F"/>
    <w:rsid w:val="00B43216"/>
    <w:rsid w:val="00B439DA"/>
    <w:rsid w:val="00B4411A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9FB"/>
    <w:rsid w:val="00B71FBF"/>
    <w:rsid w:val="00B734A0"/>
    <w:rsid w:val="00B73A14"/>
    <w:rsid w:val="00B748BD"/>
    <w:rsid w:val="00B7680F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3787"/>
    <w:rsid w:val="00BA46E8"/>
    <w:rsid w:val="00BA4E19"/>
    <w:rsid w:val="00BA6436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DC"/>
    <w:rsid w:val="00BF4329"/>
    <w:rsid w:val="00BF4E43"/>
    <w:rsid w:val="00BF5C4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513B"/>
    <w:rsid w:val="00C475E8"/>
    <w:rsid w:val="00C50E79"/>
    <w:rsid w:val="00C525FB"/>
    <w:rsid w:val="00C52CC0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9A3"/>
    <w:rsid w:val="00C71D2F"/>
    <w:rsid w:val="00C72984"/>
    <w:rsid w:val="00C73885"/>
    <w:rsid w:val="00C73C93"/>
    <w:rsid w:val="00C7435A"/>
    <w:rsid w:val="00C747B1"/>
    <w:rsid w:val="00C755F9"/>
    <w:rsid w:val="00C8174E"/>
    <w:rsid w:val="00C82191"/>
    <w:rsid w:val="00C83134"/>
    <w:rsid w:val="00C832F3"/>
    <w:rsid w:val="00C845A4"/>
    <w:rsid w:val="00C85545"/>
    <w:rsid w:val="00C855B5"/>
    <w:rsid w:val="00C85F0E"/>
    <w:rsid w:val="00C90CF4"/>
    <w:rsid w:val="00C922DE"/>
    <w:rsid w:val="00C92843"/>
    <w:rsid w:val="00C92EB6"/>
    <w:rsid w:val="00C93389"/>
    <w:rsid w:val="00C94CDD"/>
    <w:rsid w:val="00CA0346"/>
    <w:rsid w:val="00CA1BD6"/>
    <w:rsid w:val="00CA37FF"/>
    <w:rsid w:val="00CA423A"/>
    <w:rsid w:val="00CA47BC"/>
    <w:rsid w:val="00CA6AB4"/>
    <w:rsid w:val="00CA7255"/>
    <w:rsid w:val="00CB2351"/>
    <w:rsid w:val="00CB4930"/>
    <w:rsid w:val="00CB4C63"/>
    <w:rsid w:val="00CB5A48"/>
    <w:rsid w:val="00CB5E10"/>
    <w:rsid w:val="00CB613B"/>
    <w:rsid w:val="00CB6152"/>
    <w:rsid w:val="00CB64E1"/>
    <w:rsid w:val="00CC0834"/>
    <w:rsid w:val="00CC20FE"/>
    <w:rsid w:val="00CC2E7D"/>
    <w:rsid w:val="00CC612B"/>
    <w:rsid w:val="00CC655F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2E4D"/>
    <w:rsid w:val="00CF4205"/>
    <w:rsid w:val="00CF4908"/>
    <w:rsid w:val="00CF51EC"/>
    <w:rsid w:val="00CF545D"/>
    <w:rsid w:val="00CF5873"/>
    <w:rsid w:val="00CF73AE"/>
    <w:rsid w:val="00D0085A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AD6"/>
    <w:rsid w:val="00D35BBB"/>
    <w:rsid w:val="00D35E1A"/>
    <w:rsid w:val="00D36DFB"/>
    <w:rsid w:val="00D36E1C"/>
    <w:rsid w:val="00D373AF"/>
    <w:rsid w:val="00D40556"/>
    <w:rsid w:val="00D41F74"/>
    <w:rsid w:val="00D43ED2"/>
    <w:rsid w:val="00D50F46"/>
    <w:rsid w:val="00D5384E"/>
    <w:rsid w:val="00D544E7"/>
    <w:rsid w:val="00D5560A"/>
    <w:rsid w:val="00D56FBF"/>
    <w:rsid w:val="00D57677"/>
    <w:rsid w:val="00D60415"/>
    <w:rsid w:val="00D60E3C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8A9"/>
    <w:rsid w:val="00DB2DFA"/>
    <w:rsid w:val="00DB2EC8"/>
    <w:rsid w:val="00DB459B"/>
    <w:rsid w:val="00DB47FD"/>
    <w:rsid w:val="00DB5E9A"/>
    <w:rsid w:val="00DB657E"/>
    <w:rsid w:val="00DB7342"/>
    <w:rsid w:val="00DC17D0"/>
    <w:rsid w:val="00DC2B41"/>
    <w:rsid w:val="00DC435B"/>
    <w:rsid w:val="00DC53D8"/>
    <w:rsid w:val="00DC56FE"/>
    <w:rsid w:val="00DC5B3B"/>
    <w:rsid w:val="00DC6C2D"/>
    <w:rsid w:val="00DC7B1A"/>
    <w:rsid w:val="00DD04B0"/>
    <w:rsid w:val="00DD129F"/>
    <w:rsid w:val="00DD1A3F"/>
    <w:rsid w:val="00DD29B5"/>
    <w:rsid w:val="00DD32DD"/>
    <w:rsid w:val="00DD5287"/>
    <w:rsid w:val="00DE0D8B"/>
    <w:rsid w:val="00DE1237"/>
    <w:rsid w:val="00DE140F"/>
    <w:rsid w:val="00DE2491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1771"/>
    <w:rsid w:val="00E31A3E"/>
    <w:rsid w:val="00E32080"/>
    <w:rsid w:val="00E3309D"/>
    <w:rsid w:val="00E3724A"/>
    <w:rsid w:val="00E378B1"/>
    <w:rsid w:val="00E417BE"/>
    <w:rsid w:val="00E41CD5"/>
    <w:rsid w:val="00E4372D"/>
    <w:rsid w:val="00E43A9E"/>
    <w:rsid w:val="00E453F9"/>
    <w:rsid w:val="00E45D7D"/>
    <w:rsid w:val="00E4623F"/>
    <w:rsid w:val="00E4665D"/>
    <w:rsid w:val="00E47854"/>
    <w:rsid w:val="00E47EBA"/>
    <w:rsid w:val="00E50156"/>
    <w:rsid w:val="00E5076C"/>
    <w:rsid w:val="00E50D2E"/>
    <w:rsid w:val="00E53470"/>
    <w:rsid w:val="00E539F6"/>
    <w:rsid w:val="00E54698"/>
    <w:rsid w:val="00E54FB4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907"/>
    <w:rsid w:val="00ED5F5B"/>
    <w:rsid w:val="00ED62C6"/>
    <w:rsid w:val="00ED64C1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CC7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2CFB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307CB"/>
    <w:rsid w:val="00F30C65"/>
    <w:rsid w:val="00F32649"/>
    <w:rsid w:val="00F33523"/>
    <w:rsid w:val="00F3364D"/>
    <w:rsid w:val="00F349BF"/>
    <w:rsid w:val="00F34DDC"/>
    <w:rsid w:val="00F37EDC"/>
    <w:rsid w:val="00F437CC"/>
    <w:rsid w:val="00F44537"/>
    <w:rsid w:val="00F46185"/>
    <w:rsid w:val="00F46423"/>
    <w:rsid w:val="00F4696A"/>
    <w:rsid w:val="00F47067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644E"/>
    <w:rsid w:val="00FA0105"/>
    <w:rsid w:val="00FA05A0"/>
    <w:rsid w:val="00FA17CC"/>
    <w:rsid w:val="00FA1F01"/>
    <w:rsid w:val="00FA26DF"/>
    <w:rsid w:val="00FA32BC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Odv&#283;tv&#237;-2019\Odv&#283;tv&#237;%20grafy-1-q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1.pololet&#237;%202019\Odv&#283;tv&#237;\Odv&#283;tv&#237;%20grafy-1-pol-2019-fina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9\QMakro\1.pololet&#237;%202019\Odv&#283;tv&#237;\Odv&#283;tv&#237;%20grafy-1-pol-2019-fina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Odv&#283;tv&#237;-2019\Odv&#283;tv&#237;%20grafy-1-q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768470688525467E-2"/>
          <c:y val="1.6203558522131605E-2"/>
          <c:w val="0.94015567663973665"/>
          <c:h val="0.719505934107897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 příspěvky IPP'!$A$27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E8AFB2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IPP'!$B$27:$AI$27</c:f>
              <c:numCache>
                <c:formatCode>0.0</c:formatCode>
                <c:ptCount val="34"/>
                <c:pt idx="0">
                  <c:v>5.2078736853779173</c:v>
                </c:pt>
                <c:pt idx="1">
                  <c:v>4.1223648273779991</c:v>
                </c:pt>
                <c:pt idx="2">
                  <c:v>3.63477216157156</c:v>
                </c:pt>
                <c:pt idx="3">
                  <c:v>3.2216361743132538</c:v>
                </c:pt>
                <c:pt idx="4">
                  <c:v>2.2277089061298581</c:v>
                </c:pt>
                <c:pt idx="5">
                  <c:v>1.0445407965040034</c:v>
                </c:pt>
                <c:pt idx="6">
                  <c:v>-0.44415991740409522</c:v>
                </c:pt>
                <c:pt idx="7">
                  <c:v>-1.7046426167277111</c:v>
                </c:pt>
                <c:pt idx="8">
                  <c:v>-2.8402152771046563</c:v>
                </c:pt>
                <c:pt idx="9">
                  <c:v>-1.1163342815363446</c:v>
                </c:pt>
                <c:pt idx="10">
                  <c:v>0.6644282664004616</c:v>
                </c:pt>
                <c:pt idx="11">
                  <c:v>1.8881189084849743</c:v>
                </c:pt>
                <c:pt idx="12">
                  <c:v>3.5567942882522487</c:v>
                </c:pt>
                <c:pt idx="13">
                  <c:v>2.2505867525367846</c:v>
                </c:pt>
                <c:pt idx="14">
                  <c:v>1.7903943475924651</c:v>
                </c:pt>
                <c:pt idx="15">
                  <c:v>1.535644409665273</c:v>
                </c:pt>
                <c:pt idx="16">
                  <c:v>1.5449159659659168</c:v>
                </c:pt>
                <c:pt idx="17">
                  <c:v>2.1749281656592205</c:v>
                </c:pt>
                <c:pt idx="18">
                  <c:v>2.3300582377623109</c:v>
                </c:pt>
                <c:pt idx="19">
                  <c:v>2.8883547821003916</c:v>
                </c:pt>
                <c:pt idx="20">
                  <c:v>3.2974613335821723</c:v>
                </c:pt>
                <c:pt idx="21">
                  <c:v>2.7788016600022574</c:v>
                </c:pt>
                <c:pt idx="22">
                  <c:v>1.4641693240331413</c:v>
                </c:pt>
                <c:pt idx="23">
                  <c:v>1.0301621596218218</c:v>
                </c:pt>
                <c:pt idx="24">
                  <c:v>1.8188073708028707</c:v>
                </c:pt>
                <c:pt idx="25">
                  <c:v>2.0559452389437172</c:v>
                </c:pt>
                <c:pt idx="26">
                  <c:v>1.5681820744985684</c:v>
                </c:pt>
                <c:pt idx="27">
                  <c:v>1.6876490608562387</c:v>
                </c:pt>
                <c:pt idx="28">
                  <c:v>0.71498061102748001</c:v>
                </c:pt>
                <c:pt idx="29">
                  <c:v>0.55805449948842001</c:v>
                </c:pt>
                <c:pt idx="30">
                  <c:v>0.241155060823256</c:v>
                </c:pt>
                <c:pt idx="31">
                  <c:v>0.99609085179209589</c:v>
                </c:pt>
                <c:pt idx="32">
                  <c:v>-8.6132710841522284E-2</c:v>
                </c:pt>
                <c:pt idx="33">
                  <c:v>0.56916600963666997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2-4D17-B36C-EEA351C72CC7}"/>
            </c:ext>
          </c:extLst>
        </c:ser>
        <c:ser>
          <c:idx val="1"/>
          <c:order val="1"/>
          <c:tx>
            <c:strRef>
              <c:f>'GRAF příspěvky IPP'!$A$28</c:f>
              <c:strCache>
                <c:ptCount val="1"/>
                <c:pt idx="0">
                  <c:v>Gumárenství, elektrotechnický pr. (22+27)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IPP'!$B$28:$AI$28</c:f>
              <c:numCache>
                <c:formatCode>0.0</c:formatCode>
                <c:ptCount val="34"/>
                <c:pt idx="0">
                  <c:v>1.8195799141685121</c:v>
                </c:pt>
                <c:pt idx="1">
                  <c:v>1.4264054755235898</c:v>
                </c:pt>
                <c:pt idx="2">
                  <c:v>0.48607353269968806</c:v>
                </c:pt>
                <c:pt idx="3">
                  <c:v>0.58156552967788966</c:v>
                </c:pt>
                <c:pt idx="4">
                  <c:v>0.85798481430169571</c:v>
                </c:pt>
                <c:pt idx="5">
                  <c:v>0.68171577064529831</c:v>
                </c:pt>
                <c:pt idx="6">
                  <c:v>1.072037862747427</c:v>
                </c:pt>
                <c:pt idx="7">
                  <c:v>-0.46173310094024295</c:v>
                </c:pt>
                <c:pt idx="8">
                  <c:v>-0.34213672064681983</c:v>
                </c:pt>
                <c:pt idx="9">
                  <c:v>-0.29940942958869421</c:v>
                </c:pt>
                <c:pt idx="10">
                  <c:v>0.37461822657534871</c:v>
                </c:pt>
                <c:pt idx="11">
                  <c:v>0.67650313777163307</c:v>
                </c:pt>
                <c:pt idx="12">
                  <c:v>1.189030233896462</c:v>
                </c:pt>
                <c:pt idx="13">
                  <c:v>1.3176011911030265</c:v>
                </c:pt>
                <c:pt idx="14">
                  <c:v>0.16521296223436649</c:v>
                </c:pt>
                <c:pt idx="15">
                  <c:v>0.7937264559340933</c:v>
                </c:pt>
                <c:pt idx="16">
                  <c:v>1.0321564707423598</c:v>
                </c:pt>
                <c:pt idx="17">
                  <c:v>1.2396893147517036</c:v>
                </c:pt>
                <c:pt idx="18">
                  <c:v>1.4257126645761891</c:v>
                </c:pt>
                <c:pt idx="19">
                  <c:v>0.62646054654871031</c:v>
                </c:pt>
                <c:pt idx="20">
                  <c:v>0.70239864046330858</c:v>
                </c:pt>
                <c:pt idx="21">
                  <c:v>0.14957031030982187</c:v>
                </c:pt>
                <c:pt idx="22">
                  <c:v>0.27646532302098098</c:v>
                </c:pt>
                <c:pt idx="23">
                  <c:v>0.42916912474109054</c:v>
                </c:pt>
                <c:pt idx="24">
                  <c:v>0.91361476755678694</c:v>
                </c:pt>
                <c:pt idx="25">
                  <c:v>1.458720321695594</c:v>
                </c:pt>
                <c:pt idx="26">
                  <c:v>0.87170226971120912</c:v>
                </c:pt>
                <c:pt idx="27">
                  <c:v>1.646875240438054</c:v>
                </c:pt>
                <c:pt idx="28">
                  <c:v>0.99783080896461818</c:v>
                </c:pt>
                <c:pt idx="29">
                  <c:v>0.32849870801825526</c:v>
                </c:pt>
                <c:pt idx="30">
                  <c:v>0.43596693830578048</c:v>
                </c:pt>
                <c:pt idx="31">
                  <c:v>-6.0458230769583426E-2</c:v>
                </c:pt>
                <c:pt idx="32">
                  <c:v>-4.4370934847998464E-2</c:v>
                </c:pt>
                <c:pt idx="33">
                  <c:v>0.60878990989004989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D2-4D17-B36C-EEA351C72CC7}"/>
            </c:ext>
          </c:extLst>
        </c:ser>
        <c:ser>
          <c:idx val="2"/>
          <c:order val="2"/>
          <c:tx>
            <c:strRef>
              <c:f>'GRAF příspěvky IPP'!$A$29</c:f>
              <c:strCache>
                <c:ptCount val="1"/>
                <c:pt idx="0">
                  <c:v>Strojírenství (28)</c:v>
                </c:pt>
              </c:strCache>
            </c:strRef>
          </c:tx>
          <c:spPr>
            <a:solidFill>
              <a:srgbClr val="BFE3F7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IPP'!$B$29:$AI$29</c:f>
              <c:numCache>
                <c:formatCode>0.0</c:formatCode>
                <c:ptCount val="34"/>
                <c:pt idx="0">
                  <c:v>1.2645058188207068</c:v>
                </c:pt>
                <c:pt idx="1">
                  <c:v>1.2866524900119543</c:v>
                </c:pt>
                <c:pt idx="2">
                  <c:v>0.321758166889757</c:v>
                </c:pt>
                <c:pt idx="3">
                  <c:v>0.69985382932741536</c:v>
                </c:pt>
                <c:pt idx="4">
                  <c:v>0.51520520797066272</c:v>
                </c:pt>
                <c:pt idx="5">
                  <c:v>0.26610955621310539</c:v>
                </c:pt>
                <c:pt idx="6">
                  <c:v>0.23285855695515315</c:v>
                </c:pt>
                <c:pt idx="7">
                  <c:v>-0.14103398862933006</c:v>
                </c:pt>
                <c:pt idx="8">
                  <c:v>8.1772139521772438E-2</c:v>
                </c:pt>
                <c:pt idx="9">
                  <c:v>0.2046260235658918</c:v>
                </c:pt>
                <c:pt idx="10">
                  <c:v>-2.2418720279356572E-2</c:v>
                </c:pt>
                <c:pt idx="11">
                  <c:v>0.65142852885825009</c:v>
                </c:pt>
                <c:pt idx="12">
                  <c:v>0.21304347589519865</c:v>
                </c:pt>
                <c:pt idx="13">
                  <c:v>0.40549290927749476</c:v>
                </c:pt>
                <c:pt idx="14">
                  <c:v>0.20916730701816877</c:v>
                </c:pt>
                <c:pt idx="15">
                  <c:v>0.32933361982312465</c:v>
                </c:pt>
                <c:pt idx="16">
                  <c:v>0.27334106694035171</c:v>
                </c:pt>
                <c:pt idx="17">
                  <c:v>0.29428298533741609</c:v>
                </c:pt>
                <c:pt idx="18">
                  <c:v>0.38533015320769515</c:v>
                </c:pt>
                <c:pt idx="19">
                  <c:v>1.9183488529804775E-2</c:v>
                </c:pt>
                <c:pt idx="20">
                  <c:v>0.36307045023871931</c:v>
                </c:pt>
                <c:pt idx="21">
                  <c:v>-6.7572945378872373E-2</c:v>
                </c:pt>
                <c:pt idx="22">
                  <c:v>0.19574075945275773</c:v>
                </c:pt>
                <c:pt idx="23">
                  <c:v>0.31979046599858157</c:v>
                </c:pt>
                <c:pt idx="24">
                  <c:v>0.3600654733750322</c:v>
                </c:pt>
                <c:pt idx="25">
                  <c:v>1.0705741294559918</c:v>
                </c:pt>
                <c:pt idx="26">
                  <c:v>0.84942343358716554</c:v>
                </c:pt>
                <c:pt idx="27">
                  <c:v>0.80110319510701655</c:v>
                </c:pt>
                <c:pt idx="28">
                  <c:v>0.47293555109852903</c:v>
                </c:pt>
                <c:pt idx="29">
                  <c:v>0.14495560013543887</c:v>
                </c:pt>
                <c:pt idx="30">
                  <c:v>0.18781910745101171</c:v>
                </c:pt>
                <c:pt idx="31">
                  <c:v>-0.19409151970696684</c:v>
                </c:pt>
                <c:pt idx="32">
                  <c:v>3.9832749225266383E-2</c:v>
                </c:pt>
                <c:pt idx="33">
                  <c:v>-0.15377082422268057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D2-4D17-B36C-EEA351C72CC7}"/>
            </c:ext>
          </c:extLst>
        </c:ser>
        <c:ser>
          <c:idx val="3"/>
          <c:order val="3"/>
          <c:tx>
            <c:strRef>
              <c:f>'GRAF příspěvky IPP'!$A$30</c:f>
              <c:strCache>
                <c:ptCount val="1"/>
                <c:pt idx="0">
                  <c:v>Kovodělný průmysl (25)</c:v>
                </c:pt>
              </c:strCache>
            </c:strRef>
          </c:tx>
          <c:spPr>
            <a:solidFill>
              <a:srgbClr val="48AEE7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IPP'!$B$30:$AI$30</c:f>
              <c:numCache>
                <c:formatCode>0.0</c:formatCode>
                <c:ptCount val="34"/>
                <c:pt idx="0">
                  <c:v>1.3551101221058057</c:v>
                </c:pt>
                <c:pt idx="1">
                  <c:v>0.61003571461144745</c:v>
                </c:pt>
                <c:pt idx="2">
                  <c:v>6.5190052068116996E-2</c:v>
                </c:pt>
                <c:pt idx="3">
                  <c:v>-5.751285551196901E-2</c:v>
                </c:pt>
                <c:pt idx="4">
                  <c:v>-6.6831949774716279E-2</c:v>
                </c:pt>
                <c:pt idx="5">
                  <c:v>-7.2108739074927916E-2</c:v>
                </c:pt>
                <c:pt idx="6">
                  <c:v>0.10129802746367376</c:v>
                </c:pt>
                <c:pt idx="7">
                  <c:v>-0.16202794402787471</c:v>
                </c:pt>
                <c:pt idx="8">
                  <c:v>-7.7218113950844339E-2</c:v>
                </c:pt>
                <c:pt idx="9">
                  <c:v>9.8842007123154413E-2</c:v>
                </c:pt>
                <c:pt idx="10">
                  <c:v>0.38425831802453603</c:v>
                </c:pt>
                <c:pt idx="11">
                  <c:v>0.56826070473463075</c:v>
                </c:pt>
                <c:pt idx="12">
                  <c:v>0.72466030311448937</c:v>
                </c:pt>
                <c:pt idx="13">
                  <c:v>0.64070763768823902</c:v>
                </c:pt>
                <c:pt idx="14">
                  <c:v>0.13471783746278831</c:v>
                </c:pt>
                <c:pt idx="15">
                  <c:v>0.34715049391068614</c:v>
                </c:pt>
                <c:pt idx="16">
                  <c:v>0.7002997305470311</c:v>
                </c:pt>
                <c:pt idx="17">
                  <c:v>0.78598516282691366</c:v>
                </c:pt>
                <c:pt idx="18">
                  <c:v>0.92607458938072496</c:v>
                </c:pt>
                <c:pt idx="19">
                  <c:v>0.625152359437114</c:v>
                </c:pt>
                <c:pt idx="20">
                  <c:v>0.76444806762191553</c:v>
                </c:pt>
                <c:pt idx="21">
                  <c:v>0.38468982602991308</c:v>
                </c:pt>
                <c:pt idx="22">
                  <c:v>0.20052528439839029</c:v>
                </c:pt>
                <c:pt idx="23">
                  <c:v>0.2505464784956295</c:v>
                </c:pt>
                <c:pt idx="24">
                  <c:v>0.5110945332466369</c:v>
                </c:pt>
                <c:pt idx="25">
                  <c:v>0.91827111587790722</c:v>
                </c:pt>
                <c:pt idx="26">
                  <c:v>0.82344311009183468</c:v>
                </c:pt>
                <c:pt idx="27">
                  <c:v>0.97625242210301566</c:v>
                </c:pt>
                <c:pt idx="28">
                  <c:v>0.6543071266859497</c:v>
                </c:pt>
                <c:pt idx="29">
                  <c:v>0.44356446133900607</c:v>
                </c:pt>
                <c:pt idx="30">
                  <c:v>0.43396631024153715</c:v>
                </c:pt>
                <c:pt idx="31">
                  <c:v>0.16096354460868348</c:v>
                </c:pt>
                <c:pt idx="32">
                  <c:v>0.15874233353306155</c:v>
                </c:pt>
                <c:pt idx="33">
                  <c:v>-0.11206939884452095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D2-4D17-B36C-EEA351C72CC7}"/>
            </c:ext>
          </c:extLst>
        </c:ser>
        <c:ser>
          <c:idx val="4"/>
          <c:order val="4"/>
          <c:tx>
            <c:strRef>
              <c:f>'GRAF příspěvky IPP'!$A$31</c:f>
              <c:strCache>
                <c:ptCount val="1"/>
                <c:pt idx="0">
                  <c:v>Výroba PC, elektronic. a optic. přístr. (26)</c:v>
                </c:pt>
              </c:strCache>
            </c:strRef>
          </c:tx>
          <c:spPr>
            <a:solidFill>
              <a:srgbClr val="FDDEB3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IPP'!$B$31:$AI$31</c:f>
              <c:numCache>
                <c:formatCode>0.0</c:formatCode>
                <c:ptCount val="34"/>
                <c:pt idx="0">
                  <c:v>0.46663673326552113</c:v>
                </c:pt>
                <c:pt idx="1">
                  <c:v>0.23034504225594873</c:v>
                </c:pt>
                <c:pt idx="2">
                  <c:v>-0.24128462562357822</c:v>
                </c:pt>
                <c:pt idx="3">
                  <c:v>-0.7801555412140766</c:v>
                </c:pt>
                <c:pt idx="4">
                  <c:v>-0.63255602460385418</c:v>
                </c:pt>
                <c:pt idx="5">
                  <c:v>-0.77384972458303802</c:v>
                </c:pt>
                <c:pt idx="6">
                  <c:v>-0.66432699677878693</c:v>
                </c:pt>
                <c:pt idx="7">
                  <c:v>-0.43948160779128104</c:v>
                </c:pt>
                <c:pt idx="8">
                  <c:v>0.1743274886505129</c:v>
                </c:pt>
                <c:pt idx="9">
                  <c:v>0.20848577844563423</c:v>
                </c:pt>
                <c:pt idx="10">
                  <c:v>0.28708284874337209</c:v>
                </c:pt>
                <c:pt idx="11">
                  <c:v>0.3710677945253662</c:v>
                </c:pt>
                <c:pt idx="12">
                  <c:v>0.25462016960863021</c:v>
                </c:pt>
                <c:pt idx="13">
                  <c:v>0.35946957764943493</c:v>
                </c:pt>
                <c:pt idx="14">
                  <c:v>0.24902596442701128</c:v>
                </c:pt>
                <c:pt idx="15">
                  <c:v>0.43266401321765158</c:v>
                </c:pt>
                <c:pt idx="16">
                  <c:v>0.10098933939964477</c:v>
                </c:pt>
                <c:pt idx="17">
                  <c:v>1.4989983457542287E-2</c:v>
                </c:pt>
                <c:pt idx="18">
                  <c:v>4.8131776575975969E-2</c:v>
                </c:pt>
                <c:pt idx="19">
                  <c:v>-7.7003986202186223E-2</c:v>
                </c:pt>
                <c:pt idx="20">
                  <c:v>2.5800791974177746E-4</c:v>
                </c:pt>
                <c:pt idx="21">
                  <c:v>4.8125354447826493E-2</c:v>
                </c:pt>
                <c:pt idx="22">
                  <c:v>5.4761934658599951E-2</c:v>
                </c:pt>
                <c:pt idx="23">
                  <c:v>0.16221619241546678</c:v>
                </c:pt>
                <c:pt idx="24">
                  <c:v>0.1266562574913582</c:v>
                </c:pt>
                <c:pt idx="25">
                  <c:v>0.37648265280216536</c:v>
                </c:pt>
                <c:pt idx="26">
                  <c:v>0.23505971681229232</c:v>
                </c:pt>
                <c:pt idx="27">
                  <c:v>0.23512493906047929</c:v>
                </c:pt>
                <c:pt idx="28">
                  <c:v>0.40852046691006588</c:v>
                </c:pt>
                <c:pt idx="29">
                  <c:v>0.15013350076420762</c:v>
                </c:pt>
                <c:pt idx="30">
                  <c:v>0.63609897194166687</c:v>
                </c:pt>
                <c:pt idx="31">
                  <c:v>0.30625066072387308</c:v>
                </c:pt>
                <c:pt idx="32">
                  <c:v>0.17124652555112596</c:v>
                </c:pt>
                <c:pt idx="33">
                  <c:v>0.23737796471102149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D2-4D17-B36C-EEA351C72CC7}"/>
            </c:ext>
          </c:extLst>
        </c:ser>
        <c:ser>
          <c:idx val="5"/>
          <c:order val="5"/>
          <c:tx>
            <c:strRef>
              <c:f>'GRAF příspěvky IPP'!$A$32</c:f>
              <c:strCache>
                <c:ptCount val="1"/>
                <c:pt idx="0">
                  <c:v>Chemický a farmaceutický pr. (20+21)</c:v>
                </c:pt>
              </c:strCache>
            </c:strRef>
          </c:tx>
          <c:spPr>
            <a:solidFill>
              <a:srgbClr val="F8A124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IPP'!$B$32:$AI$32</c:f>
              <c:numCache>
                <c:formatCode>0.0</c:formatCode>
                <c:ptCount val="34"/>
                <c:pt idx="0">
                  <c:v>0.11043784960432593</c:v>
                </c:pt>
                <c:pt idx="1">
                  <c:v>-0.10773555193592807</c:v>
                </c:pt>
                <c:pt idx="2">
                  <c:v>-0.35112289109297956</c:v>
                </c:pt>
                <c:pt idx="3">
                  <c:v>-0.27826739460014194</c:v>
                </c:pt>
                <c:pt idx="4">
                  <c:v>8.4154385689483149E-2</c:v>
                </c:pt>
                <c:pt idx="5">
                  <c:v>-9.8833863523717924E-2</c:v>
                </c:pt>
                <c:pt idx="6">
                  <c:v>0.29519930148431078</c:v>
                </c:pt>
                <c:pt idx="7">
                  <c:v>8.1663941155752748E-2</c:v>
                </c:pt>
                <c:pt idx="8">
                  <c:v>-0.16442793114609983</c:v>
                </c:pt>
                <c:pt idx="9">
                  <c:v>2.7522300233105406E-2</c:v>
                </c:pt>
                <c:pt idx="10">
                  <c:v>-0.19879397802963492</c:v>
                </c:pt>
                <c:pt idx="11">
                  <c:v>0.22116665497939436</c:v>
                </c:pt>
                <c:pt idx="12">
                  <c:v>0.41666566499041086</c:v>
                </c:pt>
                <c:pt idx="13">
                  <c:v>0.29995274809874523</c:v>
                </c:pt>
                <c:pt idx="14">
                  <c:v>0.37241621238378653</c:v>
                </c:pt>
                <c:pt idx="15">
                  <c:v>0.12288921584121683</c:v>
                </c:pt>
                <c:pt idx="16">
                  <c:v>7.7350431314437765E-2</c:v>
                </c:pt>
                <c:pt idx="17">
                  <c:v>0.23593761593130141</c:v>
                </c:pt>
                <c:pt idx="18">
                  <c:v>-0.16669952986343833</c:v>
                </c:pt>
                <c:pt idx="19">
                  <c:v>-0.33320285815360856</c:v>
                </c:pt>
                <c:pt idx="20">
                  <c:v>-0.42004567083081795</c:v>
                </c:pt>
                <c:pt idx="21">
                  <c:v>-0.42026397840181545</c:v>
                </c:pt>
                <c:pt idx="22">
                  <c:v>-0.10965943805062672</c:v>
                </c:pt>
                <c:pt idx="23">
                  <c:v>0.23764174190673226</c:v>
                </c:pt>
                <c:pt idx="24">
                  <c:v>0.52969781101036639</c:v>
                </c:pt>
                <c:pt idx="25">
                  <c:v>0.81629581332897672</c:v>
                </c:pt>
                <c:pt idx="26">
                  <c:v>0.6490077008448305</c:v>
                </c:pt>
                <c:pt idx="27">
                  <c:v>0.50550039995300478</c:v>
                </c:pt>
                <c:pt idx="28">
                  <c:v>0.39836280707384325</c:v>
                </c:pt>
                <c:pt idx="29">
                  <c:v>8.2845416120803733E-2</c:v>
                </c:pt>
                <c:pt idx="30">
                  <c:v>-5.1307367148888089E-2</c:v>
                </c:pt>
                <c:pt idx="31">
                  <c:v>-6.7155755843787732E-2</c:v>
                </c:pt>
                <c:pt idx="32">
                  <c:v>0.13204723424870374</c:v>
                </c:pt>
                <c:pt idx="33">
                  <c:v>5.7929421674661752E-2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D2-4D17-B36C-EEA351C72CC7}"/>
            </c:ext>
          </c:extLst>
        </c:ser>
        <c:ser>
          <c:idx val="6"/>
          <c:order val="6"/>
          <c:tx>
            <c:strRef>
              <c:f>'GRAF příspěvky IPP'!$A$33</c:f>
              <c:strCache>
                <c:ptCount val="1"/>
                <c:pt idx="0">
                  <c:v>Zbývající zpracovatelský průmysl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IPP'!$B$33:$AI$33</c:f>
              <c:numCache>
                <c:formatCode>0.0</c:formatCode>
                <c:ptCount val="34"/>
                <c:pt idx="0">
                  <c:v>0.37508837128330663</c:v>
                </c:pt>
                <c:pt idx="1">
                  <c:v>-0.21037755903978828</c:v>
                </c:pt>
                <c:pt idx="2">
                  <c:v>-1.5665549835303834</c:v>
                </c:pt>
                <c:pt idx="3">
                  <c:v>-0.30113263223400749</c:v>
                </c:pt>
                <c:pt idx="4">
                  <c:v>-1.2532623819644888</c:v>
                </c:pt>
                <c:pt idx="5">
                  <c:v>-0.98265973266456896</c:v>
                </c:pt>
                <c:pt idx="6">
                  <c:v>-0.65808893522855194</c:v>
                </c:pt>
                <c:pt idx="7">
                  <c:v>-1.438830240844355</c:v>
                </c:pt>
                <c:pt idx="8">
                  <c:v>-0.15438392162535836</c:v>
                </c:pt>
                <c:pt idx="9">
                  <c:v>-0.1010162046774119</c:v>
                </c:pt>
                <c:pt idx="10">
                  <c:v>0.61701582414311873</c:v>
                </c:pt>
                <c:pt idx="11">
                  <c:v>1.4236339159262776</c:v>
                </c:pt>
                <c:pt idx="12">
                  <c:v>1.2365453413042746</c:v>
                </c:pt>
                <c:pt idx="13">
                  <c:v>1.2187062503030797</c:v>
                </c:pt>
                <c:pt idx="14">
                  <c:v>0.52934645905596123</c:v>
                </c:pt>
                <c:pt idx="15">
                  <c:v>1.3518228558832672</c:v>
                </c:pt>
                <c:pt idx="16">
                  <c:v>0.99830218869293896</c:v>
                </c:pt>
                <c:pt idx="17">
                  <c:v>0.90243657634684482</c:v>
                </c:pt>
                <c:pt idx="18">
                  <c:v>0.97767572263994862</c:v>
                </c:pt>
                <c:pt idx="19">
                  <c:v>-0.2213241477378568</c:v>
                </c:pt>
                <c:pt idx="20">
                  <c:v>3.756973895839455E-2</c:v>
                </c:pt>
                <c:pt idx="21">
                  <c:v>-0.30016704241037895</c:v>
                </c:pt>
                <c:pt idx="22">
                  <c:v>4.1230596798874086E-2</c:v>
                </c:pt>
                <c:pt idx="23">
                  <c:v>0.57694869576716468</c:v>
                </c:pt>
                <c:pt idx="24">
                  <c:v>0.33188448583663555</c:v>
                </c:pt>
                <c:pt idx="25">
                  <c:v>1.4323707076505112</c:v>
                </c:pt>
                <c:pt idx="26">
                  <c:v>0.74281336901524297</c:v>
                </c:pt>
                <c:pt idx="27">
                  <c:v>0.99254851716260917</c:v>
                </c:pt>
                <c:pt idx="28">
                  <c:v>1.1174634788597479</c:v>
                </c:pt>
                <c:pt idx="29">
                  <c:v>0.68730212314303363</c:v>
                </c:pt>
                <c:pt idx="30">
                  <c:v>1.0593660710107344</c:v>
                </c:pt>
                <c:pt idx="31">
                  <c:v>0.53559797352607164</c:v>
                </c:pt>
                <c:pt idx="32">
                  <c:v>-0.32120195616733443</c:v>
                </c:pt>
                <c:pt idx="33">
                  <c:v>-0.24355661954204572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D2-4D17-B36C-EEA351C72CC7}"/>
            </c:ext>
          </c:extLst>
        </c:ser>
        <c:ser>
          <c:idx val="7"/>
          <c:order val="7"/>
          <c:tx>
            <c:strRef>
              <c:f>'GRAF příspěvky IPP'!$A$34</c:f>
              <c:strCache>
                <c:ptCount val="1"/>
                <c:pt idx="0">
                  <c:v>Těžba a energetika (B)</c:v>
                </c:pt>
              </c:strCache>
            </c:strRef>
          </c:tx>
          <c:spPr>
            <a:solidFill>
              <a:srgbClr val="808080"/>
            </a:solidFill>
          </c:spPr>
          <c:invertIfNegative val="0"/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IPP'!$B$34:$AI$34</c:f>
              <c:numCache>
                <c:formatCode>0.0</c:formatCode>
                <c:ptCount val="34"/>
                <c:pt idx="0">
                  <c:v>-0.42452386212609627</c:v>
                </c:pt>
                <c:pt idx="1">
                  <c:v>0.37437263889478795</c:v>
                </c:pt>
                <c:pt idx="2">
                  <c:v>-0.30609467148217906</c:v>
                </c:pt>
                <c:pt idx="3">
                  <c:v>-6.2790064258354317E-2</c:v>
                </c:pt>
                <c:pt idx="4">
                  <c:v>4.5234196251372455E-2</c:v>
                </c:pt>
                <c:pt idx="5">
                  <c:v>0.33849893288383998</c:v>
                </c:pt>
                <c:pt idx="6">
                  <c:v>-0.14594055443913137</c:v>
                </c:pt>
                <c:pt idx="7">
                  <c:v>-1.0820656656400016</c:v>
                </c:pt>
                <c:pt idx="8">
                  <c:v>-0.90111641450271041</c:v>
                </c:pt>
                <c:pt idx="9">
                  <c:v>-1.4080716141653054</c:v>
                </c:pt>
                <c:pt idx="10">
                  <c:v>-0.87454103397784222</c:v>
                </c:pt>
                <c:pt idx="11">
                  <c:v>0.52275262781946252</c:v>
                </c:pt>
                <c:pt idx="12">
                  <c:v>-0.48831445126169903</c:v>
                </c:pt>
                <c:pt idx="13">
                  <c:v>-0.36279609225680959</c:v>
                </c:pt>
                <c:pt idx="14">
                  <c:v>-0.47490528997454834</c:v>
                </c:pt>
                <c:pt idx="15">
                  <c:v>-0.68045051057538275</c:v>
                </c:pt>
                <c:pt idx="16">
                  <c:v>0.14603886659731855</c:v>
                </c:pt>
                <c:pt idx="17">
                  <c:v>-0.34005382041093413</c:v>
                </c:pt>
                <c:pt idx="18">
                  <c:v>-0.37898483167936881</c:v>
                </c:pt>
                <c:pt idx="19">
                  <c:v>-1.1248323803223828</c:v>
                </c:pt>
                <c:pt idx="20">
                  <c:v>-0.66857701045346751</c:v>
                </c:pt>
                <c:pt idx="21">
                  <c:v>0.10137361870125999</c:v>
                </c:pt>
                <c:pt idx="22">
                  <c:v>-0.46808235891211047</c:v>
                </c:pt>
                <c:pt idx="23">
                  <c:v>0.50534236475350525</c:v>
                </c:pt>
                <c:pt idx="24">
                  <c:v>0.66795249028030279</c:v>
                </c:pt>
                <c:pt idx="25">
                  <c:v>-0.18424188685486914</c:v>
                </c:pt>
                <c:pt idx="26">
                  <c:v>0.78008174883886461</c:v>
                </c:pt>
                <c:pt idx="27">
                  <c:v>0.73049787951958134</c:v>
                </c:pt>
                <c:pt idx="28">
                  <c:v>-0.53969025522024028</c:v>
                </c:pt>
                <c:pt idx="29">
                  <c:v>1.0074058690830029E-2</c:v>
                </c:pt>
                <c:pt idx="30">
                  <c:v>0.78184758817491351</c:v>
                </c:pt>
                <c:pt idx="31">
                  <c:v>0.32771546096960669</c:v>
                </c:pt>
                <c:pt idx="32">
                  <c:v>0.21153377089868669</c:v>
                </c:pt>
                <c:pt idx="33">
                  <c:v>4.5623603496844023E-2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D2-4D17-B36C-EEA351C72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82271232"/>
        <c:axId val="89535232"/>
      </c:barChart>
      <c:lineChart>
        <c:grouping val="standard"/>
        <c:varyColors val="0"/>
        <c:ser>
          <c:idx val="8"/>
          <c:order val="8"/>
          <c:tx>
            <c:strRef>
              <c:f>'GRAF příspěvky IPP'!$A$35</c:f>
              <c:strCache>
                <c:ptCount val="1"/>
                <c:pt idx="0">
                  <c:v>Průmysl celkem (NACE B až D)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'GRAF příspěvky IPP'!$B$25:$AI$26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'GRAF příspěvky IPP'!$B$35:$AI$35</c:f>
              <c:numCache>
                <c:formatCode>0.0</c:formatCode>
                <c:ptCount val="34"/>
                <c:pt idx="0">
                  <c:v>10.174708632500002</c:v>
                </c:pt>
                <c:pt idx="1">
                  <c:v>7.7320630777000119</c:v>
                </c:pt>
                <c:pt idx="2">
                  <c:v>2.0427367415000015</c:v>
                </c:pt>
                <c:pt idx="3">
                  <c:v>3.0231970455000097</c:v>
                </c:pt>
                <c:pt idx="4">
                  <c:v>1.7776371540000124</c:v>
                </c:pt>
                <c:pt idx="5">
                  <c:v>0.4034129963999939</c:v>
                </c:pt>
                <c:pt idx="6">
                  <c:v>-0.21112265520000073</c:v>
                </c:pt>
                <c:pt idx="7">
                  <c:v>-5.3481512234450435</c:v>
                </c:pt>
                <c:pt idx="8">
                  <c:v>-4.2233987508042041</c:v>
                </c:pt>
                <c:pt idx="9">
                  <c:v>-2.3853554205999736</c:v>
                </c:pt>
                <c:pt idx="10">
                  <c:v>1.2316497516000036</c:v>
                </c:pt>
                <c:pt idx="11">
                  <c:v>6.3229322730999886</c:v>
                </c:pt>
                <c:pt idx="12">
                  <c:v>7.1030450258000162</c:v>
                </c:pt>
                <c:pt idx="13">
                  <c:v>6.1297209743999961</c:v>
                </c:pt>
                <c:pt idx="14">
                  <c:v>2.9753758001999988</c:v>
                </c:pt>
                <c:pt idx="15">
                  <c:v>4.2327805536999303</c:v>
                </c:pt>
                <c:pt idx="16">
                  <c:v>4.8733940601999999</c:v>
                </c:pt>
                <c:pt idx="17">
                  <c:v>5.3081959839000072</c:v>
                </c:pt>
                <c:pt idx="18">
                  <c:v>5.5472987826000359</c:v>
                </c:pt>
                <c:pt idx="19">
                  <c:v>2.4027878041999866</c:v>
                </c:pt>
                <c:pt idx="20">
                  <c:v>4.0765835574999674</c:v>
                </c:pt>
                <c:pt idx="21">
                  <c:v>2.6745568033000122</c:v>
                </c:pt>
                <c:pt idx="22">
                  <c:v>1.6551514254000079</c:v>
                </c:pt>
                <c:pt idx="23">
                  <c:v>3.5118172236999929</c:v>
                </c:pt>
                <c:pt idx="24">
                  <c:v>5.2597731895999891</c:v>
                </c:pt>
                <c:pt idx="25">
                  <c:v>7.9444180928999941</c:v>
                </c:pt>
                <c:pt idx="26">
                  <c:v>6.5197134234000087</c:v>
                </c:pt>
                <c:pt idx="27">
                  <c:v>7.5755516541999981</c:v>
                </c:pt>
                <c:pt idx="28">
                  <c:v>4.2247105953999942</c:v>
                </c:pt>
                <c:pt idx="29">
                  <c:v>2.4054283676999955</c:v>
                </c:pt>
                <c:pt idx="30">
                  <c:v>3.7249126808000117</c:v>
                </c:pt>
                <c:pt idx="31">
                  <c:v>2.0049129852999927</c:v>
                </c:pt>
                <c:pt idx="32">
                  <c:v>0.26169701159998915</c:v>
                </c:pt>
                <c:pt idx="33">
                  <c:v>1.0094900667999998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E5D2-4D17-B36C-EEA351C72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271232"/>
        <c:axId val="89535232"/>
      </c:lineChart>
      <c:catAx>
        <c:axId val="8227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89535232"/>
        <c:crosses val="autoZero"/>
        <c:auto val="1"/>
        <c:lblAlgn val="ctr"/>
        <c:lblOffset val="0"/>
        <c:noMultiLvlLbl val="0"/>
      </c:catAx>
      <c:valAx>
        <c:axId val="89535232"/>
        <c:scaling>
          <c:orientation val="minMax"/>
          <c:max val="11"/>
          <c:min val="-6"/>
        </c:scaling>
        <c:delete val="0"/>
        <c:axPos val="l"/>
        <c:majorGridlines>
          <c:spPr>
            <a:ln>
              <a:solidFill>
                <a:srgbClr val="BEBEBE"/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82271232"/>
        <c:crosses val="autoZero"/>
        <c:crossBetween val="between"/>
        <c:majorUnit val="1"/>
      </c:valAx>
      <c:spPr>
        <a:noFill/>
        <a:ln w="6350">
          <a:solidFill>
            <a:prstClr val="black">
              <a:lumMod val="95000"/>
              <a:lumOff val="5000"/>
            </a:prstClr>
          </a:solidFill>
        </a:ln>
      </c:spPr>
    </c:plotArea>
    <c:legend>
      <c:legendPos val="r"/>
      <c:layout>
        <c:manualLayout>
          <c:xMode val="edge"/>
          <c:yMode val="edge"/>
          <c:x val="4.1134979005766119E-2"/>
          <c:y val="0.8280241779429045"/>
          <c:w val="0.94474742609668017"/>
          <c:h val="0.16188919209533792"/>
        </c:manualLayout>
      </c:layout>
      <c:overlay val="0"/>
      <c:spPr>
        <a:ln w="6350">
          <a:solidFill>
            <a:prstClr val="black">
              <a:lumMod val="95000"/>
              <a:lumOff val="5000"/>
            </a:prst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277854581154255E-2"/>
          <c:y val="1.643251153889452E-2"/>
          <c:w val="0.90094328257138756"/>
          <c:h val="0.77409039738827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2'!$A$31</c:f>
              <c:strCache>
                <c:ptCount val="1"/>
                <c:pt idx="0">
                  <c:v>Průmyslové zakázky 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2700">
              <a:noFill/>
              <a:prstDash val="solid"/>
            </a:ln>
          </c:spPr>
          <c:invertIfNegative val="0"/>
          <c:cat>
            <c:multiLvlStrRef>
              <c:f>'výkonnost odvětví 2'!$B$29:$AI$30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2'!$B$31:$AI$31</c:f>
              <c:numCache>
                <c:formatCode>#\ ##0.0__</c:formatCode>
                <c:ptCount val="34"/>
                <c:pt idx="0">
                  <c:v>12.043107093421796</c:v>
                </c:pt>
                <c:pt idx="1">
                  <c:v>5.329290402096305</c:v>
                </c:pt>
                <c:pt idx="2">
                  <c:v>-1.5038236293274423</c:v>
                </c:pt>
                <c:pt idx="3">
                  <c:v>0.49985199872995167</c:v>
                </c:pt>
                <c:pt idx="4">
                  <c:v>7.8919882289544319</c:v>
                </c:pt>
                <c:pt idx="5">
                  <c:v>0.24363263911027389</c:v>
                </c:pt>
                <c:pt idx="6">
                  <c:v>2.6780600325356119</c:v>
                </c:pt>
                <c:pt idx="7">
                  <c:v>-2.2927798243121345</c:v>
                </c:pt>
                <c:pt idx="8">
                  <c:v>-6.7566875441004868</c:v>
                </c:pt>
                <c:pt idx="9">
                  <c:v>-0.77743908810788298</c:v>
                </c:pt>
                <c:pt idx="10">
                  <c:v>12.110592029586002</c:v>
                </c:pt>
                <c:pt idx="11">
                  <c:v>12.611542535334834</c:v>
                </c:pt>
                <c:pt idx="12">
                  <c:v>18.454576257258609</c:v>
                </c:pt>
                <c:pt idx="13">
                  <c:v>13.812603337719324</c:v>
                </c:pt>
                <c:pt idx="14">
                  <c:v>11.164927309703884</c:v>
                </c:pt>
                <c:pt idx="15">
                  <c:v>7.3250322249586759</c:v>
                </c:pt>
                <c:pt idx="16">
                  <c:v>8.5397251010390391</c:v>
                </c:pt>
                <c:pt idx="17">
                  <c:v>6.4894834031568251</c:v>
                </c:pt>
                <c:pt idx="18">
                  <c:v>4.1045761314248068</c:v>
                </c:pt>
                <c:pt idx="19">
                  <c:v>6.0151063810169205</c:v>
                </c:pt>
                <c:pt idx="20">
                  <c:v>1.3550678522953064</c:v>
                </c:pt>
                <c:pt idx="21">
                  <c:v>10.856046878525433</c:v>
                </c:pt>
                <c:pt idx="22">
                  <c:v>1.6431282237439291</c:v>
                </c:pt>
                <c:pt idx="23">
                  <c:v>6.7220844736941103</c:v>
                </c:pt>
                <c:pt idx="24">
                  <c:v>10.841479121555906</c:v>
                </c:pt>
                <c:pt idx="25">
                  <c:v>4.5315942367003714</c:v>
                </c:pt>
                <c:pt idx="26">
                  <c:v>6.9082617878945598</c:v>
                </c:pt>
                <c:pt idx="27">
                  <c:v>7.5112613571588724</c:v>
                </c:pt>
                <c:pt idx="28">
                  <c:v>1.6339188767607453</c:v>
                </c:pt>
                <c:pt idx="29">
                  <c:v>4.6301209797549205</c:v>
                </c:pt>
                <c:pt idx="30">
                  <c:v>3.6945404784506337</c:v>
                </c:pt>
                <c:pt idx="31">
                  <c:v>4.2467023509658759</c:v>
                </c:pt>
                <c:pt idx="32">
                  <c:v>3.3476432191151559</c:v>
                </c:pt>
                <c:pt idx="33">
                  <c:v>1.6929588558610646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2-4B59-BB8A-3654BAEA7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overlap val="28"/>
        <c:axId val="139174272"/>
        <c:axId val="139175808"/>
      </c:barChart>
      <c:lineChart>
        <c:grouping val="standard"/>
        <c:varyColors val="0"/>
        <c:ser>
          <c:idx val="2"/>
          <c:order val="1"/>
          <c:tx>
            <c:strRef>
              <c:f>'výkonnost odvětví 2'!$A$32</c:f>
              <c:strCache>
                <c:ptCount val="1"/>
                <c:pt idx="0">
                  <c:v>Průmyslové zakázky z tuzemska</c:v>
                </c:pt>
              </c:strCache>
            </c:strRef>
          </c:tx>
          <c:spPr>
            <a:ln w="15875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2'!$B$29:$AI$30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2'!$B$32:$AI$32</c:f>
              <c:numCache>
                <c:formatCode>#\ ##0.0__</c:formatCode>
                <c:ptCount val="34"/>
                <c:pt idx="0">
                  <c:v>2.8145814762462464</c:v>
                </c:pt>
                <c:pt idx="1">
                  <c:v>-0.65160361804250044</c:v>
                </c:pt>
                <c:pt idx="2">
                  <c:v>-11.671782921579478</c:v>
                </c:pt>
                <c:pt idx="3">
                  <c:v>-10.696553890943122</c:v>
                </c:pt>
                <c:pt idx="4">
                  <c:v>2.6214056871317126</c:v>
                </c:pt>
                <c:pt idx="5">
                  <c:v>-9.2467743432498821</c:v>
                </c:pt>
                <c:pt idx="6">
                  <c:v>-2.8571545096936291</c:v>
                </c:pt>
                <c:pt idx="7">
                  <c:v>-4.0487324448534139</c:v>
                </c:pt>
                <c:pt idx="8">
                  <c:v>-7.112663177047466</c:v>
                </c:pt>
                <c:pt idx="9">
                  <c:v>-0.59561460542927591</c:v>
                </c:pt>
                <c:pt idx="10">
                  <c:v>9.3847374388735147</c:v>
                </c:pt>
                <c:pt idx="11">
                  <c:v>7.0782158358476011</c:v>
                </c:pt>
                <c:pt idx="12">
                  <c:v>14.18383964594139</c:v>
                </c:pt>
                <c:pt idx="13">
                  <c:v>7.7929541685002164</c:v>
                </c:pt>
                <c:pt idx="14">
                  <c:v>16.845115352064937</c:v>
                </c:pt>
                <c:pt idx="15">
                  <c:v>9.6787104542652713</c:v>
                </c:pt>
                <c:pt idx="16">
                  <c:v>4.341961301010727</c:v>
                </c:pt>
                <c:pt idx="17">
                  <c:v>10.024449168168019</c:v>
                </c:pt>
                <c:pt idx="18">
                  <c:v>-4.7604240586837108</c:v>
                </c:pt>
                <c:pt idx="19">
                  <c:v>0.56107209694786775</c:v>
                </c:pt>
                <c:pt idx="20">
                  <c:v>0.20304376106223287</c:v>
                </c:pt>
                <c:pt idx="21">
                  <c:v>4.9376200007964286</c:v>
                </c:pt>
                <c:pt idx="22">
                  <c:v>-0.65834656713856532</c:v>
                </c:pt>
                <c:pt idx="23">
                  <c:v>2.873089889380708</c:v>
                </c:pt>
                <c:pt idx="24">
                  <c:v>16.722989365311648</c:v>
                </c:pt>
                <c:pt idx="25">
                  <c:v>11.567742610098009</c:v>
                </c:pt>
                <c:pt idx="26">
                  <c:v>14.702871802754672</c:v>
                </c:pt>
                <c:pt idx="27">
                  <c:v>15.641374658030259</c:v>
                </c:pt>
                <c:pt idx="28">
                  <c:v>-0.54655499165191657</c:v>
                </c:pt>
                <c:pt idx="29">
                  <c:v>3.3862320433243838</c:v>
                </c:pt>
                <c:pt idx="30">
                  <c:v>4.5707977831681177</c:v>
                </c:pt>
                <c:pt idx="31">
                  <c:v>4.8009732818449038</c:v>
                </c:pt>
                <c:pt idx="32">
                  <c:v>6.3141947655327044</c:v>
                </c:pt>
                <c:pt idx="33">
                  <c:v>4.9946009901120618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F12-4B59-BB8A-3654BAEA7E8C}"/>
            </c:ext>
          </c:extLst>
        </c:ser>
        <c:ser>
          <c:idx val="5"/>
          <c:order val="2"/>
          <c:tx>
            <c:strRef>
              <c:f>'výkonnost odvětví 2'!$A$33</c:f>
              <c:strCache>
                <c:ptCount val="1"/>
                <c:pt idx="0">
                  <c:v>Celk. zakázky ve výrobě motor. voz.</c:v>
                </c:pt>
              </c:strCache>
            </c:strRef>
          </c:tx>
          <c:spPr>
            <a:ln w="15875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2'!$B$29:$AI$30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2'!$B$33:$AI$33</c:f>
              <c:numCache>
                <c:formatCode>#\ ##0.0__</c:formatCode>
                <c:ptCount val="34"/>
                <c:pt idx="0">
                  <c:v>11.429400379513879</c:v>
                </c:pt>
                <c:pt idx="1">
                  <c:v>9.2048286805521258</c:v>
                </c:pt>
                <c:pt idx="2">
                  <c:v>4.4139955552265207</c:v>
                </c:pt>
                <c:pt idx="3">
                  <c:v>5.3718735076924133</c:v>
                </c:pt>
                <c:pt idx="4">
                  <c:v>19.54636851917148</c:v>
                </c:pt>
                <c:pt idx="5">
                  <c:v>4.6887564118292033</c:v>
                </c:pt>
                <c:pt idx="6">
                  <c:v>1.3322326875189248</c:v>
                </c:pt>
                <c:pt idx="7">
                  <c:v>-2.0219087809167178</c:v>
                </c:pt>
                <c:pt idx="8">
                  <c:v>-15.423726227988496</c:v>
                </c:pt>
                <c:pt idx="9">
                  <c:v>-3.0233686336023169</c:v>
                </c:pt>
                <c:pt idx="10">
                  <c:v>24.654149056071944</c:v>
                </c:pt>
                <c:pt idx="11">
                  <c:v>18.470996489023392</c:v>
                </c:pt>
                <c:pt idx="12">
                  <c:v>33.791068906341536</c:v>
                </c:pt>
                <c:pt idx="13">
                  <c:v>22.39294364855138</c:v>
                </c:pt>
                <c:pt idx="14">
                  <c:v>16.969041222835131</c:v>
                </c:pt>
                <c:pt idx="15">
                  <c:v>12.211301534151133</c:v>
                </c:pt>
                <c:pt idx="16">
                  <c:v>15.316352438277931</c:v>
                </c:pt>
                <c:pt idx="17">
                  <c:v>5.584343456517459</c:v>
                </c:pt>
                <c:pt idx="18">
                  <c:v>13.898535777390734</c:v>
                </c:pt>
                <c:pt idx="19">
                  <c:v>18.975191723154538</c:v>
                </c:pt>
                <c:pt idx="20">
                  <c:v>11.460497347422447</c:v>
                </c:pt>
                <c:pt idx="21">
                  <c:v>33.085131031292235</c:v>
                </c:pt>
                <c:pt idx="22">
                  <c:v>5.912380139380474</c:v>
                </c:pt>
                <c:pt idx="23">
                  <c:v>12.001000805244416</c:v>
                </c:pt>
                <c:pt idx="24">
                  <c:v>7.9804719471503205</c:v>
                </c:pt>
                <c:pt idx="25">
                  <c:v>-1.7592612473364966</c:v>
                </c:pt>
                <c:pt idx="26">
                  <c:v>3.8626497182263222</c:v>
                </c:pt>
                <c:pt idx="27">
                  <c:v>0.37376710568412364</c:v>
                </c:pt>
                <c:pt idx="28">
                  <c:v>0.60861960894675349</c:v>
                </c:pt>
                <c:pt idx="29">
                  <c:v>3.6675371997157811</c:v>
                </c:pt>
                <c:pt idx="30">
                  <c:v>0.69699979014031044</c:v>
                </c:pt>
                <c:pt idx="31">
                  <c:v>1.0371076901644045</c:v>
                </c:pt>
                <c:pt idx="32">
                  <c:v>3.1937048433042747</c:v>
                </c:pt>
                <c:pt idx="33">
                  <c:v>3.5625333267092998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F12-4B59-BB8A-3654BAEA7E8C}"/>
            </c:ext>
          </c:extLst>
        </c:ser>
        <c:ser>
          <c:idx val="3"/>
          <c:order val="3"/>
          <c:tx>
            <c:strRef>
              <c:f>'výkonnost odvětví 2'!$A$34</c:f>
              <c:strCache>
                <c:ptCount val="1"/>
                <c:pt idx="0">
                  <c:v>Saldo souhrn. indik. důvěry v průmyslu</c:v>
                </c:pt>
              </c:strCache>
            </c:strRef>
          </c:tx>
          <c:spPr>
            <a:ln w="19050">
              <a:noFill/>
              <a:prstDash val="sysDash"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2'!$B$29:$AI$30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2'!$B$34:$AI$34</c:f>
              <c:numCache>
                <c:formatCode>0.0</c:formatCode>
                <c:ptCount val="34"/>
                <c:pt idx="0">
                  <c:v>12.200000000000001</c:v>
                </c:pt>
                <c:pt idx="1">
                  <c:v>5.8999999999999995</c:v>
                </c:pt>
                <c:pt idx="2">
                  <c:v>2.4333333333333331</c:v>
                </c:pt>
                <c:pt idx="3">
                  <c:v>1.8</c:v>
                </c:pt>
                <c:pt idx="4">
                  <c:v>1.5666666666666667</c:v>
                </c:pt>
                <c:pt idx="5">
                  <c:v>-2.5666666666666669</c:v>
                </c:pt>
                <c:pt idx="6">
                  <c:v>-8.9</c:v>
                </c:pt>
                <c:pt idx="7">
                  <c:v>-10.200000000000001</c:v>
                </c:pt>
                <c:pt idx="8">
                  <c:v>-8.9</c:v>
                </c:pt>
                <c:pt idx="9">
                  <c:v>-10</c:v>
                </c:pt>
                <c:pt idx="10">
                  <c:v>-6.2333333333333334</c:v>
                </c:pt>
                <c:pt idx="11">
                  <c:v>1.7000000000000002</c:v>
                </c:pt>
                <c:pt idx="12">
                  <c:v>2.3333333333333335</c:v>
                </c:pt>
                <c:pt idx="13">
                  <c:v>3.6333333333333329</c:v>
                </c:pt>
                <c:pt idx="14">
                  <c:v>2.5333333333333332</c:v>
                </c:pt>
                <c:pt idx="15">
                  <c:v>2.6666666666666665</c:v>
                </c:pt>
                <c:pt idx="16">
                  <c:v>3</c:v>
                </c:pt>
                <c:pt idx="17">
                  <c:v>3.7666666666666671</c:v>
                </c:pt>
                <c:pt idx="18">
                  <c:v>3.7666666666666671</c:v>
                </c:pt>
                <c:pt idx="19">
                  <c:v>0.76666666666666661</c:v>
                </c:pt>
                <c:pt idx="20">
                  <c:v>3.5666666666666664</c:v>
                </c:pt>
                <c:pt idx="21">
                  <c:v>1.9000000000000001</c:v>
                </c:pt>
                <c:pt idx="22">
                  <c:v>3.7666666666666671</c:v>
                </c:pt>
                <c:pt idx="23">
                  <c:v>5.333333333333333</c:v>
                </c:pt>
                <c:pt idx="24">
                  <c:v>3.3333333333333335</c:v>
                </c:pt>
                <c:pt idx="25">
                  <c:v>0.83333333333333337</c:v>
                </c:pt>
                <c:pt idx="26">
                  <c:v>3.8666666666666667</c:v>
                </c:pt>
                <c:pt idx="27">
                  <c:v>5.8</c:v>
                </c:pt>
                <c:pt idx="28">
                  <c:v>3.9</c:v>
                </c:pt>
                <c:pt idx="29">
                  <c:v>3.4333333333333336</c:v>
                </c:pt>
                <c:pt idx="30">
                  <c:v>1.9666666666666666</c:v>
                </c:pt>
                <c:pt idx="31">
                  <c:v>1.8666666666666665</c:v>
                </c:pt>
                <c:pt idx="32">
                  <c:v>-0.33333333333333331</c:v>
                </c:pt>
                <c:pt idx="33">
                  <c:v>-1.5666666666666667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F12-4B59-BB8A-3654BAEA7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4272"/>
        <c:axId val="139175808"/>
      </c:lineChart>
      <c:lineChart>
        <c:grouping val="standard"/>
        <c:varyColors val="0"/>
        <c:ser>
          <c:idx val="1"/>
          <c:order val="4"/>
          <c:tx>
            <c:strRef>
              <c:f>'výkonnost odvětví 2'!$A$35</c:f>
              <c:strCache>
                <c:ptCount val="1"/>
                <c:pt idx="0">
                  <c:v>Využití výrob. kapacit v prům.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2'!$B$29:$AI$30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2'!$B$35:$AI$35</c:f>
              <c:numCache>
                <c:formatCode>#\ ##0.0</c:formatCode>
                <c:ptCount val="34"/>
                <c:pt idx="0">
                  <c:v>83.7</c:v>
                </c:pt>
                <c:pt idx="1">
                  <c:v>85.5</c:v>
                </c:pt>
                <c:pt idx="2">
                  <c:v>84.7</c:v>
                </c:pt>
                <c:pt idx="3">
                  <c:v>82.8</c:v>
                </c:pt>
                <c:pt idx="4">
                  <c:v>84.6</c:v>
                </c:pt>
                <c:pt idx="5">
                  <c:v>83.6</c:v>
                </c:pt>
                <c:pt idx="6">
                  <c:v>81.2</c:v>
                </c:pt>
                <c:pt idx="7">
                  <c:v>81.2</c:v>
                </c:pt>
                <c:pt idx="8">
                  <c:v>80.900000000000006</c:v>
                </c:pt>
                <c:pt idx="9">
                  <c:v>82.2</c:v>
                </c:pt>
                <c:pt idx="10">
                  <c:v>80.7</c:v>
                </c:pt>
                <c:pt idx="11">
                  <c:v>82.2</c:v>
                </c:pt>
                <c:pt idx="12">
                  <c:v>81.2</c:v>
                </c:pt>
                <c:pt idx="13">
                  <c:v>83.5</c:v>
                </c:pt>
                <c:pt idx="14">
                  <c:v>82.8</c:v>
                </c:pt>
                <c:pt idx="15">
                  <c:v>84.4</c:v>
                </c:pt>
                <c:pt idx="16">
                  <c:v>86.2</c:v>
                </c:pt>
                <c:pt idx="17">
                  <c:v>85</c:v>
                </c:pt>
                <c:pt idx="18">
                  <c:v>85.6</c:v>
                </c:pt>
                <c:pt idx="19">
                  <c:v>83.9</c:v>
                </c:pt>
                <c:pt idx="20">
                  <c:v>84.5</c:v>
                </c:pt>
                <c:pt idx="21">
                  <c:v>84.7</c:v>
                </c:pt>
                <c:pt idx="22">
                  <c:v>84.7</c:v>
                </c:pt>
                <c:pt idx="23">
                  <c:v>84.1</c:v>
                </c:pt>
                <c:pt idx="24">
                  <c:v>84.9</c:v>
                </c:pt>
                <c:pt idx="25">
                  <c:v>83.1</c:v>
                </c:pt>
                <c:pt idx="26">
                  <c:v>84.4</c:v>
                </c:pt>
                <c:pt idx="27">
                  <c:v>84.3</c:v>
                </c:pt>
                <c:pt idx="28">
                  <c:v>85.8</c:v>
                </c:pt>
                <c:pt idx="29">
                  <c:v>85.4</c:v>
                </c:pt>
                <c:pt idx="30">
                  <c:v>86.2</c:v>
                </c:pt>
                <c:pt idx="31">
                  <c:v>85.8</c:v>
                </c:pt>
                <c:pt idx="32">
                  <c:v>85.8</c:v>
                </c:pt>
                <c:pt idx="33">
                  <c:v>85.9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F12-4B59-BB8A-3654BAEA7E8C}"/>
            </c:ext>
          </c:extLst>
        </c:ser>
        <c:ser>
          <c:idx val="4"/>
          <c:order val="5"/>
          <c:tx>
            <c:strRef>
              <c:f>'výkonnost odvětví 2'!$A$36</c:f>
              <c:strCache>
                <c:ptCount val="1"/>
                <c:pt idx="0">
                  <c:v>Využití kapac. v automobil. pr.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2'!$B$29:$AI$30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2'!$B$36:$AI$36</c:f>
              <c:numCache>
                <c:formatCode>0.0</c:formatCode>
                <c:ptCount val="34"/>
                <c:pt idx="0">
                  <c:v>92.5</c:v>
                </c:pt>
                <c:pt idx="1">
                  <c:v>92.3</c:v>
                </c:pt>
                <c:pt idx="2">
                  <c:v>92.4</c:v>
                </c:pt>
                <c:pt idx="3">
                  <c:v>91.8</c:v>
                </c:pt>
                <c:pt idx="4">
                  <c:v>92.3</c:v>
                </c:pt>
                <c:pt idx="5">
                  <c:v>89.5</c:v>
                </c:pt>
                <c:pt idx="6">
                  <c:v>85.9</c:v>
                </c:pt>
                <c:pt idx="7">
                  <c:v>86.1</c:v>
                </c:pt>
                <c:pt idx="8">
                  <c:v>86.4</c:v>
                </c:pt>
                <c:pt idx="9">
                  <c:v>89.9</c:v>
                </c:pt>
                <c:pt idx="10">
                  <c:v>80.2</c:v>
                </c:pt>
                <c:pt idx="11">
                  <c:v>84.8</c:v>
                </c:pt>
                <c:pt idx="12">
                  <c:v>78.900000000000006</c:v>
                </c:pt>
                <c:pt idx="13">
                  <c:v>85</c:v>
                </c:pt>
                <c:pt idx="14">
                  <c:v>87.1</c:v>
                </c:pt>
                <c:pt idx="15">
                  <c:v>89.2</c:v>
                </c:pt>
                <c:pt idx="16">
                  <c:v>92.8</c:v>
                </c:pt>
                <c:pt idx="17">
                  <c:v>91.1</c:v>
                </c:pt>
                <c:pt idx="18">
                  <c:v>93.1</c:v>
                </c:pt>
                <c:pt idx="19">
                  <c:v>88.7</c:v>
                </c:pt>
                <c:pt idx="20">
                  <c:v>91.6</c:v>
                </c:pt>
                <c:pt idx="21">
                  <c:v>90.3</c:v>
                </c:pt>
                <c:pt idx="22">
                  <c:v>93.1</c:v>
                </c:pt>
                <c:pt idx="23">
                  <c:v>90.9</c:v>
                </c:pt>
                <c:pt idx="24">
                  <c:v>93.2</c:v>
                </c:pt>
                <c:pt idx="25">
                  <c:v>87.3</c:v>
                </c:pt>
                <c:pt idx="26">
                  <c:v>90.7</c:v>
                </c:pt>
                <c:pt idx="27">
                  <c:v>90.5</c:v>
                </c:pt>
                <c:pt idx="28">
                  <c:v>91.1</c:v>
                </c:pt>
                <c:pt idx="29">
                  <c:v>91.6</c:v>
                </c:pt>
                <c:pt idx="30">
                  <c:v>92.1</c:v>
                </c:pt>
                <c:pt idx="31">
                  <c:v>93</c:v>
                </c:pt>
                <c:pt idx="32">
                  <c:v>92.8</c:v>
                </c:pt>
                <c:pt idx="33">
                  <c:v>93.6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F12-4B59-BB8A-3654BAEA7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6478208"/>
        <c:axId val="139177344"/>
      </c:lineChart>
      <c:catAx>
        <c:axId val="13917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5808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39175808"/>
        <c:scaling>
          <c:orientation val="minMax"/>
          <c:max val="36"/>
          <c:min val="-16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39174272"/>
        <c:crosses val="autoZero"/>
        <c:crossBetween val="between"/>
        <c:majorUnit val="4"/>
      </c:valAx>
      <c:valAx>
        <c:axId val="139177344"/>
        <c:scaling>
          <c:orientation val="minMax"/>
          <c:max val="100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crossAx val="146478208"/>
        <c:crosses val="max"/>
        <c:crossBetween val="between"/>
      </c:valAx>
      <c:catAx>
        <c:axId val="146478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91773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2.9553850585423119E-2"/>
          <c:y val="0.882535179556455"/>
          <c:w val="0.93380990509815121"/>
          <c:h val="0.10687971406056511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5040945877997E-2"/>
          <c:y val="1.6563187842952781E-2"/>
          <c:w val="0.92847707700101312"/>
          <c:h val="0.76133625371490121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'výkonnost odvětví 3'!$Y$10</c:f>
              <c:strCache>
                <c:ptCount val="1"/>
                <c:pt idx="0">
                  <c:v>Pozemní stavitelství (příspěvek v p. b.)</c:v>
                </c:pt>
              </c:strCache>
            </c:strRef>
          </c:tx>
          <c:spPr>
            <a:solidFill>
              <a:srgbClr val="A6CDE9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3'!$Y$15:$Y$48</c:f>
              <c:numCache>
                <c:formatCode>0.0</c:formatCode>
                <c:ptCount val="34"/>
                <c:pt idx="0">
                  <c:v>6.2253471794327551</c:v>
                </c:pt>
                <c:pt idx="1">
                  <c:v>-1.1597331222501712</c:v>
                </c:pt>
                <c:pt idx="2">
                  <c:v>-4.2621030613208717</c:v>
                </c:pt>
                <c:pt idx="3">
                  <c:v>1.4298809490954008</c:v>
                </c:pt>
                <c:pt idx="4">
                  <c:v>-5.3023237552943012</c:v>
                </c:pt>
                <c:pt idx="5">
                  <c:v>-1.6015070985845303</c:v>
                </c:pt>
                <c:pt idx="6">
                  <c:v>-3.513940190700036</c:v>
                </c:pt>
                <c:pt idx="7">
                  <c:v>-6.7547773118798933</c:v>
                </c:pt>
                <c:pt idx="8">
                  <c:v>-7.4505405993252012</c:v>
                </c:pt>
                <c:pt idx="9">
                  <c:v>-7.6447037851662101</c:v>
                </c:pt>
                <c:pt idx="10">
                  <c:v>-1.0659022928518138</c:v>
                </c:pt>
                <c:pt idx="11">
                  <c:v>-1.9501565735716926</c:v>
                </c:pt>
                <c:pt idx="12">
                  <c:v>12.56681679281154</c:v>
                </c:pt>
                <c:pt idx="13">
                  <c:v>3.6352209593086169</c:v>
                </c:pt>
                <c:pt idx="14">
                  <c:v>-0.45250277847858089</c:v>
                </c:pt>
                <c:pt idx="15">
                  <c:v>-0.36686423022789266</c:v>
                </c:pt>
                <c:pt idx="16">
                  <c:v>6.127543917347853</c:v>
                </c:pt>
                <c:pt idx="17">
                  <c:v>5.164404138620128</c:v>
                </c:pt>
                <c:pt idx="18">
                  <c:v>0.83141650988233495</c:v>
                </c:pt>
                <c:pt idx="19">
                  <c:v>-1.797566845400477</c:v>
                </c:pt>
                <c:pt idx="20">
                  <c:v>-4.9826565284471647</c:v>
                </c:pt>
                <c:pt idx="21">
                  <c:v>-5.0877138737219081</c:v>
                </c:pt>
                <c:pt idx="22">
                  <c:v>0.80057303879562347</c:v>
                </c:pt>
                <c:pt idx="23">
                  <c:v>4.0255408231775744</c:v>
                </c:pt>
                <c:pt idx="24">
                  <c:v>2.3649506702570338</c:v>
                </c:pt>
                <c:pt idx="25">
                  <c:v>10.127641812245482</c:v>
                </c:pt>
                <c:pt idx="26">
                  <c:v>3.4978562345759912</c:v>
                </c:pt>
                <c:pt idx="27">
                  <c:v>2.6837763524711615</c:v>
                </c:pt>
                <c:pt idx="28">
                  <c:v>13.598952347475393</c:v>
                </c:pt>
                <c:pt idx="29">
                  <c:v>6.2933444870787278</c:v>
                </c:pt>
                <c:pt idx="30">
                  <c:v>7.6965069412532285</c:v>
                </c:pt>
                <c:pt idx="31">
                  <c:v>2.4809864732566731</c:v>
                </c:pt>
                <c:pt idx="32">
                  <c:v>1.6044519199183462</c:v>
                </c:pt>
                <c:pt idx="33">
                  <c:v>2.17736534922259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63-4E90-9B66-71A40D4E63FB}"/>
            </c:ext>
          </c:extLst>
        </c:ser>
        <c:ser>
          <c:idx val="2"/>
          <c:order val="2"/>
          <c:tx>
            <c:strRef>
              <c:f>'výkonnost odvětví 3'!$Z$10</c:f>
              <c:strCache>
                <c:ptCount val="1"/>
                <c:pt idx="0">
                  <c:v>Inženýrské stavitelství  (příspěvek v p. b.)</c:v>
                </c:pt>
              </c:strCache>
            </c:strRef>
          </c:tx>
          <c:spPr>
            <a:solidFill>
              <a:srgbClr val="E8AFB2"/>
            </a:solidFill>
            <a:ln w="19050">
              <a:noFill/>
              <a:prstDash val="solid"/>
            </a:ln>
          </c:spPr>
          <c:invertIfNegative val="0"/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3'!$Z$15:$Z$48</c:f>
              <c:numCache>
                <c:formatCode>0.0</c:formatCode>
                <c:ptCount val="34"/>
                <c:pt idx="0">
                  <c:v>-0.78188106773263832</c:v>
                </c:pt>
                <c:pt idx="1">
                  <c:v>-4.0315428216413887</c:v>
                </c:pt>
                <c:pt idx="2">
                  <c:v>-4.8160517766484885</c:v>
                </c:pt>
                <c:pt idx="3">
                  <c:v>-1.9030520226553096</c:v>
                </c:pt>
                <c:pt idx="4">
                  <c:v>-4.5309950993656098</c:v>
                </c:pt>
                <c:pt idx="5">
                  <c:v>-3.3697664637722933</c:v>
                </c:pt>
                <c:pt idx="6">
                  <c:v>-2.1469085914124069</c:v>
                </c:pt>
                <c:pt idx="7">
                  <c:v>-2.7470685083037565</c:v>
                </c:pt>
                <c:pt idx="8">
                  <c:v>-3.1398706332841959</c:v>
                </c:pt>
                <c:pt idx="9">
                  <c:v>-4.0056430294225027</c:v>
                </c:pt>
                <c:pt idx="10">
                  <c:v>-3.8787162548316361</c:v>
                </c:pt>
                <c:pt idx="11">
                  <c:v>-0.65841186002818719</c:v>
                </c:pt>
                <c:pt idx="12">
                  <c:v>0.47786890208341798</c:v>
                </c:pt>
                <c:pt idx="13">
                  <c:v>1.9373005816972999</c:v>
                </c:pt>
                <c:pt idx="14">
                  <c:v>2.904796622048623</c:v>
                </c:pt>
                <c:pt idx="15">
                  <c:v>1.4962921293093394</c:v>
                </c:pt>
                <c:pt idx="16">
                  <c:v>3.0736722117337725</c:v>
                </c:pt>
                <c:pt idx="17">
                  <c:v>6.8071777084313689</c:v>
                </c:pt>
                <c:pt idx="18">
                  <c:v>7.0167829844998799</c:v>
                </c:pt>
                <c:pt idx="19">
                  <c:v>2.7188479808082135</c:v>
                </c:pt>
                <c:pt idx="20">
                  <c:v>-1.2745226201404676</c:v>
                </c:pt>
                <c:pt idx="21">
                  <c:v>-5.1422429279786392</c:v>
                </c:pt>
                <c:pt idx="22">
                  <c:v>-6.7342170705917956</c:v>
                </c:pt>
                <c:pt idx="23">
                  <c:v>-5.6651468564900309</c:v>
                </c:pt>
                <c:pt idx="24">
                  <c:v>-3.1957336147350528</c:v>
                </c:pt>
                <c:pt idx="25">
                  <c:v>-1.1415552133203699</c:v>
                </c:pt>
                <c:pt idx="26">
                  <c:v>-1.446931160346911</c:v>
                </c:pt>
                <c:pt idx="27">
                  <c:v>0.24076577813659988</c:v>
                </c:pt>
                <c:pt idx="28">
                  <c:v>1.7523515783067747</c:v>
                </c:pt>
                <c:pt idx="29">
                  <c:v>1.2044692300441482</c:v>
                </c:pt>
                <c:pt idx="30">
                  <c:v>4.715390604078415</c:v>
                </c:pt>
                <c:pt idx="31">
                  <c:v>1.8987412296744284</c:v>
                </c:pt>
                <c:pt idx="32">
                  <c:v>0.84015682786469548</c:v>
                </c:pt>
                <c:pt idx="33">
                  <c:v>1.8096790908822258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63-4E90-9B66-71A40D4E6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147432960"/>
        <c:axId val="147434496"/>
      </c:barChart>
      <c:lineChart>
        <c:grouping val="standard"/>
        <c:varyColors val="0"/>
        <c:ser>
          <c:idx val="0"/>
          <c:order val="0"/>
          <c:tx>
            <c:strRef>
              <c:f>'výkonnost odvětví 3'!$X$10</c:f>
              <c:strCache>
                <c:ptCount val="1"/>
                <c:pt idx="0">
                  <c:v>Celková stavební produkce</c:v>
                </c:pt>
              </c:strCache>
            </c:strRef>
          </c:tx>
          <c:spPr>
            <a:ln>
              <a:noFill/>
            </a:ln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>
                <a:noFill/>
              </a:ln>
            </c:spPr>
          </c:marker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3'!$X$15:$X$48</c:f>
              <c:numCache>
                <c:formatCode>0.0</c:formatCode>
                <c:ptCount val="34"/>
                <c:pt idx="0">
                  <c:v>5.4557821324321623</c:v>
                </c:pt>
                <c:pt idx="1">
                  <c:v>-5.1731765784549708</c:v>
                </c:pt>
                <c:pt idx="2">
                  <c:v>-9.0565785023449337</c:v>
                </c:pt>
                <c:pt idx="3">
                  <c:v>-0.49376283937078824</c:v>
                </c:pt>
                <c:pt idx="4">
                  <c:v>-9.8157930981707153</c:v>
                </c:pt>
                <c:pt idx="5">
                  <c:v>-4.9423595765509987</c:v>
                </c:pt>
                <c:pt idx="6">
                  <c:v>-5.6526218343779533</c:v>
                </c:pt>
                <c:pt idx="7">
                  <c:v>-9.4988263446711017</c:v>
                </c:pt>
                <c:pt idx="8">
                  <c:v>-10.574598901416195</c:v>
                </c:pt>
                <c:pt idx="9">
                  <c:v>-11.627981895654287</c:v>
                </c:pt>
                <c:pt idx="10">
                  <c:v>-4.9359698629361333</c:v>
                </c:pt>
                <c:pt idx="11">
                  <c:v>-2.622028528480115</c:v>
                </c:pt>
                <c:pt idx="12">
                  <c:v>13.064880633808968</c:v>
                </c:pt>
                <c:pt idx="13">
                  <c:v>5.5567149112452796</c:v>
                </c:pt>
                <c:pt idx="14">
                  <c:v>2.4476299290684125</c:v>
                </c:pt>
                <c:pt idx="15">
                  <c:v>1.1192070418559581</c:v>
                </c:pt>
                <c:pt idx="16">
                  <c:v>9.1967253231964463</c:v>
                </c:pt>
                <c:pt idx="17">
                  <c:v>11.978904772286668</c:v>
                </c:pt>
                <c:pt idx="18">
                  <c:v>7.8499700759570885</c:v>
                </c:pt>
                <c:pt idx="19">
                  <c:v>0.93639063161241154</c:v>
                </c:pt>
                <c:pt idx="20">
                  <c:v>-6.2678973340206454</c:v>
                </c:pt>
                <c:pt idx="21">
                  <c:v>-10.227830277521477</c:v>
                </c:pt>
                <c:pt idx="22">
                  <c:v>-5.9107342052114831</c:v>
                </c:pt>
                <c:pt idx="23">
                  <c:v>-1.649208802201926</c:v>
                </c:pt>
                <c:pt idx="24">
                  <c:v>-0.84275819971591659</c:v>
                </c:pt>
                <c:pt idx="25">
                  <c:v>8.9951369278572741</c:v>
                </c:pt>
                <c:pt idx="26">
                  <c:v>2.0562867293753015</c:v>
                </c:pt>
                <c:pt idx="27">
                  <c:v>2.9379733268088302</c:v>
                </c:pt>
                <c:pt idx="28">
                  <c:v>15.349768758938438</c:v>
                </c:pt>
                <c:pt idx="29">
                  <c:v>7.4981477706511441</c:v>
                </c:pt>
                <c:pt idx="30">
                  <c:v>12.407397843296962</c:v>
                </c:pt>
                <c:pt idx="31">
                  <c:v>4.3053975524044716</c:v>
                </c:pt>
                <c:pt idx="32">
                  <c:v>2.4498670295558753</c:v>
                </c:pt>
                <c:pt idx="33">
                  <c:v>3.9682737617767714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63-4E90-9B66-71A40D4E6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32960"/>
        <c:axId val="147434496"/>
      </c:lineChart>
      <c:lineChart>
        <c:grouping val="standard"/>
        <c:varyColors val="0"/>
        <c:ser>
          <c:idx val="3"/>
          <c:order val="3"/>
          <c:tx>
            <c:strRef>
              <c:f>'výkonnost odvětví 3'!$AA$10</c:f>
              <c:strCache>
                <c:ptCount val="1"/>
                <c:pt idx="0">
                  <c:v>Nové stavební zakázky (pravá osa)</c:v>
                </c:pt>
              </c:strCache>
            </c:strRef>
          </c:tx>
          <c:spPr>
            <a:ln w="15875">
              <a:solidFill>
                <a:srgbClr val="984807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3'!$AA$15:$AA$48</c:f>
              <c:numCache>
                <c:formatCode>0.0</c:formatCode>
                <c:ptCount val="34"/>
                <c:pt idx="0">
                  <c:v>37.795405718063137</c:v>
                </c:pt>
                <c:pt idx="1">
                  <c:v>-23.565672566981206</c:v>
                </c:pt>
                <c:pt idx="2">
                  <c:v>-23.360716461156017</c:v>
                </c:pt>
                <c:pt idx="3">
                  <c:v>-9.1653963414634205</c:v>
                </c:pt>
                <c:pt idx="4">
                  <c:v>-46.3220596465979</c:v>
                </c:pt>
                <c:pt idx="5">
                  <c:v>-13.7148006307727</c:v>
                </c:pt>
                <c:pt idx="6">
                  <c:v>-7.6729748888363787</c:v>
                </c:pt>
                <c:pt idx="7">
                  <c:v>7.5624082232011745</c:v>
                </c:pt>
                <c:pt idx="8">
                  <c:v>-17.695687793252404</c:v>
                </c:pt>
                <c:pt idx="9">
                  <c:v>-1.584773641063137</c:v>
                </c:pt>
                <c:pt idx="10">
                  <c:v>-1.3308205951467045</c:v>
                </c:pt>
                <c:pt idx="11">
                  <c:v>16.153096050706978</c:v>
                </c:pt>
                <c:pt idx="12">
                  <c:v>67.509727626459153</c:v>
                </c:pt>
                <c:pt idx="13">
                  <c:v>18.978644382544104</c:v>
                </c:pt>
                <c:pt idx="14">
                  <c:v>34.050931384107542</c:v>
                </c:pt>
                <c:pt idx="15">
                  <c:v>-1</c:v>
                </c:pt>
                <c:pt idx="16">
                  <c:v>-3.1547956675580053</c:v>
                </c:pt>
                <c:pt idx="17">
                  <c:v>9.7504961091663205</c:v>
                </c:pt>
                <c:pt idx="18">
                  <c:v>-1.097606022761255</c:v>
                </c:pt>
                <c:pt idx="19">
                  <c:v>-2.3987783410040464</c:v>
                </c:pt>
                <c:pt idx="20">
                  <c:v>-6.6406358945753823</c:v>
                </c:pt>
                <c:pt idx="21">
                  <c:v>-0.49977652269311079</c:v>
                </c:pt>
                <c:pt idx="22">
                  <c:v>-7.0322087253454839</c:v>
                </c:pt>
                <c:pt idx="23">
                  <c:v>10.122126124559955</c:v>
                </c:pt>
                <c:pt idx="24">
                  <c:v>16.177217458847437</c:v>
                </c:pt>
                <c:pt idx="25">
                  <c:v>9.5350878984013008</c:v>
                </c:pt>
                <c:pt idx="26">
                  <c:v>-1.2817324431350698</c:v>
                </c:pt>
                <c:pt idx="27">
                  <c:v>15.620806693503823</c:v>
                </c:pt>
                <c:pt idx="28">
                  <c:v>30.10697387368856</c:v>
                </c:pt>
                <c:pt idx="29">
                  <c:v>32.836878110611963</c:v>
                </c:pt>
                <c:pt idx="30">
                  <c:v>5.2768249907951201</c:v>
                </c:pt>
                <c:pt idx="31">
                  <c:v>1.8944565811032277</c:v>
                </c:pt>
                <c:pt idx="32">
                  <c:v>15.580283026326185</c:v>
                </c:pt>
                <c:pt idx="33">
                  <c:v>-9.9448521673238588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63-4E90-9B66-71A40D4E63FB}"/>
            </c:ext>
          </c:extLst>
        </c:ser>
        <c:ser>
          <c:idx val="4"/>
          <c:order val="4"/>
          <c:tx>
            <c:strRef>
              <c:f>'výkonnost odvětví 3'!$AB$10</c:f>
              <c:strCache>
                <c:ptCount val="1"/>
                <c:pt idx="0">
                  <c:v>Bariéry růstu podniků: žádné (pravá osa)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3'!$AB$15:$AB$48</c:f>
              <c:numCache>
                <c:formatCode>#\ ##0.0</c:formatCode>
                <c:ptCount val="34"/>
                <c:pt idx="0">
                  <c:v>17.099999999999998</c:v>
                </c:pt>
                <c:pt idx="1">
                  <c:v>8.0666666666666664</c:v>
                </c:pt>
                <c:pt idx="2">
                  <c:v>6.6333333333333329</c:v>
                </c:pt>
                <c:pt idx="3">
                  <c:v>6.333333333333333</c:v>
                </c:pt>
                <c:pt idx="4">
                  <c:v>4.7</c:v>
                </c:pt>
                <c:pt idx="5">
                  <c:v>9.0666666666666682</c:v>
                </c:pt>
                <c:pt idx="6">
                  <c:v>6.5666666666666664</c:v>
                </c:pt>
                <c:pt idx="7">
                  <c:v>6.0666666666666664</c:v>
                </c:pt>
                <c:pt idx="8">
                  <c:v>5.7666666666666666</c:v>
                </c:pt>
                <c:pt idx="9">
                  <c:v>5.3666666666666671</c:v>
                </c:pt>
                <c:pt idx="10">
                  <c:v>4.833333333333333</c:v>
                </c:pt>
                <c:pt idx="11">
                  <c:v>4.6333333333333329</c:v>
                </c:pt>
                <c:pt idx="12">
                  <c:v>4.8</c:v>
                </c:pt>
                <c:pt idx="13">
                  <c:v>6.1000000000000005</c:v>
                </c:pt>
                <c:pt idx="14">
                  <c:v>10.899999999999999</c:v>
                </c:pt>
                <c:pt idx="15">
                  <c:v>11.433333333333332</c:v>
                </c:pt>
                <c:pt idx="16">
                  <c:v>8.6999999999999993</c:v>
                </c:pt>
                <c:pt idx="17">
                  <c:v>9.0666666666666682</c:v>
                </c:pt>
                <c:pt idx="18">
                  <c:v>8.5666666666666664</c:v>
                </c:pt>
                <c:pt idx="19">
                  <c:v>10.4</c:v>
                </c:pt>
                <c:pt idx="20">
                  <c:v>12.166666666666666</c:v>
                </c:pt>
                <c:pt idx="21">
                  <c:v>10.866666666666665</c:v>
                </c:pt>
                <c:pt idx="22">
                  <c:v>10.5</c:v>
                </c:pt>
                <c:pt idx="23">
                  <c:v>10.533333333333333</c:v>
                </c:pt>
                <c:pt idx="24">
                  <c:v>10.966666666666669</c:v>
                </c:pt>
                <c:pt idx="25">
                  <c:v>11.733333333333334</c:v>
                </c:pt>
                <c:pt idx="26">
                  <c:v>12.433333333333335</c:v>
                </c:pt>
                <c:pt idx="27">
                  <c:v>11.066666666666668</c:v>
                </c:pt>
                <c:pt idx="28">
                  <c:v>14.066666666666668</c:v>
                </c:pt>
                <c:pt idx="29">
                  <c:v>17</c:v>
                </c:pt>
                <c:pt idx="30">
                  <c:v>16.733333333333334</c:v>
                </c:pt>
                <c:pt idx="31">
                  <c:v>16.366666666666667</c:v>
                </c:pt>
                <c:pt idx="32">
                  <c:v>17.733333333333334</c:v>
                </c:pt>
                <c:pt idx="33">
                  <c:v>17.666666666666668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463-4E90-9B66-71A40D4E63FB}"/>
            </c:ext>
          </c:extLst>
        </c:ser>
        <c:ser>
          <c:idx val="5"/>
          <c:order val="5"/>
          <c:tx>
            <c:strRef>
              <c:f>'výkonnost odvětví 3'!$AC$10</c:f>
              <c:strCache>
                <c:ptCount val="1"/>
                <c:pt idx="0">
                  <c:v>Bariéra růstu: nedost. pracovníků (pr. osa)</c:v>
                </c:pt>
              </c:strCache>
            </c:strRef>
          </c:tx>
          <c:spPr>
            <a:ln w="15875">
              <a:solidFill>
                <a:srgbClr val="00B050"/>
              </a:solidFill>
              <a:prstDash val="sysDash"/>
            </a:ln>
          </c:spPr>
          <c:marker>
            <c:symbol val="none"/>
          </c:marker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3'!$AC$15:$AC$48</c:f>
              <c:numCache>
                <c:formatCode>#\ ##0.0</c:formatCode>
                <c:ptCount val="34"/>
                <c:pt idx="0">
                  <c:v>1</c:v>
                </c:pt>
                <c:pt idx="1">
                  <c:v>0.96666666666666679</c:v>
                </c:pt>
                <c:pt idx="2">
                  <c:v>1.4333333333333333</c:v>
                </c:pt>
                <c:pt idx="3">
                  <c:v>1.3</c:v>
                </c:pt>
                <c:pt idx="4">
                  <c:v>1.6333333333333335</c:v>
                </c:pt>
                <c:pt idx="5">
                  <c:v>1.9666666666666666</c:v>
                </c:pt>
                <c:pt idx="6">
                  <c:v>1.3333333333333333</c:v>
                </c:pt>
                <c:pt idx="7">
                  <c:v>1.0333333333333334</c:v>
                </c:pt>
                <c:pt idx="8">
                  <c:v>1.3333333333333333</c:v>
                </c:pt>
                <c:pt idx="9">
                  <c:v>0.76666666666666661</c:v>
                </c:pt>
                <c:pt idx="10">
                  <c:v>0.79999999999999993</c:v>
                </c:pt>
                <c:pt idx="11">
                  <c:v>1.3</c:v>
                </c:pt>
                <c:pt idx="12">
                  <c:v>1.7</c:v>
                </c:pt>
                <c:pt idx="13">
                  <c:v>2.1</c:v>
                </c:pt>
                <c:pt idx="14">
                  <c:v>2.6666666666666665</c:v>
                </c:pt>
                <c:pt idx="15">
                  <c:v>3.1666666666666665</c:v>
                </c:pt>
                <c:pt idx="16">
                  <c:v>6.5999999999999988</c:v>
                </c:pt>
                <c:pt idx="17">
                  <c:v>7.9333333333333336</c:v>
                </c:pt>
                <c:pt idx="18">
                  <c:v>7.333333333333333</c:v>
                </c:pt>
                <c:pt idx="19">
                  <c:v>7.5</c:v>
                </c:pt>
                <c:pt idx="20">
                  <c:v>5.8666666666666671</c:v>
                </c:pt>
                <c:pt idx="21">
                  <c:v>6.5666666666666673</c:v>
                </c:pt>
                <c:pt idx="22">
                  <c:v>7.666666666666667</c:v>
                </c:pt>
                <c:pt idx="23">
                  <c:v>10.066666666666668</c:v>
                </c:pt>
                <c:pt idx="24">
                  <c:v>11.966666666666667</c:v>
                </c:pt>
                <c:pt idx="25">
                  <c:v>14.766666666666666</c:v>
                </c:pt>
                <c:pt idx="26">
                  <c:v>20.633333333333329</c:v>
                </c:pt>
                <c:pt idx="27">
                  <c:v>22.133333333333336</c:v>
                </c:pt>
                <c:pt idx="28">
                  <c:v>24.433333333333334</c:v>
                </c:pt>
                <c:pt idx="29">
                  <c:v>28.333333333333332</c:v>
                </c:pt>
                <c:pt idx="30">
                  <c:v>32.966666666666661</c:v>
                </c:pt>
                <c:pt idx="31">
                  <c:v>40.699999999999996</c:v>
                </c:pt>
                <c:pt idx="32">
                  <c:v>41.733333333333327</c:v>
                </c:pt>
                <c:pt idx="33">
                  <c:v>46.199999999999996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463-4E90-9B66-71A40D4E63FB}"/>
            </c:ext>
          </c:extLst>
        </c:ser>
        <c:ser>
          <c:idx val="6"/>
          <c:order val="6"/>
          <c:tx>
            <c:strRef>
              <c:f>'výkonnost odvětví 3'!$AD$10</c:f>
              <c:strCache>
                <c:ptCount val="1"/>
                <c:pt idx="0">
                  <c:v>Saldo indik.důvěry ve stavebnictví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prstClr val="black">
                    <a:lumMod val="95000"/>
                    <a:lumOff val="5000"/>
                  </a:prstClr>
                </a:solidFill>
              </a:ln>
            </c:spPr>
          </c:marker>
          <c:cat>
            <c:multiLvlStrRef>
              <c:f>'výkonnost odvětví 3'!$V$15:$W$48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3'!$AD$15:$AD$48</c:f>
              <c:numCache>
                <c:formatCode>0.0</c:formatCode>
                <c:ptCount val="34"/>
                <c:pt idx="0">
                  <c:v>-40</c:v>
                </c:pt>
                <c:pt idx="1">
                  <c:v>-40.333333333333336</c:v>
                </c:pt>
                <c:pt idx="2">
                  <c:v>-39.166666666666664</c:v>
                </c:pt>
                <c:pt idx="3">
                  <c:v>-39.333333333333336</c:v>
                </c:pt>
                <c:pt idx="4">
                  <c:v>-46</c:v>
                </c:pt>
                <c:pt idx="5">
                  <c:v>-45.333333333333336</c:v>
                </c:pt>
                <c:pt idx="6">
                  <c:v>-43.5</c:v>
                </c:pt>
                <c:pt idx="7">
                  <c:v>-44.666666666666664</c:v>
                </c:pt>
                <c:pt idx="8">
                  <c:v>-46</c:v>
                </c:pt>
                <c:pt idx="9">
                  <c:v>-53.333333333333336</c:v>
                </c:pt>
                <c:pt idx="10">
                  <c:v>-49.5</c:v>
                </c:pt>
                <c:pt idx="11">
                  <c:v>-50.833333333333336</c:v>
                </c:pt>
                <c:pt idx="12">
                  <c:v>-45.166666666666664</c:v>
                </c:pt>
                <c:pt idx="13">
                  <c:v>-38.333333333333336</c:v>
                </c:pt>
                <c:pt idx="14">
                  <c:v>-32</c:v>
                </c:pt>
                <c:pt idx="15">
                  <c:v>-25.166666666666668</c:v>
                </c:pt>
                <c:pt idx="16">
                  <c:v>-20.833333333333332</c:v>
                </c:pt>
                <c:pt idx="17">
                  <c:v>-16.333333333333332</c:v>
                </c:pt>
                <c:pt idx="18">
                  <c:v>-18.666666666666668</c:v>
                </c:pt>
                <c:pt idx="19">
                  <c:v>-15.666666666666666</c:v>
                </c:pt>
                <c:pt idx="20">
                  <c:v>-17.166666666666668</c:v>
                </c:pt>
                <c:pt idx="21">
                  <c:v>-24</c:v>
                </c:pt>
                <c:pt idx="22">
                  <c:v>-26.666666666666668</c:v>
                </c:pt>
                <c:pt idx="23">
                  <c:v>-25.833333333333332</c:v>
                </c:pt>
                <c:pt idx="24">
                  <c:v>-24.5</c:v>
                </c:pt>
                <c:pt idx="25">
                  <c:v>-22.666666666666668</c:v>
                </c:pt>
                <c:pt idx="26">
                  <c:v>-19.833333333333332</c:v>
                </c:pt>
                <c:pt idx="27">
                  <c:v>-15.166666666666666</c:v>
                </c:pt>
                <c:pt idx="28">
                  <c:v>-9.6666666666666661</c:v>
                </c:pt>
                <c:pt idx="29">
                  <c:v>-5.666666666666667</c:v>
                </c:pt>
                <c:pt idx="30">
                  <c:v>-3.1666666666666665</c:v>
                </c:pt>
                <c:pt idx="31">
                  <c:v>0.83333333333333337</c:v>
                </c:pt>
                <c:pt idx="32">
                  <c:v>4.666666666666667</c:v>
                </c:pt>
                <c:pt idx="33">
                  <c:v>3.8333333333333335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463-4E90-9B66-71A40D4E63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650816"/>
        <c:axId val="147649280"/>
      </c:lineChart>
      <c:catAx>
        <c:axId val="14743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4496"/>
        <c:crossesAt val="0"/>
        <c:auto val="0"/>
        <c:lblAlgn val="ctr"/>
        <c:lblOffset val="0"/>
        <c:tickLblSkip val="1"/>
        <c:tickMarkSkip val="4"/>
        <c:noMultiLvlLbl val="0"/>
      </c:catAx>
      <c:valAx>
        <c:axId val="147434496"/>
        <c:scaling>
          <c:orientation val="minMax"/>
          <c:max val="25"/>
          <c:min val="-3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7432960"/>
        <c:crosses val="autoZero"/>
        <c:crossBetween val="between"/>
        <c:majorUnit val="5"/>
      </c:valAx>
      <c:valAx>
        <c:axId val="147649280"/>
        <c:scaling>
          <c:orientation val="minMax"/>
          <c:max val="50"/>
          <c:min val="-60"/>
        </c:scaling>
        <c:delete val="0"/>
        <c:axPos val="r"/>
        <c:numFmt formatCode="0" sourceLinked="0"/>
        <c:majorTickMark val="out"/>
        <c:minorTickMark val="none"/>
        <c:tickLblPos val="nextTo"/>
        <c:crossAx val="147650816"/>
        <c:crosses val="max"/>
        <c:crossBetween val="between"/>
        <c:majorUnit val="10"/>
      </c:valAx>
      <c:catAx>
        <c:axId val="14765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7649280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2101254105759773E-3"/>
          <c:y val="0.87413073579142686"/>
          <c:w val="0.98289481343746343"/>
          <c:h val="0.1233574576253902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337294494629933E-2"/>
          <c:y val="1.6432335801879864E-2"/>
          <c:w val="0.91372590696101663"/>
          <c:h val="0.75458469148421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'výkonnost odvětví 4'!$B$52</c:f>
              <c:strCache>
                <c:ptCount val="1"/>
                <c:pt idx="0">
                  <c:v>Služby celkem</c:v>
                </c:pt>
              </c:strCache>
            </c:strRef>
          </c:tx>
          <c:spPr>
            <a:solidFill>
              <a:srgbClr val="BEBEBE"/>
            </a:solidFill>
          </c:spPr>
          <c:invertIfNegative val="0"/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4'!$G$52:$AN$52</c:f>
              <c:numCache>
                <c:formatCode>##0.0</c:formatCode>
                <c:ptCount val="34"/>
                <c:pt idx="0">
                  <c:v>97.408341476699974</c:v>
                </c:pt>
                <c:pt idx="1">
                  <c:v>97.673223460000031</c:v>
                </c:pt>
                <c:pt idx="2">
                  <c:v>95.615114413300006</c:v>
                </c:pt>
                <c:pt idx="3">
                  <c:v>96.523836689999982</c:v>
                </c:pt>
                <c:pt idx="4">
                  <c:v>97.055498293299962</c:v>
                </c:pt>
                <c:pt idx="5">
                  <c:v>96.470807876699922</c:v>
                </c:pt>
                <c:pt idx="6">
                  <c:v>96.767490219999999</c:v>
                </c:pt>
                <c:pt idx="7">
                  <c:v>95.49761559670003</c:v>
                </c:pt>
                <c:pt idx="8">
                  <c:v>96.612751269999976</c:v>
                </c:pt>
                <c:pt idx="9">
                  <c:v>95.725248463300005</c:v>
                </c:pt>
                <c:pt idx="10">
                  <c:v>95.402295673300031</c:v>
                </c:pt>
                <c:pt idx="11">
                  <c:v>97.041291946699999</c:v>
                </c:pt>
                <c:pt idx="12">
                  <c:v>95.941201626700035</c:v>
                </c:pt>
                <c:pt idx="13">
                  <c:v>97.145665609999995</c:v>
                </c:pt>
                <c:pt idx="14">
                  <c:v>97.712548416699974</c:v>
                </c:pt>
                <c:pt idx="15">
                  <c:v>98.138023976699969</c:v>
                </c:pt>
                <c:pt idx="16">
                  <c:v>98.971396589999998</c:v>
                </c:pt>
                <c:pt idx="17">
                  <c:v>99.880066309999989</c:v>
                </c:pt>
                <c:pt idx="18">
                  <c:v>100.46361476330006</c:v>
                </c:pt>
                <c:pt idx="19">
                  <c:v>100.68492234</c:v>
                </c:pt>
                <c:pt idx="20">
                  <c:v>99.676246529999972</c:v>
                </c:pt>
                <c:pt idx="21">
                  <c:v>99.82407514999997</c:v>
                </c:pt>
                <c:pt idx="22">
                  <c:v>101.62772668330003</c:v>
                </c:pt>
                <c:pt idx="23">
                  <c:v>103.09438289669995</c:v>
                </c:pt>
                <c:pt idx="24">
                  <c:v>103.8295094333</c:v>
                </c:pt>
                <c:pt idx="25">
                  <c:v>105.02168210669996</c:v>
                </c:pt>
                <c:pt idx="26">
                  <c:v>105.22416738000003</c:v>
                </c:pt>
                <c:pt idx="27">
                  <c:v>106.61918037669996</c:v>
                </c:pt>
                <c:pt idx="28">
                  <c:v>108.3697590133</c:v>
                </c:pt>
                <c:pt idx="29">
                  <c:v>108.44953795000002</c:v>
                </c:pt>
                <c:pt idx="30">
                  <c:v>109.0935050467</c:v>
                </c:pt>
                <c:pt idx="31">
                  <c:v>108.45909383670001</c:v>
                </c:pt>
                <c:pt idx="32">
                  <c:v>110.20549541</c:v>
                </c:pt>
                <c:pt idx="33">
                  <c:v>110.0235730233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3-4816-AA2C-10B35412A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106015744"/>
        <c:axId val="106030208"/>
      </c:barChart>
      <c:lineChart>
        <c:grouping val="standard"/>
        <c:varyColors val="0"/>
        <c:ser>
          <c:idx val="1"/>
          <c:order val="1"/>
          <c:tx>
            <c:strRef>
              <c:f>'výkonnost odvětví 4'!$B$53</c:f>
              <c:strCache>
                <c:ptCount val="1"/>
                <c:pt idx="0">
                  <c:v>Doprava a skladování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4'!$G$53:$AN$53</c:f>
              <c:numCache>
                <c:formatCode>##0.0</c:formatCode>
                <c:ptCount val="34"/>
                <c:pt idx="0">
                  <c:v>92.21001106330003</c:v>
                </c:pt>
                <c:pt idx="1">
                  <c:v>92.474497493300007</c:v>
                </c:pt>
                <c:pt idx="2">
                  <c:v>91.734237136699974</c:v>
                </c:pt>
                <c:pt idx="3">
                  <c:v>93.153898639999937</c:v>
                </c:pt>
                <c:pt idx="4">
                  <c:v>93.059891159999964</c:v>
                </c:pt>
                <c:pt idx="5">
                  <c:v>94.331590070000004</c:v>
                </c:pt>
                <c:pt idx="6">
                  <c:v>95.441342079999998</c:v>
                </c:pt>
                <c:pt idx="7">
                  <c:v>91.637415166699938</c:v>
                </c:pt>
                <c:pt idx="8">
                  <c:v>95.377032939999964</c:v>
                </c:pt>
                <c:pt idx="9">
                  <c:v>96.793121366700007</c:v>
                </c:pt>
                <c:pt idx="10">
                  <c:v>96.932984579999982</c:v>
                </c:pt>
                <c:pt idx="11">
                  <c:v>100.93961469670003</c:v>
                </c:pt>
                <c:pt idx="12">
                  <c:v>98.534688753300003</c:v>
                </c:pt>
                <c:pt idx="13">
                  <c:v>99.283679430000007</c:v>
                </c:pt>
                <c:pt idx="14">
                  <c:v>100.26162911670002</c:v>
                </c:pt>
                <c:pt idx="15">
                  <c:v>100.36782357330003</c:v>
                </c:pt>
                <c:pt idx="16">
                  <c:v>98.917278916699971</c:v>
                </c:pt>
                <c:pt idx="17">
                  <c:v>99.292593073299983</c:v>
                </c:pt>
                <c:pt idx="18">
                  <c:v>100.89777098</c:v>
                </c:pt>
                <c:pt idx="19">
                  <c:v>100.89235702999997</c:v>
                </c:pt>
                <c:pt idx="20">
                  <c:v>99.603183426699971</c:v>
                </c:pt>
                <c:pt idx="21">
                  <c:v>100.40261469329999</c:v>
                </c:pt>
                <c:pt idx="22">
                  <c:v>101.26453315000002</c:v>
                </c:pt>
                <c:pt idx="23">
                  <c:v>103.9548502967</c:v>
                </c:pt>
                <c:pt idx="24">
                  <c:v>104.40231455999998</c:v>
                </c:pt>
                <c:pt idx="25">
                  <c:v>104.1461293067</c:v>
                </c:pt>
                <c:pt idx="26">
                  <c:v>105.03826799330002</c:v>
                </c:pt>
                <c:pt idx="27">
                  <c:v>106.57702841669996</c:v>
                </c:pt>
                <c:pt idx="28">
                  <c:v>110.15857635329995</c:v>
                </c:pt>
                <c:pt idx="29">
                  <c:v>110.73474345000002</c:v>
                </c:pt>
                <c:pt idx="30">
                  <c:v>110.35349596</c:v>
                </c:pt>
                <c:pt idx="31">
                  <c:v>108.86760158330003</c:v>
                </c:pt>
                <c:pt idx="32">
                  <c:v>111.42875348330003</c:v>
                </c:pt>
                <c:pt idx="33">
                  <c:v>110.26574304330002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03-4816-AA2C-10B35412AF2D}"/>
            </c:ext>
          </c:extLst>
        </c:ser>
        <c:ser>
          <c:idx val="2"/>
          <c:order val="2"/>
          <c:tx>
            <c:strRef>
              <c:f>'výkonnost odvětví 4'!$B$54</c:f>
              <c:strCache>
                <c:ptCount val="1"/>
                <c:pt idx="0">
                  <c:v>Ubytování, stravování a pohostinství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4'!$G$54:$AN$54</c:f>
              <c:numCache>
                <c:formatCode>##0.0</c:formatCode>
                <c:ptCount val="34"/>
                <c:pt idx="0">
                  <c:v>95.718670136699942</c:v>
                </c:pt>
                <c:pt idx="1">
                  <c:v>96.548342236699924</c:v>
                </c:pt>
                <c:pt idx="2">
                  <c:v>94.814050850000001</c:v>
                </c:pt>
                <c:pt idx="3">
                  <c:v>94.660125796700001</c:v>
                </c:pt>
                <c:pt idx="4">
                  <c:v>93.776267693299999</c:v>
                </c:pt>
                <c:pt idx="5">
                  <c:v>93.24288026329998</c:v>
                </c:pt>
                <c:pt idx="6">
                  <c:v>92.942876706699963</c:v>
                </c:pt>
                <c:pt idx="7">
                  <c:v>92.760785166699975</c:v>
                </c:pt>
                <c:pt idx="8">
                  <c:v>93.421747873299964</c:v>
                </c:pt>
                <c:pt idx="9">
                  <c:v>92.951178133299962</c:v>
                </c:pt>
                <c:pt idx="10">
                  <c:v>93.656029356699975</c:v>
                </c:pt>
                <c:pt idx="11">
                  <c:v>92.960213803299993</c:v>
                </c:pt>
                <c:pt idx="12">
                  <c:v>93.364144249999995</c:v>
                </c:pt>
                <c:pt idx="13">
                  <c:v>93.485621039999998</c:v>
                </c:pt>
                <c:pt idx="14">
                  <c:v>94.020559879999979</c:v>
                </c:pt>
                <c:pt idx="15">
                  <c:v>96.910029950000038</c:v>
                </c:pt>
                <c:pt idx="16">
                  <c:v>97.350410176699924</c:v>
                </c:pt>
                <c:pt idx="17">
                  <c:v>100.0926208967</c:v>
                </c:pt>
                <c:pt idx="18">
                  <c:v>100.9442236933001</c:v>
                </c:pt>
                <c:pt idx="19">
                  <c:v>101.61274523669992</c:v>
                </c:pt>
                <c:pt idx="20">
                  <c:v>102.56448642330002</c:v>
                </c:pt>
                <c:pt idx="21">
                  <c:v>103.55460004000003</c:v>
                </c:pt>
                <c:pt idx="22">
                  <c:v>108.08534103329995</c:v>
                </c:pt>
                <c:pt idx="23">
                  <c:v>110.33791934000003</c:v>
                </c:pt>
                <c:pt idx="24">
                  <c:v>113.63843531329992</c:v>
                </c:pt>
                <c:pt idx="25">
                  <c:v>116.40490868670003</c:v>
                </c:pt>
                <c:pt idx="26">
                  <c:v>116.2571430567</c:v>
                </c:pt>
                <c:pt idx="27">
                  <c:v>117.15596084329995</c:v>
                </c:pt>
                <c:pt idx="28">
                  <c:v>116.95766489670002</c:v>
                </c:pt>
                <c:pt idx="29">
                  <c:v>117.00043292669996</c:v>
                </c:pt>
                <c:pt idx="30">
                  <c:v>117.43490011</c:v>
                </c:pt>
                <c:pt idx="31">
                  <c:v>117.74022512000005</c:v>
                </c:pt>
                <c:pt idx="32">
                  <c:v>118.85223813669992</c:v>
                </c:pt>
                <c:pt idx="33">
                  <c:v>118.99304662330003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03-4816-AA2C-10B35412AF2D}"/>
            </c:ext>
          </c:extLst>
        </c:ser>
        <c:ser>
          <c:idx val="3"/>
          <c:order val="3"/>
          <c:tx>
            <c:strRef>
              <c:f>'výkonnost odvětví 4'!$B$55</c:f>
              <c:strCache>
                <c:ptCount val="1"/>
                <c:pt idx="0">
                  <c:v>Informační a komunikační činnosti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4'!$G$55:$AN$55</c:f>
              <c:numCache>
                <c:formatCode>##0.0</c:formatCode>
                <c:ptCount val="34"/>
                <c:pt idx="0">
                  <c:v>94.331796929999982</c:v>
                </c:pt>
                <c:pt idx="1">
                  <c:v>93.926248043300006</c:v>
                </c:pt>
                <c:pt idx="2">
                  <c:v>93.41085624000003</c:v>
                </c:pt>
                <c:pt idx="3">
                  <c:v>93.127078573299926</c:v>
                </c:pt>
                <c:pt idx="4">
                  <c:v>94.589829010000003</c:v>
                </c:pt>
                <c:pt idx="5">
                  <c:v>93.93571387999998</c:v>
                </c:pt>
                <c:pt idx="6">
                  <c:v>94.961086193300005</c:v>
                </c:pt>
                <c:pt idx="7">
                  <c:v>92.964281736700002</c:v>
                </c:pt>
                <c:pt idx="8">
                  <c:v>92.784363040000031</c:v>
                </c:pt>
                <c:pt idx="9">
                  <c:v>93.858123226700002</c:v>
                </c:pt>
                <c:pt idx="10">
                  <c:v>92.935331973299938</c:v>
                </c:pt>
                <c:pt idx="11">
                  <c:v>93.077243740000029</c:v>
                </c:pt>
                <c:pt idx="12">
                  <c:v>92.812725093300003</c:v>
                </c:pt>
                <c:pt idx="13">
                  <c:v>94.719704980000031</c:v>
                </c:pt>
                <c:pt idx="14">
                  <c:v>95.671175149999954</c:v>
                </c:pt>
                <c:pt idx="15">
                  <c:v>95.904294706700028</c:v>
                </c:pt>
                <c:pt idx="16">
                  <c:v>98.619002113299942</c:v>
                </c:pt>
                <c:pt idx="17">
                  <c:v>99.336667526699969</c:v>
                </c:pt>
                <c:pt idx="18">
                  <c:v>99.878350309999945</c:v>
                </c:pt>
                <c:pt idx="19">
                  <c:v>102.1659800433</c:v>
                </c:pt>
                <c:pt idx="20">
                  <c:v>100.1542872667</c:v>
                </c:pt>
                <c:pt idx="21">
                  <c:v>100.15419730669996</c:v>
                </c:pt>
                <c:pt idx="22">
                  <c:v>101.54191510000003</c:v>
                </c:pt>
                <c:pt idx="23">
                  <c:v>103.61662317000003</c:v>
                </c:pt>
                <c:pt idx="24">
                  <c:v>103.24120451000003</c:v>
                </c:pt>
                <c:pt idx="25">
                  <c:v>105.8681786233</c:v>
                </c:pt>
                <c:pt idx="26">
                  <c:v>105.70023114</c:v>
                </c:pt>
                <c:pt idx="27">
                  <c:v>107.5343500267</c:v>
                </c:pt>
                <c:pt idx="28">
                  <c:v>110.5575188633</c:v>
                </c:pt>
                <c:pt idx="29">
                  <c:v>110.0745657267</c:v>
                </c:pt>
                <c:pt idx="30">
                  <c:v>113.26740821</c:v>
                </c:pt>
                <c:pt idx="31">
                  <c:v>113.32409346330003</c:v>
                </c:pt>
                <c:pt idx="32">
                  <c:v>115.85762151669994</c:v>
                </c:pt>
                <c:pt idx="33">
                  <c:v>117.16059919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03-4816-AA2C-10B35412AF2D}"/>
            </c:ext>
          </c:extLst>
        </c:ser>
        <c:ser>
          <c:idx val="4"/>
          <c:order val="4"/>
          <c:tx>
            <c:strRef>
              <c:f>'výkonnost odvětví 4'!$B$56</c:f>
              <c:strCache>
                <c:ptCount val="1"/>
                <c:pt idx="0">
                  <c:v>Činnosti v oblasti nemovitostí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4'!$G$56:$AN$56</c:f>
              <c:numCache>
                <c:formatCode>##0.0</c:formatCode>
                <c:ptCount val="34"/>
                <c:pt idx="0">
                  <c:v>109.75940683330001</c:v>
                </c:pt>
                <c:pt idx="1">
                  <c:v>108.12358700329996</c:v>
                </c:pt>
                <c:pt idx="2">
                  <c:v>106.9661465133</c:v>
                </c:pt>
                <c:pt idx="3">
                  <c:v>105.50815548999999</c:v>
                </c:pt>
                <c:pt idx="4">
                  <c:v>103.75922661000003</c:v>
                </c:pt>
                <c:pt idx="5">
                  <c:v>102.94533345000002</c:v>
                </c:pt>
                <c:pt idx="6">
                  <c:v>101.2251304033</c:v>
                </c:pt>
                <c:pt idx="7">
                  <c:v>102.0329600667</c:v>
                </c:pt>
                <c:pt idx="8">
                  <c:v>101.74134181669996</c:v>
                </c:pt>
                <c:pt idx="9">
                  <c:v>99.857792506699923</c:v>
                </c:pt>
                <c:pt idx="10">
                  <c:v>100.16564680999997</c:v>
                </c:pt>
                <c:pt idx="11">
                  <c:v>99.115132873299942</c:v>
                </c:pt>
                <c:pt idx="12">
                  <c:v>98.881896746699937</c:v>
                </c:pt>
                <c:pt idx="13">
                  <c:v>99.888891349999938</c:v>
                </c:pt>
                <c:pt idx="14">
                  <c:v>99.78717035329997</c:v>
                </c:pt>
                <c:pt idx="15">
                  <c:v>99.2056797133</c:v>
                </c:pt>
                <c:pt idx="16">
                  <c:v>99.24701197669998</c:v>
                </c:pt>
                <c:pt idx="17">
                  <c:v>99.81525541329998</c:v>
                </c:pt>
                <c:pt idx="18">
                  <c:v>100.2707147333</c:v>
                </c:pt>
                <c:pt idx="19">
                  <c:v>100.66701788</c:v>
                </c:pt>
                <c:pt idx="20">
                  <c:v>100.45642703</c:v>
                </c:pt>
                <c:pt idx="21">
                  <c:v>100.38140151669995</c:v>
                </c:pt>
                <c:pt idx="22">
                  <c:v>101.71283489669996</c:v>
                </c:pt>
                <c:pt idx="23">
                  <c:v>101.20694154669995</c:v>
                </c:pt>
                <c:pt idx="24">
                  <c:v>102.63105660330002</c:v>
                </c:pt>
                <c:pt idx="25">
                  <c:v>103.4044068467</c:v>
                </c:pt>
                <c:pt idx="26">
                  <c:v>102.32584860329996</c:v>
                </c:pt>
                <c:pt idx="27">
                  <c:v>102.68216545</c:v>
                </c:pt>
                <c:pt idx="28">
                  <c:v>101.88079565669996</c:v>
                </c:pt>
                <c:pt idx="29">
                  <c:v>101.66419071</c:v>
                </c:pt>
                <c:pt idx="30">
                  <c:v>101.32271497000001</c:v>
                </c:pt>
                <c:pt idx="31">
                  <c:v>101.12118163669996</c:v>
                </c:pt>
                <c:pt idx="32">
                  <c:v>101.7330508733</c:v>
                </c:pt>
                <c:pt idx="33">
                  <c:v>100.97507813999992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03-4816-AA2C-10B35412AF2D}"/>
            </c:ext>
          </c:extLst>
        </c:ser>
        <c:ser>
          <c:idx val="5"/>
          <c:order val="5"/>
          <c:tx>
            <c:strRef>
              <c:f>'výkonnost odvětví 4'!$B$57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4'!$G$57:$AN$57</c:f>
              <c:numCache>
                <c:formatCode>##0.0</c:formatCode>
                <c:ptCount val="34"/>
                <c:pt idx="0">
                  <c:v>110.35993232329996</c:v>
                </c:pt>
                <c:pt idx="1">
                  <c:v>110.99594438330003</c:v>
                </c:pt>
                <c:pt idx="2">
                  <c:v>105.12586490669996</c:v>
                </c:pt>
                <c:pt idx="3">
                  <c:v>104.91580485</c:v>
                </c:pt>
                <c:pt idx="4">
                  <c:v>107.54324174330003</c:v>
                </c:pt>
                <c:pt idx="5">
                  <c:v>104.6911563467</c:v>
                </c:pt>
                <c:pt idx="6">
                  <c:v>105.1031939267</c:v>
                </c:pt>
                <c:pt idx="7">
                  <c:v>103.9203424233</c:v>
                </c:pt>
                <c:pt idx="8">
                  <c:v>102.27832457</c:v>
                </c:pt>
                <c:pt idx="9">
                  <c:v>96.831860270000007</c:v>
                </c:pt>
                <c:pt idx="10">
                  <c:v>95.386709839999938</c:v>
                </c:pt>
                <c:pt idx="11">
                  <c:v>98.122475889999947</c:v>
                </c:pt>
                <c:pt idx="12">
                  <c:v>95.471230079999998</c:v>
                </c:pt>
                <c:pt idx="13">
                  <c:v>97.151514440000028</c:v>
                </c:pt>
                <c:pt idx="14">
                  <c:v>97.239541669999994</c:v>
                </c:pt>
                <c:pt idx="15">
                  <c:v>97.369149546700001</c:v>
                </c:pt>
                <c:pt idx="16">
                  <c:v>100.22249622</c:v>
                </c:pt>
                <c:pt idx="17">
                  <c:v>101.0636779667</c:v>
                </c:pt>
                <c:pt idx="18">
                  <c:v>100.12507581999995</c:v>
                </c:pt>
                <c:pt idx="19">
                  <c:v>98.588749989999982</c:v>
                </c:pt>
                <c:pt idx="20">
                  <c:v>97.316872116699898</c:v>
                </c:pt>
                <c:pt idx="21">
                  <c:v>96.183428083300001</c:v>
                </c:pt>
                <c:pt idx="22">
                  <c:v>98.710106699999997</c:v>
                </c:pt>
                <c:pt idx="23">
                  <c:v>98.210333550000001</c:v>
                </c:pt>
                <c:pt idx="24">
                  <c:v>98.773410503299971</c:v>
                </c:pt>
                <c:pt idx="25">
                  <c:v>99.792214959999995</c:v>
                </c:pt>
                <c:pt idx="26">
                  <c:v>100.25278863669995</c:v>
                </c:pt>
                <c:pt idx="27">
                  <c:v>101.43994791670001</c:v>
                </c:pt>
                <c:pt idx="28">
                  <c:v>102.02185652999998</c:v>
                </c:pt>
                <c:pt idx="29">
                  <c:v>101.81103997000002</c:v>
                </c:pt>
                <c:pt idx="30">
                  <c:v>102.0630089733</c:v>
                </c:pt>
                <c:pt idx="31">
                  <c:v>101.69281847000001</c:v>
                </c:pt>
                <c:pt idx="32">
                  <c:v>102.97835609999997</c:v>
                </c:pt>
                <c:pt idx="33">
                  <c:v>103.14959117669996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403-4816-AA2C-10B35412AF2D}"/>
            </c:ext>
          </c:extLst>
        </c:ser>
        <c:ser>
          <c:idx val="6"/>
          <c:order val="6"/>
          <c:tx>
            <c:strRef>
              <c:f>'výkonnost odvětví 4'!$B$58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ln w="19050">
              <a:solidFill>
                <a:srgbClr val="E6E100"/>
              </a:solidFill>
            </a:ln>
          </c:spPr>
          <c:marker>
            <c:symbol val="none"/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4'!$G$58:$AN$58</c:f>
              <c:numCache>
                <c:formatCode>##0.0</c:formatCode>
                <c:ptCount val="34"/>
                <c:pt idx="0">
                  <c:v>88.544117630000031</c:v>
                </c:pt>
                <c:pt idx="1">
                  <c:v>89.908680899999979</c:v>
                </c:pt>
                <c:pt idx="2">
                  <c:v>90.222559869999998</c:v>
                </c:pt>
                <c:pt idx="3">
                  <c:v>91.598159106699939</c:v>
                </c:pt>
                <c:pt idx="4">
                  <c:v>92.386088929999971</c:v>
                </c:pt>
                <c:pt idx="5">
                  <c:v>91.842137219999969</c:v>
                </c:pt>
                <c:pt idx="6">
                  <c:v>92.732469313300001</c:v>
                </c:pt>
                <c:pt idx="7">
                  <c:v>91.119310633300003</c:v>
                </c:pt>
                <c:pt idx="8">
                  <c:v>92.957828620000029</c:v>
                </c:pt>
                <c:pt idx="9">
                  <c:v>92.226183166699954</c:v>
                </c:pt>
                <c:pt idx="10">
                  <c:v>92.988140283299998</c:v>
                </c:pt>
                <c:pt idx="11">
                  <c:v>93.720316329999989</c:v>
                </c:pt>
                <c:pt idx="12">
                  <c:v>93.829048929999971</c:v>
                </c:pt>
                <c:pt idx="13">
                  <c:v>95.858928269999979</c:v>
                </c:pt>
                <c:pt idx="14">
                  <c:v>96.239180056699936</c:v>
                </c:pt>
                <c:pt idx="15">
                  <c:v>97.672813213299975</c:v>
                </c:pt>
                <c:pt idx="16">
                  <c:v>98.020516613300003</c:v>
                </c:pt>
                <c:pt idx="17">
                  <c:v>99.877625893300007</c:v>
                </c:pt>
                <c:pt idx="18">
                  <c:v>100.87951759669996</c:v>
                </c:pt>
                <c:pt idx="19">
                  <c:v>101.2223399033</c:v>
                </c:pt>
                <c:pt idx="20">
                  <c:v>101.27639995669996</c:v>
                </c:pt>
                <c:pt idx="21">
                  <c:v>102.2068470533</c:v>
                </c:pt>
                <c:pt idx="22">
                  <c:v>104.36741291669996</c:v>
                </c:pt>
                <c:pt idx="23">
                  <c:v>106.69489278</c:v>
                </c:pt>
                <c:pt idx="24">
                  <c:v>108.22513141330001</c:v>
                </c:pt>
                <c:pt idx="25">
                  <c:v>110.36818029669996</c:v>
                </c:pt>
                <c:pt idx="26">
                  <c:v>110.19853381669995</c:v>
                </c:pt>
                <c:pt idx="27">
                  <c:v>112.0499243167</c:v>
                </c:pt>
                <c:pt idx="28">
                  <c:v>112.58998151669995</c:v>
                </c:pt>
                <c:pt idx="29">
                  <c:v>113.20151866670003</c:v>
                </c:pt>
                <c:pt idx="30">
                  <c:v>113.8356959333</c:v>
                </c:pt>
                <c:pt idx="31">
                  <c:v>112.73271750000001</c:v>
                </c:pt>
                <c:pt idx="32">
                  <c:v>113.30268215329995</c:v>
                </c:pt>
                <c:pt idx="33">
                  <c:v>112.6662643267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403-4816-AA2C-10B35412A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15744"/>
        <c:axId val="106030208"/>
      </c:lineChart>
      <c:lineChart>
        <c:grouping val="standard"/>
        <c:varyColors val="0"/>
        <c:ser>
          <c:idx val="7"/>
          <c:order val="7"/>
          <c:tx>
            <c:strRef>
              <c:f>'výkonnost odvětví 4'!$B$59</c:f>
              <c:strCache>
                <c:ptCount val="1"/>
                <c:pt idx="0">
                  <c:v>Saldo indik.důvěry ve službách (pr.osa)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multiLvlStrRef>
              <c:f>'výkonnost odvětví 4'!$G$50:$AN$51</c:f>
              <c:multiLvlStrCache>
                <c:ptCount val="34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</c:lvl>
                <c:lvl>
                  <c:pt idx="0">
                    <c:v>2011</c:v>
                  </c:pt>
                  <c:pt idx="4">
                    <c:v>2012</c:v>
                  </c:pt>
                  <c:pt idx="8">
                    <c:v>2013</c:v>
                  </c:pt>
                  <c:pt idx="12">
                    <c:v>2014</c:v>
                  </c:pt>
                  <c:pt idx="16">
                    <c:v>2015</c:v>
                  </c:pt>
                  <c:pt idx="20">
                    <c:v>2016</c:v>
                  </c:pt>
                  <c:pt idx="24">
                    <c:v>2017</c:v>
                  </c:pt>
                  <c:pt idx="28">
                    <c:v>2018</c:v>
                  </c:pt>
                  <c:pt idx="32">
                    <c:v>2019</c:v>
                  </c:pt>
                </c:lvl>
              </c:multiLvlStrCache>
            </c:multiLvlStrRef>
          </c:cat>
          <c:val>
            <c:numRef>
              <c:f>'výkonnost odvětví 4'!$G$59:$AN$59</c:f>
              <c:numCache>
                <c:formatCode>0.0</c:formatCode>
                <c:ptCount val="34"/>
                <c:pt idx="0">
                  <c:v>26.766666666666666</c:v>
                </c:pt>
                <c:pt idx="1">
                  <c:v>28.566666666666666</c:v>
                </c:pt>
                <c:pt idx="2">
                  <c:v>26.766666666666666</c:v>
                </c:pt>
                <c:pt idx="3">
                  <c:v>23.2</c:v>
                </c:pt>
                <c:pt idx="4">
                  <c:v>26.333333333333318</c:v>
                </c:pt>
                <c:pt idx="5">
                  <c:v>25.666666666666668</c:v>
                </c:pt>
                <c:pt idx="6">
                  <c:v>23.866666666666664</c:v>
                </c:pt>
                <c:pt idx="7">
                  <c:v>23.3</c:v>
                </c:pt>
                <c:pt idx="8">
                  <c:v>23.666666666666668</c:v>
                </c:pt>
                <c:pt idx="9">
                  <c:v>22.233333333333317</c:v>
                </c:pt>
                <c:pt idx="10">
                  <c:v>22.366666666666664</c:v>
                </c:pt>
                <c:pt idx="11">
                  <c:v>26.333333333333318</c:v>
                </c:pt>
                <c:pt idx="12">
                  <c:v>26.900000000000002</c:v>
                </c:pt>
                <c:pt idx="13">
                  <c:v>26.666666666666668</c:v>
                </c:pt>
                <c:pt idx="14">
                  <c:v>29.233333333333317</c:v>
                </c:pt>
                <c:pt idx="15">
                  <c:v>31.666666666666668</c:v>
                </c:pt>
                <c:pt idx="16">
                  <c:v>29.466666666666669</c:v>
                </c:pt>
                <c:pt idx="17">
                  <c:v>29.133333333333326</c:v>
                </c:pt>
                <c:pt idx="18">
                  <c:v>30.633333333333326</c:v>
                </c:pt>
                <c:pt idx="19">
                  <c:v>32.466666666666633</c:v>
                </c:pt>
                <c:pt idx="20">
                  <c:v>33.566666666666642</c:v>
                </c:pt>
                <c:pt idx="21">
                  <c:v>32.43333333333333</c:v>
                </c:pt>
                <c:pt idx="22">
                  <c:v>33.666666666666636</c:v>
                </c:pt>
                <c:pt idx="23">
                  <c:v>36.700000000000003</c:v>
                </c:pt>
                <c:pt idx="24">
                  <c:v>35.300000000000004</c:v>
                </c:pt>
                <c:pt idx="25">
                  <c:v>37.366666666666632</c:v>
                </c:pt>
                <c:pt idx="26">
                  <c:v>37.533333333333331</c:v>
                </c:pt>
                <c:pt idx="27">
                  <c:v>35.9</c:v>
                </c:pt>
                <c:pt idx="28">
                  <c:v>37.20000000000001</c:v>
                </c:pt>
                <c:pt idx="29">
                  <c:v>37.566666666666642</c:v>
                </c:pt>
                <c:pt idx="30">
                  <c:v>38.1</c:v>
                </c:pt>
                <c:pt idx="31">
                  <c:v>39</c:v>
                </c:pt>
                <c:pt idx="32">
                  <c:v>38.1</c:v>
                </c:pt>
                <c:pt idx="33">
                  <c:v>34.700000000000003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403-4816-AA2C-10B35412A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45824"/>
        <c:axId val="106031744"/>
      </c:lineChart>
      <c:catAx>
        <c:axId val="1060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030208"/>
        <c:crossesAt val="100"/>
        <c:auto val="0"/>
        <c:lblAlgn val="ctr"/>
        <c:lblOffset val="0"/>
        <c:tickLblSkip val="1"/>
        <c:tickMarkSkip val="4"/>
        <c:noMultiLvlLbl val="0"/>
      </c:catAx>
      <c:valAx>
        <c:axId val="106030208"/>
        <c:scaling>
          <c:orientation val="minMax"/>
          <c:max val="12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015744"/>
        <c:crosses val="autoZero"/>
        <c:crossBetween val="between"/>
        <c:majorUnit val="5"/>
      </c:valAx>
      <c:valAx>
        <c:axId val="106031744"/>
        <c:scaling>
          <c:orientation val="minMax"/>
          <c:max val="40"/>
          <c:min val="0"/>
        </c:scaling>
        <c:delete val="0"/>
        <c:axPos val="r"/>
        <c:numFmt formatCode="0" sourceLinked="0"/>
        <c:majorTickMark val="out"/>
        <c:minorTickMark val="none"/>
        <c:tickLblPos val="nextTo"/>
        <c:crossAx val="106045824"/>
        <c:crosses val="max"/>
        <c:crossBetween val="between"/>
      </c:valAx>
      <c:catAx>
        <c:axId val="106045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6031744"/>
        <c:crosses val="autoZero"/>
        <c:auto val="1"/>
        <c:lblAlgn val="ctr"/>
        <c:lblOffset val="100"/>
        <c:noMultiLvlLbl val="0"/>
      </c:catAx>
      <c:spPr>
        <a:solidFill>
          <a:srgbClr val="FFFFFF"/>
        </a:solidFill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5814740268620003E-2"/>
          <c:y val="0.86232191595384322"/>
          <c:w val="0.89580802414125749"/>
          <c:h val="0.13393680940894773"/>
        </c:manualLayout>
      </c:layout>
      <c:overlay val="0"/>
      <c:spPr>
        <a:noFill/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0.41072</cdr:x>
      <cdr:y>0.0237</cdr:y>
    </cdr:from>
    <cdr:to>
      <cdr:x>0.4599</cdr:x>
      <cdr:y>0.04988</cdr:y>
    </cdr:to>
    <cdr:sp macro="" textlink="">
      <cdr:nvSpPr>
        <cdr:cNvPr id="2" name="Přímá spojovací šipka 1"/>
        <cdr:cNvSpPr/>
      </cdr:nvSpPr>
      <cdr:spPr>
        <a:xfrm xmlns:a="http://schemas.openxmlformats.org/drawingml/2006/main" flipH="1" flipV="1">
          <a:off x="1947326" y="86007"/>
          <a:ext cx="233167" cy="94968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6350" cap="flat" cmpd="sng" algn="ctr">
          <a:solidFill>
            <a:srgbClr val="984807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0.47234</cdr:x>
      <cdr:y>0.03333</cdr:y>
    </cdr:from>
    <cdr:to>
      <cdr:x>0.52292</cdr:x>
      <cdr:y>0.06113</cdr:y>
    </cdr:to>
    <cdr:sp macro="" textlink="">
      <cdr:nvSpPr>
        <cdr:cNvPr id="3" name="TextovéPole 2"/>
        <cdr:cNvSpPr txBox="1"/>
      </cdr:nvSpPr>
      <cdr:spPr>
        <a:xfrm xmlns:a="http://schemas.openxmlformats.org/drawingml/2006/main" flipH="1">
          <a:off x="2239488" y="120931"/>
          <a:ext cx="239812" cy="10086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solidFill>
                <a:srgbClr val="984807"/>
              </a:solidFill>
              <a:latin typeface="Arial" pitchFamily="34" charset="0"/>
              <a:cs typeface="Arial" pitchFamily="34" charset="0"/>
            </a:rPr>
            <a:t>67,5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FF41-C929-4D1B-8298-72DACC753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23595-3124-4666-BB3D-04919718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6</TotalTime>
  <Pages>6</Pages>
  <Words>2585</Words>
  <Characters>15252</Characters>
  <Application>Microsoft Office Word</Application>
  <DocSecurity>0</DocSecurity>
  <Lines>127</Lines>
  <Paragraphs>35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17802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5</cp:revision>
  <cp:lastPrinted>2019-04-08T10:52:00Z</cp:lastPrinted>
  <dcterms:created xsi:type="dcterms:W3CDTF">2019-09-12T08:38:00Z</dcterms:created>
  <dcterms:modified xsi:type="dcterms:W3CDTF">2019-09-12T09:01:00Z</dcterms:modified>
</cp:coreProperties>
</file>