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388C87" w14:textId="4CE86877" w:rsidR="00B4411A" w:rsidRPr="00B43216" w:rsidRDefault="004A5D4E" w:rsidP="000D3058">
      <w:pPr>
        <w:pStyle w:val="Nadpis11"/>
      </w:pPr>
      <w:bookmarkStart w:id="0" w:name="_Toc26865021"/>
      <w:r w:rsidRPr="00B43216">
        <w:t>6. </w:t>
      </w:r>
      <w:r w:rsidR="00935BD4" w:rsidRPr="00B43216">
        <w:t>Trh práce</w:t>
      </w:r>
      <w:bookmarkEnd w:id="0"/>
    </w:p>
    <w:tbl>
      <w:tblPr>
        <w:tblW w:w="9654" w:type="dxa"/>
        <w:tblInd w:w="-30" w:type="dxa"/>
        <w:tblCellMar>
          <w:left w:w="0" w:type="dxa"/>
          <w:right w:w="0" w:type="dxa"/>
        </w:tblCellMar>
        <w:tblLook w:val="00A0" w:firstRow="1" w:lastRow="0" w:firstColumn="1" w:lastColumn="0" w:noHBand="0" w:noVBand="0"/>
      </w:tblPr>
      <w:tblGrid>
        <w:gridCol w:w="1790"/>
        <w:gridCol w:w="216"/>
        <w:gridCol w:w="7648"/>
      </w:tblGrid>
      <w:tr w:rsidR="009B78A4" w:rsidRPr="00B43216" w14:paraId="3F5F95EC" w14:textId="77777777" w:rsidTr="009B78A4">
        <w:trPr>
          <w:trHeight w:val="145"/>
        </w:trPr>
        <w:tc>
          <w:tcPr>
            <w:tcW w:w="1790" w:type="dxa"/>
            <w:shd w:val="clear" w:color="auto" w:fill="auto"/>
            <w:tcMar>
              <w:left w:w="0" w:type="dxa"/>
            </w:tcMar>
          </w:tcPr>
          <w:p w14:paraId="55E4B968" w14:textId="66FE266F" w:rsidR="009B78A4" w:rsidRPr="00B43216" w:rsidRDefault="009B78A4" w:rsidP="009B78A4">
            <w:pPr>
              <w:pStyle w:val="Marginlie"/>
            </w:pPr>
            <w:r>
              <w:t>Tempo růstu zaměstnanosti v průběhu roku 2019 zvolňovalo, hlavně vlivem vývoje v průmyslu. Růst naopak sílil ve stavebnictví a přetrvával ve většině odvětví služeb.</w:t>
            </w:r>
          </w:p>
        </w:tc>
        <w:tc>
          <w:tcPr>
            <w:tcW w:w="216" w:type="dxa"/>
            <w:shd w:val="clear" w:color="auto" w:fill="auto"/>
            <w:tcMar>
              <w:left w:w="0" w:type="dxa"/>
            </w:tcMar>
          </w:tcPr>
          <w:p w14:paraId="42A9AD63"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026D8A4E" w14:textId="07B04A1A" w:rsidR="009B78A4" w:rsidRPr="00B43216" w:rsidRDefault="009B78A4" w:rsidP="009B78A4">
            <w:pPr>
              <w:spacing w:after="220"/>
              <w:rPr>
                <w:spacing w:val="-2"/>
              </w:rPr>
            </w:pPr>
            <w:r>
              <w:rPr>
                <w:spacing w:val="-2"/>
              </w:rPr>
              <w:t xml:space="preserve">Přestože trh práce reaguje na hospodářský vývoj tradičně s určitým zpožděním, náznaky zvolňování ekonomického růstu zde byly během letošního roku již patrné, </w:t>
            </w:r>
            <w:r w:rsidR="00283F7B">
              <w:rPr>
                <w:spacing w:val="-2"/>
              </w:rPr>
              <w:t>a </w:t>
            </w:r>
            <w:r>
              <w:rPr>
                <w:spacing w:val="-2"/>
              </w:rPr>
              <w:t xml:space="preserve">to především v oblasti zaměstnanosti. </w:t>
            </w:r>
            <w:r w:rsidRPr="002D2715">
              <w:rPr>
                <w:spacing w:val="-3"/>
              </w:rPr>
              <w:t>Zatímco v 1</w:t>
            </w:r>
            <w:r>
              <w:rPr>
                <w:spacing w:val="-3"/>
              </w:rPr>
              <w:t>. čtvrtletí se počet všech pracujících</w:t>
            </w:r>
            <w:r w:rsidRPr="002D2715">
              <w:rPr>
                <w:rStyle w:val="Znakapoznpodarou"/>
                <w:color w:val="0D0D0D" w:themeColor="text1" w:themeTint="F2"/>
                <w:spacing w:val="-3"/>
              </w:rPr>
              <w:footnoteReference w:id="1"/>
            </w:r>
            <w:r w:rsidRPr="002D2715">
              <w:rPr>
                <w:spacing w:val="-3"/>
              </w:rPr>
              <w:t xml:space="preserve"> </w:t>
            </w:r>
            <w:r>
              <w:rPr>
                <w:spacing w:val="-3"/>
              </w:rPr>
              <w:t xml:space="preserve">v ČR </w:t>
            </w:r>
            <w:r w:rsidRPr="002D2715">
              <w:rPr>
                <w:spacing w:val="-3"/>
              </w:rPr>
              <w:t>mezir</w:t>
            </w:r>
            <w:r>
              <w:rPr>
                <w:spacing w:val="-3"/>
              </w:rPr>
              <w:t>očně zvýšil o 1,4 % (podobně jak</w:t>
            </w:r>
            <w:r w:rsidRPr="002D2715">
              <w:rPr>
                <w:spacing w:val="-3"/>
              </w:rPr>
              <w:t>o za celý loňský ro</w:t>
            </w:r>
            <w:r>
              <w:rPr>
                <w:spacing w:val="-3"/>
              </w:rPr>
              <w:t xml:space="preserve">k), v následujícím kvartálu </w:t>
            </w:r>
            <w:r w:rsidRPr="002D2715">
              <w:rPr>
                <w:spacing w:val="-3"/>
              </w:rPr>
              <w:t>o</w:t>
            </w:r>
            <w:r>
              <w:rPr>
                <w:spacing w:val="-3"/>
              </w:rPr>
              <w:t> </w:t>
            </w:r>
            <w:r w:rsidRPr="002D2715">
              <w:rPr>
                <w:spacing w:val="-3"/>
              </w:rPr>
              <w:t>0,8</w:t>
            </w:r>
            <w:r>
              <w:rPr>
                <w:spacing w:val="-3"/>
              </w:rPr>
              <w:t> </w:t>
            </w:r>
            <w:r w:rsidRPr="002D2715">
              <w:rPr>
                <w:spacing w:val="-3"/>
              </w:rPr>
              <w:t>% (nejméně od 3</w:t>
            </w:r>
            <w:r>
              <w:rPr>
                <w:spacing w:val="-3"/>
              </w:rPr>
              <w:t>. </w:t>
            </w:r>
            <w:r w:rsidRPr="002D2715">
              <w:rPr>
                <w:spacing w:val="-3"/>
              </w:rPr>
              <w:t>čtvrtletí 2014</w:t>
            </w:r>
            <w:r>
              <w:rPr>
                <w:spacing w:val="-3"/>
              </w:rPr>
              <w:t>), ve 3</w:t>
            </w:r>
            <w:r w:rsidR="00EE2EB4">
              <w:rPr>
                <w:spacing w:val="-3"/>
              </w:rPr>
              <w:t>. čtvrtlet</w:t>
            </w:r>
            <w:r>
              <w:rPr>
                <w:spacing w:val="-3"/>
              </w:rPr>
              <w:t xml:space="preserve">í jen </w:t>
            </w:r>
            <w:r w:rsidR="00283F7B">
              <w:rPr>
                <w:spacing w:val="-3"/>
              </w:rPr>
              <w:t>o </w:t>
            </w:r>
            <w:r>
              <w:rPr>
                <w:spacing w:val="-3"/>
              </w:rPr>
              <w:t>0,6</w:t>
            </w:r>
            <w:r w:rsidR="00C5197D">
              <w:rPr>
                <w:spacing w:val="-3"/>
              </w:rPr>
              <w:t> %</w:t>
            </w:r>
            <w:r w:rsidRPr="002D2715">
              <w:rPr>
                <w:rStyle w:val="Znakapoznpodarou"/>
                <w:color w:val="0D0D0D" w:themeColor="text1" w:themeTint="F2"/>
                <w:spacing w:val="-3"/>
              </w:rPr>
              <w:footnoteReference w:id="2"/>
            </w:r>
            <w:r>
              <w:rPr>
                <w:spacing w:val="-3"/>
              </w:rPr>
              <w:t>. V mezikvartálním vyjádření se růst zaměstnanosti zastavil již ve 2</w:t>
            </w:r>
            <w:r w:rsidR="00EE2EB4">
              <w:rPr>
                <w:spacing w:val="-3"/>
              </w:rPr>
              <w:t>. čtvrtlet</w:t>
            </w:r>
            <w:r>
              <w:rPr>
                <w:spacing w:val="-3"/>
              </w:rPr>
              <w:t xml:space="preserve">í 2019 </w:t>
            </w:r>
            <w:r w:rsidR="00283F7B">
              <w:rPr>
                <w:spacing w:val="-3"/>
              </w:rPr>
              <w:t>a </w:t>
            </w:r>
            <w:r>
              <w:rPr>
                <w:spacing w:val="-3"/>
              </w:rPr>
              <w:t>v následujícím období již došlo k mírnému poklesu (–0,2</w:t>
            </w:r>
            <w:r w:rsidR="00C5197D">
              <w:rPr>
                <w:spacing w:val="-3"/>
              </w:rPr>
              <w:t> %</w:t>
            </w:r>
            <w:r>
              <w:rPr>
                <w:spacing w:val="-3"/>
              </w:rPr>
              <w:t>). V pozadí stál především vývoj v průmyslu, kde zaměstnanost poprvé od konce roku 2013 meziročně klesla</w:t>
            </w:r>
            <w:r w:rsidRPr="00D175A7">
              <w:rPr>
                <w:rStyle w:val="Znakapoznpodarou"/>
                <w:color w:val="0D0D0D" w:themeColor="text1" w:themeTint="F2"/>
                <w:spacing w:val="-2"/>
              </w:rPr>
              <w:footnoteReference w:id="3"/>
            </w:r>
            <w:r>
              <w:rPr>
                <w:spacing w:val="-3"/>
              </w:rPr>
              <w:t xml:space="preserve">. Pracovníků ubylo rovněž v primárním sektoru. Naopak ve stavebnictví růst zaměstnanosti v průběhu roku 2019 sílil. Pokračoval </w:t>
            </w:r>
            <w:r w:rsidR="00283F7B">
              <w:rPr>
                <w:spacing w:val="-3"/>
              </w:rPr>
              <w:t>i </w:t>
            </w:r>
            <w:r>
              <w:rPr>
                <w:spacing w:val="-3"/>
              </w:rPr>
              <w:t>rozvoj služeb, hlavně informačních a komunikačních činností (+4,9</w:t>
            </w:r>
            <w:r w:rsidR="00C5197D">
              <w:rPr>
                <w:spacing w:val="-3"/>
              </w:rPr>
              <w:t> %</w:t>
            </w:r>
            <w:r>
              <w:rPr>
                <w:spacing w:val="-3"/>
              </w:rPr>
              <w:t xml:space="preserve"> ve 3</w:t>
            </w:r>
            <w:r w:rsidR="00EE2EB4">
              <w:rPr>
                <w:spacing w:val="-3"/>
              </w:rPr>
              <w:t>. čtvrtlet</w:t>
            </w:r>
            <w:r>
              <w:rPr>
                <w:spacing w:val="-3"/>
              </w:rPr>
              <w:t xml:space="preserve">í). Stavy pracovníků rozšiřovaly meziročně také obchod či aktivity vázané na cestovní ruch. Zaměstnaných přibylo </w:t>
            </w:r>
            <w:r w:rsidR="00283F7B">
              <w:rPr>
                <w:spacing w:val="-3"/>
              </w:rPr>
              <w:t>i </w:t>
            </w:r>
            <w:r>
              <w:rPr>
                <w:spacing w:val="-3"/>
              </w:rPr>
              <w:t xml:space="preserve">v odvětvích s převahou veřejného sektoru (+2,5 %), </w:t>
            </w:r>
            <w:r w:rsidR="00283F7B">
              <w:rPr>
                <w:spacing w:val="-3"/>
              </w:rPr>
              <w:t>a </w:t>
            </w:r>
            <w:r>
              <w:rPr>
                <w:spacing w:val="-3"/>
              </w:rPr>
              <w:t xml:space="preserve">to hlavně ve vzdělávání a zdravotní </w:t>
            </w:r>
            <w:r w:rsidR="00283F7B">
              <w:rPr>
                <w:spacing w:val="-3"/>
              </w:rPr>
              <w:t>i </w:t>
            </w:r>
            <w:r>
              <w:rPr>
                <w:spacing w:val="-3"/>
              </w:rPr>
              <w:t xml:space="preserve">sociální péči. </w:t>
            </w:r>
            <w:r>
              <w:rPr>
                <w:spacing w:val="-2"/>
              </w:rPr>
              <w:t>Velmi mírný růst zaměstnanosti v celé ekonomice lze přičíst</w:t>
            </w:r>
            <w:r w:rsidR="00A223E0">
              <w:rPr>
                <w:spacing w:val="-2"/>
              </w:rPr>
              <w:t xml:space="preserve"> </w:t>
            </w:r>
            <w:r>
              <w:rPr>
                <w:spacing w:val="-2"/>
              </w:rPr>
              <w:t xml:space="preserve">výhradně lidem v zaměstnaneckém postavení. Počet  sebezaměstnaných </w:t>
            </w:r>
            <w:r w:rsidR="00AE6414">
              <w:rPr>
                <w:spacing w:val="-2"/>
              </w:rPr>
              <w:t xml:space="preserve">(podnikatelů bez zaměstnanců) </w:t>
            </w:r>
            <w:r>
              <w:rPr>
                <w:spacing w:val="-2"/>
              </w:rPr>
              <w:t>se meziročně mírně snížil (</w:t>
            </w:r>
            <w:r w:rsidR="00283F7B">
              <w:rPr>
                <w:spacing w:val="-2"/>
              </w:rPr>
              <w:t>o </w:t>
            </w:r>
            <w:r>
              <w:rPr>
                <w:spacing w:val="-2"/>
              </w:rPr>
              <w:t>0,4</w:t>
            </w:r>
            <w:r w:rsidR="00C5197D">
              <w:rPr>
                <w:spacing w:val="-2"/>
              </w:rPr>
              <w:t> %</w:t>
            </w:r>
            <w:r>
              <w:rPr>
                <w:spacing w:val="-2"/>
              </w:rPr>
              <w:t>), zejména vlivem poklesu v primárním sektoru.</w:t>
            </w:r>
          </w:p>
        </w:tc>
      </w:tr>
      <w:tr w:rsidR="009B78A4" w:rsidRPr="00B43216" w14:paraId="3584C758" w14:textId="77777777" w:rsidTr="009B78A4">
        <w:trPr>
          <w:trHeight w:val="145"/>
        </w:trPr>
        <w:tc>
          <w:tcPr>
            <w:tcW w:w="1790" w:type="dxa"/>
            <w:shd w:val="clear" w:color="auto" w:fill="auto"/>
            <w:tcMar>
              <w:left w:w="0" w:type="dxa"/>
            </w:tcMar>
          </w:tcPr>
          <w:p w14:paraId="3EE6C5FD" w14:textId="49F22159" w:rsidR="009B78A4" w:rsidRPr="00B43216" w:rsidRDefault="009B78A4" w:rsidP="009B78A4">
            <w:pPr>
              <w:pStyle w:val="Marginlie"/>
            </w:pPr>
            <w:r>
              <w:t>Krátkodobá očekávání růstu zaměstnanosti zůstala ve stavebnictví i obchodu pozitivní.</w:t>
            </w:r>
          </w:p>
        </w:tc>
        <w:tc>
          <w:tcPr>
            <w:tcW w:w="216" w:type="dxa"/>
            <w:shd w:val="clear" w:color="auto" w:fill="auto"/>
            <w:tcMar>
              <w:left w:w="0" w:type="dxa"/>
            </w:tcMar>
          </w:tcPr>
          <w:p w14:paraId="36465234"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42CC5FD2" w14:textId="5DB019F8" w:rsidR="009B78A4" w:rsidRPr="00B43216" w:rsidRDefault="009B78A4" w:rsidP="009B78A4">
            <w:pPr>
              <w:spacing w:after="220"/>
              <w:rPr>
                <w:spacing w:val="-2"/>
              </w:rPr>
            </w:pPr>
            <w:r>
              <w:rPr>
                <w:spacing w:val="-3"/>
              </w:rPr>
              <w:t>Zvolnění růstu zaměstnanosti korespondovalo</w:t>
            </w:r>
            <w:r w:rsidRPr="002D2715">
              <w:rPr>
                <w:spacing w:val="-3"/>
              </w:rPr>
              <w:t xml:space="preserve"> s výsledky konju</w:t>
            </w:r>
            <w:r>
              <w:rPr>
                <w:spacing w:val="-3"/>
              </w:rPr>
              <w:t>n</w:t>
            </w:r>
            <w:r w:rsidRPr="002D2715">
              <w:rPr>
                <w:spacing w:val="-3"/>
              </w:rPr>
              <w:t>kturáln</w:t>
            </w:r>
            <w:r>
              <w:rPr>
                <w:spacing w:val="-3"/>
              </w:rPr>
              <w:t>ích šetření</w:t>
            </w:r>
            <w:r w:rsidRPr="002D2715">
              <w:rPr>
                <w:rStyle w:val="Znakapoznpodarou"/>
                <w:color w:val="0D0D0D" w:themeColor="text1" w:themeTint="F2"/>
                <w:spacing w:val="-3"/>
              </w:rPr>
              <w:footnoteReference w:id="4"/>
            </w:r>
            <w:r>
              <w:rPr>
                <w:spacing w:val="-3"/>
              </w:rPr>
              <w:t>, které již během</w:t>
            </w:r>
            <w:r w:rsidRPr="002D2715">
              <w:rPr>
                <w:spacing w:val="-3"/>
              </w:rPr>
              <w:t xml:space="preserve"> rok</w:t>
            </w:r>
            <w:r>
              <w:rPr>
                <w:spacing w:val="-3"/>
              </w:rPr>
              <w:t>u</w:t>
            </w:r>
            <w:r w:rsidRPr="002D2715">
              <w:rPr>
                <w:spacing w:val="-3"/>
              </w:rPr>
              <w:t xml:space="preserve"> 2018 naznačovaly opatrnější přístup podniků k nabírání nových pracovníků (zejména v průmyslu, ale i</w:t>
            </w:r>
            <w:r>
              <w:rPr>
                <w:spacing w:val="-3"/>
              </w:rPr>
              <w:t> </w:t>
            </w:r>
            <w:r w:rsidRPr="002D2715">
              <w:rPr>
                <w:spacing w:val="-3"/>
              </w:rPr>
              <w:t>v některých odvětvích tržních služeb)</w:t>
            </w:r>
            <w:r>
              <w:rPr>
                <w:spacing w:val="-3"/>
              </w:rPr>
              <w:t>. To odráželo nejen</w:t>
            </w:r>
            <w:r w:rsidRPr="002D2715">
              <w:rPr>
                <w:spacing w:val="-3"/>
              </w:rPr>
              <w:t xml:space="preserve"> rostoucí nejistoty u významných tuzemských exportérů související s </w:t>
            </w:r>
            <w:r>
              <w:rPr>
                <w:spacing w:val="-3"/>
              </w:rPr>
              <w:t>aktuální situací v eurozóně, ale</w:t>
            </w:r>
            <w:r w:rsidRPr="002D2715">
              <w:rPr>
                <w:spacing w:val="-3"/>
              </w:rPr>
              <w:t xml:space="preserve"> i</w:t>
            </w:r>
            <w:r>
              <w:rPr>
                <w:spacing w:val="-3"/>
              </w:rPr>
              <w:t> </w:t>
            </w:r>
            <w:r w:rsidRPr="002D2715">
              <w:rPr>
                <w:spacing w:val="-3"/>
              </w:rPr>
              <w:t>dlouhodoběji působící tlak na zvyšování produktivity práce poháněný sílícími mzdovými náklady i klesající ziskovost</w:t>
            </w:r>
            <w:r>
              <w:rPr>
                <w:spacing w:val="-3"/>
              </w:rPr>
              <w:t>í</w:t>
            </w:r>
            <w:r w:rsidRPr="002D2715">
              <w:rPr>
                <w:spacing w:val="-3"/>
              </w:rPr>
              <w:t xml:space="preserve"> podniků.</w:t>
            </w:r>
            <w:r>
              <w:rPr>
                <w:spacing w:val="-3"/>
              </w:rPr>
              <w:t xml:space="preserve"> </w:t>
            </w:r>
            <w:r w:rsidRPr="002D2715">
              <w:rPr>
                <w:spacing w:val="-3"/>
              </w:rPr>
              <w:t>Opatrnější vyhlídky</w:t>
            </w:r>
            <w:r>
              <w:rPr>
                <w:spacing w:val="-3"/>
              </w:rPr>
              <w:t xml:space="preserve"> podniků</w:t>
            </w:r>
            <w:r w:rsidRPr="002D2715">
              <w:rPr>
                <w:spacing w:val="-3"/>
              </w:rPr>
              <w:t xml:space="preserve"> se projevovaly i na počátku letošního roku, ve </w:t>
            </w:r>
            <w:r w:rsidR="00283F7B" w:rsidRPr="002D2715">
              <w:rPr>
                <w:spacing w:val="-3"/>
              </w:rPr>
              <w:t>2</w:t>
            </w:r>
            <w:r w:rsidR="00E30F15">
              <w:rPr>
                <w:spacing w:val="-3"/>
              </w:rPr>
              <w:t>.</w:t>
            </w:r>
            <w:r w:rsidR="00283F7B">
              <w:rPr>
                <w:spacing w:val="-3"/>
              </w:rPr>
              <w:t> i </w:t>
            </w:r>
            <w:r>
              <w:rPr>
                <w:spacing w:val="-3"/>
              </w:rPr>
              <w:t>3. </w:t>
            </w:r>
            <w:r w:rsidRPr="002D2715">
              <w:rPr>
                <w:spacing w:val="-3"/>
              </w:rPr>
              <w:t xml:space="preserve">čtvrtletí došlo ke stabilizaci. </w:t>
            </w:r>
            <w:r>
              <w:rPr>
                <w:spacing w:val="-3"/>
              </w:rPr>
              <w:t xml:space="preserve">Ve </w:t>
            </w:r>
            <w:r w:rsidRPr="002D2715">
              <w:rPr>
                <w:spacing w:val="-4"/>
              </w:rPr>
              <w:t>stavebnictví i</w:t>
            </w:r>
            <w:r>
              <w:rPr>
                <w:spacing w:val="-4"/>
              </w:rPr>
              <w:t> </w:t>
            </w:r>
            <w:r w:rsidRPr="002D2715">
              <w:rPr>
                <w:spacing w:val="-4"/>
              </w:rPr>
              <w:t>obchodu ale zůstala krátkodobá očekávání zaměstna</w:t>
            </w:r>
            <w:r>
              <w:rPr>
                <w:spacing w:val="-4"/>
              </w:rPr>
              <w:t>nosti stále</w:t>
            </w:r>
            <w:r w:rsidRPr="002D2715">
              <w:rPr>
                <w:spacing w:val="-4"/>
              </w:rPr>
              <w:t xml:space="preserve"> pozitivní</w:t>
            </w:r>
            <w:r w:rsidRPr="002D2715">
              <w:rPr>
                <w:rStyle w:val="Znakapoznpodarou"/>
                <w:color w:val="0D0D0D" w:themeColor="text1" w:themeTint="F2"/>
                <w:spacing w:val="-4"/>
              </w:rPr>
              <w:footnoteReference w:id="5"/>
            </w:r>
            <w:r w:rsidRPr="002D2715">
              <w:rPr>
                <w:spacing w:val="-4"/>
              </w:rPr>
              <w:t>.</w:t>
            </w:r>
          </w:p>
        </w:tc>
      </w:tr>
      <w:tr w:rsidR="009B78A4" w:rsidRPr="00B43216" w14:paraId="16995ED6" w14:textId="77777777" w:rsidTr="009B78A4">
        <w:trPr>
          <w:trHeight w:val="145"/>
        </w:trPr>
        <w:tc>
          <w:tcPr>
            <w:tcW w:w="1790" w:type="dxa"/>
            <w:shd w:val="clear" w:color="auto" w:fill="auto"/>
            <w:tcMar>
              <w:left w:w="0" w:type="dxa"/>
            </w:tcMar>
          </w:tcPr>
          <w:p w14:paraId="32213C46" w14:textId="4A8D16C0" w:rsidR="009B78A4" w:rsidRPr="00B43216" w:rsidRDefault="009B78A4" w:rsidP="009B78A4">
            <w:pPr>
              <w:pStyle w:val="Marginlie"/>
            </w:pPr>
            <w:r>
              <w:t xml:space="preserve">Poptávka po pracovnících zůstává v ČR stále silná. </w:t>
            </w:r>
            <w:r w:rsidR="00283F7B">
              <w:t>U </w:t>
            </w:r>
            <w:r>
              <w:t>méně kvalifikovaných pozic je z velké části saturována ze zahraničí, primárně z Ukrajiny.</w:t>
            </w:r>
          </w:p>
        </w:tc>
        <w:tc>
          <w:tcPr>
            <w:tcW w:w="216" w:type="dxa"/>
            <w:shd w:val="clear" w:color="auto" w:fill="auto"/>
            <w:tcMar>
              <w:left w:w="0" w:type="dxa"/>
            </w:tcMar>
          </w:tcPr>
          <w:p w14:paraId="40120C1E"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0F67A7B4" w14:textId="2C8D5636" w:rsidR="009B78A4" w:rsidRPr="00B43216" w:rsidRDefault="00283F7B" w:rsidP="009B78A4">
            <w:pPr>
              <w:spacing w:after="220"/>
              <w:rPr>
                <w:spacing w:val="-2"/>
              </w:rPr>
            </w:pPr>
            <w:r>
              <w:rPr>
                <w:spacing w:val="-2"/>
              </w:rPr>
              <w:t>I </w:t>
            </w:r>
            <w:r w:rsidR="009B78A4">
              <w:rPr>
                <w:spacing w:val="-2"/>
              </w:rPr>
              <w:t>přes sílící nejistoty zůstává poptávka po pracovnících v ekonomice nadále silná. Jejich nedostatek stále představoval významnou růstovou bariéru napříč odvětvími</w:t>
            </w:r>
            <w:r w:rsidR="009B78A4" w:rsidRPr="002D2715">
              <w:rPr>
                <w:rStyle w:val="Znakapoznpodarou"/>
                <w:color w:val="0D0D0D" w:themeColor="text1" w:themeTint="F2"/>
                <w:spacing w:val="-4"/>
              </w:rPr>
              <w:footnoteReference w:id="6"/>
            </w:r>
            <w:r w:rsidR="009B78A4">
              <w:rPr>
                <w:spacing w:val="-2"/>
              </w:rPr>
              <w:t>. Podniky reagovaly na tento stav stále častěji náborem pracovníků ze zahraničí, k čemuž pomáhaly i aktivity státu, který pokračoval v cílené podpoře projektů ekonomické migrace. Tempo přírůstku pracujících cizinců letos ve srovnání s loňskem neochabovalo, cizinci tvořili již více než osminu pracovní síly v Česku</w:t>
            </w:r>
            <w:r w:rsidR="009B78A4" w:rsidRPr="00D175A7">
              <w:rPr>
                <w:rStyle w:val="Znakapoznpodarou"/>
                <w:color w:val="0D0D0D" w:themeColor="text1" w:themeTint="F2"/>
                <w:spacing w:val="-2"/>
              </w:rPr>
              <w:footnoteReference w:id="7"/>
            </w:r>
            <w:r w:rsidR="009B78A4">
              <w:rPr>
                <w:spacing w:val="-2"/>
              </w:rPr>
              <w:t>.</w:t>
            </w:r>
          </w:p>
        </w:tc>
      </w:tr>
      <w:tr w:rsidR="009B78A4" w:rsidRPr="00B43216" w14:paraId="43C01361" w14:textId="77777777" w:rsidTr="009B78A4">
        <w:trPr>
          <w:trHeight w:val="145"/>
        </w:trPr>
        <w:tc>
          <w:tcPr>
            <w:tcW w:w="1790" w:type="dxa"/>
            <w:shd w:val="clear" w:color="auto" w:fill="auto"/>
            <w:tcMar>
              <w:left w:w="0" w:type="dxa"/>
            </w:tcMar>
          </w:tcPr>
          <w:p w14:paraId="27BBEC19" w14:textId="2E8CE4E8" w:rsidR="009B78A4" w:rsidRDefault="009B78A4" w:rsidP="009B78A4">
            <w:pPr>
              <w:pStyle w:val="Marginlie"/>
            </w:pPr>
            <w:r>
              <w:t>Míra zaměstnanosti nadále mírně rostla, zejména zásluhou žen. V kontextu zemí EU patřila k nejvyšším, především mezi novějšími členy Unie.</w:t>
            </w:r>
          </w:p>
        </w:tc>
        <w:tc>
          <w:tcPr>
            <w:tcW w:w="216" w:type="dxa"/>
            <w:shd w:val="clear" w:color="auto" w:fill="auto"/>
            <w:tcMar>
              <w:left w:w="0" w:type="dxa"/>
            </w:tcMar>
          </w:tcPr>
          <w:p w14:paraId="6F5D47CE"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898AA09" w14:textId="1759FC74" w:rsidR="009B78A4" w:rsidRDefault="009B78A4" w:rsidP="009B78A4">
            <w:pPr>
              <w:spacing w:after="220"/>
              <w:rPr>
                <w:spacing w:val="-2"/>
              </w:rPr>
            </w:pPr>
            <w:r>
              <w:rPr>
                <w:spacing w:val="-2"/>
              </w:rPr>
              <w:t>Míra zaměstnanosti osob ve věku 1</w:t>
            </w:r>
            <w:r w:rsidR="00EE2EB4">
              <w:rPr>
                <w:spacing w:val="-2"/>
              </w:rPr>
              <w:t>5 </w:t>
            </w:r>
            <w:r>
              <w:rPr>
                <w:spacing w:val="-2"/>
              </w:rPr>
              <w:t>až 6</w:t>
            </w:r>
            <w:r w:rsidR="00EE2EB4">
              <w:rPr>
                <w:spacing w:val="-2"/>
              </w:rPr>
              <w:t>4 </w:t>
            </w:r>
            <w:r>
              <w:rPr>
                <w:spacing w:val="-2"/>
              </w:rPr>
              <w:t>let dosáhla ve 3</w:t>
            </w:r>
            <w:r w:rsidR="00EE2EB4">
              <w:rPr>
                <w:spacing w:val="-2"/>
              </w:rPr>
              <w:t>. čtvrtlet</w:t>
            </w:r>
            <w:r>
              <w:rPr>
                <w:spacing w:val="-2"/>
              </w:rPr>
              <w:t xml:space="preserve">í </w:t>
            </w:r>
            <w:r w:rsidR="00283F7B">
              <w:rPr>
                <w:spacing w:val="-2"/>
              </w:rPr>
              <w:t>u </w:t>
            </w:r>
            <w:r>
              <w:rPr>
                <w:spacing w:val="-2"/>
              </w:rPr>
              <w:t>mužů 82,0</w:t>
            </w:r>
            <w:r w:rsidR="00C5197D">
              <w:rPr>
                <w:spacing w:val="-2"/>
              </w:rPr>
              <w:t> %</w:t>
            </w:r>
            <w:r>
              <w:rPr>
                <w:spacing w:val="-2"/>
              </w:rPr>
              <w:t>, u</w:t>
            </w:r>
            <w:r w:rsidRPr="002D2715">
              <w:rPr>
                <w:spacing w:val="-3"/>
              </w:rPr>
              <w:t> </w:t>
            </w:r>
            <w:r>
              <w:rPr>
                <w:spacing w:val="-2"/>
              </w:rPr>
              <w:t>žen 68,2</w:t>
            </w:r>
            <w:r w:rsidR="00C5197D">
              <w:rPr>
                <w:spacing w:val="-2"/>
              </w:rPr>
              <w:t> %</w:t>
            </w:r>
            <w:r>
              <w:rPr>
                <w:spacing w:val="-2"/>
              </w:rPr>
              <w:t>. Meziročně nadále rostla (</w:t>
            </w:r>
            <w:r w:rsidR="00283F7B">
              <w:rPr>
                <w:spacing w:val="-2"/>
              </w:rPr>
              <w:t>o </w:t>
            </w:r>
            <w:r>
              <w:rPr>
                <w:spacing w:val="-2"/>
              </w:rPr>
              <w:t>0,1, resp.</w:t>
            </w:r>
            <w:r w:rsidR="000A07CB">
              <w:rPr>
                <w:spacing w:val="-2"/>
              </w:rPr>
              <w:t> </w:t>
            </w:r>
            <w:r>
              <w:rPr>
                <w:spacing w:val="-2"/>
              </w:rPr>
              <w:t>0,4</w:t>
            </w:r>
            <w:r w:rsidR="00C5197D">
              <w:rPr>
                <w:spacing w:val="-2"/>
              </w:rPr>
              <w:t> p. b.</w:t>
            </w:r>
            <w:r>
              <w:rPr>
                <w:spacing w:val="-2"/>
              </w:rPr>
              <w:t xml:space="preserve">), byť mírnější tempem než v předchozích letech. Pozitivně působila vyšší ekonomická aktivita na sklonku </w:t>
            </w:r>
            <w:r w:rsidR="00283F7B">
              <w:rPr>
                <w:spacing w:val="-2"/>
              </w:rPr>
              <w:t>i </w:t>
            </w:r>
            <w:r>
              <w:rPr>
                <w:spacing w:val="-2"/>
              </w:rPr>
              <w:t xml:space="preserve">po ukončení produktivního věku (vlivem silné poptávky po pracovnících, zejména ve službách, </w:t>
            </w:r>
            <w:r w:rsidR="00283F7B">
              <w:rPr>
                <w:spacing w:val="-2"/>
              </w:rPr>
              <w:t>i </w:t>
            </w:r>
            <w:r>
              <w:rPr>
                <w:spacing w:val="-2"/>
              </w:rPr>
              <w:t xml:space="preserve">prodlužování zákonného důchodového věku). Projevoval se </w:t>
            </w:r>
            <w:r w:rsidR="00283F7B">
              <w:rPr>
                <w:spacing w:val="-2"/>
              </w:rPr>
              <w:t>i </w:t>
            </w:r>
            <w:r>
              <w:rPr>
                <w:spacing w:val="-2"/>
              </w:rPr>
              <w:t xml:space="preserve">vliv posunu populačně silných kohort narozených </w:t>
            </w:r>
            <w:r w:rsidR="000A07CB">
              <w:rPr>
                <w:spacing w:val="-2"/>
              </w:rPr>
              <w:t>v </w:t>
            </w:r>
            <w:r>
              <w:rPr>
                <w:spacing w:val="-2"/>
              </w:rPr>
              <w:t xml:space="preserve">70. </w:t>
            </w:r>
            <w:r w:rsidR="00283F7B">
              <w:rPr>
                <w:spacing w:val="-2"/>
              </w:rPr>
              <w:t>a </w:t>
            </w:r>
            <w:r>
              <w:rPr>
                <w:spacing w:val="-2"/>
              </w:rPr>
              <w:t>8</w:t>
            </w:r>
            <w:r w:rsidR="00283F7B">
              <w:rPr>
                <w:spacing w:val="-2"/>
              </w:rPr>
              <w:t>0. </w:t>
            </w:r>
            <w:r>
              <w:rPr>
                <w:spacing w:val="-2"/>
              </w:rPr>
              <w:t>let</w:t>
            </w:r>
            <w:r w:rsidR="000A07CB">
              <w:rPr>
                <w:spacing w:val="-2"/>
              </w:rPr>
              <w:t>ech</w:t>
            </w:r>
            <w:r>
              <w:rPr>
                <w:spacing w:val="-2"/>
              </w:rPr>
              <w:t xml:space="preserve"> do věku nejvyšší ekonomické </w:t>
            </w:r>
            <w:r>
              <w:rPr>
                <w:spacing w:val="-2"/>
              </w:rPr>
              <w:lastRenderedPageBreak/>
              <w:t xml:space="preserve">aktivity. Tyto faktory se intenzivněji projevovaly </w:t>
            </w:r>
            <w:r w:rsidR="00283F7B">
              <w:rPr>
                <w:spacing w:val="-2"/>
              </w:rPr>
              <w:t>u </w:t>
            </w:r>
            <w:r>
              <w:rPr>
                <w:spacing w:val="-2"/>
              </w:rPr>
              <w:t>žen. Míra celkové zaměstnanosti v Česku zůstává v evropském kontextu výrazně nadprůměrná. U žen patřilo ve 2</w:t>
            </w:r>
            <w:r w:rsidR="00EE2EB4">
              <w:rPr>
                <w:spacing w:val="-2"/>
              </w:rPr>
              <w:t>. čtvrtlet</w:t>
            </w:r>
            <w:r>
              <w:rPr>
                <w:spacing w:val="-2"/>
              </w:rPr>
              <w:t>í ČR</w:t>
            </w:r>
            <w:r w:rsidR="00377B2E">
              <w:rPr>
                <w:spacing w:val="-2"/>
              </w:rPr>
              <w:t xml:space="preserve"> třinácté</w:t>
            </w:r>
            <w:r>
              <w:rPr>
                <w:spacing w:val="-2"/>
              </w:rPr>
              <w:t xml:space="preserve"> místo</w:t>
            </w:r>
            <w:r w:rsidRPr="00D175A7">
              <w:rPr>
                <w:rStyle w:val="Znakapoznpodarou"/>
                <w:color w:val="0D0D0D" w:themeColor="text1" w:themeTint="F2"/>
                <w:spacing w:val="-2"/>
              </w:rPr>
              <w:footnoteReference w:id="8"/>
            </w:r>
            <w:r>
              <w:rPr>
                <w:spacing w:val="-2"/>
              </w:rPr>
              <w:t xml:space="preserve"> mezi státy EU (s maximem ve Švédsku –</w:t>
            </w:r>
            <w:r w:rsidR="000A07CB">
              <w:rPr>
                <w:spacing w:val="-2"/>
              </w:rPr>
              <w:t> </w:t>
            </w:r>
            <w:r>
              <w:rPr>
                <w:spacing w:val="-2"/>
              </w:rPr>
              <w:t>7</w:t>
            </w:r>
            <w:r w:rsidR="00377B2E">
              <w:rPr>
                <w:spacing w:val="-2"/>
              </w:rPr>
              <w:t>6</w:t>
            </w:r>
            <w:r>
              <w:rPr>
                <w:spacing w:val="-2"/>
              </w:rPr>
              <w:t> % a minimem v Řecku –</w:t>
            </w:r>
            <w:r w:rsidR="000A07CB">
              <w:rPr>
                <w:spacing w:val="-2"/>
              </w:rPr>
              <w:t> </w:t>
            </w:r>
            <w:r>
              <w:rPr>
                <w:spacing w:val="-2"/>
              </w:rPr>
              <w:t>4</w:t>
            </w:r>
            <w:r w:rsidR="00377B2E">
              <w:rPr>
                <w:spacing w:val="-2"/>
              </w:rPr>
              <w:t>8</w:t>
            </w:r>
            <w:r>
              <w:rPr>
                <w:spacing w:val="-2"/>
              </w:rPr>
              <w:t> % a dále v Itálii –</w:t>
            </w:r>
            <w:r w:rsidR="000A07CB">
              <w:rPr>
                <w:spacing w:val="-2"/>
              </w:rPr>
              <w:t> </w:t>
            </w:r>
            <w:r>
              <w:rPr>
                <w:spacing w:val="-2"/>
              </w:rPr>
              <w:t>5</w:t>
            </w:r>
            <w:r w:rsidR="00377B2E">
              <w:rPr>
                <w:spacing w:val="-2"/>
              </w:rPr>
              <w:t>1</w:t>
            </w:r>
            <w:r>
              <w:rPr>
                <w:spacing w:val="-2"/>
              </w:rPr>
              <w:t> %), u mužů druhá příčka (v těsném odstupu za Nizozemskem).</w:t>
            </w:r>
          </w:p>
        </w:tc>
      </w:tr>
      <w:tr w:rsidR="009B78A4" w:rsidRPr="00B43216" w14:paraId="3DAD1A47" w14:textId="77777777" w:rsidTr="009B78A4">
        <w:trPr>
          <w:trHeight w:val="98"/>
        </w:trPr>
        <w:tc>
          <w:tcPr>
            <w:tcW w:w="1790" w:type="dxa"/>
            <w:vMerge w:val="restart"/>
            <w:shd w:val="clear" w:color="auto" w:fill="auto"/>
            <w:tcMar>
              <w:left w:w="0" w:type="dxa"/>
            </w:tcMar>
          </w:tcPr>
          <w:p w14:paraId="5107526E" w14:textId="77777777" w:rsidR="009B78A4" w:rsidRPr="00B43216" w:rsidRDefault="009B78A4" w:rsidP="009B78A4">
            <w:pPr>
              <w:pStyle w:val="Marginlie"/>
            </w:pPr>
          </w:p>
        </w:tc>
        <w:tc>
          <w:tcPr>
            <w:tcW w:w="216" w:type="dxa"/>
            <w:vMerge w:val="restart"/>
            <w:shd w:val="clear" w:color="auto" w:fill="auto"/>
            <w:tcMar>
              <w:left w:w="0" w:type="dxa"/>
            </w:tcMar>
          </w:tcPr>
          <w:p w14:paraId="20F232AF"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068F2C8F" w14:textId="4339685E" w:rsidR="009B78A4" w:rsidRPr="00B43216" w:rsidRDefault="009B78A4" w:rsidP="009B78A4">
            <w:pPr>
              <w:spacing w:after="40" w:line="240" w:lineRule="auto"/>
              <w:rPr>
                <w:spacing w:val="-2"/>
              </w:rPr>
            </w:pPr>
            <w:r w:rsidRPr="00C06323">
              <w:rPr>
                <w:rFonts w:cs="Arial"/>
                <w:b/>
                <w:bCs/>
                <w:color w:val="000000"/>
                <w:szCs w:val="20"/>
              </w:rPr>
              <w:t xml:space="preserve">Graf </w:t>
            </w:r>
            <w:r w:rsidR="00EE2EB4">
              <w:rPr>
                <w:rFonts w:cs="Arial"/>
                <w:b/>
                <w:bCs/>
                <w:color w:val="000000"/>
                <w:szCs w:val="20"/>
              </w:rPr>
              <w:t>č. </w:t>
            </w:r>
            <w:r>
              <w:rPr>
                <w:rFonts w:cs="Arial"/>
                <w:b/>
                <w:bCs/>
                <w:color w:val="000000"/>
                <w:szCs w:val="20"/>
              </w:rPr>
              <w:t>13</w:t>
            </w:r>
            <w:r w:rsidRPr="00631BC9">
              <w:rPr>
                <w:rFonts w:cs="Arial"/>
                <w:b/>
                <w:bCs/>
                <w:color w:val="000000"/>
                <w:sz w:val="18"/>
                <w:szCs w:val="18"/>
              </w:rPr>
              <w:t xml:space="preserve"> </w:t>
            </w:r>
            <w:r>
              <w:rPr>
                <w:rFonts w:cs="Arial"/>
                <w:b/>
                <w:bCs/>
                <w:color w:val="000000"/>
                <w:sz w:val="18"/>
                <w:szCs w:val="18"/>
              </w:rPr>
              <w:t xml:space="preserve"> </w:t>
            </w:r>
            <w:r>
              <w:rPr>
                <w:b/>
                <w:lang w:eastAsia="en-US"/>
              </w:rPr>
              <w:t xml:space="preserve">Celková zaměstnanost </w:t>
            </w:r>
            <w:r w:rsidRPr="00F104F2">
              <w:rPr>
                <w:lang w:eastAsia="en-US"/>
              </w:rPr>
              <w:t>(</w:t>
            </w:r>
            <w:r w:rsidRPr="00F104F2">
              <w:rPr>
                <w:spacing w:val="-2"/>
              </w:rPr>
              <w:t>meziročně</w:t>
            </w:r>
            <w:r w:rsidRPr="00F104F2">
              <w:rPr>
                <w:bCs/>
                <w:spacing w:val="-2"/>
              </w:rPr>
              <w:t xml:space="preserve"> v</w:t>
            </w:r>
            <w:r>
              <w:rPr>
                <w:bCs/>
                <w:spacing w:val="-2"/>
              </w:rPr>
              <w:t> </w:t>
            </w:r>
            <w:r w:rsidRPr="00F104F2">
              <w:rPr>
                <w:bCs/>
                <w:spacing w:val="-2"/>
              </w:rPr>
              <w:t>%)</w:t>
            </w:r>
            <w:r>
              <w:rPr>
                <w:bCs/>
                <w:spacing w:val="-2"/>
              </w:rPr>
              <w:t xml:space="preserve">, </w:t>
            </w:r>
            <w:r w:rsidRPr="00F104F2">
              <w:rPr>
                <w:b/>
                <w:bCs/>
                <w:spacing w:val="-2"/>
              </w:rPr>
              <w:t>příspěvky hlavních odvětví</w:t>
            </w:r>
            <w:r w:rsidR="00A223E0">
              <w:rPr>
                <w:b/>
                <w:bCs/>
                <w:spacing w:val="-2"/>
              </w:rPr>
              <w:t xml:space="preserve"> </w:t>
            </w:r>
            <w:r w:rsidRPr="00F104F2">
              <w:rPr>
                <w:b/>
                <w:bCs/>
                <w:spacing w:val="-2"/>
              </w:rPr>
              <w:t>k meziroční změně zaměstnanosti</w:t>
            </w:r>
            <w:r>
              <w:rPr>
                <w:bCs/>
                <w:spacing w:val="-2"/>
              </w:rPr>
              <w:t xml:space="preserve"> (v p.</w:t>
            </w:r>
            <w:r w:rsidR="000A07CB">
              <w:rPr>
                <w:bCs/>
                <w:spacing w:val="-2"/>
              </w:rPr>
              <w:t> </w:t>
            </w:r>
            <w:r>
              <w:rPr>
                <w:bCs/>
                <w:spacing w:val="-2"/>
              </w:rPr>
              <w:t xml:space="preserve">b.) </w:t>
            </w:r>
            <w:r w:rsidR="00283F7B" w:rsidRPr="005C3006">
              <w:rPr>
                <w:b/>
                <w:bCs/>
                <w:spacing w:val="-2"/>
              </w:rPr>
              <w:t>a</w:t>
            </w:r>
            <w:r w:rsidR="00283F7B">
              <w:rPr>
                <w:b/>
                <w:bCs/>
                <w:spacing w:val="-2"/>
              </w:rPr>
              <w:t> </w:t>
            </w:r>
            <w:r w:rsidRPr="005C3006">
              <w:rPr>
                <w:b/>
                <w:bCs/>
                <w:spacing w:val="-2"/>
              </w:rPr>
              <w:t>očekávání vývoje zaměstnanosti v následujícím čtvrtletí</w:t>
            </w:r>
            <w:r>
              <w:rPr>
                <w:bCs/>
                <w:spacing w:val="-2"/>
              </w:rPr>
              <w:t xml:space="preserve"> (saldo v p.</w:t>
            </w:r>
            <w:r w:rsidR="000A07CB">
              <w:rPr>
                <w:bCs/>
                <w:spacing w:val="-2"/>
              </w:rPr>
              <w:t> </w:t>
            </w:r>
            <w:r>
              <w:rPr>
                <w:bCs/>
                <w:spacing w:val="-2"/>
              </w:rPr>
              <w:t>b., sezónně očištěno)</w:t>
            </w:r>
          </w:p>
        </w:tc>
      </w:tr>
      <w:tr w:rsidR="009B78A4" w:rsidRPr="00B43216" w14:paraId="273CDA31" w14:textId="77777777" w:rsidTr="009B78A4">
        <w:tblPrEx>
          <w:tblCellMar>
            <w:left w:w="70" w:type="dxa"/>
            <w:right w:w="70" w:type="dxa"/>
          </w:tblCellMar>
        </w:tblPrEx>
        <w:trPr>
          <w:trHeight w:val="96"/>
        </w:trPr>
        <w:tc>
          <w:tcPr>
            <w:tcW w:w="1790" w:type="dxa"/>
            <w:vMerge/>
            <w:shd w:val="clear" w:color="auto" w:fill="auto"/>
          </w:tcPr>
          <w:p w14:paraId="34D5F5B4" w14:textId="77777777" w:rsidR="009B78A4" w:rsidRPr="00B43216" w:rsidRDefault="009B78A4" w:rsidP="009B78A4">
            <w:pPr>
              <w:pStyle w:val="Marginlie"/>
            </w:pPr>
          </w:p>
        </w:tc>
        <w:tc>
          <w:tcPr>
            <w:tcW w:w="216" w:type="dxa"/>
            <w:vMerge/>
            <w:shd w:val="clear" w:color="auto" w:fill="auto"/>
          </w:tcPr>
          <w:p w14:paraId="0F3FC10D" w14:textId="77777777" w:rsidR="009B78A4" w:rsidRPr="00B43216" w:rsidRDefault="009B78A4" w:rsidP="009B78A4">
            <w:pPr>
              <w:pStyle w:val="Textpoznpodarou"/>
              <w:jc w:val="both"/>
              <w:rPr>
                <w:spacing w:val="-4"/>
              </w:rPr>
            </w:pPr>
          </w:p>
        </w:tc>
        <w:tc>
          <w:tcPr>
            <w:tcW w:w="7648" w:type="dxa"/>
            <w:shd w:val="clear" w:color="auto" w:fill="auto"/>
          </w:tcPr>
          <w:p w14:paraId="1BDDCE37" w14:textId="32DF62D0" w:rsidR="009B78A4" w:rsidRPr="00B43216" w:rsidRDefault="009B78A4" w:rsidP="009B78A4">
            <w:pPr>
              <w:spacing w:after="40" w:line="240" w:lineRule="auto"/>
              <w:rPr>
                <w:spacing w:val="-2"/>
              </w:rPr>
            </w:pPr>
            <w:r>
              <w:rPr>
                <w:noProof/>
              </w:rPr>
              <w:drawing>
                <wp:inline distT="0" distB="0" distL="0" distR="0" wp14:anchorId="3EDE9536" wp14:editId="7C0F15AD">
                  <wp:extent cx="4687029" cy="3547811"/>
                  <wp:effectExtent l="0" t="0" r="0"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9B78A4" w:rsidRPr="00B43216" w14:paraId="4D7DDEEE" w14:textId="77777777" w:rsidTr="009B78A4">
        <w:trPr>
          <w:trHeight w:val="96"/>
        </w:trPr>
        <w:tc>
          <w:tcPr>
            <w:tcW w:w="1790" w:type="dxa"/>
            <w:vMerge/>
            <w:shd w:val="clear" w:color="auto" w:fill="auto"/>
            <w:tcMar>
              <w:left w:w="0" w:type="dxa"/>
            </w:tcMar>
          </w:tcPr>
          <w:p w14:paraId="648B44D8" w14:textId="77777777" w:rsidR="009B78A4" w:rsidRPr="00B43216" w:rsidRDefault="009B78A4" w:rsidP="009B78A4">
            <w:pPr>
              <w:pStyle w:val="Marginlie"/>
            </w:pPr>
          </w:p>
        </w:tc>
        <w:tc>
          <w:tcPr>
            <w:tcW w:w="216" w:type="dxa"/>
            <w:vMerge/>
            <w:shd w:val="clear" w:color="auto" w:fill="auto"/>
            <w:tcMar>
              <w:left w:w="0" w:type="dxa"/>
            </w:tcMar>
          </w:tcPr>
          <w:p w14:paraId="4DDCF167"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9BF7E9D" w14:textId="77777777" w:rsidR="009B78A4" w:rsidRDefault="009B78A4" w:rsidP="009B78A4">
            <w:pPr>
              <w:spacing w:after="0" w:line="240" w:lineRule="auto"/>
              <w:rPr>
                <w:rFonts w:cs="Arial"/>
                <w:sz w:val="14"/>
                <w:szCs w:val="14"/>
              </w:rPr>
            </w:pPr>
            <w:r>
              <w:rPr>
                <w:rFonts w:cs="Arial"/>
                <w:sz w:val="14"/>
                <w:szCs w:val="14"/>
              </w:rPr>
              <w:t>*</w:t>
            </w:r>
            <w:r w:rsidRPr="00862F17">
              <w:rPr>
                <w:rFonts w:cs="Arial"/>
                <w:sz w:val="14"/>
                <w:szCs w:val="14"/>
              </w:rPr>
              <w:t>Zahrnuje odvětví: Těžba a</w:t>
            </w:r>
            <w:r>
              <w:rPr>
                <w:rFonts w:cs="Arial"/>
                <w:sz w:val="14"/>
                <w:szCs w:val="14"/>
              </w:rPr>
              <w:t> </w:t>
            </w:r>
            <w:r w:rsidRPr="00862F17">
              <w:rPr>
                <w:rFonts w:cs="Arial"/>
                <w:sz w:val="14"/>
                <w:szCs w:val="14"/>
              </w:rPr>
              <w:t>energetika, Peněžnictví a</w:t>
            </w:r>
            <w:r>
              <w:rPr>
                <w:rFonts w:cs="Arial"/>
                <w:sz w:val="14"/>
                <w:szCs w:val="14"/>
              </w:rPr>
              <w:t> </w:t>
            </w:r>
            <w:r w:rsidRPr="00862F17">
              <w:rPr>
                <w:rFonts w:cs="Arial"/>
                <w:sz w:val="14"/>
                <w:szCs w:val="14"/>
              </w:rPr>
              <w:t>pojišťovnictví, Činnosti v</w:t>
            </w:r>
            <w:r>
              <w:rPr>
                <w:rFonts w:cs="Arial"/>
                <w:sz w:val="14"/>
                <w:szCs w:val="14"/>
              </w:rPr>
              <w:t> </w:t>
            </w:r>
            <w:r w:rsidRPr="00862F17">
              <w:rPr>
                <w:rFonts w:cs="Arial"/>
                <w:sz w:val="14"/>
                <w:szCs w:val="14"/>
              </w:rPr>
              <w:t>oblasti nemovitostí, Kulturní, zábavní a</w:t>
            </w:r>
            <w:r w:rsidRPr="00D47653">
              <w:rPr>
                <w:sz w:val="14"/>
                <w:szCs w:val="14"/>
              </w:rPr>
              <w:t> </w:t>
            </w:r>
            <w:r w:rsidRPr="00862F17">
              <w:rPr>
                <w:rFonts w:cs="Arial"/>
                <w:sz w:val="14"/>
                <w:szCs w:val="14"/>
              </w:rPr>
              <w:t>rekreační činnosti, Ostatní služby.</w:t>
            </w:r>
          </w:p>
          <w:p w14:paraId="7269351C" w14:textId="692DD58E" w:rsidR="009B78A4" w:rsidRDefault="009B78A4" w:rsidP="009B78A4">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očekávání vyjadřuje rozdíl v p.</w:t>
            </w:r>
            <w:r w:rsidR="00B76B48">
              <w:rPr>
                <w:rFonts w:cs="Arial"/>
                <w:color w:val="0D0D0D" w:themeColor="text1" w:themeTint="F2"/>
                <w:sz w:val="14"/>
                <w:szCs w:val="14"/>
              </w:rPr>
              <w:t> </w:t>
            </w:r>
            <w:r>
              <w:rPr>
                <w:rFonts w:cs="Arial"/>
                <w:color w:val="0D0D0D" w:themeColor="text1" w:themeTint="F2"/>
                <w:sz w:val="14"/>
                <w:szCs w:val="14"/>
              </w:rPr>
              <w:t>b. mezi kategoriemi (růst vs. pokles zaměstnanosti v následujícím čtvrtletí)</w:t>
            </w:r>
            <w:r w:rsidR="00B76B48">
              <w:rPr>
                <w:rFonts w:cs="Arial"/>
                <w:color w:val="0D0D0D" w:themeColor="text1" w:themeTint="F2"/>
                <w:sz w:val="14"/>
                <w:szCs w:val="14"/>
              </w:rPr>
              <w:t>.</w:t>
            </w:r>
          </w:p>
          <w:p w14:paraId="37658A78" w14:textId="4927587A" w:rsidR="009B78A4" w:rsidRPr="00B43216" w:rsidRDefault="009B78A4" w:rsidP="00223185">
            <w:pPr>
              <w:spacing w:after="200" w:line="240" w:lineRule="auto"/>
              <w:rPr>
                <w:spacing w:val="-2"/>
                <w:szCs w:val="20"/>
              </w:rPr>
            </w:pPr>
            <w:r w:rsidRPr="00862F17">
              <w:rPr>
                <w:rFonts w:cs="Arial"/>
                <w:sz w:val="14"/>
                <w:szCs w:val="14"/>
              </w:rPr>
              <w:t>Zdroj: ČSÚ (národní účty</w:t>
            </w:r>
            <w:r>
              <w:rPr>
                <w:rFonts w:cs="Arial"/>
                <w:sz w:val="14"/>
                <w:szCs w:val="14"/>
              </w:rPr>
              <w:t>, konjunkturální průzkumy)</w:t>
            </w:r>
          </w:p>
        </w:tc>
      </w:tr>
      <w:tr w:rsidR="009B78A4" w:rsidRPr="00B43216" w14:paraId="28AB9F67" w14:textId="77777777" w:rsidTr="009B78A4">
        <w:trPr>
          <w:trHeight w:val="145"/>
        </w:trPr>
        <w:tc>
          <w:tcPr>
            <w:tcW w:w="1790" w:type="dxa"/>
            <w:shd w:val="clear" w:color="auto" w:fill="auto"/>
            <w:tcMar>
              <w:left w:w="0" w:type="dxa"/>
            </w:tcMar>
          </w:tcPr>
          <w:p w14:paraId="70DE3948" w14:textId="0F16ED9F" w:rsidR="009B78A4" w:rsidRPr="00B43216" w:rsidRDefault="009B78A4" w:rsidP="009B78A4">
            <w:pPr>
              <w:pStyle w:val="Marginlie"/>
            </w:pPr>
            <w:r>
              <w:t>Obecná míra nezaměstnanosti během roku 2019 stagnovala na historických minimech</w:t>
            </w:r>
            <w:r w:rsidR="00512585">
              <w:t xml:space="preserve">, pokles </w:t>
            </w:r>
            <w:r>
              <w:t>dlouhodobé nezaměstnanosti ale dále pokračoval.</w:t>
            </w:r>
          </w:p>
        </w:tc>
        <w:tc>
          <w:tcPr>
            <w:tcW w:w="216" w:type="dxa"/>
            <w:shd w:val="clear" w:color="auto" w:fill="auto"/>
            <w:tcMar>
              <w:left w:w="0" w:type="dxa"/>
            </w:tcMar>
          </w:tcPr>
          <w:p w14:paraId="184883C8"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30F4569D" w14:textId="7DA6967E" w:rsidR="009B78A4" w:rsidRPr="00B43216" w:rsidRDefault="009B78A4" w:rsidP="009B78A4">
            <w:pPr>
              <w:spacing w:after="200"/>
              <w:rPr>
                <w:spacing w:val="-2"/>
              </w:rPr>
            </w:pPr>
            <w:r>
              <w:rPr>
                <w:spacing w:val="-2"/>
              </w:rPr>
              <w:t xml:space="preserve">Pokles </w:t>
            </w:r>
            <w:r w:rsidRPr="00371DDD">
              <w:rPr>
                <w:spacing w:val="-3"/>
              </w:rPr>
              <w:t>obecné míry nezaměstnanosti</w:t>
            </w:r>
            <w:r w:rsidRPr="00D175A7">
              <w:rPr>
                <w:rStyle w:val="Znakapoznpodarou"/>
                <w:color w:val="0D0D0D" w:themeColor="text1" w:themeTint="F2"/>
                <w:spacing w:val="-2"/>
              </w:rPr>
              <w:footnoteReference w:id="9"/>
            </w:r>
            <w:r w:rsidRPr="00371DDD">
              <w:rPr>
                <w:spacing w:val="-3"/>
              </w:rPr>
              <w:t xml:space="preserve"> se v roce </w:t>
            </w:r>
            <w:r>
              <w:rPr>
                <w:spacing w:val="-3"/>
              </w:rPr>
              <w:t>2019</w:t>
            </w:r>
            <w:r w:rsidRPr="00371DDD">
              <w:rPr>
                <w:spacing w:val="-3"/>
              </w:rPr>
              <w:t xml:space="preserve"> zastavil.</w:t>
            </w:r>
            <w:r>
              <w:rPr>
                <w:spacing w:val="-3"/>
              </w:rPr>
              <w:t xml:space="preserve"> V září dosahovala u mužů 1,7</w:t>
            </w:r>
            <w:r w:rsidR="00C5197D">
              <w:rPr>
                <w:spacing w:val="-3"/>
              </w:rPr>
              <w:t> %</w:t>
            </w:r>
            <w:r>
              <w:rPr>
                <w:spacing w:val="-3"/>
              </w:rPr>
              <w:t xml:space="preserve"> </w:t>
            </w:r>
            <w:r w:rsidR="00283F7B">
              <w:rPr>
                <w:spacing w:val="-3"/>
              </w:rPr>
              <w:t>a </w:t>
            </w:r>
            <w:r>
              <w:rPr>
                <w:spacing w:val="-3"/>
              </w:rPr>
              <w:t>2,5</w:t>
            </w:r>
            <w:r w:rsidR="00C5197D">
              <w:rPr>
                <w:spacing w:val="-3"/>
              </w:rPr>
              <w:t> %</w:t>
            </w:r>
            <w:r>
              <w:rPr>
                <w:spacing w:val="-3"/>
              </w:rPr>
              <w:t xml:space="preserve"> </w:t>
            </w:r>
            <w:r w:rsidR="00283F7B">
              <w:rPr>
                <w:spacing w:val="-3"/>
              </w:rPr>
              <w:t>u </w:t>
            </w:r>
            <w:r>
              <w:rPr>
                <w:spacing w:val="-3"/>
              </w:rPr>
              <w:t>žen. Pozitivní bylo, že se dále snižoval počet dlouhodobě nezaměstnaných (nad jeden rok). Jejich podíl na celkové nezaměstnanosti ve 3. čtvrtletí klesl pod 27</w:t>
            </w:r>
            <w:r w:rsidR="00C5197D">
              <w:rPr>
                <w:spacing w:val="-3"/>
              </w:rPr>
              <w:t> %</w:t>
            </w:r>
            <w:r>
              <w:rPr>
                <w:spacing w:val="-3"/>
              </w:rPr>
              <w:t xml:space="preserve"> –</w:t>
            </w:r>
            <w:r w:rsidR="00512585">
              <w:rPr>
                <w:spacing w:val="-3"/>
              </w:rPr>
              <w:t> </w:t>
            </w:r>
            <w:r>
              <w:rPr>
                <w:spacing w:val="-3"/>
              </w:rPr>
              <w:t>nejníže od poloviny 9</w:t>
            </w:r>
            <w:r w:rsidR="00283F7B">
              <w:rPr>
                <w:spacing w:val="-3"/>
              </w:rPr>
              <w:t>0. </w:t>
            </w:r>
            <w:r>
              <w:rPr>
                <w:spacing w:val="-3"/>
              </w:rPr>
              <w:t xml:space="preserve">let. Vyšší podíl dlouhodobě nezaměstnaných ale stále zůstává mezi lidmi nad 50 let a též </w:t>
            </w:r>
            <w:r w:rsidR="00283F7B">
              <w:rPr>
                <w:spacing w:val="-3"/>
              </w:rPr>
              <w:t>u </w:t>
            </w:r>
            <w:r>
              <w:rPr>
                <w:spacing w:val="-3"/>
              </w:rPr>
              <w:t xml:space="preserve">osob </w:t>
            </w:r>
            <w:r w:rsidR="00512585">
              <w:rPr>
                <w:spacing w:val="-3"/>
              </w:rPr>
              <w:t xml:space="preserve">pouze </w:t>
            </w:r>
            <w:r>
              <w:rPr>
                <w:spacing w:val="-3"/>
              </w:rPr>
              <w:t xml:space="preserve">se základním vzděláním. Byť v průběhu letošního roku mírně přibylo podniků, které očekávaly snižování stavu pracovníků, lze předpokládat, že trh práce dokázal tyto dosud nepočetné skupiny propuštěných opět bez potíží vstřebat. Stále vysoká poptávka po pracovnících vedla k nasávání </w:t>
            </w:r>
            <w:r w:rsidR="00283F7B">
              <w:rPr>
                <w:spacing w:val="-3"/>
              </w:rPr>
              <w:t>i </w:t>
            </w:r>
            <w:r>
              <w:rPr>
                <w:spacing w:val="-3"/>
              </w:rPr>
              <w:t xml:space="preserve">dalších potenciálních zdrojů, o čemž svědčí </w:t>
            </w:r>
            <w:r w:rsidR="00283F7B">
              <w:rPr>
                <w:spacing w:val="-3"/>
              </w:rPr>
              <w:t>i </w:t>
            </w:r>
            <w:r>
              <w:rPr>
                <w:spacing w:val="-3"/>
              </w:rPr>
              <w:t xml:space="preserve">počet </w:t>
            </w:r>
            <w:r>
              <w:rPr>
                <w:spacing w:val="-2"/>
              </w:rPr>
              <w:t>ekonomicky neaktivních osob chtějících pracovat</w:t>
            </w:r>
            <w:r w:rsidRPr="00D175A7">
              <w:rPr>
                <w:rStyle w:val="Znakapoznpodarou"/>
                <w:color w:val="0D0D0D" w:themeColor="text1" w:themeTint="F2"/>
                <w:spacing w:val="-2"/>
              </w:rPr>
              <w:footnoteReference w:id="10"/>
            </w:r>
            <w:r>
              <w:rPr>
                <w:spacing w:val="-2"/>
              </w:rPr>
              <w:t xml:space="preserve">, jenž klesl poprvé v historii sledování pod </w:t>
            </w:r>
            <w:r w:rsidR="00512585">
              <w:rPr>
                <w:spacing w:val="-2"/>
              </w:rPr>
              <w:t>stotisícovou</w:t>
            </w:r>
            <w:r>
              <w:rPr>
                <w:spacing w:val="-2"/>
              </w:rPr>
              <w:t xml:space="preserve"> hranici.</w:t>
            </w:r>
          </w:p>
        </w:tc>
      </w:tr>
      <w:tr w:rsidR="009B78A4" w:rsidRPr="00B43216" w14:paraId="5BC30728" w14:textId="77777777" w:rsidTr="009B78A4">
        <w:trPr>
          <w:trHeight w:val="145"/>
        </w:trPr>
        <w:tc>
          <w:tcPr>
            <w:tcW w:w="1790" w:type="dxa"/>
            <w:shd w:val="clear" w:color="auto" w:fill="auto"/>
            <w:tcMar>
              <w:left w:w="0" w:type="dxa"/>
            </w:tcMar>
          </w:tcPr>
          <w:p w14:paraId="2BAD7B59" w14:textId="77777777" w:rsidR="009B78A4" w:rsidRDefault="009B78A4" w:rsidP="009B78A4">
            <w:pPr>
              <w:pStyle w:val="Marginlie"/>
            </w:pPr>
            <w:r>
              <w:t>Míra nezaměstnanosti v EU poprvé od konce poslední recese mezičtvrtletně neklesla.</w:t>
            </w:r>
          </w:p>
          <w:p w14:paraId="3961D894" w14:textId="77777777" w:rsidR="009B78A4" w:rsidRDefault="009B78A4" w:rsidP="009B78A4">
            <w:pPr>
              <w:pStyle w:val="Marginlie"/>
            </w:pPr>
          </w:p>
          <w:p w14:paraId="79BE7809" w14:textId="77777777" w:rsidR="009B78A4" w:rsidRDefault="009B78A4" w:rsidP="009B78A4">
            <w:pPr>
              <w:pStyle w:val="Marginlie"/>
            </w:pPr>
          </w:p>
          <w:p w14:paraId="1B0FDC0C" w14:textId="0BCE6462" w:rsidR="009B78A4" w:rsidRDefault="00283F7B" w:rsidP="009B78A4">
            <w:pPr>
              <w:pStyle w:val="Marginlie"/>
            </w:pPr>
            <w:r>
              <w:lastRenderedPageBreak/>
              <w:t>I </w:t>
            </w:r>
            <w:r w:rsidR="009B78A4">
              <w:t>v některých státech s nízkou celkovou nezaměstnaností přetrvávají na trhu práce významné strukturální problémy.</w:t>
            </w:r>
          </w:p>
          <w:p w14:paraId="5B0EE824" w14:textId="10DA8F05" w:rsidR="009B78A4" w:rsidRPr="00B43216" w:rsidRDefault="009B78A4" w:rsidP="009B78A4">
            <w:pPr>
              <w:pStyle w:val="Marginlie"/>
            </w:pPr>
          </w:p>
        </w:tc>
        <w:tc>
          <w:tcPr>
            <w:tcW w:w="216" w:type="dxa"/>
            <w:shd w:val="clear" w:color="auto" w:fill="auto"/>
            <w:tcMar>
              <w:left w:w="0" w:type="dxa"/>
            </w:tcMar>
          </w:tcPr>
          <w:p w14:paraId="65EC8FFB"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3F5C8765" w14:textId="31BDFA54" w:rsidR="009B78A4" w:rsidRPr="00B43216" w:rsidRDefault="009B78A4" w:rsidP="009B78A4">
            <w:pPr>
              <w:spacing w:after="200"/>
              <w:rPr>
                <w:spacing w:val="-4"/>
              </w:rPr>
            </w:pPr>
            <w:r>
              <w:rPr>
                <w:spacing w:val="-2"/>
              </w:rPr>
              <w:t xml:space="preserve">Míra nezaměstnanosti v Česku byla nadále nejnižší mezi státy EU </w:t>
            </w:r>
            <w:r>
              <w:rPr>
                <w:spacing w:val="-3"/>
              </w:rPr>
              <w:t>–</w:t>
            </w:r>
            <w:r w:rsidR="00512585">
              <w:rPr>
                <w:spacing w:val="-2"/>
              </w:rPr>
              <w:t> </w:t>
            </w:r>
            <w:r w:rsidR="00283F7B">
              <w:rPr>
                <w:spacing w:val="-2"/>
              </w:rPr>
              <w:t>u </w:t>
            </w:r>
            <w:r>
              <w:rPr>
                <w:spacing w:val="-2"/>
              </w:rPr>
              <w:t xml:space="preserve">žen druhým rokem, </w:t>
            </w:r>
            <w:r w:rsidR="00283F7B">
              <w:rPr>
                <w:spacing w:val="-2"/>
              </w:rPr>
              <w:t>u </w:t>
            </w:r>
            <w:r>
              <w:rPr>
                <w:spacing w:val="-2"/>
              </w:rPr>
              <w:t xml:space="preserve">mužů již šestým rokem </w:t>
            </w:r>
            <w:r w:rsidR="00283F7B">
              <w:rPr>
                <w:spacing w:val="-2"/>
              </w:rPr>
              <w:t>v </w:t>
            </w:r>
            <w:r>
              <w:rPr>
                <w:spacing w:val="-2"/>
              </w:rPr>
              <w:t xml:space="preserve">řadě. Od letošního roku totéž platilo </w:t>
            </w:r>
            <w:r w:rsidR="00283F7B">
              <w:rPr>
                <w:spacing w:val="-2"/>
              </w:rPr>
              <w:t>i o </w:t>
            </w:r>
            <w:r>
              <w:rPr>
                <w:spacing w:val="-2"/>
              </w:rPr>
              <w:t>míře nezaměstnanosti mladých do 2</w:t>
            </w:r>
            <w:r w:rsidR="00EE2EB4">
              <w:rPr>
                <w:spacing w:val="-2"/>
              </w:rPr>
              <w:t>5 </w:t>
            </w:r>
            <w:r>
              <w:rPr>
                <w:spacing w:val="-2"/>
              </w:rPr>
              <w:t>let (4,8</w:t>
            </w:r>
            <w:r w:rsidR="00C5197D">
              <w:rPr>
                <w:spacing w:val="-2"/>
              </w:rPr>
              <w:t> %</w:t>
            </w:r>
            <w:r>
              <w:rPr>
                <w:spacing w:val="-2"/>
              </w:rPr>
              <w:t>). Celková míra nezaměstnanosti v Unii činila ve 3</w:t>
            </w:r>
            <w:r w:rsidR="00EE2EB4">
              <w:rPr>
                <w:spacing w:val="-2"/>
              </w:rPr>
              <w:t>. čtvrtlet</w:t>
            </w:r>
            <w:r>
              <w:rPr>
                <w:spacing w:val="-2"/>
              </w:rPr>
              <w:t>í 6,3</w:t>
            </w:r>
            <w:r w:rsidR="00512585">
              <w:rPr>
                <w:spacing w:val="-2"/>
              </w:rPr>
              <w:t> </w:t>
            </w:r>
            <w:r>
              <w:rPr>
                <w:spacing w:val="-2"/>
              </w:rPr>
              <w:t xml:space="preserve">% </w:t>
            </w:r>
            <w:r w:rsidR="00283F7B">
              <w:rPr>
                <w:spacing w:val="-2"/>
              </w:rPr>
              <w:t>a </w:t>
            </w:r>
            <w:r>
              <w:rPr>
                <w:spacing w:val="-2"/>
              </w:rPr>
              <w:t>poprvé od konce poslední recese se proti předchozímu čtvrtletí nesnížila. Meziročně ale ve 2</w:t>
            </w:r>
            <w:r w:rsidR="00EE2EB4">
              <w:rPr>
                <w:spacing w:val="-2"/>
              </w:rPr>
              <w:t>4 </w:t>
            </w:r>
            <w:r>
              <w:rPr>
                <w:spacing w:val="-2"/>
              </w:rPr>
              <w:t>státech stále klesala, významnější růst zaznamenalo jen Švédsko (</w:t>
            </w:r>
            <w:r w:rsidR="00283F7B">
              <w:rPr>
                <w:spacing w:val="-2"/>
              </w:rPr>
              <w:t>o </w:t>
            </w:r>
            <w:r>
              <w:rPr>
                <w:spacing w:val="-2"/>
              </w:rPr>
              <w:t>0,5</w:t>
            </w:r>
            <w:r w:rsidR="00C5197D">
              <w:rPr>
                <w:spacing w:val="-2"/>
              </w:rPr>
              <w:t> p. b.</w:t>
            </w:r>
            <w:r>
              <w:rPr>
                <w:spacing w:val="-2"/>
              </w:rPr>
              <w:t xml:space="preserve"> na 6,9 %). Vyšší míra nezaměstnanosti než v celé </w:t>
            </w:r>
            <w:r w:rsidR="00DB321D">
              <w:rPr>
                <w:spacing w:val="-2"/>
              </w:rPr>
              <w:t xml:space="preserve">eurozóně </w:t>
            </w:r>
            <w:r>
              <w:rPr>
                <w:spacing w:val="-2"/>
              </w:rPr>
              <w:t>(7,5</w:t>
            </w:r>
            <w:r w:rsidR="00C5197D">
              <w:rPr>
                <w:spacing w:val="-2"/>
              </w:rPr>
              <w:t> %</w:t>
            </w:r>
            <w:r>
              <w:rPr>
                <w:spacing w:val="-2"/>
              </w:rPr>
              <w:t xml:space="preserve">) sužovala Řecko </w:t>
            </w:r>
            <w:r>
              <w:rPr>
                <w:spacing w:val="-2"/>
              </w:rPr>
              <w:lastRenderedPageBreak/>
              <w:t>(16,8 %), Španělsko (14,2</w:t>
            </w:r>
            <w:r w:rsidR="00C5197D">
              <w:rPr>
                <w:spacing w:val="-2"/>
              </w:rPr>
              <w:t> %</w:t>
            </w:r>
            <w:r>
              <w:rPr>
                <w:spacing w:val="-2"/>
              </w:rPr>
              <w:t>), Itálii (9,8</w:t>
            </w:r>
            <w:r w:rsidR="00C5197D">
              <w:rPr>
                <w:spacing w:val="-2"/>
              </w:rPr>
              <w:t> %</w:t>
            </w:r>
            <w:r>
              <w:rPr>
                <w:spacing w:val="-2"/>
              </w:rPr>
              <w:t xml:space="preserve">) </w:t>
            </w:r>
            <w:r w:rsidR="00283F7B">
              <w:rPr>
                <w:spacing w:val="-2"/>
              </w:rPr>
              <w:t>a </w:t>
            </w:r>
            <w:r>
              <w:rPr>
                <w:spacing w:val="-2"/>
              </w:rPr>
              <w:t>Francii (8,5</w:t>
            </w:r>
            <w:r w:rsidR="00C5197D">
              <w:rPr>
                <w:spacing w:val="-2"/>
              </w:rPr>
              <w:t> %</w:t>
            </w:r>
            <w:r>
              <w:rPr>
                <w:spacing w:val="-2"/>
              </w:rPr>
              <w:t xml:space="preserve">). Naproti tomu v drtivé většině novějších členských států EU </w:t>
            </w:r>
            <w:r w:rsidR="00283F7B">
              <w:rPr>
                <w:spacing w:val="-2"/>
              </w:rPr>
              <w:t>a </w:t>
            </w:r>
            <w:r>
              <w:rPr>
                <w:spacing w:val="-2"/>
              </w:rPr>
              <w:t xml:space="preserve">také </w:t>
            </w:r>
            <w:r w:rsidR="00DB321D">
              <w:rPr>
                <w:spacing w:val="-2"/>
              </w:rPr>
              <w:t>v </w:t>
            </w:r>
            <w:r>
              <w:rPr>
                <w:spacing w:val="-2"/>
              </w:rPr>
              <w:t xml:space="preserve">Německu, Belgii či Velké Británii sestoupila nezaměstnanost na více než dvacetiletá minima. </w:t>
            </w:r>
            <w:r w:rsidR="00DB321D">
              <w:rPr>
                <w:spacing w:val="-2"/>
              </w:rPr>
              <w:t>V</w:t>
            </w:r>
            <w:r>
              <w:rPr>
                <w:spacing w:val="-2"/>
              </w:rPr>
              <w:t xml:space="preserve"> některých z těchto států </w:t>
            </w:r>
            <w:r w:rsidR="00DB321D">
              <w:rPr>
                <w:spacing w:val="-2"/>
              </w:rPr>
              <w:t xml:space="preserve">však </w:t>
            </w:r>
            <w:r>
              <w:rPr>
                <w:spacing w:val="-2"/>
              </w:rPr>
              <w:t>trh práce dále čelí vážným strukturálním problémům, např.</w:t>
            </w:r>
            <w:r w:rsidR="00DB321D">
              <w:rPr>
                <w:spacing w:val="-2"/>
              </w:rPr>
              <w:t> </w:t>
            </w:r>
            <w:r>
              <w:rPr>
                <w:spacing w:val="-2"/>
              </w:rPr>
              <w:t>vysokému podílu dlouhodobé nezaměstnanosti či značným regionálním rozdílům (Slovensko, Bulharsko či Belgie).</w:t>
            </w:r>
          </w:p>
        </w:tc>
      </w:tr>
      <w:tr w:rsidR="009B78A4" w:rsidRPr="00B43216" w14:paraId="2D9E0120" w14:textId="77777777" w:rsidTr="009B78A4">
        <w:trPr>
          <w:trHeight w:val="155"/>
        </w:trPr>
        <w:tc>
          <w:tcPr>
            <w:tcW w:w="1790" w:type="dxa"/>
            <w:vMerge w:val="restart"/>
            <w:shd w:val="clear" w:color="auto" w:fill="auto"/>
            <w:tcMar>
              <w:left w:w="0" w:type="dxa"/>
            </w:tcMar>
          </w:tcPr>
          <w:p w14:paraId="28D4D2DA" w14:textId="77777777" w:rsidR="009B78A4" w:rsidRPr="00B43216" w:rsidRDefault="009B78A4" w:rsidP="009B78A4">
            <w:pPr>
              <w:pStyle w:val="Marginlie"/>
              <w:rPr>
                <w:spacing w:val="-4"/>
              </w:rPr>
            </w:pPr>
          </w:p>
        </w:tc>
        <w:tc>
          <w:tcPr>
            <w:tcW w:w="216" w:type="dxa"/>
            <w:vMerge w:val="restart"/>
            <w:shd w:val="clear" w:color="auto" w:fill="auto"/>
            <w:tcMar>
              <w:left w:w="0" w:type="dxa"/>
            </w:tcMar>
          </w:tcPr>
          <w:p w14:paraId="07A9C8BE"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1786E8CF" w14:textId="73C61273" w:rsidR="009B78A4" w:rsidRPr="00B43216" w:rsidRDefault="009B78A4" w:rsidP="009B78A4">
            <w:pPr>
              <w:spacing w:after="0"/>
              <w:rPr>
                <w:spacing w:val="-4"/>
              </w:rPr>
            </w:pPr>
            <w:r w:rsidRPr="006A4EF0">
              <w:rPr>
                <w:b/>
                <w:spacing w:val="-3"/>
              </w:rPr>
              <w:t xml:space="preserve">Graf </w:t>
            </w:r>
            <w:r w:rsidR="00EE2EB4">
              <w:rPr>
                <w:b/>
                <w:spacing w:val="-3"/>
              </w:rPr>
              <w:t>č. </w:t>
            </w:r>
            <w:r w:rsidRPr="006A4EF0">
              <w:rPr>
                <w:b/>
                <w:spacing w:val="-3"/>
              </w:rPr>
              <w:t xml:space="preserve">14  </w:t>
            </w:r>
            <w:r w:rsidRPr="006A4EF0">
              <w:rPr>
                <w:rFonts w:cs="Arial"/>
                <w:b/>
                <w:bCs/>
                <w:spacing w:val="-3"/>
              </w:rPr>
              <w:t xml:space="preserve">Obecná míra nezaměstnanosti </w:t>
            </w:r>
            <w:r>
              <w:rPr>
                <w:rFonts w:cs="Arial"/>
                <w:bCs/>
                <w:spacing w:val="-3"/>
              </w:rPr>
              <w:t>(v</w:t>
            </w:r>
            <w:r w:rsidR="00C5197D">
              <w:rPr>
                <w:rFonts w:cs="Arial"/>
                <w:bCs/>
                <w:spacing w:val="-3"/>
              </w:rPr>
              <w:t> %</w:t>
            </w:r>
            <w:r>
              <w:rPr>
                <w:rFonts w:cs="Arial"/>
                <w:bCs/>
                <w:spacing w:val="-3"/>
              </w:rPr>
              <w:t>)</w:t>
            </w:r>
            <w:r w:rsidRPr="006A4EF0">
              <w:rPr>
                <w:rFonts w:cs="Arial"/>
                <w:b/>
                <w:bCs/>
                <w:spacing w:val="-3"/>
              </w:rPr>
              <w:t xml:space="preserve">, podíl dlouhodobě nezaměstnaných </w:t>
            </w:r>
            <w:r w:rsidRPr="006A4EF0">
              <w:rPr>
                <w:rFonts w:cs="Arial"/>
                <w:bCs/>
                <w:spacing w:val="-3"/>
              </w:rPr>
              <w:t>(v</w:t>
            </w:r>
            <w:r w:rsidR="00C5197D">
              <w:rPr>
                <w:rFonts w:cs="Arial"/>
                <w:bCs/>
                <w:spacing w:val="-3"/>
              </w:rPr>
              <w:t> %</w:t>
            </w:r>
            <w:r w:rsidRPr="006A4EF0">
              <w:rPr>
                <w:rFonts w:cs="Arial"/>
                <w:bCs/>
                <w:spacing w:val="-3"/>
              </w:rPr>
              <w:t>)</w:t>
            </w:r>
            <w:r w:rsidRPr="006A4EF0">
              <w:rPr>
                <w:rFonts w:cs="Arial"/>
                <w:b/>
                <w:bCs/>
                <w:spacing w:val="-3"/>
              </w:rPr>
              <w:t xml:space="preserve">, ekonomicky neaktivní chtějící pracovat </w:t>
            </w:r>
            <w:r w:rsidRPr="006A4EF0">
              <w:rPr>
                <w:rFonts w:cs="Arial"/>
                <w:bCs/>
                <w:spacing w:val="-3"/>
              </w:rPr>
              <w:t>(v</w:t>
            </w:r>
            <w:r w:rsidR="00C5197D">
              <w:rPr>
                <w:rFonts w:cs="Arial"/>
                <w:bCs/>
                <w:spacing w:val="-3"/>
              </w:rPr>
              <w:t> tis.</w:t>
            </w:r>
            <w:r w:rsidRPr="006A4EF0">
              <w:rPr>
                <w:rFonts w:cs="Arial"/>
                <w:bCs/>
                <w:spacing w:val="-3"/>
              </w:rPr>
              <w:t xml:space="preserve">) </w:t>
            </w:r>
            <w:r w:rsidR="00283F7B" w:rsidRPr="006A4EF0">
              <w:rPr>
                <w:rFonts w:cs="Arial"/>
                <w:b/>
                <w:bCs/>
                <w:spacing w:val="-3"/>
              </w:rPr>
              <w:t>a</w:t>
            </w:r>
            <w:r w:rsidR="00283F7B">
              <w:rPr>
                <w:rFonts w:cs="Arial"/>
                <w:b/>
                <w:bCs/>
                <w:spacing w:val="-3"/>
              </w:rPr>
              <w:t> </w:t>
            </w:r>
            <w:r w:rsidRPr="006A4EF0">
              <w:rPr>
                <w:rFonts w:cs="Arial"/>
                <w:b/>
                <w:bCs/>
                <w:spacing w:val="-3"/>
              </w:rPr>
              <w:t>podíl obyvatel obávajících se růstu nezaměstnanosti</w:t>
            </w:r>
            <w:r>
              <w:rPr>
                <w:rFonts w:cs="Arial"/>
                <w:bCs/>
                <w:spacing w:val="-3"/>
              </w:rPr>
              <w:t xml:space="preserve"> (v</w:t>
            </w:r>
            <w:r w:rsidR="00C5197D">
              <w:rPr>
                <w:rFonts w:cs="Arial"/>
                <w:bCs/>
                <w:spacing w:val="-3"/>
              </w:rPr>
              <w:t> %</w:t>
            </w:r>
            <w:r>
              <w:rPr>
                <w:rFonts w:cs="Arial"/>
                <w:bCs/>
                <w:spacing w:val="-3"/>
              </w:rPr>
              <w:t>)</w:t>
            </w:r>
          </w:p>
        </w:tc>
      </w:tr>
      <w:tr w:rsidR="009B78A4" w:rsidRPr="00B43216" w14:paraId="72F07E91" w14:textId="77777777" w:rsidTr="00377B2E">
        <w:tblPrEx>
          <w:tblCellMar>
            <w:left w:w="70" w:type="dxa"/>
            <w:right w:w="70" w:type="dxa"/>
          </w:tblCellMar>
        </w:tblPrEx>
        <w:trPr>
          <w:trHeight w:val="155"/>
        </w:trPr>
        <w:tc>
          <w:tcPr>
            <w:tcW w:w="1790" w:type="dxa"/>
            <w:vMerge/>
            <w:shd w:val="clear" w:color="auto" w:fill="auto"/>
          </w:tcPr>
          <w:p w14:paraId="2B54720C" w14:textId="77777777" w:rsidR="009B78A4" w:rsidRPr="00B43216" w:rsidRDefault="009B78A4" w:rsidP="009B78A4">
            <w:pPr>
              <w:pStyle w:val="Marginlie"/>
              <w:rPr>
                <w:spacing w:val="-4"/>
              </w:rPr>
            </w:pPr>
          </w:p>
        </w:tc>
        <w:tc>
          <w:tcPr>
            <w:tcW w:w="216" w:type="dxa"/>
            <w:vMerge/>
            <w:shd w:val="clear" w:color="auto" w:fill="auto"/>
          </w:tcPr>
          <w:p w14:paraId="61A80628" w14:textId="77777777" w:rsidR="009B78A4" w:rsidRPr="00B43216" w:rsidRDefault="009B78A4" w:rsidP="009B78A4">
            <w:pPr>
              <w:pStyle w:val="Textpoznpodarou"/>
              <w:jc w:val="both"/>
              <w:rPr>
                <w:spacing w:val="-4"/>
              </w:rPr>
            </w:pPr>
          </w:p>
        </w:tc>
        <w:tc>
          <w:tcPr>
            <w:tcW w:w="7648" w:type="dxa"/>
            <w:shd w:val="clear" w:color="auto" w:fill="auto"/>
          </w:tcPr>
          <w:p w14:paraId="06011788" w14:textId="44385833" w:rsidR="009B78A4" w:rsidRPr="00B43216" w:rsidRDefault="00377B2E" w:rsidP="009B78A4">
            <w:pPr>
              <w:spacing w:after="0"/>
              <w:rPr>
                <w:spacing w:val="-4"/>
              </w:rPr>
            </w:pPr>
            <w:r>
              <w:rPr>
                <w:noProof/>
              </w:rPr>
              <w:t xml:space="preserve"> </w:t>
            </w:r>
            <w:r>
              <w:rPr>
                <w:noProof/>
              </w:rPr>
              <w:drawing>
                <wp:inline distT="0" distB="0" distL="0" distR="0" wp14:anchorId="61EC8875" wp14:editId="1966F082">
                  <wp:extent cx="4715772" cy="3434342"/>
                  <wp:effectExtent l="0" t="0" r="8890" b="0"/>
                  <wp:docPr id="6"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9B78A4" w:rsidRPr="00B43216" w14:paraId="40954C4F" w14:textId="77777777" w:rsidTr="009B78A4">
        <w:trPr>
          <w:trHeight w:val="155"/>
        </w:trPr>
        <w:tc>
          <w:tcPr>
            <w:tcW w:w="1790" w:type="dxa"/>
            <w:vMerge/>
            <w:shd w:val="clear" w:color="auto" w:fill="auto"/>
            <w:tcMar>
              <w:left w:w="0" w:type="dxa"/>
            </w:tcMar>
          </w:tcPr>
          <w:p w14:paraId="0F34696E" w14:textId="77777777" w:rsidR="009B78A4" w:rsidRPr="00B43216" w:rsidRDefault="009B78A4" w:rsidP="009B78A4">
            <w:pPr>
              <w:pStyle w:val="Marginlie"/>
              <w:rPr>
                <w:spacing w:val="-4"/>
              </w:rPr>
            </w:pPr>
          </w:p>
        </w:tc>
        <w:tc>
          <w:tcPr>
            <w:tcW w:w="216" w:type="dxa"/>
            <w:vMerge/>
            <w:shd w:val="clear" w:color="auto" w:fill="auto"/>
            <w:tcMar>
              <w:left w:w="0" w:type="dxa"/>
            </w:tcMar>
          </w:tcPr>
          <w:p w14:paraId="68BD5209"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21255DD7" w14:textId="3313AA01" w:rsidR="009B78A4" w:rsidRDefault="009B78A4" w:rsidP="009B78A4">
            <w:pPr>
              <w:spacing w:after="0" w:line="240" w:lineRule="auto"/>
              <w:rPr>
                <w:rFonts w:cs="Arial"/>
                <w:color w:val="0D0D0D" w:themeColor="text1" w:themeTint="F2"/>
                <w:sz w:val="14"/>
                <w:szCs w:val="14"/>
              </w:rPr>
            </w:pPr>
            <w:r>
              <w:rPr>
                <w:rFonts w:cs="Arial"/>
                <w:color w:val="0D0D0D" w:themeColor="text1" w:themeTint="F2"/>
                <w:sz w:val="14"/>
                <w:szCs w:val="14"/>
              </w:rPr>
              <w:t>Pozn.</w:t>
            </w:r>
            <w:r w:rsidR="00DB321D">
              <w:rPr>
                <w:rFonts w:cs="Arial"/>
                <w:color w:val="0D0D0D" w:themeColor="text1" w:themeTint="F2"/>
                <w:sz w:val="14"/>
                <w:szCs w:val="14"/>
              </w:rPr>
              <w:t>:</w:t>
            </w:r>
            <w:r>
              <w:rPr>
                <w:rFonts w:cs="Arial"/>
                <w:color w:val="0D0D0D" w:themeColor="text1" w:themeTint="F2"/>
                <w:sz w:val="14"/>
                <w:szCs w:val="14"/>
              </w:rPr>
              <w:t xml:space="preserve"> Údaje </w:t>
            </w:r>
            <w:r w:rsidR="00283F7B">
              <w:rPr>
                <w:rFonts w:cs="Arial"/>
                <w:color w:val="0D0D0D" w:themeColor="text1" w:themeTint="F2"/>
                <w:sz w:val="14"/>
                <w:szCs w:val="14"/>
              </w:rPr>
              <w:t>o </w:t>
            </w:r>
            <w:r>
              <w:rPr>
                <w:rFonts w:cs="Arial"/>
                <w:color w:val="0D0D0D" w:themeColor="text1" w:themeTint="F2"/>
                <w:sz w:val="14"/>
                <w:szCs w:val="14"/>
              </w:rPr>
              <w:t>míře nezaměstnanosti jsou po sezónním očištění, ostatní ukazatele nikoliv.</w:t>
            </w:r>
          </w:p>
          <w:p w14:paraId="318DC73D" w14:textId="47B6E2EA" w:rsidR="009B78A4" w:rsidRDefault="009B78A4" w:rsidP="009B78A4">
            <w:pPr>
              <w:spacing w:after="0" w:line="240" w:lineRule="auto"/>
              <w:rPr>
                <w:rFonts w:cs="Arial"/>
                <w:color w:val="0D0D0D" w:themeColor="text1" w:themeTint="F2"/>
                <w:sz w:val="14"/>
                <w:szCs w:val="14"/>
              </w:rPr>
            </w:pPr>
            <w:r>
              <w:rPr>
                <w:rFonts w:cs="Arial"/>
                <w:bCs/>
                <w:color w:val="0D0D0D" w:themeColor="text1" w:themeTint="F2"/>
                <w:sz w:val="14"/>
                <w:szCs w:val="14"/>
              </w:rPr>
              <w:t>*</w:t>
            </w:r>
            <w:r w:rsidRPr="00FF12EF">
              <w:rPr>
                <w:rFonts w:cs="Arial"/>
                <w:bCs/>
                <w:color w:val="0D0D0D" w:themeColor="text1" w:themeTint="F2"/>
                <w:sz w:val="14"/>
                <w:szCs w:val="14"/>
              </w:rPr>
              <w:t xml:space="preserve">Jde </w:t>
            </w:r>
            <w:r w:rsidR="00283F7B" w:rsidRPr="00FF12EF">
              <w:rPr>
                <w:rFonts w:cs="Arial"/>
                <w:bCs/>
                <w:color w:val="0D0D0D" w:themeColor="text1" w:themeTint="F2"/>
                <w:sz w:val="14"/>
                <w:szCs w:val="14"/>
              </w:rPr>
              <w:t>o</w:t>
            </w:r>
            <w:r w:rsidR="00283F7B">
              <w:rPr>
                <w:rFonts w:cs="Arial"/>
                <w:bCs/>
                <w:color w:val="0D0D0D" w:themeColor="text1" w:themeTint="F2"/>
                <w:sz w:val="14"/>
                <w:szCs w:val="14"/>
              </w:rPr>
              <w:t> </w:t>
            </w:r>
            <w:r w:rsidRPr="00FF12EF">
              <w:rPr>
                <w:rFonts w:cs="Arial"/>
                <w:bCs/>
                <w:color w:val="0D0D0D" w:themeColor="text1" w:themeTint="F2"/>
                <w:sz w:val="14"/>
                <w:szCs w:val="14"/>
              </w:rPr>
              <w:t>osoby, které nepracují, aktivně práci nehledají (</w:t>
            </w:r>
            <w:r w:rsidR="00283F7B" w:rsidRPr="00FF12EF">
              <w:rPr>
                <w:rFonts w:cs="Arial"/>
                <w:bCs/>
                <w:color w:val="0D0D0D" w:themeColor="text1" w:themeTint="F2"/>
                <w:sz w:val="14"/>
                <w:szCs w:val="14"/>
              </w:rPr>
              <w:t>a</w:t>
            </w:r>
            <w:r w:rsidR="00283F7B">
              <w:rPr>
                <w:rFonts w:cs="Arial"/>
                <w:bCs/>
                <w:color w:val="0D0D0D" w:themeColor="text1" w:themeTint="F2"/>
                <w:sz w:val="14"/>
                <w:szCs w:val="14"/>
              </w:rPr>
              <w:t> </w:t>
            </w:r>
            <w:r w:rsidRPr="00FF12EF">
              <w:rPr>
                <w:rFonts w:cs="Arial"/>
                <w:bCs/>
                <w:color w:val="0D0D0D" w:themeColor="text1" w:themeTint="F2"/>
                <w:sz w:val="14"/>
                <w:szCs w:val="14"/>
              </w:rPr>
              <w:t>nesplňují tak podmínky ILO pro nezaměstnané),</w:t>
            </w:r>
            <w:r w:rsidRPr="00FF12EF">
              <w:rPr>
                <w:rFonts w:cs="Arial"/>
                <w:color w:val="0D0D0D" w:themeColor="text1" w:themeTint="F2"/>
                <w:sz w:val="14"/>
                <w:szCs w:val="14"/>
              </w:rPr>
              <w:t xml:space="preserve"> ale přitom </w:t>
            </w:r>
            <w:r>
              <w:rPr>
                <w:rFonts w:cs="Arial"/>
                <w:color w:val="0D0D0D" w:themeColor="text1" w:themeTint="F2"/>
                <w:sz w:val="14"/>
                <w:szCs w:val="14"/>
              </w:rPr>
              <w:t>uvádějí, že by chtěly pracovat.</w:t>
            </w:r>
          </w:p>
          <w:p w14:paraId="4201227F" w14:textId="5C8BBC7F" w:rsidR="009B78A4" w:rsidRPr="00DB321D" w:rsidRDefault="009B78A4" w:rsidP="00223185">
            <w:pPr>
              <w:spacing w:after="200" w:line="240" w:lineRule="auto"/>
              <w:rPr>
                <w:rFonts w:cs="Arial"/>
                <w:color w:val="0D0D0D" w:themeColor="text1" w:themeTint="F2"/>
                <w:spacing w:val="-2"/>
                <w:sz w:val="14"/>
                <w:szCs w:val="14"/>
              </w:rPr>
            </w:pPr>
            <w:r w:rsidRPr="00CD1140">
              <w:rPr>
                <w:rFonts w:cs="Arial"/>
                <w:color w:val="0D0D0D" w:themeColor="text1" w:themeTint="F2"/>
                <w:spacing w:val="-2"/>
                <w:sz w:val="14"/>
                <w:szCs w:val="14"/>
              </w:rPr>
              <w:t>**Očekávání v příštích 1</w:t>
            </w:r>
            <w:r w:rsidR="00EE2EB4" w:rsidRPr="00CD1140">
              <w:rPr>
                <w:rFonts w:cs="Arial"/>
                <w:color w:val="0D0D0D" w:themeColor="text1" w:themeTint="F2"/>
                <w:spacing w:val="-2"/>
                <w:sz w:val="14"/>
                <w:szCs w:val="14"/>
              </w:rPr>
              <w:t>2</w:t>
            </w:r>
            <w:r w:rsidR="00EE2EB4">
              <w:rPr>
                <w:rFonts w:cs="Arial"/>
                <w:color w:val="0D0D0D" w:themeColor="text1" w:themeTint="F2"/>
                <w:spacing w:val="-2"/>
                <w:sz w:val="14"/>
                <w:szCs w:val="14"/>
              </w:rPr>
              <w:t> </w:t>
            </w:r>
            <w:r w:rsidRPr="00CD1140">
              <w:rPr>
                <w:rFonts w:cs="Arial"/>
                <w:color w:val="0D0D0D" w:themeColor="text1" w:themeTint="F2"/>
                <w:spacing w:val="-2"/>
                <w:sz w:val="14"/>
                <w:szCs w:val="14"/>
              </w:rPr>
              <w:t>měsících (</w:t>
            </w:r>
            <w:r w:rsidR="00283F7B" w:rsidRPr="00CD1140">
              <w:rPr>
                <w:rFonts w:cs="Arial"/>
                <w:color w:val="0D0D0D" w:themeColor="text1" w:themeTint="F2"/>
                <w:spacing w:val="-2"/>
                <w:sz w:val="14"/>
                <w:szCs w:val="14"/>
              </w:rPr>
              <w:t>u</w:t>
            </w:r>
            <w:r w:rsidR="00283F7B">
              <w:rPr>
                <w:rFonts w:cs="Arial"/>
                <w:color w:val="0D0D0D" w:themeColor="text1" w:themeTint="F2"/>
                <w:spacing w:val="-2"/>
                <w:sz w:val="14"/>
                <w:szCs w:val="14"/>
              </w:rPr>
              <w:t> </w:t>
            </w:r>
            <w:r w:rsidRPr="00CD1140">
              <w:rPr>
                <w:rFonts w:cs="Arial"/>
                <w:color w:val="0D0D0D" w:themeColor="text1" w:themeTint="F2"/>
                <w:spacing w:val="-2"/>
                <w:sz w:val="14"/>
                <w:szCs w:val="14"/>
              </w:rPr>
              <w:t>spotřebitelů). Vyjadřuje rozdíl v p.</w:t>
            </w:r>
            <w:r w:rsidR="00DB321D">
              <w:rPr>
                <w:rFonts w:cs="Arial"/>
                <w:color w:val="0D0D0D" w:themeColor="text1" w:themeTint="F2"/>
                <w:spacing w:val="-2"/>
                <w:sz w:val="14"/>
                <w:szCs w:val="14"/>
              </w:rPr>
              <w:t> </w:t>
            </w:r>
            <w:r w:rsidRPr="00CD1140">
              <w:rPr>
                <w:rFonts w:cs="Arial"/>
                <w:color w:val="0D0D0D" w:themeColor="text1" w:themeTint="F2"/>
                <w:spacing w:val="-2"/>
                <w:sz w:val="14"/>
                <w:szCs w:val="14"/>
              </w:rPr>
              <w:t>b. mezi kategoriemi (růst vs. pokles nezaměstnanosti)</w:t>
            </w:r>
            <w:r>
              <w:rPr>
                <w:rFonts w:cs="Arial"/>
                <w:color w:val="0D0D0D" w:themeColor="text1" w:themeTint="F2"/>
                <w:sz w:val="14"/>
                <w:szCs w:val="14"/>
              </w:rPr>
              <w:t>.</w:t>
            </w:r>
            <w:r w:rsidR="00DB321D">
              <w:rPr>
                <w:rFonts w:cs="Arial"/>
                <w:color w:val="0D0D0D" w:themeColor="text1" w:themeTint="F2"/>
                <w:sz w:val="14"/>
                <w:szCs w:val="14"/>
              </w:rPr>
              <w:t xml:space="preserve"> </w:t>
            </w:r>
            <w:r>
              <w:rPr>
                <w:rFonts w:cs="Arial"/>
                <w:color w:val="0D0D0D" w:themeColor="text1" w:themeTint="F2"/>
                <w:sz w:val="14"/>
                <w:szCs w:val="14"/>
              </w:rPr>
              <w:t>Zdroj: ČSÚ (VŠPS, konjunkturální průzkumy)</w:t>
            </w:r>
          </w:p>
        </w:tc>
      </w:tr>
      <w:tr w:rsidR="009B78A4" w:rsidRPr="00B43216" w14:paraId="2840B327" w14:textId="77777777" w:rsidTr="009B78A4">
        <w:trPr>
          <w:trHeight w:val="145"/>
        </w:trPr>
        <w:tc>
          <w:tcPr>
            <w:tcW w:w="1790" w:type="dxa"/>
            <w:shd w:val="clear" w:color="auto" w:fill="auto"/>
            <w:tcMar>
              <w:left w:w="0" w:type="dxa"/>
            </w:tcMar>
          </w:tcPr>
          <w:p w14:paraId="3128EC44" w14:textId="4B57B0AF" w:rsidR="009B78A4" w:rsidRDefault="009B78A4" w:rsidP="009B78A4">
            <w:pPr>
              <w:pStyle w:val="Marginlie"/>
            </w:pPr>
            <w:r>
              <w:t>Růst počtu volných pracovních míst se ve 3. čtvrtletí téměř zastavil. Zhruba tři čtvrtiny všech nabízených pozic cílily na uchazeče se základním vzděláním, resp.</w:t>
            </w:r>
            <w:r w:rsidR="000A242D">
              <w:t> </w:t>
            </w:r>
            <w:r>
              <w:t>na cizince.</w:t>
            </w:r>
          </w:p>
          <w:p w14:paraId="09FCC5CC" w14:textId="77777777" w:rsidR="009B78A4" w:rsidRDefault="009B78A4" w:rsidP="009B78A4">
            <w:pPr>
              <w:pStyle w:val="Marginlie"/>
            </w:pPr>
          </w:p>
          <w:p w14:paraId="413CD576" w14:textId="77777777" w:rsidR="009B78A4" w:rsidRDefault="009B78A4" w:rsidP="009B78A4">
            <w:pPr>
              <w:pStyle w:val="Marginlie"/>
            </w:pPr>
          </w:p>
          <w:p w14:paraId="55D5EC1A" w14:textId="77777777" w:rsidR="009B78A4" w:rsidRDefault="009B78A4" w:rsidP="009B78A4">
            <w:pPr>
              <w:pStyle w:val="Marginlie"/>
            </w:pPr>
          </w:p>
          <w:p w14:paraId="0ACF924A" w14:textId="77777777" w:rsidR="009B78A4" w:rsidRDefault="009B78A4" w:rsidP="009B78A4">
            <w:pPr>
              <w:pStyle w:val="Marginlie"/>
            </w:pPr>
          </w:p>
          <w:p w14:paraId="582BE97D" w14:textId="77777777" w:rsidR="009B78A4" w:rsidRDefault="009B78A4" w:rsidP="009B78A4">
            <w:pPr>
              <w:pStyle w:val="Marginlie"/>
            </w:pPr>
          </w:p>
          <w:p w14:paraId="27A93AA0" w14:textId="573CE669" w:rsidR="009B78A4" w:rsidRDefault="009B78A4" w:rsidP="009B78A4">
            <w:pPr>
              <w:pStyle w:val="Marginlie"/>
            </w:pPr>
            <w:r>
              <w:t xml:space="preserve">Převis volných míst nad uchazeči </w:t>
            </w:r>
            <w:r w:rsidR="00283F7B">
              <w:t>o </w:t>
            </w:r>
            <w:r>
              <w:t>práci se rozšířil již do dvou třetin okresů ČR. Téměř třetina míst ale zůstává dlouhodobě neobsazena.</w:t>
            </w:r>
          </w:p>
          <w:p w14:paraId="5670F7F5" w14:textId="06CAE7BD" w:rsidR="009B78A4" w:rsidRPr="00B43216" w:rsidRDefault="009B78A4" w:rsidP="009B78A4">
            <w:pPr>
              <w:pStyle w:val="Marginlie"/>
              <w:rPr>
                <w:spacing w:val="-4"/>
              </w:rPr>
            </w:pPr>
          </w:p>
        </w:tc>
        <w:tc>
          <w:tcPr>
            <w:tcW w:w="216" w:type="dxa"/>
            <w:shd w:val="clear" w:color="auto" w:fill="auto"/>
            <w:tcMar>
              <w:left w:w="0" w:type="dxa"/>
            </w:tcMar>
          </w:tcPr>
          <w:p w14:paraId="46E55F40"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883EDA5" w14:textId="626F17F3" w:rsidR="009B78A4" w:rsidRPr="00B43216" w:rsidRDefault="009B78A4" w:rsidP="009B78A4">
            <w:pPr>
              <w:spacing w:after="200"/>
              <w:rPr>
                <w:spacing w:val="-4"/>
              </w:rPr>
            </w:pPr>
            <w:r>
              <w:rPr>
                <w:spacing w:val="-4"/>
              </w:rPr>
              <w:t>Na konci září 2019 nabízely úřady práce (ÚP) v ČR 345</w:t>
            </w:r>
            <w:r w:rsidR="00C5197D">
              <w:rPr>
                <w:spacing w:val="-4"/>
              </w:rPr>
              <w:t> tis.</w:t>
            </w:r>
            <w:r>
              <w:rPr>
                <w:spacing w:val="-4"/>
              </w:rPr>
              <w:t xml:space="preserve"> volných míst, meziročně o necelou desetinu více. Během 3</w:t>
            </w:r>
            <w:r w:rsidR="00EE2EB4">
              <w:rPr>
                <w:spacing w:val="-4"/>
              </w:rPr>
              <w:t>. čtvrtlet</w:t>
            </w:r>
            <w:r>
              <w:rPr>
                <w:spacing w:val="-4"/>
              </w:rPr>
              <w:t>í, kdy vrcholily některé sezónní práce, se ale počet míst již výrazněji neměnil</w:t>
            </w:r>
            <w:r w:rsidRPr="00D175A7">
              <w:rPr>
                <w:rStyle w:val="Znakapoznpodarou"/>
                <w:color w:val="0D0D0D" w:themeColor="text1" w:themeTint="F2"/>
                <w:spacing w:val="-2"/>
              </w:rPr>
              <w:footnoteReference w:id="11"/>
            </w:r>
            <w:r>
              <w:rPr>
                <w:spacing w:val="-4"/>
              </w:rPr>
              <w:t>. Tři čtvrtiny všech míst cílily na zahraniční pracovníky. I nadále přibývalo nejvíce pozic s nejnižšími kvalifikačními nároky –</w:t>
            </w:r>
            <w:r w:rsidR="000A242D">
              <w:rPr>
                <w:spacing w:val="-4"/>
              </w:rPr>
              <w:t> </w:t>
            </w:r>
            <w:r>
              <w:rPr>
                <w:spacing w:val="-4"/>
              </w:rPr>
              <w:t>pro lidi s maximálně základním vzděláním (meziročně +36,2</w:t>
            </w:r>
            <w:r w:rsidR="00C5197D">
              <w:rPr>
                <w:spacing w:val="-4"/>
              </w:rPr>
              <w:t> tis.</w:t>
            </w:r>
            <w:r>
              <w:rPr>
                <w:spacing w:val="-4"/>
              </w:rPr>
              <w:t>, resp.</w:t>
            </w:r>
            <w:r w:rsidR="000A242D">
              <w:rPr>
                <w:spacing w:val="-4"/>
              </w:rPr>
              <w:t> </w:t>
            </w:r>
            <w:r w:rsidR="00283F7B">
              <w:rPr>
                <w:spacing w:val="-4"/>
              </w:rPr>
              <w:t>o </w:t>
            </w:r>
            <w:r>
              <w:rPr>
                <w:spacing w:val="-4"/>
              </w:rPr>
              <w:t xml:space="preserve">šestinu). Naopak nabídka pro uchazeče s alespoň maturitním vzděláním se rozšířila jen </w:t>
            </w:r>
            <w:r w:rsidR="00283F7B">
              <w:rPr>
                <w:spacing w:val="-4"/>
              </w:rPr>
              <w:t>o </w:t>
            </w:r>
            <w:r>
              <w:rPr>
                <w:spacing w:val="-4"/>
              </w:rPr>
              <w:t>1,4</w:t>
            </w:r>
            <w:r w:rsidR="00C5197D">
              <w:rPr>
                <w:spacing w:val="-4"/>
              </w:rPr>
              <w:t> tis.</w:t>
            </w:r>
            <w:r>
              <w:rPr>
                <w:spacing w:val="-4"/>
              </w:rPr>
              <w:t xml:space="preserve"> míst, resp.</w:t>
            </w:r>
            <w:r w:rsidR="000A242D">
              <w:rPr>
                <w:spacing w:val="-4"/>
              </w:rPr>
              <w:t> o </w:t>
            </w:r>
            <w:r>
              <w:rPr>
                <w:spacing w:val="-4"/>
              </w:rPr>
              <w:t>4</w:t>
            </w:r>
            <w:r w:rsidR="00C5197D">
              <w:rPr>
                <w:spacing w:val="-4"/>
              </w:rPr>
              <w:t> %</w:t>
            </w:r>
            <w:r>
              <w:rPr>
                <w:spacing w:val="-4"/>
              </w:rPr>
              <w:t>. Zároveň ale klesl počet míst pro vyučené (</w:t>
            </w:r>
            <w:r w:rsidR="00283F7B">
              <w:rPr>
                <w:spacing w:val="-4"/>
              </w:rPr>
              <w:t>o </w:t>
            </w:r>
            <w:r>
              <w:rPr>
                <w:spacing w:val="-4"/>
              </w:rPr>
              <w:t>8,4</w:t>
            </w:r>
            <w:r w:rsidR="00C5197D">
              <w:rPr>
                <w:spacing w:val="-4"/>
              </w:rPr>
              <w:t> tis.</w:t>
            </w:r>
            <w:r>
              <w:rPr>
                <w:spacing w:val="-4"/>
              </w:rPr>
              <w:t>, resp.</w:t>
            </w:r>
            <w:r w:rsidR="000A242D">
              <w:rPr>
                <w:spacing w:val="-4"/>
              </w:rPr>
              <w:t> </w:t>
            </w:r>
            <w:r w:rsidR="00283F7B">
              <w:rPr>
                <w:spacing w:val="-4"/>
              </w:rPr>
              <w:t>o </w:t>
            </w:r>
            <w:r>
              <w:rPr>
                <w:spacing w:val="-4"/>
              </w:rPr>
              <w:t>11</w:t>
            </w:r>
            <w:r w:rsidR="00C5197D">
              <w:rPr>
                <w:spacing w:val="-4"/>
              </w:rPr>
              <w:t> %</w:t>
            </w:r>
            <w:r>
              <w:rPr>
                <w:spacing w:val="-4"/>
              </w:rPr>
              <w:t xml:space="preserve">), </w:t>
            </w:r>
            <w:r w:rsidR="000A242D">
              <w:rPr>
                <w:spacing w:val="-4"/>
              </w:rPr>
              <w:t xml:space="preserve">a to </w:t>
            </w:r>
            <w:r>
              <w:rPr>
                <w:spacing w:val="-4"/>
              </w:rPr>
              <w:t xml:space="preserve">poprvé od roku 2012. Z pohledu kvalifikace přibývalo míst hlavně v kategoriích obsluha strojů, montéři či řemeslníci </w:t>
            </w:r>
            <w:r w:rsidR="00283F7B">
              <w:rPr>
                <w:spacing w:val="-4"/>
              </w:rPr>
              <w:t>a </w:t>
            </w:r>
            <w:r>
              <w:rPr>
                <w:spacing w:val="-4"/>
              </w:rPr>
              <w:t xml:space="preserve">opraváři. Sílila poptávka po pracovnících v zemědělství či lesnictví. Naopak silný růst počtu míst pro pomocné </w:t>
            </w:r>
            <w:r w:rsidR="00283F7B">
              <w:rPr>
                <w:spacing w:val="-4"/>
              </w:rPr>
              <w:t>a </w:t>
            </w:r>
            <w:r>
              <w:rPr>
                <w:spacing w:val="-4"/>
              </w:rPr>
              <w:t>nekvalifikované pracovníky, typický pro roky 2017 i 2018, se letos téměř zastavil. Nerovnoměrně se vyvíjela nabídka míst z pohledu regionů –</w:t>
            </w:r>
            <w:r w:rsidR="000A242D">
              <w:rPr>
                <w:spacing w:val="-4"/>
              </w:rPr>
              <w:t> </w:t>
            </w:r>
            <w:r>
              <w:rPr>
                <w:spacing w:val="-4"/>
              </w:rPr>
              <w:t xml:space="preserve">svižně rostla v Praze, Středočeském </w:t>
            </w:r>
            <w:r w:rsidR="00283F7B">
              <w:rPr>
                <w:spacing w:val="-4"/>
              </w:rPr>
              <w:t>a </w:t>
            </w:r>
            <w:r>
              <w:rPr>
                <w:spacing w:val="-4"/>
              </w:rPr>
              <w:t>Plzeňském kraji, čtyři regiony již ale zaznamenaly meziroční pokles</w:t>
            </w:r>
            <w:r w:rsidRPr="00D175A7">
              <w:rPr>
                <w:rStyle w:val="Znakapoznpodarou"/>
                <w:color w:val="0D0D0D" w:themeColor="text1" w:themeTint="F2"/>
                <w:spacing w:val="-2"/>
              </w:rPr>
              <w:footnoteReference w:id="12"/>
            </w:r>
            <w:r>
              <w:rPr>
                <w:spacing w:val="-4"/>
              </w:rPr>
              <w:t xml:space="preserve">. Při pokračující redukci počtu registrovaných uchazečů </w:t>
            </w:r>
            <w:r w:rsidR="00283F7B">
              <w:rPr>
                <w:spacing w:val="-4"/>
              </w:rPr>
              <w:t>o </w:t>
            </w:r>
            <w:r>
              <w:rPr>
                <w:spacing w:val="-4"/>
              </w:rPr>
              <w:t xml:space="preserve">práci v ČR (meziročně </w:t>
            </w:r>
            <w:r w:rsidR="00283F7B">
              <w:rPr>
                <w:spacing w:val="-4"/>
              </w:rPr>
              <w:t>o </w:t>
            </w:r>
            <w:r>
              <w:rPr>
                <w:spacing w:val="-4"/>
              </w:rPr>
              <w:t>desetinu) se jejich šance na uplatnění dále mírně zvyšovala</w:t>
            </w:r>
            <w:r w:rsidRPr="00D175A7">
              <w:rPr>
                <w:rStyle w:val="Znakapoznpodarou"/>
                <w:color w:val="0D0D0D" w:themeColor="text1" w:themeTint="F2"/>
                <w:spacing w:val="-2"/>
              </w:rPr>
              <w:footnoteReference w:id="13"/>
            </w:r>
            <w:r>
              <w:rPr>
                <w:spacing w:val="-4"/>
              </w:rPr>
              <w:t>. Bezmála třetina všech volných míst v Česku byla v</w:t>
            </w:r>
            <w:r w:rsidR="000A242D">
              <w:rPr>
                <w:spacing w:val="-4"/>
              </w:rPr>
              <w:t> </w:t>
            </w:r>
            <w:r>
              <w:rPr>
                <w:spacing w:val="-4"/>
              </w:rPr>
              <w:t>nabídce</w:t>
            </w:r>
            <w:r w:rsidR="000A242D">
              <w:rPr>
                <w:spacing w:val="-4"/>
              </w:rPr>
              <w:t> </w:t>
            </w:r>
            <w:r>
              <w:rPr>
                <w:spacing w:val="-4"/>
              </w:rPr>
              <w:t>ÚP déle než rok (</w:t>
            </w:r>
            <w:r w:rsidR="00283F7B">
              <w:rPr>
                <w:spacing w:val="-4"/>
              </w:rPr>
              <w:t>v </w:t>
            </w:r>
            <w:r>
              <w:rPr>
                <w:spacing w:val="-4"/>
              </w:rPr>
              <w:t xml:space="preserve">Karlovarském </w:t>
            </w:r>
            <w:r w:rsidR="00283F7B">
              <w:rPr>
                <w:spacing w:val="-4"/>
              </w:rPr>
              <w:t>a </w:t>
            </w:r>
            <w:r>
              <w:rPr>
                <w:spacing w:val="-4"/>
              </w:rPr>
              <w:t>Libereckém kraji přes 40</w:t>
            </w:r>
            <w:r w:rsidR="00C5197D">
              <w:rPr>
                <w:spacing w:val="-4"/>
              </w:rPr>
              <w:t> %</w:t>
            </w:r>
            <w:r>
              <w:rPr>
                <w:spacing w:val="-4"/>
              </w:rPr>
              <w:t xml:space="preserve">, naopak v Praze </w:t>
            </w:r>
            <w:r w:rsidR="00283F7B">
              <w:rPr>
                <w:spacing w:val="-4"/>
              </w:rPr>
              <w:t>a </w:t>
            </w:r>
            <w:r>
              <w:rPr>
                <w:spacing w:val="-4"/>
              </w:rPr>
              <w:t>Ústeckém kraji jen čtvrtina).</w:t>
            </w:r>
          </w:p>
        </w:tc>
      </w:tr>
      <w:tr w:rsidR="009B78A4" w:rsidRPr="00B43216" w14:paraId="71AA4F10" w14:textId="77777777" w:rsidTr="009B78A4">
        <w:trPr>
          <w:trHeight w:val="145"/>
        </w:trPr>
        <w:tc>
          <w:tcPr>
            <w:tcW w:w="1790" w:type="dxa"/>
            <w:shd w:val="clear" w:color="auto" w:fill="auto"/>
            <w:tcMar>
              <w:left w:w="0" w:type="dxa"/>
            </w:tcMar>
          </w:tcPr>
          <w:p w14:paraId="17F0A0B4" w14:textId="303AD98B" w:rsidR="009B78A4" w:rsidRDefault="009B78A4" w:rsidP="009B78A4">
            <w:pPr>
              <w:pStyle w:val="Marginlie"/>
            </w:pPr>
            <w:r>
              <w:lastRenderedPageBreak/>
              <w:t xml:space="preserve">Tempo růstu průměrných mezd během roku 2019 mírně zpomalovalo, především vlivem vývoje </w:t>
            </w:r>
            <w:r w:rsidR="00283F7B">
              <w:t>v </w:t>
            </w:r>
            <w:r>
              <w:t>průmyslu.</w:t>
            </w:r>
          </w:p>
          <w:p w14:paraId="0551E49F" w14:textId="77777777" w:rsidR="009B78A4" w:rsidRDefault="009B78A4" w:rsidP="009B78A4">
            <w:pPr>
              <w:pStyle w:val="Marginlie"/>
            </w:pPr>
          </w:p>
          <w:p w14:paraId="31BC6953" w14:textId="77777777" w:rsidR="009B78A4" w:rsidRDefault="009B78A4" w:rsidP="009B78A4">
            <w:pPr>
              <w:pStyle w:val="Marginlie"/>
            </w:pPr>
          </w:p>
          <w:p w14:paraId="24216C85" w14:textId="77777777" w:rsidR="009B78A4" w:rsidRDefault="009B78A4" w:rsidP="009B78A4">
            <w:pPr>
              <w:pStyle w:val="Marginlie"/>
            </w:pPr>
          </w:p>
          <w:p w14:paraId="314CFC37" w14:textId="77777777" w:rsidR="009B78A4" w:rsidRDefault="009B78A4" w:rsidP="009B78A4">
            <w:pPr>
              <w:pStyle w:val="Marginlie"/>
            </w:pPr>
          </w:p>
          <w:p w14:paraId="717491E9" w14:textId="5B25B99F" w:rsidR="009B78A4" w:rsidRDefault="009B78A4" w:rsidP="009B78A4">
            <w:pPr>
              <w:pStyle w:val="Marginlie"/>
            </w:pPr>
            <w:r>
              <w:t xml:space="preserve">Dynamika mezd v obchodu zůstala stabilní již třetím rokem. Ve finančním sektoru ale zrychlila </w:t>
            </w:r>
            <w:r w:rsidR="00283F7B">
              <w:t>a </w:t>
            </w:r>
            <w:r>
              <w:t>zčásti kompenzovala slabší tempa z předchozích let.</w:t>
            </w:r>
          </w:p>
          <w:p w14:paraId="4ACE69E2" w14:textId="77777777" w:rsidR="009B78A4" w:rsidRDefault="009B78A4" w:rsidP="009B78A4">
            <w:pPr>
              <w:pStyle w:val="Marginlie"/>
            </w:pPr>
          </w:p>
        </w:tc>
        <w:tc>
          <w:tcPr>
            <w:tcW w:w="216" w:type="dxa"/>
            <w:shd w:val="clear" w:color="auto" w:fill="auto"/>
            <w:tcMar>
              <w:left w:w="0" w:type="dxa"/>
            </w:tcMar>
          </w:tcPr>
          <w:p w14:paraId="6BC0E69B"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625BAA8A" w14:textId="60392CC6" w:rsidR="009B78A4" w:rsidRDefault="009B78A4" w:rsidP="009B78A4">
            <w:pPr>
              <w:spacing w:after="200"/>
              <w:rPr>
                <w:spacing w:val="-4"/>
              </w:rPr>
            </w:pPr>
            <w:r w:rsidRPr="003B6B9D">
              <w:rPr>
                <w:spacing w:val="-4"/>
              </w:rPr>
              <w:t xml:space="preserve">Průměrná hrubá nominální měsíční mzda zaměstnance vzrostla </w:t>
            </w:r>
            <w:r>
              <w:rPr>
                <w:spacing w:val="-4"/>
              </w:rPr>
              <w:t xml:space="preserve">(dle podnikových statistik) </w:t>
            </w:r>
            <w:r w:rsidRPr="003B6B9D">
              <w:rPr>
                <w:spacing w:val="-4"/>
              </w:rPr>
              <w:t>ve 3</w:t>
            </w:r>
            <w:r w:rsidR="00EE2EB4">
              <w:rPr>
                <w:spacing w:val="-4"/>
              </w:rPr>
              <w:t>. čtvrtlet</w:t>
            </w:r>
            <w:r>
              <w:rPr>
                <w:spacing w:val="-4"/>
              </w:rPr>
              <w:t xml:space="preserve">í 2019 meziročně </w:t>
            </w:r>
            <w:r w:rsidR="00283F7B">
              <w:rPr>
                <w:spacing w:val="-4"/>
              </w:rPr>
              <w:t>o </w:t>
            </w:r>
            <w:r>
              <w:rPr>
                <w:spacing w:val="-4"/>
              </w:rPr>
              <w:t>6,9</w:t>
            </w:r>
            <w:r w:rsidR="00C5197D">
              <w:rPr>
                <w:spacing w:val="-4"/>
              </w:rPr>
              <w:t> %</w:t>
            </w:r>
            <w:r w:rsidRPr="00D175A7">
              <w:rPr>
                <w:rStyle w:val="Znakapoznpodarou"/>
                <w:color w:val="0D0D0D" w:themeColor="text1" w:themeTint="F2"/>
                <w:spacing w:val="-2"/>
              </w:rPr>
              <w:footnoteReference w:id="14"/>
            </w:r>
            <w:r>
              <w:rPr>
                <w:spacing w:val="-4"/>
              </w:rPr>
              <w:t xml:space="preserve"> </w:t>
            </w:r>
            <w:r w:rsidR="00283F7B">
              <w:rPr>
                <w:spacing w:val="-4"/>
              </w:rPr>
              <w:t>a </w:t>
            </w:r>
            <w:r>
              <w:rPr>
                <w:spacing w:val="-4"/>
              </w:rPr>
              <w:t xml:space="preserve">od počátku roku v úhrnu </w:t>
            </w:r>
            <w:r w:rsidR="00283F7B">
              <w:rPr>
                <w:spacing w:val="-4"/>
              </w:rPr>
              <w:t>o </w:t>
            </w:r>
            <w:r>
              <w:rPr>
                <w:spacing w:val="-4"/>
              </w:rPr>
              <w:t>7,2</w:t>
            </w:r>
            <w:r w:rsidR="00C5197D">
              <w:rPr>
                <w:spacing w:val="-4"/>
              </w:rPr>
              <w:t> %</w:t>
            </w:r>
            <w:r>
              <w:rPr>
                <w:spacing w:val="-4"/>
              </w:rPr>
              <w:t xml:space="preserve">. Za mírným zpomalením (indikovaným během roku 2019 </w:t>
            </w:r>
            <w:r w:rsidR="00283F7B">
              <w:rPr>
                <w:spacing w:val="-4"/>
              </w:rPr>
              <w:t>i </w:t>
            </w:r>
            <w:r>
              <w:rPr>
                <w:spacing w:val="-4"/>
              </w:rPr>
              <w:t xml:space="preserve">slabšími mezičtvrtletními tempy) stál hlavně průmysl společně se stavebnictvím </w:t>
            </w:r>
            <w:r w:rsidR="00283F7B">
              <w:rPr>
                <w:spacing w:val="-4"/>
              </w:rPr>
              <w:t>i </w:t>
            </w:r>
            <w:r>
              <w:rPr>
                <w:spacing w:val="-4"/>
              </w:rPr>
              <w:t xml:space="preserve">odvětvím veřejné správy </w:t>
            </w:r>
            <w:r w:rsidR="00283F7B">
              <w:rPr>
                <w:spacing w:val="-4"/>
              </w:rPr>
              <w:t>a </w:t>
            </w:r>
            <w:r>
              <w:rPr>
                <w:spacing w:val="-4"/>
              </w:rPr>
              <w:t>obrany. Ve většině odvětví tržních služeb, těžících ze stabilnější tuzemské poptávky, svižný mzdový růst nepolevoval (</w:t>
            </w:r>
            <w:r w:rsidR="00283F7B">
              <w:rPr>
                <w:spacing w:val="-4"/>
              </w:rPr>
              <w:t>v </w:t>
            </w:r>
            <w:r>
              <w:rPr>
                <w:spacing w:val="-4"/>
              </w:rPr>
              <w:t xml:space="preserve">peněžnictví </w:t>
            </w:r>
            <w:r w:rsidR="00283F7B">
              <w:rPr>
                <w:spacing w:val="-4"/>
              </w:rPr>
              <w:t>a </w:t>
            </w:r>
            <w:r>
              <w:rPr>
                <w:spacing w:val="-4"/>
              </w:rPr>
              <w:t xml:space="preserve">pojišťovnictví dokonce sílil). V úhrnu za </w:t>
            </w:r>
            <w:r w:rsidR="00283F7B">
              <w:rPr>
                <w:spacing w:val="-4"/>
              </w:rPr>
              <w:t>1. </w:t>
            </w:r>
            <w:r>
              <w:rPr>
                <w:spacing w:val="-4"/>
              </w:rPr>
              <w:t>až 3</w:t>
            </w:r>
            <w:r w:rsidR="00EE2EB4">
              <w:rPr>
                <w:spacing w:val="-4"/>
              </w:rPr>
              <w:t>. čtvrtlet</w:t>
            </w:r>
            <w:r>
              <w:rPr>
                <w:spacing w:val="-4"/>
              </w:rPr>
              <w:t>í se průměrné výdělky zvýšily nejvíce ve vzdělávání (+10,8</w:t>
            </w:r>
            <w:r w:rsidR="00C5197D">
              <w:rPr>
                <w:spacing w:val="-4"/>
              </w:rPr>
              <w:t> %</w:t>
            </w:r>
            <w:r>
              <w:rPr>
                <w:spacing w:val="-4"/>
              </w:rPr>
              <w:t xml:space="preserve">) </w:t>
            </w:r>
            <w:r w:rsidR="00283F7B">
              <w:rPr>
                <w:spacing w:val="-4"/>
              </w:rPr>
              <w:t>a v </w:t>
            </w:r>
            <w:r>
              <w:rPr>
                <w:spacing w:val="-4"/>
              </w:rPr>
              <w:t>k</w:t>
            </w:r>
            <w:r w:rsidRPr="004422EB">
              <w:rPr>
                <w:spacing w:val="-4"/>
              </w:rPr>
              <w:t>ulturní</w:t>
            </w:r>
            <w:r>
              <w:rPr>
                <w:spacing w:val="-4"/>
              </w:rPr>
              <w:t>ch</w:t>
            </w:r>
            <w:r w:rsidRPr="004422EB">
              <w:rPr>
                <w:spacing w:val="-4"/>
              </w:rPr>
              <w:t>, zábavní</w:t>
            </w:r>
            <w:r>
              <w:rPr>
                <w:spacing w:val="-4"/>
              </w:rPr>
              <w:t>ch</w:t>
            </w:r>
            <w:r w:rsidRPr="004422EB">
              <w:rPr>
                <w:spacing w:val="-4"/>
              </w:rPr>
              <w:t xml:space="preserve"> </w:t>
            </w:r>
            <w:r w:rsidR="00283F7B" w:rsidRPr="004422EB">
              <w:rPr>
                <w:spacing w:val="-4"/>
              </w:rPr>
              <w:t>a</w:t>
            </w:r>
            <w:r w:rsidR="00283F7B">
              <w:rPr>
                <w:spacing w:val="-4"/>
              </w:rPr>
              <w:t> </w:t>
            </w:r>
            <w:r w:rsidRPr="004422EB">
              <w:rPr>
                <w:spacing w:val="-4"/>
              </w:rPr>
              <w:t>rekreační</w:t>
            </w:r>
            <w:r>
              <w:rPr>
                <w:spacing w:val="-4"/>
              </w:rPr>
              <w:t>ch činnostech (+10,7</w:t>
            </w:r>
            <w:r w:rsidR="00C5197D">
              <w:rPr>
                <w:spacing w:val="-4"/>
              </w:rPr>
              <w:t> %</w:t>
            </w:r>
            <w:r>
              <w:rPr>
                <w:spacing w:val="-4"/>
              </w:rPr>
              <w:t xml:space="preserve">). </w:t>
            </w:r>
            <w:r w:rsidR="00283F7B">
              <w:rPr>
                <w:spacing w:val="-4"/>
              </w:rPr>
              <w:t>I </w:t>
            </w:r>
            <w:r>
              <w:rPr>
                <w:spacing w:val="-4"/>
              </w:rPr>
              <w:t>tak ale jejich výše stále nedosahovala úrovně celé ekonomiky. Ve váhově dominantním zpracovatelském průmyslu mzdové tempo zvolnilo na tříleté minimum (+6,4</w:t>
            </w:r>
            <w:r w:rsidR="00C5197D">
              <w:rPr>
                <w:spacing w:val="-4"/>
              </w:rPr>
              <w:t> %</w:t>
            </w:r>
            <w:r>
              <w:rPr>
                <w:spacing w:val="-4"/>
              </w:rPr>
              <w:t xml:space="preserve">), což bylo dále umocněno </w:t>
            </w:r>
            <w:r w:rsidR="00283F7B">
              <w:rPr>
                <w:spacing w:val="-4"/>
              </w:rPr>
              <w:t>i </w:t>
            </w:r>
            <w:r>
              <w:rPr>
                <w:spacing w:val="-4"/>
              </w:rPr>
              <w:t xml:space="preserve">redukcí zaměstnanosti. Obdobné mzdové tempo zaznamenalo </w:t>
            </w:r>
            <w:r w:rsidR="00283F7B">
              <w:rPr>
                <w:spacing w:val="-4"/>
              </w:rPr>
              <w:t>i </w:t>
            </w:r>
            <w:r>
              <w:rPr>
                <w:spacing w:val="-4"/>
              </w:rPr>
              <w:t>stavebnictví čelící sílícím nákladovým tlaků</w:t>
            </w:r>
            <w:r w:rsidR="00B102CE">
              <w:rPr>
                <w:spacing w:val="-4"/>
              </w:rPr>
              <w:t>m</w:t>
            </w:r>
            <w:r>
              <w:rPr>
                <w:spacing w:val="-4"/>
              </w:rPr>
              <w:t xml:space="preserve"> vlivem růstu cen meziproduktů. V odvětví obchodu osciloval mzdový růst kolem 7</w:t>
            </w:r>
            <w:r w:rsidR="00C5197D">
              <w:rPr>
                <w:spacing w:val="-4"/>
              </w:rPr>
              <w:t> %</w:t>
            </w:r>
            <w:r>
              <w:rPr>
                <w:spacing w:val="-4"/>
              </w:rPr>
              <w:t xml:space="preserve"> již třetím rokem. V rámci tržních služeb si letos nejvíce polepšili zaměstnanci v peněžnictví </w:t>
            </w:r>
            <w:r w:rsidR="00283F7B">
              <w:rPr>
                <w:spacing w:val="-4"/>
              </w:rPr>
              <w:t>a </w:t>
            </w:r>
            <w:r>
              <w:rPr>
                <w:spacing w:val="-4"/>
              </w:rPr>
              <w:t xml:space="preserve">pojišťovnictví, kde 8,3% růst zčásti kompenzoval nižší mzdovou dynamiku v předešlých čtyřech letech. Naopak slabší letošní tempo průměrných výdělků v profesních, vědeckých </w:t>
            </w:r>
            <w:r w:rsidR="00935F70">
              <w:rPr>
                <w:spacing w:val="-4"/>
              </w:rPr>
              <w:t>a </w:t>
            </w:r>
            <w:r>
              <w:rPr>
                <w:spacing w:val="-4"/>
              </w:rPr>
              <w:t xml:space="preserve">technických činnostech </w:t>
            </w:r>
            <w:r w:rsidR="00283F7B">
              <w:rPr>
                <w:spacing w:val="-4"/>
              </w:rPr>
              <w:t>a </w:t>
            </w:r>
            <w:r>
              <w:rPr>
                <w:spacing w:val="-4"/>
              </w:rPr>
              <w:t>také v i</w:t>
            </w:r>
            <w:r w:rsidRPr="00E670E4">
              <w:rPr>
                <w:spacing w:val="-4"/>
              </w:rPr>
              <w:t>nformační</w:t>
            </w:r>
            <w:r>
              <w:rPr>
                <w:spacing w:val="-4"/>
              </w:rPr>
              <w:t>ch</w:t>
            </w:r>
            <w:r w:rsidRPr="00E670E4">
              <w:rPr>
                <w:spacing w:val="-4"/>
              </w:rPr>
              <w:t xml:space="preserve"> </w:t>
            </w:r>
            <w:r w:rsidR="00283F7B" w:rsidRPr="00E670E4">
              <w:rPr>
                <w:spacing w:val="-4"/>
              </w:rPr>
              <w:t>a</w:t>
            </w:r>
            <w:r w:rsidR="00283F7B">
              <w:rPr>
                <w:spacing w:val="-4"/>
              </w:rPr>
              <w:t> </w:t>
            </w:r>
            <w:r w:rsidRPr="00E670E4">
              <w:rPr>
                <w:spacing w:val="-4"/>
              </w:rPr>
              <w:t>komunikační</w:t>
            </w:r>
            <w:r>
              <w:rPr>
                <w:spacing w:val="-4"/>
              </w:rPr>
              <w:t>ch činnostech</w:t>
            </w:r>
            <w:r w:rsidRPr="00E670E4">
              <w:rPr>
                <w:spacing w:val="-4"/>
              </w:rPr>
              <w:t xml:space="preserve"> </w:t>
            </w:r>
            <w:r>
              <w:rPr>
                <w:spacing w:val="-4"/>
              </w:rPr>
              <w:t>(shodně okolo 5,5</w:t>
            </w:r>
            <w:r w:rsidR="00C5197D">
              <w:rPr>
                <w:spacing w:val="-4"/>
              </w:rPr>
              <w:t> %</w:t>
            </w:r>
            <w:r>
              <w:rPr>
                <w:spacing w:val="-4"/>
              </w:rPr>
              <w:t>) bylo ovlivněno svižným růstem evidenčního počtu zaměstnanců (</w:t>
            </w:r>
            <w:r w:rsidR="00283F7B">
              <w:rPr>
                <w:spacing w:val="-4"/>
              </w:rPr>
              <w:t>o </w:t>
            </w:r>
            <w:r>
              <w:rPr>
                <w:spacing w:val="-4"/>
              </w:rPr>
              <w:t>téměř 3</w:t>
            </w:r>
            <w:r w:rsidR="00C5197D">
              <w:rPr>
                <w:spacing w:val="-4"/>
              </w:rPr>
              <w:t> %</w:t>
            </w:r>
            <w:r>
              <w:rPr>
                <w:spacing w:val="-4"/>
              </w:rPr>
              <w:t>).</w:t>
            </w:r>
          </w:p>
        </w:tc>
      </w:tr>
      <w:tr w:rsidR="009B78A4" w:rsidRPr="00B43216" w14:paraId="38257BBE" w14:textId="77777777" w:rsidTr="009B78A4">
        <w:trPr>
          <w:trHeight w:val="145"/>
        </w:trPr>
        <w:tc>
          <w:tcPr>
            <w:tcW w:w="1790" w:type="dxa"/>
            <w:shd w:val="clear" w:color="auto" w:fill="auto"/>
            <w:tcMar>
              <w:left w:w="0" w:type="dxa"/>
            </w:tcMar>
          </w:tcPr>
          <w:p w14:paraId="020241B2" w14:textId="77777777" w:rsidR="009B78A4" w:rsidRDefault="009B78A4" w:rsidP="009B78A4">
            <w:pPr>
              <w:pStyle w:val="Marginlie"/>
            </w:pPr>
            <w:r>
              <w:t>Trend mírného poklesu mzdové diferenciace se letos zastavil.</w:t>
            </w:r>
          </w:p>
          <w:p w14:paraId="2B9EEF34" w14:textId="77777777" w:rsidR="009B78A4" w:rsidRDefault="009B78A4" w:rsidP="009B78A4">
            <w:pPr>
              <w:pStyle w:val="Marginlie"/>
            </w:pPr>
          </w:p>
          <w:p w14:paraId="0B4B77CF" w14:textId="77777777" w:rsidR="009B78A4" w:rsidRDefault="009B78A4" w:rsidP="009B78A4">
            <w:pPr>
              <w:pStyle w:val="Marginlie"/>
            </w:pPr>
          </w:p>
          <w:p w14:paraId="6940097A" w14:textId="77777777" w:rsidR="009B78A4" w:rsidRDefault="009B78A4" w:rsidP="009B78A4">
            <w:pPr>
              <w:pStyle w:val="Marginlie"/>
            </w:pPr>
          </w:p>
          <w:p w14:paraId="618EC6F6" w14:textId="321905B3" w:rsidR="009B78A4" w:rsidRDefault="009B78A4" w:rsidP="009B78A4">
            <w:pPr>
              <w:pStyle w:val="Marginlie"/>
            </w:pPr>
            <w:r>
              <w:t>Růst kupní síly mezd byl v posledních čtvrtletích mírně korigován, v dlouhodobém pohledu ale zůstal vysoký.</w:t>
            </w:r>
          </w:p>
        </w:tc>
        <w:tc>
          <w:tcPr>
            <w:tcW w:w="216" w:type="dxa"/>
            <w:shd w:val="clear" w:color="auto" w:fill="auto"/>
            <w:tcMar>
              <w:left w:w="0" w:type="dxa"/>
            </w:tcMar>
          </w:tcPr>
          <w:p w14:paraId="3D73AB33"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197BA995" w14:textId="6274B4CF" w:rsidR="009B78A4" w:rsidRDefault="009B78A4" w:rsidP="009B78A4">
            <w:pPr>
              <w:spacing w:after="200"/>
              <w:rPr>
                <w:spacing w:val="-4"/>
              </w:rPr>
            </w:pPr>
            <w:r>
              <w:rPr>
                <w:spacing w:val="-4"/>
              </w:rPr>
              <w:t>Celková mzdová diferenciace se letos n</w:t>
            </w:r>
            <w:r w:rsidRPr="004A4EC6">
              <w:rPr>
                <w:spacing w:val="-4"/>
              </w:rPr>
              <w:t xml:space="preserve">a rozdíl </w:t>
            </w:r>
            <w:r w:rsidR="00935F70">
              <w:rPr>
                <w:spacing w:val="-4"/>
              </w:rPr>
              <w:t xml:space="preserve">od </w:t>
            </w:r>
            <w:r w:rsidRPr="004A4EC6">
              <w:rPr>
                <w:spacing w:val="-4"/>
              </w:rPr>
              <w:t>předchozích tří let</w:t>
            </w:r>
            <w:r>
              <w:rPr>
                <w:spacing w:val="-4"/>
              </w:rPr>
              <w:t xml:space="preserve"> již nesnižovala. Mírně nadprůměrného meziročního růstu dosáhly výdělky v nejnižším, ale </w:t>
            </w:r>
            <w:r w:rsidR="00283F7B">
              <w:rPr>
                <w:spacing w:val="-4"/>
              </w:rPr>
              <w:t>i </w:t>
            </w:r>
            <w:r>
              <w:rPr>
                <w:spacing w:val="-4"/>
              </w:rPr>
              <w:t xml:space="preserve">nejvyšším mzdovém decilu. Projevil se jak vliv opakovaného navyšování minimální mzdy, tak </w:t>
            </w:r>
            <w:r w:rsidR="00283F7B">
              <w:rPr>
                <w:spacing w:val="-4"/>
              </w:rPr>
              <w:t>i </w:t>
            </w:r>
            <w:r>
              <w:rPr>
                <w:spacing w:val="-4"/>
              </w:rPr>
              <w:t xml:space="preserve">mzdová akcelerace ve finančním sektoru. Oproti předešlým rokům byl letos více diferencován </w:t>
            </w:r>
            <w:r w:rsidR="00283F7B">
              <w:rPr>
                <w:spacing w:val="-4"/>
              </w:rPr>
              <w:t>i </w:t>
            </w:r>
            <w:r>
              <w:rPr>
                <w:spacing w:val="-4"/>
              </w:rPr>
              <w:t>růst platů v rámci veřejného sektoru. Mzdový medián vzrostl v </w:t>
            </w:r>
            <w:r w:rsidR="00283F7B">
              <w:rPr>
                <w:spacing w:val="-4"/>
              </w:rPr>
              <w:t>1. </w:t>
            </w:r>
            <w:r>
              <w:rPr>
                <w:spacing w:val="-4"/>
              </w:rPr>
              <w:t>až 3</w:t>
            </w:r>
            <w:r w:rsidR="00EE2EB4">
              <w:rPr>
                <w:spacing w:val="-4"/>
              </w:rPr>
              <w:t>. čtvrtlet</w:t>
            </w:r>
            <w:r>
              <w:rPr>
                <w:spacing w:val="-4"/>
              </w:rPr>
              <w:t xml:space="preserve">í </w:t>
            </w:r>
            <w:r w:rsidR="00283F7B">
              <w:rPr>
                <w:spacing w:val="-4"/>
              </w:rPr>
              <w:t>o </w:t>
            </w:r>
            <w:r>
              <w:rPr>
                <w:spacing w:val="-4"/>
              </w:rPr>
              <w:t>7,0</w:t>
            </w:r>
            <w:r w:rsidR="00C5197D">
              <w:rPr>
                <w:spacing w:val="-4"/>
              </w:rPr>
              <w:t> %</w:t>
            </w:r>
            <w:r>
              <w:rPr>
                <w:spacing w:val="-4"/>
              </w:rPr>
              <w:t xml:space="preserve">. Již čtvrtým rokem se zvyšoval svižněji </w:t>
            </w:r>
            <w:r w:rsidR="00283F7B">
              <w:rPr>
                <w:spacing w:val="-4"/>
              </w:rPr>
              <w:t>u </w:t>
            </w:r>
            <w:r>
              <w:rPr>
                <w:spacing w:val="-4"/>
              </w:rPr>
              <w:t xml:space="preserve">žen než </w:t>
            </w:r>
            <w:r w:rsidR="00283F7B">
              <w:rPr>
                <w:spacing w:val="-4"/>
              </w:rPr>
              <w:t>u </w:t>
            </w:r>
            <w:r>
              <w:rPr>
                <w:spacing w:val="-4"/>
              </w:rPr>
              <w:t>mužů. Přestože meziroční růst kupní síly mezd se zejména vlivem sílící inflace mírně snižoval (až na 4,0</w:t>
            </w:r>
            <w:r w:rsidR="00C5197D">
              <w:rPr>
                <w:spacing w:val="-4"/>
              </w:rPr>
              <w:t> %</w:t>
            </w:r>
            <w:r>
              <w:rPr>
                <w:spacing w:val="-4"/>
              </w:rPr>
              <w:t xml:space="preserve"> </w:t>
            </w:r>
            <w:r w:rsidR="00935F70">
              <w:rPr>
                <w:spacing w:val="-4"/>
              </w:rPr>
              <w:t xml:space="preserve">ve </w:t>
            </w:r>
            <w:r>
              <w:rPr>
                <w:spacing w:val="-4"/>
              </w:rPr>
              <w:t>3</w:t>
            </w:r>
            <w:r w:rsidR="00EE2EB4">
              <w:rPr>
                <w:spacing w:val="-4"/>
              </w:rPr>
              <w:t>. čtvrtlet</w:t>
            </w:r>
            <w:r>
              <w:rPr>
                <w:spacing w:val="-4"/>
              </w:rPr>
              <w:t>í 2019, nejméně za poslední</w:t>
            </w:r>
            <w:r w:rsidR="00935F70">
              <w:rPr>
                <w:spacing w:val="-4"/>
              </w:rPr>
              <w:t>ch</w:t>
            </w:r>
            <w:r>
              <w:rPr>
                <w:spacing w:val="-4"/>
              </w:rPr>
              <w:t xml:space="preserve"> dva </w:t>
            </w:r>
            <w:r w:rsidR="00283F7B">
              <w:rPr>
                <w:spacing w:val="-4"/>
              </w:rPr>
              <w:t>a </w:t>
            </w:r>
            <w:r>
              <w:rPr>
                <w:spacing w:val="-4"/>
              </w:rPr>
              <w:t xml:space="preserve">půl roku), </w:t>
            </w:r>
            <w:r w:rsidR="00283F7B">
              <w:rPr>
                <w:spacing w:val="-4"/>
              </w:rPr>
              <w:t>v </w:t>
            </w:r>
            <w:r>
              <w:rPr>
                <w:spacing w:val="-4"/>
              </w:rPr>
              <w:t>úhrnu od počátku letošního roku čítal 4,3</w:t>
            </w:r>
            <w:r w:rsidR="00C5197D">
              <w:rPr>
                <w:spacing w:val="-4"/>
              </w:rPr>
              <w:t> %</w:t>
            </w:r>
            <w:r>
              <w:rPr>
                <w:spacing w:val="-4"/>
              </w:rPr>
              <w:t>, což stále znamenalo druhé nejvyšší tempo v rámci srovnatelných období po roce 2007.</w:t>
            </w:r>
          </w:p>
        </w:tc>
      </w:tr>
      <w:tr w:rsidR="009B78A4" w:rsidRPr="00B43216" w14:paraId="2DFC8567" w14:textId="77777777" w:rsidTr="009B78A4">
        <w:trPr>
          <w:trHeight w:val="155"/>
        </w:trPr>
        <w:tc>
          <w:tcPr>
            <w:tcW w:w="1790" w:type="dxa"/>
            <w:vMerge w:val="restart"/>
            <w:shd w:val="clear" w:color="auto" w:fill="auto"/>
            <w:tcMar>
              <w:left w:w="0" w:type="dxa"/>
            </w:tcMar>
          </w:tcPr>
          <w:p w14:paraId="30C7F0DC" w14:textId="77777777" w:rsidR="009B78A4" w:rsidRPr="00B43216" w:rsidRDefault="009B78A4" w:rsidP="009B78A4">
            <w:pPr>
              <w:pStyle w:val="Marginlie"/>
              <w:rPr>
                <w:spacing w:val="-4"/>
              </w:rPr>
            </w:pPr>
          </w:p>
        </w:tc>
        <w:tc>
          <w:tcPr>
            <w:tcW w:w="216" w:type="dxa"/>
            <w:vMerge w:val="restart"/>
            <w:shd w:val="clear" w:color="auto" w:fill="auto"/>
            <w:tcMar>
              <w:left w:w="0" w:type="dxa"/>
            </w:tcMar>
          </w:tcPr>
          <w:p w14:paraId="017000CA"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40DB0931" w14:textId="6130249B" w:rsidR="009B78A4" w:rsidRPr="00B43216" w:rsidRDefault="009B78A4" w:rsidP="009B78A4">
            <w:pPr>
              <w:spacing w:after="0"/>
              <w:rPr>
                <w:spacing w:val="-4"/>
              </w:rPr>
            </w:pPr>
            <w:r w:rsidRPr="00AB0365">
              <w:rPr>
                <w:b/>
                <w:spacing w:val="-2"/>
              </w:rPr>
              <w:t xml:space="preserve">Graf </w:t>
            </w:r>
            <w:r w:rsidR="00EE2EB4">
              <w:rPr>
                <w:b/>
                <w:spacing w:val="-2"/>
              </w:rPr>
              <w:t>č. </w:t>
            </w:r>
            <w:r w:rsidRPr="00AB0365">
              <w:rPr>
                <w:b/>
                <w:spacing w:val="-2"/>
              </w:rPr>
              <w:t>15</w:t>
            </w:r>
            <w:r>
              <w:rPr>
                <w:b/>
                <w:spacing w:val="-2"/>
              </w:rPr>
              <w:t xml:space="preserve">  Prům.</w:t>
            </w:r>
            <w:r w:rsidRPr="00AB0365">
              <w:rPr>
                <w:b/>
                <w:spacing w:val="-2"/>
              </w:rPr>
              <w:t xml:space="preserve"> nominální </w:t>
            </w:r>
            <w:r w:rsidR="00283F7B" w:rsidRPr="00AB0365">
              <w:rPr>
                <w:b/>
                <w:spacing w:val="-2"/>
              </w:rPr>
              <w:t>a</w:t>
            </w:r>
            <w:r w:rsidR="00283F7B">
              <w:rPr>
                <w:b/>
                <w:spacing w:val="-2"/>
              </w:rPr>
              <w:t> </w:t>
            </w:r>
            <w:r w:rsidRPr="00AB0365">
              <w:rPr>
                <w:b/>
                <w:spacing w:val="-2"/>
              </w:rPr>
              <w:t xml:space="preserve">reálná mzda </w:t>
            </w:r>
            <w:r w:rsidR="00283F7B" w:rsidRPr="00AB0365">
              <w:rPr>
                <w:b/>
                <w:spacing w:val="-2"/>
              </w:rPr>
              <w:t>a</w:t>
            </w:r>
            <w:r w:rsidR="00283F7B">
              <w:rPr>
                <w:b/>
                <w:spacing w:val="-2"/>
              </w:rPr>
              <w:t> </w:t>
            </w:r>
            <w:r w:rsidRPr="00AB0365">
              <w:rPr>
                <w:b/>
                <w:spacing w:val="-2"/>
              </w:rPr>
              <w:t>produktivita práce</w:t>
            </w:r>
            <w:r w:rsidRPr="00AB0365">
              <w:rPr>
                <w:spacing w:val="-2"/>
              </w:rPr>
              <w:t xml:space="preserve"> (meziročně, v %)</w:t>
            </w:r>
          </w:p>
        </w:tc>
      </w:tr>
      <w:tr w:rsidR="009B78A4" w:rsidRPr="00B43216" w14:paraId="691F13FE" w14:textId="77777777" w:rsidTr="009B78A4">
        <w:tblPrEx>
          <w:tblCellMar>
            <w:left w:w="70" w:type="dxa"/>
            <w:right w:w="70" w:type="dxa"/>
          </w:tblCellMar>
        </w:tblPrEx>
        <w:trPr>
          <w:trHeight w:val="155"/>
        </w:trPr>
        <w:tc>
          <w:tcPr>
            <w:tcW w:w="1790" w:type="dxa"/>
            <w:vMerge/>
            <w:shd w:val="clear" w:color="auto" w:fill="auto"/>
          </w:tcPr>
          <w:p w14:paraId="771E0CE6" w14:textId="77777777" w:rsidR="009B78A4" w:rsidRPr="00B43216" w:rsidRDefault="009B78A4" w:rsidP="009B78A4">
            <w:pPr>
              <w:pStyle w:val="Marginlie"/>
              <w:rPr>
                <w:spacing w:val="-4"/>
              </w:rPr>
            </w:pPr>
          </w:p>
        </w:tc>
        <w:tc>
          <w:tcPr>
            <w:tcW w:w="216" w:type="dxa"/>
            <w:vMerge/>
            <w:shd w:val="clear" w:color="auto" w:fill="auto"/>
          </w:tcPr>
          <w:p w14:paraId="56E1C778" w14:textId="77777777" w:rsidR="009B78A4" w:rsidRPr="00B43216" w:rsidRDefault="009B78A4" w:rsidP="009B78A4">
            <w:pPr>
              <w:pStyle w:val="Textpoznpodarou"/>
              <w:jc w:val="both"/>
              <w:rPr>
                <w:spacing w:val="-4"/>
              </w:rPr>
            </w:pPr>
          </w:p>
        </w:tc>
        <w:tc>
          <w:tcPr>
            <w:tcW w:w="7648" w:type="dxa"/>
            <w:shd w:val="clear" w:color="auto" w:fill="auto"/>
          </w:tcPr>
          <w:p w14:paraId="2EAE206F" w14:textId="12DD8E7B" w:rsidR="009B78A4" w:rsidRPr="00B43216" w:rsidRDefault="009B78A4" w:rsidP="009B78A4">
            <w:pPr>
              <w:spacing w:after="0"/>
              <w:rPr>
                <w:spacing w:val="-4"/>
              </w:rPr>
            </w:pPr>
            <w:r>
              <w:rPr>
                <w:noProof/>
              </w:rPr>
              <w:drawing>
                <wp:inline distT="0" distB="0" distL="0" distR="0" wp14:anchorId="58AFB862" wp14:editId="68416E2D">
                  <wp:extent cx="4757420" cy="3403600"/>
                  <wp:effectExtent l="0" t="0" r="5080" b="6350"/>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9B78A4" w:rsidRPr="00B43216" w14:paraId="2ED37FC5" w14:textId="77777777" w:rsidTr="009B78A4">
        <w:trPr>
          <w:trHeight w:val="155"/>
        </w:trPr>
        <w:tc>
          <w:tcPr>
            <w:tcW w:w="1790" w:type="dxa"/>
            <w:vMerge/>
            <w:shd w:val="clear" w:color="auto" w:fill="auto"/>
            <w:tcMar>
              <w:left w:w="0" w:type="dxa"/>
            </w:tcMar>
          </w:tcPr>
          <w:p w14:paraId="684EF706" w14:textId="77777777" w:rsidR="009B78A4" w:rsidRPr="00B43216" w:rsidRDefault="009B78A4" w:rsidP="009B78A4">
            <w:pPr>
              <w:pStyle w:val="Marginlie"/>
              <w:rPr>
                <w:spacing w:val="-4"/>
              </w:rPr>
            </w:pPr>
          </w:p>
        </w:tc>
        <w:tc>
          <w:tcPr>
            <w:tcW w:w="216" w:type="dxa"/>
            <w:vMerge/>
            <w:shd w:val="clear" w:color="auto" w:fill="auto"/>
            <w:tcMar>
              <w:left w:w="0" w:type="dxa"/>
            </w:tcMar>
          </w:tcPr>
          <w:p w14:paraId="386795C5" w14:textId="77777777" w:rsidR="009B78A4" w:rsidRPr="00B43216" w:rsidRDefault="009B78A4" w:rsidP="009B78A4">
            <w:pPr>
              <w:pStyle w:val="Textpoznpodarou"/>
              <w:jc w:val="both"/>
              <w:rPr>
                <w:spacing w:val="-4"/>
              </w:rPr>
            </w:pPr>
          </w:p>
        </w:tc>
        <w:tc>
          <w:tcPr>
            <w:tcW w:w="7648" w:type="dxa"/>
            <w:shd w:val="clear" w:color="auto" w:fill="auto"/>
            <w:tcMar>
              <w:left w:w="0" w:type="dxa"/>
            </w:tcMar>
          </w:tcPr>
          <w:p w14:paraId="192BCD03" w14:textId="40E7F232" w:rsidR="009B78A4" w:rsidRDefault="009B78A4" w:rsidP="009B78A4">
            <w:pPr>
              <w:spacing w:after="0"/>
              <w:rPr>
                <w:spacing w:val="-3"/>
                <w:sz w:val="14"/>
                <w:szCs w:val="14"/>
              </w:rPr>
            </w:pPr>
            <w:r>
              <w:rPr>
                <w:spacing w:val="-3"/>
                <w:sz w:val="14"/>
                <w:szCs w:val="14"/>
              </w:rPr>
              <w:t>*</w:t>
            </w:r>
            <w:r w:rsidRPr="00AB5C0C">
              <w:rPr>
                <w:rFonts w:cs="Arial"/>
                <w:spacing w:val="-3"/>
                <w:sz w:val="14"/>
                <w:szCs w:val="14"/>
              </w:rPr>
              <w:t xml:space="preserve"> </w:t>
            </w:r>
            <w:r>
              <w:rPr>
                <w:rFonts w:cs="Arial"/>
                <w:spacing w:val="-3"/>
                <w:sz w:val="14"/>
                <w:szCs w:val="14"/>
              </w:rPr>
              <w:t xml:space="preserve">Zahrnuje odvětví: </w:t>
            </w:r>
            <w:r w:rsidR="00935F70">
              <w:rPr>
                <w:rFonts w:cs="Arial"/>
                <w:spacing w:val="-3"/>
                <w:sz w:val="14"/>
                <w:szCs w:val="14"/>
              </w:rPr>
              <w:t>Veřejná</w:t>
            </w:r>
            <w:r w:rsidR="00935F70" w:rsidRPr="00AB5C0C">
              <w:rPr>
                <w:rFonts w:cs="Arial"/>
                <w:spacing w:val="-3"/>
                <w:sz w:val="14"/>
                <w:szCs w:val="14"/>
              </w:rPr>
              <w:t xml:space="preserve"> </w:t>
            </w:r>
            <w:r w:rsidRPr="00AB5C0C">
              <w:rPr>
                <w:rFonts w:cs="Arial"/>
                <w:spacing w:val="-3"/>
                <w:sz w:val="14"/>
                <w:szCs w:val="14"/>
              </w:rPr>
              <w:t xml:space="preserve">správa, obrana, soc. zabezpečení; Vzdělávání; Zdravotní </w:t>
            </w:r>
            <w:r w:rsidR="00283F7B" w:rsidRPr="00AB5C0C">
              <w:rPr>
                <w:rFonts w:cs="Arial"/>
                <w:spacing w:val="-3"/>
                <w:sz w:val="14"/>
                <w:szCs w:val="14"/>
              </w:rPr>
              <w:t>a</w:t>
            </w:r>
            <w:r w:rsidR="00283F7B">
              <w:rPr>
                <w:rFonts w:cs="Arial"/>
                <w:spacing w:val="-3"/>
                <w:sz w:val="14"/>
                <w:szCs w:val="14"/>
              </w:rPr>
              <w:t> </w:t>
            </w:r>
            <w:r w:rsidRPr="00AB5C0C">
              <w:rPr>
                <w:rFonts w:cs="Arial"/>
                <w:spacing w:val="-3"/>
                <w:sz w:val="14"/>
                <w:szCs w:val="14"/>
              </w:rPr>
              <w:t>soc.</w:t>
            </w:r>
            <w:r>
              <w:rPr>
                <w:rFonts w:cs="Arial"/>
                <w:spacing w:val="-3"/>
                <w:sz w:val="14"/>
                <w:szCs w:val="14"/>
              </w:rPr>
              <w:t xml:space="preserve"> péče; Kulturní, zábav.</w:t>
            </w:r>
            <w:r w:rsidRPr="00AB5C0C">
              <w:rPr>
                <w:rFonts w:cs="Arial"/>
                <w:spacing w:val="-3"/>
                <w:sz w:val="14"/>
                <w:szCs w:val="14"/>
              </w:rPr>
              <w:t xml:space="preserve"> </w:t>
            </w:r>
            <w:r w:rsidR="00283F7B" w:rsidRPr="00AB5C0C">
              <w:rPr>
                <w:rFonts w:cs="Arial"/>
                <w:spacing w:val="-3"/>
                <w:sz w:val="14"/>
                <w:szCs w:val="14"/>
              </w:rPr>
              <w:t>a</w:t>
            </w:r>
            <w:r w:rsidR="00283F7B">
              <w:rPr>
                <w:rFonts w:cs="Arial"/>
                <w:spacing w:val="-3"/>
                <w:sz w:val="14"/>
                <w:szCs w:val="14"/>
              </w:rPr>
              <w:t> </w:t>
            </w:r>
            <w:r w:rsidRPr="00AB5C0C">
              <w:rPr>
                <w:rFonts w:cs="Arial"/>
                <w:spacing w:val="-3"/>
                <w:sz w:val="14"/>
                <w:szCs w:val="14"/>
              </w:rPr>
              <w:t>r</w:t>
            </w:r>
            <w:r>
              <w:rPr>
                <w:rFonts w:cs="Arial"/>
                <w:spacing w:val="-3"/>
                <w:sz w:val="14"/>
                <w:szCs w:val="14"/>
              </w:rPr>
              <w:t>ekreač.</w:t>
            </w:r>
            <w:r w:rsidRPr="00AB5C0C">
              <w:rPr>
                <w:rFonts w:cs="Arial"/>
                <w:spacing w:val="-3"/>
                <w:sz w:val="14"/>
                <w:szCs w:val="14"/>
              </w:rPr>
              <w:t xml:space="preserve"> </w:t>
            </w:r>
            <w:r>
              <w:rPr>
                <w:rFonts w:cs="Arial"/>
                <w:spacing w:val="-3"/>
                <w:sz w:val="14"/>
                <w:szCs w:val="14"/>
              </w:rPr>
              <w:t>č</w:t>
            </w:r>
            <w:r w:rsidRPr="00AB5C0C">
              <w:rPr>
                <w:rFonts w:cs="Arial"/>
                <w:spacing w:val="-3"/>
                <w:sz w:val="14"/>
                <w:szCs w:val="14"/>
              </w:rPr>
              <w:t>in</w:t>
            </w:r>
            <w:r>
              <w:rPr>
                <w:rFonts w:cs="Arial"/>
                <w:spacing w:val="-3"/>
                <w:sz w:val="14"/>
                <w:szCs w:val="14"/>
              </w:rPr>
              <w:t>.</w:t>
            </w:r>
          </w:p>
          <w:p w14:paraId="78E97251" w14:textId="6D6E641E" w:rsidR="009B78A4" w:rsidRPr="00B43216" w:rsidRDefault="009B78A4" w:rsidP="009B78A4">
            <w:pPr>
              <w:spacing w:after="0"/>
              <w:rPr>
                <w:spacing w:val="-4"/>
              </w:rPr>
            </w:pPr>
            <w:r w:rsidRPr="00990B08">
              <w:rPr>
                <w:spacing w:val="-3"/>
                <w:sz w:val="14"/>
                <w:szCs w:val="14"/>
              </w:rPr>
              <w:t>*</w:t>
            </w:r>
            <w:r>
              <w:rPr>
                <w:spacing w:val="-3"/>
                <w:sz w:val="14"/>
                <w:szCs w:val="14"/>
              </w:rPr>
              <w:t>*</w:t>
            </w:r>
            <w:r w:rsidRPr="00990B08">
              <w:rPr>
                <w:spacing w:val="-3"/>
                <w:sz w:val="14"/>
                <w:szCs w:val="14"/>
              </w:rPr>
              <w:t xml:space="preserve">Podíl sezónně neočištěného HDP </w:t>
            </w:r>
            <w:r w:rsidR="00283F7B" w:rsidRPr="00990B08">
              <w:rPr>
                <w:spacing w:val="-3"/>
                <w:sz w:val="14"/>
                <w:szCs w:val="14"/>
              </w:rPr>
              <w:t>a</w:t>
            </w:r>
            <w:r w:rsidR="00283F7B">
              <w:rPr>
                <w:spacing w:val="-3"/>
                <w:sz w:val="14"/>
                <w:szCs w:val="14"/>
              </w:rPr>
              <w:t> </w:t>
            </w:r>
            <w:r w:rsidRPr="00990B08">
              <w:rPr>
                <w:spacing w:val="-3"/>
                <w:sz w:val="14"/>
                <w:szCs w:val="14"/>
              </w:rPr>
              <w:t>zaměstnanosti (</w:t>
            </w:r>
            <w:r w:rsidR="00283F7B" w:rsidRPr="00990B08">
              <w:rPr>
                <w:spacing w:val="-3"/>
                <w:sz w:val="14"/>
                <w:szCs w:val="14"/>
              </w:rPr>
              <w:t>v</w:t>
            </w:r>
            <w:r w:rsidR="00283F7B">
              <w:rPr>
                <w:spacing w:val="-3"/>
                <w:sz w:val="14"/>
                <w:szCs w:val="14"/>
              </w:rPr>
              <w:t> </w:t>
            </w:r>
            <w:r w:rsidRPr="00990B08">
              <w:rPr>
                <w:spacing w:val="-3"/>
                <w:sz w:val="14"/>
                <w:szCs w:val="14"/>
              </w:rPr>
              <w:t>pojetí národ</w:t>
            </w:r>
            <w:r>
              <w:rPr>
                <w:spacing w:val="-3"/>
                <w:sz w:val="14"/>
                <w:szCs w:val="14"/>
              </w:rPr>
              <w:t xml:space="preserve">ních účtů). </w:t>
            </w:r>
            <w:r w:rsidR="00935F70">
              <w:rPr>
                <w:spacing w:val="-3"/>
                <w:sz w:val="14"/>
                <w:szCs w:val="14"/>
              </w:rPr>
              <w:t xml:space="preserve">                                      </w:t>
            </w:r>
            <w:r w:rsidRPr="00990B08">
              <w:rPr>
                <w:spacing w:val="-3"/>
                <w:sz w:val="14"/>
                <w:szCs w:val="14"/>
              </w:rPr>
              <w:t>Zdroj:</w:t>
            </w:r>
            <w:r w:rsidRPr="00862F17">
              <w:rPr>
                <w:rFonts w:cs="Arial"/>
                <w:sz w:val="14"/>
                <w:szCs w:val="14"/>
              </w:rPr>
              <w:t xml:space="preserve"> ČSÚ (národní účty</w:t>
            </w:r>
            <w:r>
              <w:rPr>
                <w:rFonts w:cs="Arial"/>
                <w:sz w:val="14"/>
                <w:szCs w:val="14"/>
              </w:rPr>
              <w:t>)</w:t>
            </w:r>
          </w:p>
        </w:tc>
      </w:tr>
    </w:tbl>
    <w:p w14:paraId="63ECF9C9" w14:textId="0D85A1DD" w:rsidR="00A50D73" w:rsidRPr="009110F7" w:rsidRDefault="00A50D73" w:rsidP="001463FD">
      <w:pPr>
        <w:pStyle w:val="Nadpis11"/>
        <w:rPr>
          <w:sz w:val="2"/>
          <w:szCs w:val="2"/>
        </w:rPr>
      </w:pPr>
      <w:bookmarkStart w:id="1" w:name="_GoBack"/>
      <w:bookmarkEnd w:id="1"/>
    </w:p>
    <w:sectPr w:rsidR="00A50D73" w:rsidRPr="009110F7" w:rsidSect="001463FD">
      <w:headerReference w:type="even" r:id="rId12"/>
      <w:headerReference w:type="default" r:id="rId13"/>
      <w:footerReference w:type="even" r:id="rId14"/>
      <w:footerReference w:type="default" r:id="rId15"/>
      <w:pgSz w:w="11906" w:h="16838" w:code="9"/>
      <w:pgMar w:top="1134" w:right="1134" w:bottom="1418" w:left="1134" w:header="680" w:footer="737" w:gutter="0"/>
      <w:pgNumType w:start="2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7A2D8F" w16cid:durableId="2195E0BF"/>
  <w16cid:commentId w16cid:paraId="3523D2E1" w16cid:durableId="2195E582"/>
  <w16cid:commentId w16cid:paraId="4A463A0C" w16cid:durableId="2195EAA7"/>
  <w16cid:commentId w16cid:paraId="7AE114DF" w16cid:durableId="2197F4F7"/>
  <w16cid:commentId w16cid:paraId="193E8431" w16cid:durableId="2196655C"/>
  <w16cid:commentId w16cid:paraId="5C5C0950" w16cid:durableId="2198839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827ACE" w14:textId="77777777" w:rsidR="000441DC" w:rsidRDefault="000441DC" w:rsidP="00E71A58">
      <w:r>
        <w:separator/>
      </w:r>
    </w:p>
  </w:endnote>
  <w:endnote w:type="continuationSeparator" w:id="0">
    <w:p w14:paraId="5358B480" w14:textId="77777777" w:rsidR="000441DC" w:rsidRDefault="000441DC"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altName w:val="Times New Roman"/>
    <w:charset w:val="00"/>
    <w:family w:val="auto"/>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08DBCA09" w:rsidR="005810E1" w:rsidRPr="00932443" w:rsidRDefault="005810E1"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4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463FD">
      <w:rPr>
        <w:szCs w:val="16"/>
      </w:rPr>
      <w:t>22</w:t>
    </w:r>
    <w:r w:rsidRPr="00932443">
      <w:rPr>
        <w:szCs w:val="16"/>
      </w:rPr>
      <w:fldChar w:fldCharType="end"/>
    </w:r>
    <w:r w:rsidRPr="00932443">
      <w:rPr>
        <w:szCs w:val="16"/>
      </w:rPr>
      <w:tab/>
    </w:r>
    <w:r>
      <w:rPr>
        <w:szCs w:val="16"/>
      </w:rPr>
      <w:t>1. až 3. čtvrtletí 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4BF8589E" w:rsidR="005810E1" w:rsidRPr="00932443" w:rsidRDefault="005810E1" w:rsidP="00FA6CB6">
    <w:pPr>
      <w:pStyle w:val="Zpat"/>
      <w:rPr>
        <w:szCs w:val="16"/>
      </w:rPr>
    </w:pPr>
    <w:r w:rsidRPr="00FA6CB6">
      <w:rPr>
        <w:szCs w:val="16"/>
      </w:rPr>
      <w:tab/>
      <w:t>1</w:t>
    </w:r>
    <w:r>
      <w:rPr>
        <w:szCs w:val="16"/>
      </w:rPr>
      <w:t>.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45"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až 3. čtvrtletí 2</w:t>
    </w:r>
    <w:r>
      <w:t>019</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463FD">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DB27DE" w14:textId="77777777" w:rsidR="000441DC" w:rsidRDefault="000441DC" w:rsidP="00A21B4D">
      <w:pPr>
        <w:spacing w:after="0"/>
      </w:pPr>
      <w:r>
        <w:separator/>
      </w:r>
    </w:p>
  </w:footnote>
  <w:footnote w:type="continuationSeparator" w:id="0">
    <w:p w14:paraId="11478E85" w14:textId="77777777" w:rsidR="000441DC" w:rsidRDefault="000441DC" w:rsidP="00E71A58">
      <w:r>
        <w:continuationSeparator/>
      </w:r>
    </w:p>
  </w:footnote>
  <w:footnote w:id="1">
    <w:p w14:paraId="49B4CC15" w14:textId="47CBC98B"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sidRPr="006A4CF3">
        <w:rPr>
          <w:spacing w:val="-2"/>
          <w:sz w:val="16"/>
          <w:szCs w:val="16"/>
        </w:rPr>
        <w:t xml:space="preserve"> Pokud není uvedeno jinak, jsou v této kapitole údaje o</w:t>
      </w:r>
      <w:r>
        <w:rPr>
          <w:spacing w:val="-2"/>
          <w:sz w:val="16"/>
          <w:szCs w:val="16"/>
        </w:rPr>
        <w:t> </w:t>
      </w:r>
      <w:r w:rsidRPr="006A4CF3">
        <w:rPr>
          <w:spacing w:val="-2"/>
          <w:sz w:val="16"/>
          <w:szCs w:val="16"/>
        </w:rPr>
        <w:t>zaměstnanosti u</w:t>
      </w:r>
      <w:r>
        <w:rPr>
          <w:spacing w:val="-2"/>
          <w:sz w:val="16"/>
          <w:szCs w:val="16"/>
        </w:rPr>
        <w:t xml:space="preserve">vedeny v pojetí národních účtů po </w:t>
      </w:r>
      <w:r w:rsidRPr="006A4CF3">
        <w:rPr>
          <w:spacing w:val="-2"/>
          <w:sz w:val="16"/>
          <w:szCs w:val="16"/>
        </w:rPr>
        <w:t>očištění o</w:t>
      </w:r>
      <w:r>
        <w:rPr>
          <w:spacing w:val="-2"/>
          <w:sz w:val="16"/>
          <w:szCs w:val="16"/>
        </w:rPr>
        <w:t> </w:t>
      </w:r>
      <w:r w:rsidRPr="006A4CF3">
        <w:rPr>
          <w:spacing w:val="-2"/>
          <w:sz w:val="16"/>
          <w:szCs w:val="16"/>
        </w:rPr>
        <w:t>sezónní vlivy.</w:t>
      </w:r>
    </w:p>
  </w:footnote>
  <w:footnote w:id="2">
    <w:p w14:paraId="38062BE1" w14:textId="04DF02C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Dynamika zaměstnanosti v ČR tak byla ve 3. čtvrtletí slabší než v EU (+0,9 %), resp. zemích eurozóny (+1,0 %). Přestože i v těchto uskupeních tempo letos zvolňovalo, zaměstnanost zde stále rostla i v mezičtvrtletním vyjádření (shodně o 0,1 %).</w:t>
      </w:r>
    </w:p>
  </w:footnote>
  <w:footnote w:id="3">
    <w:p w14:paraId="5FCE1FF1" w14:textId="45613025"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Podle údajů podnikové statistiky počet zaměstnanců v průmyslu ve 3. čtvrtletí meziročně klesl (o 1,2 %). V tomto pojetí ale nejsou do průmyslu zařazeni agenturní pracovníci a není zohledněn ani vliv šedé ekonomiky.</w:t>
      </w:r>
    </w:p>
  </w:footnote>
  <w:footnote w:id="4">
    <w:p w14:paraId="4E481116" w14:textId="7777777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Ty jsou vyjádřeny pomocí </w:t>
      </w:r>
      <w:r>
        <w:rPr>
          <w:spacing w:val="-4"/>
          <w:sz w:val="16"/>
          <w:szCs w:val="16"/>
        </w:rPr>
        <w:t>sezónně očištěných údajů jako rozdíl (v p. b.) mezi podílem podniků očekávajících v nejbližších třech měsících navýšení zaměstnanosti a podniků vyhlížejících naopak redukci stavu svých pracovníků.</w:t>
      </w:r>
    </w:p>
  </w:footnote>
  <w:footnote w:id="5">
    <w:p w14:paraId="3DC460D8" w14:textId="138040BD"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Saldo krátkodobých očekávání v oblasti zaměstnanosti dosahovalo v říjnu 2019 ve stavebnictví i obchodu +11, resp. +10 bodů. V průmyslu činilo –2 body, v</w:t>
      </w:r>
      <w:r w:rsidRPr="006A4CF3">
        <w:rPr>
          <w:spacing w:val="-2"/>
          <w:sz w:val="16"/>
          <w:szCs w:val="16"/>
        </w:rPr>
        <w:t> </w:t>
      </w:r>
      <w:r>
        <w:rPr>
          <w:spacing w:val="-2"/>
          <w:sz w:val="16"/>
          <w:szCs w:val="16"/>
        </w:rPr>
        <w:t>tržních službách dokonce –12 bodů.</w:t>
      </w:r>
    </w:p>
  </w:footnote>
  <w:footnote w:id="6">
    <w:p w14:paraId="1F8CF399" w14:textId="21AEB2DF"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To platilo zejména ve stavebnictví, kde tuto bariéru na počátku 4. čtvrtletí 2019 označila již polovina podniků. Jejich podíl byl ale významný i v průmyslu, byť oproti vrcholu z konce loňského roku mírně klesl (ze 45 % na 37 %). Role faktoru nedostatku pracovní síly je letos ve všech hlavních odvětvích ekonomiky stále citelně vyšší než na vrcholu konjunktury minulé dekády.</w:t>
      </w:r>
    </w:p>
  </w:footnote>
  <w:footnote w:id="7">
    <w:p w14:paraId="7D69EFB2" w14:textId="2D496EC8" w:rsidR="005810E1" w:rsidRPr="00691723" w:rsidRDefault="005810E1" w:rsidP="0028431A">
      <w:pPr>
        <w:pStyle w:val="Textpoznpodarou"/>
        <w:jc w:val="both"/>
        <w:rPr>
          <w:rFonts w:cs="Arial"/>
          <w:spacing w:val="-2"/>
          <w:sz w:val="16"/>
          <w:szCs w:val="16"/>
        </w:rPr>
      </w:pPr>
      <w:r w:rsidRPr="006A4CF3">
        <w:rPr>
          <w:rStyle w:val="Znakapoznpodarou"/>
          <w:spacing w:val="-2"/>
          <w:sz w:val="16"/>
          <w:szCs w:val="16"/>
        </w:rPr>
        <w:footnoteRef/>
      </w:r>
      <w:r w:rsidRPr="006A4CF3">
        <w:rPr>
          <w:spacing w:val="-2"/>
          <w:sz w:val="16"/>
          <w:szCs w:val="16"/>
        </w:rPr>
        <w:t xml:space="preserve"> </w:t>
      </w:r>
      <w:r>
        <w:rPr>
          <w:rFonts w:cs="Arial"/>
          <w:spacing w:val="-2"/>
          <w:sz w:val="16"/>
          <w:szCs w:val="16"/>
        </w:rPr>
        <w:t>Na konci září 2019 bylo dle údajů MPSV a MPO v Česku zaměstnáno 734 tis. osob s cizím státním občanstvím. Od počátku roku jejich četnost vzrostla o 11,5 %, z drtivé většiny zásluhou vyššího počtu osob v postavení zaměstnanců. Ze tří pětin se na tom podíleli občané Ukrajiny, z pětiny Slováci. Bezmála dvě třetiny celkového přírůstku cizinců připadalo na muže. Z podrobnějších údajů za 1. pololetí 2019 plyne, že nejvíce cizinců na zaměstnaneckých pozicích přibylo od počátku roku v průmyslu (12 tis.) a stavebnictví (8 tis.), z pohledu kvalifikačních tříd pak zejména v kategoriích obsluha strojů a zařízení či pomocní a nekvalifikovaní pracovníci. Relativně vzrostl počet cizinců významněji také u řemeslníků a opravářů či kvalifikovaných pracovníků v zemědělství, lesnictví a rybářství.</w:t>
      </w:r>
    </w:p>
  </w:footnote>
  <w:footnote w:id="8">
    <w:p w14:paraId="3677C6F5" w14:textId="265F225B"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Mezi státy, které vstoupily do EU po roce 2000, dosahovaly vyšší míry zaměstnanosti ve věku 15 až 64 let jen ženy ve Slovinsku a také v pobaltských státech (71 až 72 %), především vlivem vyššího zákonného důchodového věku.</w:t>
      </w:r>
    </w:p>
  </w:footnote>
  <w:footnote w:id="9">
    <w:p w14:paraId="2D052063" w14:textId="73D1A750"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Všechny uváděné míry nezaměstnanosti vycházejí z údajů Výběrového šetření pracovních sil a vyjadřují skutečnost po sezónním očištění.</w:t>
      </w:r>
    </w:p>
  </w:footnote>
  <w:footnote w:id="10">
    <w:p w14:paraId="38B84923" w14:textId="7777777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Jde o osoby nepracující, aktivně práci nehledající (tudíž nesplňující podmínku pro zařazení mezi nezaměstnané), ale vyjadřující ochotu pracovat (bez ohledu na schopnost rychle do nového zaměstnání nastoupit). Ve 3. čtvrtletí 2019 jich bylo 98 tis., bezmála o polovinu méně než v letech 2010 a 2011, kdy byl trh práce zasažen důsledky hospodářské recese.</w:t>
      </w:r>
    </w:p>
  </w:footnote>
  <w:footnote w:id="11">
    <w:p w14:paraId="7FA7CCAE" w14:textId="48FB4C24"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V červnu 2019 se </w:t>
      </w:r>
      <w:r w:rsidRPr="004A5E61">
        <w:rPr>
          <w:spacing w:val="-2"/>
          <w:sz w:val="16"/>
          <w:szCs w:val="16"/>
        </w:rPr>
        <w:t xml:space="preserve">počet </w:t>
      </w:r>
      <w:r>
        <w:rPr>
          <w:spacing w:val="-2"/>
          <w:sz w:val="16"/>
          <w:szCs w:val="16"/>
        </w:rPr>
        <w:t xml:space="preserve">míst dokonce meziměsíčně o 4 tis. </w:t>
      </w:r>
      <w:r w:rsidRPr="004A5E61">
        <w:rPr>
          <w:spacing w:val="-2"/>
          <w:sz w:val="16"/>
          <w:szCs w:val="16"/>
        </w:rPr>
        <w:t xml:space="preserve">snížil (poprvé od </w:t>
      </w:r>
      <w:r>
        <w:rPr>
          <w:spacing w:val="-2"/>
          <w:sz w:val="16"/>
          <w:szCs w:val="16"/>
        </w:rPr>
        <w:t>konce roku 2016), k mírné redukci došlo i během září a října.</w:t>
      </w:r>
    </w:p>
  </w:footnote>
  <w:footnote w:id="12">
    <w:p w14:paraId="63642B71" w14:textId="6D2DF2F1"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Nejvíce Pardubický kraj (o 10 tis. míst, resp. 30 %), především vlivem snížení nabídky míst pro nekvalifikované a pomocné pracovníky.</w:t>
      </w:r>
    </w:p>
  </w:footnote>
  <w:footnote w:id="13">
    <w:p w14:paraId="14E36E30" w14:textId="752BC904"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Na jedno volné místo připadalo na konci září 0,6 uchazeče. Mírný převis uchazečů nad místy byl registrován ve třetině okresů (z toho významnější pouze na Karvinsku – 5,4), popřípadě ve třídách s vyššími kvalifikačními nároky (vyjma kategorie specialistů – 0,8).</w:t>
      </w:r>
    </w:p>
  </w:footnote>
  <w:footnote w:id="14">
    <w:p w14:paraId="44801DC1" w14:textId="218B44D7" w:rsidR="005810E1" w:rsidRPr="006A4CF3" w:rsidRDefault="005810E1" w:rsidP="0028431A">
      <w:pPr>
        <w:pStyle w:val="Textpoznpodarou"/>
        <w:jc w:val="both"/>
        <w:rPr>
          <w:spacing w:val="-2"/>
          <w:sz w:val="16"/>
          <w:szCs w:val="16"/>
        </w:rPr>
      </w:pPr>
      <w:r w:rsidRPr="006A4CF3">
        <w:rPr>
          <w:rStyle w:val="Znakapoznpodarou"/>
          <w:spacing w:val="-2"/>
          <w:sz w:val="16"/>
          <w:szCs w:val="16"/>
        </w:rPr>
        <w:footnoteRef/>
      </w:r>
      <w:r>
        <w:rPr>
          <w:spacing w:val="-2"/>
          <w:sz w:val="16"/>
          <w:szCs w:val="16"/>
        </w:rPr>
        <w:t xml:space="preserve"> </w:t>
      </w:r>
      <w:r w:rsidRPr="003B6B9D">
        <w:rPr>
          <w:spacing w:val="-3"/>
          <w:sz w:val="16"/>
          <w:szCs w:val="16"/>
        </w:rPr>
        <w:t>Růstové tempo bylo mírně ovlivněno i</w:t>
      </w:r>
      <w:r>
        <w:rPr>
          <w:spacing w:val="-3"/>
          <w:sz w:val="16"/>
          <w:szCs w:val="16"/>
        </w:rPr>
        <w:t> </w:t>
      </w:r>
      <w:r w:rsidRPr="003B6B9D">
        <w:rPr>
          <w:spacing w:val="-3"/>
          <w:sz w:val="16"/>
          <w:szCs w:val="16"/>
        </w:rPr>
        <w:t>vyšším počtem odpracovaných hodin (ve 3</w:t>
      </w:r>
      <w:r>
        <w:rPr>
          <w:spacing w:val="-3"/>
          <w:sz w:val="16"/>
          <w:szCs w:val="16"/>
        </w:rPr>
        <w:t>. čtvrtlet</w:t>
      </w:r>
      <w:r w:rsidRPr="003B6B9D">
        <w:rPr>
          <w:spacing w:val="-3"/>
          <w:sz w:val="16"/>
          <w:szCs w:val="16"/>
        </w:rPr>
        <w:t>í bylo oproti stejnému období roku 2018 o</w:t>
      </w:r>
      <w:r>
        <w:rPr>
          <w:spacing w:val="-3"/>
          <w:sz w:val="16"/>
          <w:szCs w:val="16"/>
        </w:rPr>
        <w:t> </w:t>
      </w:r>
      <w:r w:rsidRPr="003B6B9D">
        <w:rPr>
          <w:spacing w:val="-3"/>
          <w:sz w:val="16"/>
          <w:szCs w:val="16"/>
        </w:rPr>
        <w:t>tři pracovní dny více). Počet zaměstnanci odpracovaných hodin (v</w:t>
      </w:r>
      <w:r>
        <w:rPr>
          <w:spacing w:val="-3"/>
          <w:sz w:val="16"/>
          <w:szCs w:val="16"/>
        </w:rPr>
        <w:t> </w:t>
      </w:r>
      <w:r w:rsidRPr="003B6B9D">
        <w:rPr>
          <w:spacing w:val="-3"/>
          <w:sz w:val="16"/>
          <w:szCs w:val="16"/>
        </w:rPr>
        <w:t>pojetí národních účtů) vzrostl meziročně o</w:t>
      </w:r>
      <w:r>
        <w:rPr>
          <w:spacing w:val="-3"/>
          <w:sz w:val="16"/>
          <w:szCs w:val="16"/>
        </w:rPr>
        <w:t> </w:t>
      </w:r>
      <w:r w:rsidRPr="003B6B9D">
        <w:rPr>
          <w:spacing w:val="-3"/>
          <w:sz w:val="16"/>
          <w:szCs w:val="16"/>
        </w:rPr>
        <w:t>2,8</w:t>
      </w:r>
      <w:r>
        <w:rPr>
          <w:spacing w:val="-3"/>
          <w:sz w:val="16"/>
          <w:szCs w:val="16"/>
        </w:rPr>
        <w:t> %</w:t>
      </w:r>
      <w:r w:rsidRPr="003B6B9D">
        <w:rPr>
          <w:spacing w:val="-3"/>
          <w:sz w:val="16"/>
          <w:szCs w:val="16"/>
        </w:rPr>
        <w:t xml:space="preserve"> (po sezónním očištění o</w:t>
      </w:r>
      <w:r>
        <w:rPr>
          <w:spacing w:val="-3"/>
          <w:sz w:val="16"/>
          <w:szCs w:val="16"/>
        </w:rPr>
        <w:t> </w:t>
      </w:r>
      <w:r w:rsidRPr="003B6B9D">
        <w:rPr>
          <w:spacing w:val="-3"/>
          <w:sz w:val="16"/>
          <w:szCs w:val="16"/>
        </w:rPr>
        <w:t>0,9</w:t>
      </w:r>
      <w:r>
        <w:rPr>
          <w:spacing w:val="-3"/>
          <w:sz w:val="16"/>
          <w:szCs w:val="16"/>
        </w:rPr>
        <w:t> %</w:t>
      </w:r>
      <w:r w:rsidRPr="003B6B9D">
        <w:rPr>
          <w:spacing w:val="-3"/>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5810E1" w:rsidRDefault="005810E1" w:rsidP="00937AE2">
    <w:pPr>
      <w:pStyle w:val="Zhlav"/>
    </w:pPr>
    <w:r>
      <w:t>Vývoj ekonomiky České republiky</w:t>
    </w:r>
  </w:p>
  <w:p w14:paraId="675E4C41" w14:textId="77777777" w:rsidR="005810E1" w:rsidRPr="006F5416" w:rsidRDefault="005810E1"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5810E1" w:rsidRDefault="005810E1" w:rsidP="00937AE2">
    <w:pPr>
      <w:pStyle w:val="Zhlav"/>
    </w:pPr>
    <w:r>
      <w:t>Vývoj ekonomiky České republiky</w:t>
    </w:r>
  </w:p>
  <w:p w14:paraId="0CDCFD48" w14:textId="77777777" w:rsidR="005810E1" w:rsidRPr="006F5416" w:rsidRDefault="005810E1"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6420"/>
    <w:rsid w:val="00017B01"/>
    <w:rsid w:val="00020F22"/>
    <w:rsid w:val="0002195D"/>
    <w:rsid w:val="000228AE"/>
    <w:rsid w:val="000233D1"/>
    <w:rsid w:val="000234D6"/>
    <w:rsid w:val="00023D29"/>
    <w:rsid w:val="00024348"/>
    <w:rsid w:val="00026389"/>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4183"/>
    <w:rsid w:val="000441DC"/>
    <w:rsid w:val="0004431D"/>
    <w:rsid w:val="0004694F"/>
    <w:rsid w:val="00046F2F"/>
    <w:rsid w:val="00047AD4"/>
    <w:rsid w:val="00047D54"/>
    <w:rsid w:val="000522E4"/>
    <w:rsid w:val="00053713"/>
    <w:rsid w:val="0005434E"/>
    <w:rsid w:val="00055CB6"/>
    <w:rsid w:val="000572DD"/>
    <w:rsid w:val="00057B1E"/>
    <w:rsid w:val="000610E1"/>
    <w:rsid w:val="000616AD"/>
    <w:rsid w:val="000622A6"/>
    <w:rsid w:val="00062EC5"/>
    <w:rsid w:val="00062F22"/>
    <w:rsid w:val="00063975"/>
    <w:rsid w:val="00063CEA"/>
    <w:rsid w:val="000645FC"/>
    <w:rsid w:val="0006533F"/>
    <w:rsid w:val="00065348"/>
    <w:rsid w:val="00065A75"/>
    <w:rsid w:val="00066558"/>
    <w:rsid w:val="00070A87"/>
    <w:rsid w:val="000712B3"/>
    <w:rsid w:val="00072FF5"/>
    <w:rsid w:val="0007474E"/>
    <w:rsid w:val="0007512B"/>
    <w:rsid w:val="00075551"/>
    <w:rsid w:val="00076D90"/>
    <w:rsid w:val="00077FF0"/>
    <w:rsid w:val="00081A55"/>
    <w:rsid w:val="0008263E"/>
    <w:rsid w:val="00082C19"/>
    <w:rsid w:val="000837CD"/>
    <w:rsid w:val="00084BFF"/>
    <w:rsid w:val="00085395"/>
    <w:rsid w:val="00086896"/>
    <w:rsid w:val="00086AC1"/>
    <w:rsid w:val="00086D19"/>
    <w:rsid w:val="00087634"/>
    <w:rsid w:val="00087F2B"/>
    <w:rsid w:val="00090694"/>
    <w:rsid w:val="000913B1"/>
    <w:rsid w:val="00093241"/>
    <w:rsid w:val="00094A84"/>
    <w:rsid w:val="00095025"/>
    <w:rsid w:val="00095135"/>
    <w:rsid w:val="0009626E"/>
    <w:rsid w:val="00097191"/>
    <w:rsid w:val="000974D1"/>
    <w:rsid w:val="0009799E"/>
    <w:rsid w:val="000A07CB"/>
    <w:rsid w:val="000A0BC0"/>
    <w:rsid w:val="000A1183"/>
    <w:rsid w:val="000A212B"/>
    <w:rsid w:val="000A242D"/>
    <w:rsid w:val="000A256D"/>
    <w:rsid w:val="000A3A2C"/>
    <w:rsid w:val="000A3D9E"/>
    <w:rsid w:val="000A4A54"/>
    <w:rsid w:val="000A4ED9"/>
    <w:rsid w:val="000A6D94"/>
    <w:rsid w:val="000A7377"/>
    <w:rsid w:val="000B03CC"/>
    <w:rsid w:val="000B4212"/>
    <w:rsid w:val="000C0EA8"/>
    <w:rsid w:val="000C13A2"/>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5637"/>
    <w:rsid w:val="000D6F4E"/>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463FD"/>
    <w:rsid w:val="00152F4F"/>
    <w:rsid w:val="001544A1"/>
    <w:rsid w:val="001553B8"/>
    <w:rsid w:val="001554C2"/>
    <w:rsid w:val="001571C0"/>
    <w:rsid w:val="0015753D"/>
    <w:rsid w:val="00157CC9"/>
    <w:rsid w:val="00160C21"/>
    <w:rsid w:val="001612F4"/>
    <w:rsid w:val="00161553"/>
    <w:rsid w:val="0016256B"/>
    <w:rsid w:val="00162F81"/>
    <w:rsid w:val="00163793"/>
    <w:rsid w:val="00167485"/>
    <w:rsid w:val="00167CB9"/>
    <w:rsid w:val="00167DD8"/>
    <w:rsid w:val="001705AD"/>
    <w:rsid w:val="001706D6"/>
    <w:rsid w:val="001714F2"/>
    <w:rsid w:val="00171FEA"/>
    <w:rsid w:val="00175B9F"/>
    <w:rsid w:val="001762F4"/>
    <w:rsid w:val="00181BBC"/>
    <w:rsid w:val="0018385F"/>
    <w:rsid w:val="00184017"/>
    <w:rsid w:val="00184B08"/>
    <w:rsid w:val="00185010"/>
    <w:rsid w:val="00185C22"/>
    <w:rsid w:val="00186BA9"/>
    <w:rsid w:val="0019196C"/>
    <w:rsid w:val="00192F05"/>
    <w:rsid w:val="00194729"/>
    <w:rsid w:val="00194850"/>
    <w:rsid w:val="00195234"/>
    <w:rsid w:val="00196016"/>
    <w:rsid w:val="00197A70"/>
    <w:rsid w:val="00197C0F"/>
    <w:rsid w:val="001A0487"/>
    <w:rsid w:val="001A1F68"/>
    <w:rsid w:val="001A21FA"/>
    <w:rsid w:val="001A4EF0"/>
    <w:rsid w:val="001A552F"/>
    <w:rsid w:val="001B2CA9"/>
    <w:rsid w:val="001B3110"/>
    <w:rsid w:val="001B3E38"/>
    <w:rsid w:val="001B40F5"/>
    <w:rsid w:val="001B4729"/>
    <w:rsid w:val="001B4F0E"/>
    <w:rsid w:val="001B6310"/>
    <w:rsid w:val="001B6C09"/>
    <w:rsid w:val="001B6E12"/>
    <w:rsid w:val="001C05CD"/>
    <w:rsid w:val="001C0F17"/>
    <w:rsid w:val="001C1B66"/>
    <w:rsid w:val="001C31A2"/>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7CE0"/>
    <w:rsid w:val="00200085"/>
    <w:rsid w:val="00203332"/>
    <w:rsid w:val="00203CD5"/>
    <w:rsid w:val="00203D8F"/>
    <w:rsid w:val="00203DA4"/>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6A8"/>
    <w:rsid w:val="0023288F"/>
    <w:rsid w:val="00233603"/>
    <w:rsid w:val="002340EF"/>
    <w:rsid w:val="00234B82"/>
    <w:rsid w:val="00236443"/>
    <w:rsid w:val="00236700"/>
    <w:rsid w:val="00240AF3"/>
    <w:rsid w:val="002418D5"/>
    <w:rsid w:val="00241B06"/>
    <w:rsid w:val="002436BA"/>
    <w:rsid w:val="00244652"/>
    <w:rsid w:val="00244A15"/>
    <w:rsid w:val="002452D9"/>
    <w:rsid w:val="00247319"/>
    <w:rsid w:val="0024799E"/>
    <w:rsid w:val="00247E60"/>
    <w:rsid w:val="00251C53"/>
    <w:rsid w:val="00252AB9"/>
    <w:rsid w:val="00253C0F"/>
    <w:rsid w:val="002558C1"/>
    <w:rsid w:val="00256207"/>
    <w:rsid w:val="002575F3"/>
    <w:rsid w:val="002603E1"/>
    <w:rsid w:val="0026120E"/>
    <w:rsid w:val="00262582"/>
    <w:rsid w:val="0026291D"/>
    <w:rsid w:val="00264309"/>
    <w:rsid w:val="0026564B"/>
    <w:rsid w:val="00265E85"/>
    <w:rsid w:val="00267B49"/>
    <w:rsid w:val="002700D9"/>
    <w:rsid w:val="0027025F"/>
    <w:rsid w:val="002709CC"/>
    <w:rsid w:val="00271022"/>
    <w:rsid w:val="00271465"/>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B1619"/>
    <w:rsid w:val="002B3EF4"/>
    <w:rsid w:val="002B4845"/>
    <w:rsid w:val="002B5567"/>
    <w:rsid w:val="002B72AA"/>
    <w:rsid w:val="002C1F09"/>
    <w:rsid w:val="002C22A4"/>
    <w:rsid w:val="002C260B"/>
    <w:rsid w:val="002C27A6"/>
    <w:rsid w:val="002C398D"/>
    <w:rsid w:val="002C40D2"/>
    <w:rsid w:val="002C43BD"/>
    <w:rsid w:val="002C5245"/>
    <w:rsid w:val="002C59D8"/>
    <w:rsid w:val="002D05CB"/>
    <w:rsid w:val="002D0E59"/>
    <w:rsid w:val="002D2C4F"/>
    <w:rsid w:val="002D455C"/>
    <w:rsid w:val="002E02A1"/>
    <w:rsid w:val="002E196A"/>
    <w:rsid w:val="002E20C7"/>
    <w:rsid w:val="002E20CD"/>
    <w:rsid w:val="002E222E"/>
    <w:rsid w:val="002E28D8"/>
    <w:rsid w:val="002E37D1"/>
    <w:rsid w:val="002E3BEE"/>
    <w:rsid w:val="002E4E4C"/>
    <w:rsid w:val="002E4EA7"/>
    <w:rsid w:val="002E5846"/>
    <w:rsid w:val="002E792B"/>
    <w:rsid w:val="002F1B09"/>
    <w:rsid w:val="002F1DCB"/>
    <w:rsid w:val="002F1DE4"/>
    <w:rsid w:val="002F333D"/>
    <w:rsid w:val="002F351A"/>
    <w:rsid w:val="002F46D6"/>
    <w:rsid w:val="002F498A"/>
    <w:rsid w:val="002F4AD8"/>
    <w:rsid w:val="002F5285"/>
    <w:rsid w:val="002F5820"/>
    <w:rsid w:val="00300C31"/>
    <w:rsid w:val="00304771"/>
    <w:rsid w:val="003052D4"/>
    <w:rsid w:val="00306C5B"/>
    <w:rsid w:val="00307529"/>
    <w:rsid w:val="00307DB3"/>
    <w:rsid w:val="00307ED2"/>
    <w:rsid w:val="0031076D"/>
    <w:rsid w:val="00311AA6"/>
    <w:rsid w:val="00311C4D"/>
    <w:rsid w:val="003121AB"/>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3CD0"/>
    <w:rsid w:val="0033448D"/>
    <w:rsid w:val="00334AD2"/>
    <w:rsid w:val="0033709C"/>
    <w:rsid w:val="003370C5"/>
    <w:rsid w:val="00340BF3"/>
    <w:rsid w:val="00341D26"/>
    <w:rsid w:val="00341F05"/>
    <w:rsid w:val="0034335E"/>
    <w:rsid w:val="00344668"/>
    <w:rsid w:val="003462D9"/>
    <w:rsid w:val="0034723F"/>
    <w:rsid w:val="00347247"/>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5525"/>
    <w:rsid w:val="003A5889"/>
    <w:rsid w:val="003A6B38"/>
    <w:rsid w:val="003A6B83"/>
    <w:rsid w:val="003A6C97"/>
    <w:rsid w:val="003A722F"/>
    <w:rsid w:val="003A7373"/>
    <w:rsid w:val="003B039F"/>
    <w:rsid w:val="003B0DF4"/>
    <w:rsid w:val="003B1F9D"/>
    <w:rsid w:val="003B2AD1"/>
    <w:rsid w:val="003B2D2E"/>
    <w:rsid w:val="003B461F"/>
    <w:rsid w:val="003B483F"/>
    <w:rsid w:val="003B4998"/>
    <w:rsid w:val="003B5A32"/>
    <w:rsid w:val="003B7B50"/>
    <w:rsid w:val="003C0B07"/>
    <w:rsid w:val="003C2CE7"/>
    <w:rsid w:val="003C3490"/>
    <w:rsid w:val="003C3608"/>
    <w:rsid w:val="003C3D2C"/>
    <w:rsid w:val="003C4E13"/>
    <w:rsid w:val="003C6221"/>
    <w:rsid w:val="003C68CC"/>
    <w:rsid w:val="003C7E62"/>
    <w:rsid w:val="003D12B9"/>
    <w:rsid w:val="003D1E7A"/>
    <w:rsid w:val="003D242B"/>
    <w:rsid w:val="003D2492"/>
    <w:rsid w:val="003D29AA"/>
    <w:rsid w:val="003D2A99"/>
    <w:rsid w:val="003D6920"/>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A58"/>
    <w:rsid w:val="004331C3"/>
    <w:rsid w:val="00434617"/>
    <w:rsid w:val="00435051"/>
    <w:rsid w:val="00435C69"/>
    <w:rsid w:val="004360FB"/>
    <w:rsid w:val="00437CED"/>
    <w:rsid w:val="004407BF"/>
    <w:rsid w:val="00440900"/>
    <w:rsid w:val="0044121D"/>
    <w:rsid w:val="00441BF6"/>
    <w:rsid w:val="00441D2B"/>
    <w:rsid w:val="004441A0"/>
    <w:rsid w:val="00445861"/>
    <w:rsid w:val="00445A8E"/>
    <w:rsid w:val="00446D44"/>
    <w:rsid w:val="0045078A"/>
    <w:rsid w:val="0045086D"/>
    <w:rsid w:val="00450DAB"/>
    <w:rsid w:val="00451EF1"/>
    <w:rsid w:val="00452E60"/>
    <w:rsid w:val="0045321B"/>
    <w:rsid w:val="00456FE5"/>
    <w:rsid w:val="00457490"/>
    <w:rsid w:val="00457953"/>
    <w:rsid w:val="00460656"/>
    <w:rsid w:val="00460FB3"/>
    <w:rsid w:val="00464851"/>
    <w:rsid w:val="0046746A"/>
    <w:rsid w:val="00467B14"/>
    <w:rsid w:val="004707FE"/>
    <w:rsid w:val="0047276D"/>
    <w:rsid w:val="00472AF6"/>
    <w:rsid w:val="00473482"/>
    <w:rsid w:val="00474A04"/>
    <w:rsid w:val="00476240"/>
    <w:rsid w:val="00476439"/>
    <w:rsid w:val="004769E1"/>
    <w:rsid w:val="0047735C"/>
    <w:rsid w:val="004776BC"/>
    <w:rsid w:val="00477820"/>
    <w:rsid w:val="00477B96"/>
    <w:rsid w:val="00480BAE"/>
    <w:rsid w:val="0048139F"/>
    <w:rsid w:val="00481E40"/>
    <w:rsid w:val="00482405"/>
    <w:rsid w:val="004826A7"/>
    <w:rsid w:val="0048368C"/>
    <w:rsid w:val="00484ECE"/>
    <w:rsid w:val="00486132"/>
    <w:rsid w:val="0048686D"/>
    <w:rsid w:val="00486A4D"/>
    <w:rsid w:val="004915CB"/>
    <w:rsid w:val="004924DC"/>
    <w:rsid w:val="00492879"/>
    <w:rsid w:val="00493E85"/>
    <w:rsid w:val="004979A5"/>
    <w:rsid w:val="004A0144"/>
    <w:rsid w:val="004A036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39A"/>
    <w:rsid w:val="004B4C83"/>
    <w:rsid w:val="004B55B7"/>
    <w:rsid w:val="004B6468"/>
    <w:rsid w:val="004B6EF8"/>
    <w:rsid w:val="004B7125"/>
    <w:rsid w:val="004B756A"/>
    <w:rsid w:val="004B7FB1"/>
    <w:rsid w:val="004C0B3F"/>
    <w:rsid w:val="004C2794"/>
    <w:rsid w:val="004C2BB6"/>
    <w:rsid w:val="004C2C2D"/>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329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503D54"/>
    <w:rsid w:val="005048E2"/>
    <w:rsid w:val="00505FC8"/>
    <w:rsid w:val="00506603"/>
    <w:rsid w:val="0050689D"/>
    <w:rsid w:val="005077F5"/>
    <w:rsid w:val="005108C0"/>
    <w:rsid w:val="0051094F"/>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45"/>
    <w:rsid w:val="00561F44"/>
    <w:rsid w:val="00562B4D"/>
    <w:rsid w:val="00563EB8"/>
    <w:rsid w:val="005647BF"/>
    <w:rsid w:val="00564AF1"/>
    <w:rsid w:val="005655DB"/>
    <w:rsid w:val="00565E88"/>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519A"/>
    <w:rsid w:val="005856BD"/>
    <w:rsid w:val="00586BCA"/>
    <w:rsid w:val="00590B28"/>
    <w:rsid w:val="005911BE"/>
    <w:rsid w:val="00591273"/>
    <w:rsid w:val="00591E9E"/>
    <w:rsid w:val="005927A4"/>
    <w:rsid w:val="00593152"/>
    <w:rsid w:val="005956A3"/>
    <w:rsid w:val="00595958"/>
    <w:rsid w:val="00595CAB"/>
    <w:rsid w:val="0059622E"/>
    <w:rsid w:val="00597BBF"/>
    <w:rsid w:val="005A0948"/>
    <w:rsid w:val="005A10F2"/>
    <w:rsid w:val="005A21E0"/>
    <w:rsid w:val="005A28FF"/>
    <w:rsid w:val="005A2C09"/>
    <w:rsid w:val="005A3778"/>
    <w:rsid w:val="005A3DF8"/>
    <w:rsid w:val="005A5549"/>
    <w:rsid w:val="005A7CF8"/>
    <w:rsid w:val="005B0EDA"/>
    <w:rsid w:val="005B121D"/>
    <w:rsid w:val="005B26B0"/>
    <w:rsid w:val="005B41C9"/>
    <w:rsid w:val="005B4853"/>
    <w:rsid w:val="005B6CA1"/>
    <w:rsid w:val="005B770C"/>
    <w:rsid w:val="005C06ED"/>
    <w:rsid w:val="005C11B8"/>
    <w:rsid w:val="005C2609"/>
    <w:rsid w:val="005C2B30"/>
    <w:rsid w:val="005C412B"/>
    <w:rsid w:val="005C43EC"/>
    <w:rsid w:val="005C45DD"/>
    <w:rsid w:val="005D3F06"/>
    <w:rsid w:val="005D4B73"/>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D7F"/>
    <w:rsid w:val="005F7174"/>
    <w:rsid w:val="00601ADE"/>
    <w:rsid w:val="00601EEF"/>
    <w:rsid w:val="0060255A"/>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EC9"/>
    <w:rsid w:val="00662469"/>
    <w:rsid w:val="00664205"/>
    <w:rsid w:val="00664647"/>
    <w:rsid w:val="00664803"/>
    <w:rsid w:val="006653CC"/>
    <w:rsid w:val="00665982"/>
    <w:rsid w:val="00665BA4"/>
    <w:rsid w:val="00666BF3"/>
    <w:rsid w:val="00667856"/>
    <w:rsid w:val="00667AF2"/>
    <w:rsid w:val="00670489"/>
    <w:rsid w:val="006710C9"/>
    <w:rsid w:val="006741CD"/>
    <w:rsid w:val="00674D89"/>
    <w:rsid w:val="00675E37"/>
    <w:rsid w:val="00676736"/>
    <w:rsid w:val="006769A4"/>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D27"/>
    <w:rsid w:val="00691943"/>
    <w:rsid w:val="00693550"/>
    <w:rsid w:val="00695065"/>
    <w:rsid w:val="00695BEF"/>
    <w:rsid w:val="00696251"/>
    <w:rsid w:val="006966C7"/>
    <w:rsid w:val="006968C1"/>
    <w:rsid w:val="006977F6"/>
    <w:rsid w:val="00697A13"/>
    <w:rsid w:val="006A109C"/>
    <w:rsid w:val="006A6565"/>
    <w:rsid w:val="006A7691"/>
    <w:rsid w:val="006A7EE2"/>
    <w:rsid w:val="006B0514"/>
    <w:rsid w:val="006B0F92"/>
    <w:rsid w:val="006B2785"/>
    <w:rsid w:val="006B344A"/>
    <w:rsid w:val="006B58C9"/>
    <w:rsid w:val="006B60ED"/>
    <w:rsid w:val="006B6CC5"/>
    <w:rsid w:val="006B74AC"/>
    <w:rsid w:val="006B78D8"/>
    <w:rsid w:val="006B79EA"/>
    <w:rsid w:val="006C0C5D"/>
    <w:rsid w:val="006C113F"/>
    <w:rsid w:val="006C123E"/>
    <w:rsid w:val="006C15A1"/>
    <w:rsid w:val="006C1752"/>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A45"/>
    <w:rsid w:val="006E4078"/>
    <w:rsid w:val="006E53AD"/>
    <w:rsid w:val="006E58CB"/>
    <w:rsid w:val="006E7227"/>
    <w:rsid w:val="006E761A"/>
    <w:rsid w:val="006F0741"/>
    <w:rsid w:val="006F1C27"/>
    <w:rsid w:val="006F2A65"/>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AA0"/>
    <w:rsid w:val="00706AD4"/>
    <w:rsid w:val="00707150"/>
    <w:rsid w:val="007124D7"/>
    <w:rsid w:val="00712C20"/>
    <w:rsid w:val="00713549"/>
    <w:rsid w:val="007140BE"/>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51D"/>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1E9"/>
    <w:rsid w:val="00766460"/>
    <w:rsid w:val="00767062"/>
    <w:rsid w:val="00767777"/>
    <w:rsid w:val="00771972"/>
    <w:rsid w:val="00772279"/>
    <w:rsid w:val="00772DAB"/>
    <w:rsid w:val="00772FF9"/>
    <w:rsid w:val="00774D2C"/>
    <w:rsid w:val="0077605B"/>
    <w:rsid w:val="00776169"/>
    <w:rsid w:val="00776527"/>
    <w:rsid w:val="00777040"/>
    <w:rsid w:val="00777CE6"/>
    <w:rsid w:val="00780EF1"/>
    <w:rsid w:val="00781A91"/>
    <w:rsid w:val="00785778"/>
    <w:rsid w:val="00786C87"/>
    <w:rsid w:val="0078755E"/>
    <w:rsid w:val="007877C9"/>
    <w:rsid w:val="00790764"/>
    <w:rsid w:val="0079085F"/>
    <w:rsid w:val="00790E96"/>
    <w:rsid w:val="00791005"/>
    <w:rsid w:val="00793D78"/>
    <w:rsid w:val="0079453C"/>
    <w:rsid w:val="00794677"/>
    <w:rsid w:val="007A170B"/>
    <w:rsid w:val="007A20EB"/>
    <w:rsid w:val="007A282C"/>
    <w:rsid w:val="007A2A3A"/>
    <w:rsid w:val="007A33E2"/>
    <w:rsid w:val="007A3CAF"/>
    <w:rsid w:val="007A4782"/>
    <w:rsid w:val="007A516D"/>
    <w:rsid w:val="007A5E65"/>
    <w:rsid w:val="007A65E1"/>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78B6"/>
    <w:rsid w:val="007E7E61"/>
    <w:rsid w:val="007F0845"/>
    <w:rsid w:val="007F20F3"/>
    <w:rsid w:val="007F2353"/>
    <w:rsid w:val="007F2390"/>
    <w:rsid w:val="007F2CAC"/>
    <w:rsid w:val="007F4740"/>
    <w:rsid w:val="007F595A"/>
    <w:rsid w:val="007F708D"/>
    <w:rsid w:val="008006B3"/>
    <w:rsid w:val="0080158A"/>
    <w:rsid w:val="00801E13"/>
    <w:rsid w:val="00803008"/>
    <w:rsid w:val="00803069"/>
    <w:rsid w:val="00804155"/>
    <w:rsid w:val="00805AF3"/>
    <w:rsid w:val="0080734C"/>
    <w:rsid w:val="00807C82"/>
    <w:rsid w:val="008117CC"/>
    <w:rsid w:val="00813D58"/>
    <w:rsid w:val="00813DCA"/>
    <w:rsid w:val="008161A6"/>
    <w:rsid w:val="008165B8"/>
    <w:rsid w:val="00816905"/>
    <w:rsid w:val="00816D98"/>
    <w:rsid w:val="00817040"/>
    <w:rsid w:val="00817A17"/>
    <w:rsid w:val="00817EC1"/>
    <w:rsid w:val="0082112D"/>
    <w:rsid w:val="00821FF6"/>
    <w:rsid w:val="00822574"/>
    <w:rsid w:val="00822F08"/>
    <w:rsid w:val="00825C4D"/>
    <w:rsid w:val="00826A08"/>
    <w:rsid w:val="00826AC0"/>
    <w:rsid w:val="00827186"/>
    <w:rsid w:val="00827C8E"/>
    <w:rsid w:val="00830569"/>
    <w:rsid w:val="00830AEA"/>
    <w:rsid w:val="00830E86"/>
    <w:rsid w:val="0083143E"/>
    <w:rsid w:val="008315B8"/>
    <w:rsid w:val="008315D5"/>
    <w:rsid w:val="00831CDE"/>
    <w:rsid w:val="00832F77"/>
    <w:rsid w:val="00834304"/>
    <w:rsid w:val="00834FAA"/>
    <w:rsid w:val="008354FB"/>
    <w:rsid w:val="00836086"/>
    <w:rsid w:val="0083630F"/>
    <w:rsid w:val="00836A06"/>
    <w:rsid w:val="008374BC"/>
    <w:rsid w:val="00837E48"/>
    <w:rsid w:val="00840293"/>
    <w:rsid w:val="008402AD"/>
    <w:rsid w:val="008408D4"/>
    <w:rsid w:val="008417B5"/>
    <w:rsid w:val="00841901"/>
    <w:rsid w:val="008458BD"/>
    <w:rsid w:val="00846121"/>
    <w:rsid w:val="008461C2"/>
    <w:rsid w:val="008466C6"/>
    <w:rsid w:val="0084708F"/>
    <w:rsid w:val="008477C8"/>
    <w:rsid w:val="008478A6"/>
    <w:rsid w:val="008502F6"/>
    <w:rsid w:val="0085114D"/>
    <w:rsid w:val="008520A8"/>
    <w:rsid w:val="00852217"/>
    <w:rsid w:val="00853282"/>
    <w:rsid w:val="00855408"/>
    <w:rsid w:val="00856D65"/>
    <w:rsid w:val="00861B41"/>
    <w:rsid w:val="00861B9F"/>
    <w:rsid w:val="00861BE3"/>
    <w:rsid w:val="008625D3"/>
    <w:rsid w:val="00863434"/>
    <w:rsid w:val="0086344F"/>
    <w:rsid w:val="008641AC"/>
    <w:rsid w:val="00865E4C"/>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CD7"/>
    <w:rsid w:val="00882911"/>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7127"/>
    <w:rsid w:val="008B3A80"/>
    <w:rsid w:val="008B3AEC"/>
    <w:rsid w:val="008B3C07"/>
    <w:rsid w:val="008B3F7B"/>
    <w:rsid w:val="008B5324"/>
    <w:rsid w:val="008B6106"/>
    <w:rsid w:val="008B7C02"/>
    <w:rsid w:val="008B7D2B"/>
    <w:rsid w:val="008B7EF9"/>
    <w:rsid w:val="008C0049"/>
    <w:rsid w:val="008C0E88"/>
    <w:rsid w:val="008C1717"/>
    <w:rsid w:val="008C4B50"/>
    <w:rsid w:val="008C5A37"/>
    <w:rsid w:val="008C7569"/>
    <w:rsid w:val="008D033D"/>
    <w:rsid w:val="008D0DBD"/>
    <w:rsid w:val="008D117E"/>
    <w:rsid w:val="008D127E"/>
    <w:rsid w:val="008D1CA8"/>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2A5D"/>
    <w:rsid w:val="008F3636"/>
    <w:rsid w:val="008F3FC9"/>
    <w:rsid w:val="008F5383"/>
    <w:rsid w:val="008F585B"/>
    <w:rsid w:val="009003A8"/>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3CB0"/>
    <w:rsid w:val="00923D8C"/>
    <w:rsid w:val="00924871"/>
    <w:rsid w:val="00924AC8"/>
    <w:rsid w:val="00925429"/>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24D2"/>
    <w:rsid w:val="009628D9"/>
    <w:rsid w:val="009637AE"/>
    <w:rsid w:val="00964068"/>
    <w:rsid w:val="009640F6"/>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41AE"/>
    <w:rsid w:val="009741FC"/>
    <w:rsid w:val="00974923"/>
    <w:rsid w:val="00975909"/>
    <w:rsid w:val="00977C3D"/>
    <w:rsid w:val="00980D3D"/>
    <w:rsid w:val="0098103E"/>
    <w:rsid w:val="00983101"/>
    <w:rsid w:val="00983E41"/>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EBB"/>
    <w:rsid w:val="009D3ACD"/>
    <w:rsid w:val="009D4F21"/>
    <w:rsid w:val="009D587D"/>
    <w:rsid w:val="009D7731"/>
    <w:rsid w:val="009E1120"/>
    <w:rsid w:val="009E1393"/>
    <w:rsid w:val="009E1922"/>
    <w:rsid w:val="009E1A3D"/>
    <w:rsid w:val="009E4715"/>
    <w:rsid w:val="009E5273"/>
    <w:rsid w:val="009E57A8"/>
    <w:rsid w:val="009E5B85"/>
    <w:rsid w:val="009E5DDB"/>
    <w:rsid w:val="009F2921"/>
    <w:rsid w:val="009F4982"/>
    <w:rsid w:val="009F4CA7"/>
    <w:rsid w:val="009F55BA"/>
    <w:rsid w:val="009F7D36"/>
    <w:rsid w:val="00A00E71"/>
    <w:rsid w:val="00A0306F"/>
    <w:rsid w:val="00A03B10"/>
    <w:rsid w:val="00A03E2E"/>
    <w:rsid w:val="00A04616"/>
    <w:rsid w:val="00A04717"/>
    <w:rsid w:val="00A05EE4"/>
    <w:rsid w:val="00A06F99"/>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3E0"/>
    <w:rsid w:val="00A23E43"/>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2A88"/>
    <w:rsid w:val="00A52CAD"/>
    <w:rsid w:val="00A53FC7"/>
    <w:rsid w:val="00A55569"/>
    <w:rsid w:val="00A60AC1"/>
    <w:rsid w:val="00A626FF"/>
    <w:rsid w:val="00A62CE1"/>
    <w:rsid w:val="00A65469"/>
    <w:rsid w:val="00A65528"/>
    <w:rsid w:val="00A655D3"/>
    <w:rsid w:val="00A662D9"/>
    <w:rsid w:val="00A6741E"/>
    <w:rsid w:val="00A7016A"/>
    <w:rsid w:val="00A7018D"/>
    <w:rsid w:val="00A7191D"/>
    <w:rsid w:val="00A722F9"/>
    <w:rsid w:val="00A72D42"/>
    <w:rsid w:val="00A74C2A"/>
    <w:rsid w:val="00A75E40"/>
    <w:rsid w:val="00A77D1D"/>
    <w:rsid w:val="00A81652"/>
    <w:rsid w:val="00A83150"/>
    <w:rsid w:val="00A83398"/>
    <w:rsid w:val="00A83D6E"/>
    <w:rsid w:val="00A8521A"/>
    <w:rsid w:val="00A857C0"/>
    <w:rsid w:val="00A85ACB"/>
    <w:rsid w:val="00A90F2C"/>
    <w:rsid w:val="00A90FED"/>
    <w:rsid w:val="00A91482"/>
    <w:rsid w:val="00A9189D"/>
    <w:rsid w:val="00A91E71"/>
    <w:rsid w:val="00A925B1"/>
    <w:rsid w:val="00A934F9"/>
    <w:rsid w:val="00A940E3"/>
    <w:rsid w:val="00A95F1A"/>
    <w:rsid w:val="00A96116"/>
    <w:rsid w:val="00A9614E"/>
    <w:rsid w:val="00A96C0F"/>
    <w:rsid w:val="00AA0E80"/>
    <w:rsid w:val="00AA17CD"/>
    <w:rsid w:val="00AA212F"/>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99C"/>
    <w:rsid w:val="00B102CE"/>
    <w:rsid w:val="00B10A4D"/>
    <w:rsid w:val="00B10C90"/>
    <w:rsid w:val="00B11002"/>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402FC"/>
    <w:rsid w:val="00B422E2"/>
    <w:rsid w:val="00B42D5F"/>
    <w:rsid w:val="00B43216"/>
    <w:rsid w:val="00B439DA"/>
    <w:rsid w:val="00B4411A"/>
    <w:rsid w:val="00B46604"/>
    <w:rsid w:val="00B47089"/>
    <w:rsid w:val="00B47587"/>
    <w:rsid w:val="00B52151"/>
    <w:rsid w:val="00B530CD"/>
    <w:rsid w:val="00B53C7D"/>
    <w:rsid w:val="00B53E56"/>
    <w:rsid w:val="00B55A97"/>
    <w:rsid w:val="00B55F5E"/>
    <w:rsid w:val="00B5642C"/>
    <w:rsid w:val="00B56B6F"/>
    <w:rsid w:val="00B5752E"/>
    <w:rsid w:val="00B60AC1"/>
    <w:rsid w:val="00B61FF6"/>
    <w:rsid w:val="00B62316"/>
    <w:rsid w:val="00B63A11"/>
    <w:rsid w:val="00B64425"/>
    <w:rsid w:val="00B64C24"/>
    <w:rsid w:val="00B65CEF"/>
    <w:rsid w:val="00B6608F"/>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201A"/>
    <w:rsid w:val="00BA3787"/>
    <w:rsid w:val="00BA46E8"/>
    <w:rsid w:val="00BA4E19"/>
    <w:rsid w:val="00BA6436"/>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9A3"/>
    <w:rsid w:val="00C71D2F"/>
    <w:rsid w:val="00C72984"/>
    <w:rsid w:val="00C73885"/>
    <w:rsid w:val="00C73C93"/>
    <w:rsid w:val="00C7435A"/>
    <w:rsid w:val="00C747B1"/>
    <w:rsid w:val="00C75510"/>
    <w:rsid w:val="00C755F9"/>
    <w:rsid w:val="00C770C9"/>
    <w:rsid w:val="00C8174E"/>
    <w:rsid w:val="00C82191"/>
    <w:rsid w:val="00C83134"/>
    <w:rsid w:val="00C832F3"/>
    <w:rsid w:val="00C845A4"/>
    <w:rsid w:val="00C85545"/>
    <w:rsid w:val="00C855B5"/>
    <w:rsid w:val="00C85F0E"/>
    <w:rsid w:val="00C90CF4"/>
    <w:rsid w:val="00C91C20"/>
    <w:rsid w:val="00C922DE"/>
    <w:rsid w:val="00C92843"/>
    <w:rsid w:val="00C92EB6"/>
    <w:rsid w:val="00C93389"/>
    <w:rsid w:val="00C948E6"/>
    <w:rsid w:val="00C94CDD"/>
    <w:rsid w:val="00CA0346"/>
    <w:rsid w:val="00CA1BD6"/>
    <w:rsid w:val="00CA37FF"/>
    <w:rsid w:val="00CA423A"/>
    <w:rsid w:val="00CA47BC"/>
    <w:rsid w:val="00CA6AB4"/>
    <w:rsid w:val="00CA7255"/>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2E4D"/>
    <w:rsid w:val="00CF4205"/>
    <w:rsid w:val="00CF4908"/>
    <w:rsid w:val="00CF51EC"/>
    <w:rsid w:val="00CF545D"/>
    <w:rsid w:val="00CF5873"/>
    <w:rsid w:val="00CF73AE"/>
    <w:rsid w:val="00D0085A"/>
    <w:rsid w:val="00D0197F"/>
    <w:rsid w:val="00D0242D"/>
    <w:rsid w:val="00D02716"/>
    <w:rsid w:val="00D03A72"/>
    <w:rsid w:val="00D040DD"/>
    <w:rsid w:val="00D04134"/>
    <w:rsid w:val="00D05C65"/>
    <w:rsid w:val="00D06B56"/>
    <w:rsid w:val="00D06D68"/>
    <w:rsid w:val="00D075BE"/>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31537"/>
    <w:rsid w:val="00D31E1E"/>
    <w:rsid w:val="00D322A0"/>
    <w:rsid w:val="00D32824"/>
    <w:rsid w:val="00D334E2"/>
    <w:rsid w:val="00D35AD6"/>
    <w:rsid w:val="00D35BBB"/>
    <w:rsid w:val="00D35E1A"/>
    <w:rsid w:val="00D36B0A"/>
    <w:rsid w:val="00D36DFB"/>
    <w:rsid w:val="00D36E1C"/>
    <w:rsid w:val="00D373AF"/>
    <w:rsid w:val="00D40556"/>
    <w:rsid w:val="00D41F74"/>
    <w:rsid w:val="00D43ED2"/>
    <w:rsid w:val="00D50F46"/>
    <w:rsid w:val="00D5384E"/>
    <w:rsid w:val="00D544E7"/>
    <w:rsid w:val="00D5499F"/>
    <w:rsid w:val="00D5560A"/>
    <w:rsid w:val="00D56FBF"/>
    <w:rsid w:val="00D57677"/>
    <w:rsid w:val="00D60415"/>
    <w:rsid w:val="00D60E3C"/>
    <w:rsid w:val="00D63BE5"/>
    <w:rsid w:val="00D6475F"/>
    <w:rsid w:val="00D66223"/>
    <w:rsid w:val="00D667B8"/>
    <w:rsid w:val="00D70289"/>
    <w:rsid w:val="00D70822"/>
    <w:rsid w:val="00D72076"/>
    <w:rsid w:val="00D726A9"/>
    <w:rsid w:val="00D743E0"/>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544C"/>
    <w:rsid w:val="00DA5F8E"/>
    <w:rsid w:val="00DA6364"/>
    <w:rsid w:val="00DA7114"/>
    <w:rsid w:val="00DA7C0C"/>
    <w:rsid w:val="00DB08A9"/>
    <w:rsid w:val="00DB2DFA"/>
    <w:rsid w:val="00DB2EC8"/>
    <w:rsid w:val="00DB321D"/>
    <w:rsid w:val="00DB459B"/>
    <w:rsid w:val="00DB47FD"/>
    <w:rsid w:val="00DB5E9A"/>
    <w:rsid w:val="00DB657E"/>
    <w:rsid w:val="00DB7342"/>
    <w:rsid w:val="00DC17D0"/>
    <w:rsid w:val="00DC2B41"/>
    <w:rsid w:val="00DC3128"/>
    <w:rsid w:val="00DC435B"/>
    <w:rsid w:val="00DC53D8"/>
    <w:rsid w:val="00DC56FE"/>
    <w:rsid w:val="00DC5B3B"/>
    <w:rsid w:val="00DC6C2D"/>
    <w:rsid w:val="00DC7B1A"/>
    <w:rsid w:val="00DD04B0"/>
    <w:rsid w:val="00DD129F"/>
    <w:rsid w:val="00DD1A3F"/>
    <w:rsid w:val="00DD29B5"/>
    <w:rsid w:val="00DD32DD"/>
    <w:rsid w:val="00DD5287"/>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694"/>
    <w:rsid w:val="00E12191"/>
    <w:rsid w:val="00E129E7"/>
    <w:rsid w:val="00E12ABE"/>
    <w:rsid w:val="00E12B1E"/>
    <w:rsid w:val="00E1444C"/>
    <w:rsid w:val="00E17262"/>
    <w:rsid w:val="00E20016"/>
    <w:rsid w:val="00E2009B"/>
    <w:rsid w:val="00E20BB9"/>
    <w:rsid w:val="00E20BCC"/>
    <w:rsid w:val="00E2251C"/>
    <w:rsid w:val="00E2363D"/>
    <w:rsid w:val="00E23C6A"/>
    <w:rsid w:val="00E253A2"/>
    <w:rsid w:val="00E260F6"/>
    <w:rsid w:val="00E27127"/>
    <w:rsid w:val="00E27233"/>
    <w:rsid w:val="00E30F15"/>
    <w:rsid w:val="00E31771"/>
    <w:rsid w:val="00E3186D"/>
    <w:rsid w:val="00E31A3E"/>
    <w:rsid w:val="00E32080"/>
    <w:rsid w:val="00E3309D"/>
    <w:rsid w:val="00E35A53"/>
    <w:rsid w:val="00E3724A"/>
    <w:rsid w:val="00E378B1"/>
    <w:rsid w:val="00E417BE"/>
    <w:rsid w:val="00E41CD5"/>
    <w:rsid w:val="00E4372D"/>
    <w:rsid w:val="00E43A9E"/>
    <w:rsid w:val="00E453F9"/>
    <w:rsid w:val="00E45D7D"/>
    <w:rsid w:val="00E4623F"/>
    <w:rsid w:val="00E4665D"/>
    <w:rsid w:val="00E47854"/>
    <w:rsid w:val="00E47EBA"/>
    <w:rsid w:val="00E50156"/>
    <w:rsid w:val="00E5076C"/>
    <w:rsid w:val="00E50D2E"/>
    <w:rsid w:val="00E50D7D"/>
    <w:rsid w:val="00E53470"/>
    <w:rsid w:val="00E539F6"/>
    <w:rsid w:val="00E54698"/>
    <w:rsid w:val="00E54FB4"/>
    <w:rsid w:val="00E55791"/>
    <w:rsid w:val="00E55E1A"/>
    <w:rsid w:val="00E578A2"/>
    <w:rsid w:val="00E60043"/>
    <w:rsid w:val="00E61740"/>
    <w:rsid w:val="00E61EB5"/>
    <w:rsid w:val="00E6324D"/>
    <w:rsid w:val="00E65084"/>
    <w:rsid w:val="00E6519D"/>
    <w:rsid w:val="00E66062"/>
    <w:rsid w:val="00E6660E"/>
    <w:rsid w:val="00E67305"/>
    <w:rsid w:val="00E67696"/>
    <w:rsid w:val="00E70C5F"/>
    <w:rsid w:val="00E71A58"/>
    <w:rsid w:val="00E72A26"/>
    <w:rsid w:val="00E72A7A"/>
    <w:rsid w:val="00E7335A"/>
    <w:rsid w:val="00E747DC"/>
    <w:rsid w:val="00E74A2D"/>
    <w:rsid w:val="00E75C94"/>
    <w:rsid w:val="00E76B9B"/>
    <w:rsid w:val="00E76E61"/>
    <w:rsid w:val="00E80CA3"/>
    <w:rsid w:val="00E82618"/>
    <w:rsid w:val="00E84E09"/>
    <w:rsid w:val="00E90CA8"/>
    <w:rsid w:val="00E930A1"/>
    <w:rsid w:val="00E93820"/>
    <w:rsid w:val="00E94A86"/>
    <w:rsid w:val="00E953F6"/>
    <w:rsid w:val="00E96143"/>
    <w:rsid w:val="00E96833"/>
    <w:rsid w:val="00E97506"/>
    <w:rsid w:val="00EA0C68"/>
    <w:rsid w:val="00EA1D0E"/>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F10"/>
    <w:rsid w:val="00ED4D04"/>
    <w:rsid w:val="00ED5907"/>
    <w:rsid w:val="00ED5F5B"/>
    <w:rsid w:val="00ED62C6"/>
    <w:rsid w:val="00ED64C1"/>
    <w:rsid w:val="00EE2EB4"/>
    <w:rsid w:val="00EE3446"/>
    <w:rsid w:val="00EE3E78"/>
    <w:rsid w:val="00EE41FD"/>
    <w:rsid w:val="00EE460E"/>
    <w:rsid w:val="00EE4B1B"/>
    <w:rsid w:val="00EE5FBA"/>
    <w:rsid w:val="00EE6E06"/>
    <w:rsid w:val="00EE7179"/>
    <w:rsid w:val="00EF150D"/>
    <w:rsid w:val="00EF1F5A"/>
    <w:rsid w:val="00EF47BF"/>
    <w:rsid w:val="00EF59B1"/>
    <w:rsid w:val="00EF5A13"/>
    <w:rsid w:val="00EF5FF9"/>
    <w:rsid w:val="00EF7CC7"/>
    <w:rsid w:val="00F00866"/>
    <w:rsid w:val="00F0160B"/>
    <w:rsid w:val="00F0193E"/>
    <w:rsid w:val="00F03F8D"/>
    <w:rsid w:val="00F04811"/>
    <w:rsid w:val="00F0488C"/>
    <w:rsid w:val="00F073ED"/>
    <w:rsid w:val="00F07C4C"/>
    <w:rsid w:val="00F10F11"/>
    <w:rsid w:val="00F11159"/>
    <w:rsid w:val="00F115E4"/>
    <w:rsid w:val="00F12CFB"/>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D6"/>
    <w:rsid w:val="00F307CB"/>
    <w:rsid w:val="00F30C65"/>
    <w:rsid w:val="00F321D2"/>
    <w:rsid w:val="00F32649"/>
    <w:rsid w:val="00F33523"/>
    <w:rsid w:val="00F3364D"/>
    <w:rsid w:val="00F349BF"/>
    <w:rsid w:val="00F34DDC"/>
    <w:rsid w:val="00F36191"/>
    <w:rsid w:val="00F37EDC"/>
    <w:rsid w:val="00F437CC"/>
    <w:rsid w:val="00F44537"/>
    <w:rsid w:val="00F46185"/>
    <w:rsid w:val="00F46423"/>
    <w:rsid w:val="00F4696A"/>
    <w:rsid w:val="00F47067"/>
    <w:rsid w:val="00F525AB"/>
    <w:rsid w:val="00F525EB"/>
    <w:rsid w:val="00F52CB5"/>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4E7D"/>
    <w:rsid w:val="00F85066"/>
    <w:rsid w:val="00F87A4D"/>
    <w:rsid w:val="00F93688"/>
    <w:rsid w:val="00F939F3"/>
    <w:rsid w:val="00F93C6E"/>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4DE"/>
    <w:rsid w:val="00FC684B"/>
    <w:rsid w:val="00FC7D98"/>
    <w:rsid w:val="00FD1135"/>
    <w:rsid w:val="00FD3265"/>
    <w:rsid w:val="00FD3CF7"/>
    <w:rsid w:val="00FD4916"/>
    <w:rsid w:val="00FD4D12"/>
    <w:rsid w:val="00FD4F73"/>
    <w:rsid w:val="00FD595E"/>
    <w:rsid w:val="00FE27C7"/>
    <w:rsid w:val="00FE2C7E"/>
    <w:rsid w:val="00FE2F78"/>
    <w:rsid w:val="00FE3137"/>
    <w:rsid w:val="00FE346B"/>
    <w:rsid w:val="00FE346F"/>
    <w:rsid w:val="00FE48E4"/>
    <w:rsid w:val="00FE634C"/>
    <w:rsid w:val="00FE6E69"/>
    <w:rsid w:val="00FE6F59"/>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36" Type="http://schemas.microsoft.com/office/2016/09/relationships/commentsIds" Target="commentsIds.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JKAM%20CSU\PUBLIKACE\PUBLIKACE\2019\QMakro\1.-3.%20&#269;tvrtlet&#237;\Trh%20pr&#225;ce\Grafy-trh%20pr&#225;ce-rok-2019-1-3.q.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3.%20&#269;tvrtlet&#237;\Trh%20pr&#225;ce\Grafy-trh%20pr&#225;ce-rok-2019-1-3.q.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JKAM%20CSU\PUBLIKACE\PUBLIKACE\2019\QMakro\1.-3.%20&#269;tvrtlet&#237;\Trh%20pr&#225;ce\Grafy-trh%20pr&#225;ce-rok-2019-1-3.q.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6549886621315374E-2"/>
          <c:w val="0.83420125451377358"/>
          <c:h val="0.65992692395395358"/>
        </c:manualLayout>
      </c:layout>
      <c:barChart>
        <c:barDir val="col"/>
        <c:grouping val="stacked"/>
        <c:varyColors val="0"/>
        <c:ser>
          <c:idx val="0"/>
          <c:order val="0"/>
          <c:tx>
            <c:strRef>
              <c:f>'Trh práce 1'!$AC$7</c:f>
              <c:strCache>
                <c:ptCount val="1"/>
                <c:pt idx="0">
                  <c:v>Zemědělství, lesnictví a rybářství</c:v>
                </c:pt>
              </c:strCache>
            </c:strRef>
          </c:tx>
          <c:spPr>
            <a:solidFill>
              <a:srgbClr val="7DBB2D"/>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1'!$AC$8:$AC$46</c:f>
              <c:numCache>
                <c:formatCode>#\ ##0.0</c:formatCode>
                <c:ptCount val="39"/>
                <c:pt idx="0">
                  <c:v>-0.23222275006944557</c:v>
                </c:pt>
                <c:pt idx="1">
                  <c:v>-0.17702219112179116</c:v>
                </c:pt>
                <c:pt idx="2">
                  <c:v>-0.14250343705609567</c:v>
                </c:pt>
                <c:pt idx="3">
                  <c:v>-0.13702544848549181</c:v>
                </c:pt>
                <c:pt idx="4">
                  <c:v>0.1037453953799244</c:v>
                </c:pt>
                <c:pt idx="5">
                  <c:v>9.5690938460221905E-2</c:v>
                </c:pt>
                <c:pt idx="6">
                  <c:v>5.9112721211504203E-2</c:v>
                </c:pt>
                <c:pt idx="7">
                  <c:v>4.0223421388449539E-2</c:v>
                </c:pt>
                <c:pt idx="8">
                  <c:v>2.8804620165849455E-2</c:v>
                </c:pt>
                <c:pt idx="9">
                  <c:v>3.177048919427123E-2</c:v>
                </c:pt>
                <c:pt idx="10">
                  <c:v>6.2378779484277516E-2</c:v>
                </c:pt>
                <c:pt idx="11">
                  <c:v>7.8876524967668338E-2</c:v>
                </c:pt>
                <c:pt idx="12">
                  <c:v>3.4897043795591033E-2</c:v>
                </c:pt>
                <c:pt idx="13">
                  <c:v>7.6139985329269355E-2</c:v>
                </c:pt>
                <c:pt idx="14">
                  <c:v>1.9508115947107659E-2</c:v>
                </c:pt>
                <c:pt idx="15">
                  <c:v>9.8416227024961307E-4</c:v>
                </c:pt>
                <c:pt idx="16">
                  <c:v>-9.9577605233673473E-3</c:v>
                </c:pt>
                <c:pt idx="17">
                  <c:v>-7.2593422082177242E-2</c:v>
                </c:pt>
                <c:pt idx="18">
                  <c:v>-3.1543675502894435E-2</c:v>
                </c:pt>
                <c:pt idx="19">
                  <c:v>-7.4973080531714944E-3</c:v>
                </c:pt>
                <c:pt idx="20">
                  <c:v>-2.5406394237287376E-2</c:v>
                </c:pt>
                <c:pt idx="21">
                  <c:v>-3.2519642707587761E-2</c:v>
                </c:pt>
                <c:pt idx="22">
                  <c:v>-4.274637755234708E-2</c:v>
                </c:pt>
                <c:pt idx="23">
                  <c:v>-7.634560591871406E-2</c:v>
                </c:pt>
                <c:pt idx="24">
                  <c:v>-0.12683499341762042</c:v>
                </c:pt>
                <c:pt idx="25">
                  <c:v>-5.8796404821536856E-2</c:v>
                </c:pt>
                <c:pt idx="26">
                  <c:v>-5.7660818239794312E-2</c:v>
                </c:pt>
                <c:pt idx="27">
                  <c:v>5.9750731023664044E-2</c:v>
                </c:pt>
                <c:pt idx="28">
                  <c:v>0.10980047025694589</c:v>
                </c:pt>
                <c:pt idx="29">
                  <c:v>3.9673148008215947E-2</c:v>
                </c:pt>
                <c:pt idx="30">
                  <c:v>4.4749740495190864E-2</c:v>
                </c:pt>
                <c:pt idx="31">
                  <c:v>-8.0513245505165212E-2</c:v>
                </c:pt>
                <c:pt idx="32">
                  <c:v>-4.9161515718039762E-2</c:v>
                </c:pt>
                <c:pt idx="33">
                  <c:v>-3.5837548449139993E-2</c:v>
                </c:pt>
                <c:pt idx="34">
                  <c:v>-3.36987100603224E-2</c:v>
                </c:pt>
                <c:pt idx="35">
                  <c:v>8.5649612277238097E-3</c:v>
                </c:pt>
                <c:pt idx="36">
                  <c:v>2.1084112815023665E-2</c:v>
                </c:pt>
                <c:pt idx="37">
                  <c:v>-2.8290869979292695E-2</c:v>
                </c:pt>
                <c:pt idx="38">
                  <c:v>-6.8374277028735247E-2</c:v>
                </c:pt>
              </c:numCache>
            </c:numRef>
          </c:val>
          <c:extLst>
            <c:ext xmlns:c16="http://schemas.microsoft.com/office/drawing/2014/chart" uri="{C3380CC4-5D6E-409C-BE32-E72D297353CC}">
              <c16:uniqueId val="{00000000-47AD-4A55-A5D0-09D488FC6C51}"/>
            </c:ext>
          </c:extLst>
        </c:ser>
        <c:ser>
          <c:idx val="1"/>
          <c:order val="1"/>
          <c:tx>
            <c:strRef>
              <c:f>'Trh práce 1'!$AD$7</c:f>
              <c:strCache>
                <c:ptCount val="1"/>
                <c:pt idx="0">
                  <c:v>Zpracovatelský průmysl</c:v>
                </c:pt>
              </c:strCache>
            </c:strRef>
          </c:tx>
          <c:spPr>
            <a:solidFill>
              <a:srgbClr val="A6CDE8"/>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1'!$AD$8:$AD$46</c:f>
              <c:numCache>
                <c:formatCode>#\ ##0.0</c:formatCode>
                <c:ptCount val="39"/>
                <c:pt idx="0">
                  <c:v>-1.8445397057469493</c:v>
                </c:pt>
                <c:pt idx="1">
                  <c:v>-0.84745414755720294</c:v>
                </c:pt>
                <c:pt idx="2">
                  <c:v>-0.30166542154199055</c:v>
                </c:pt>
                <c:pt idx="3">
                  <c:v>-0.14324221591641934</c:v>
                </c:pt>
                <c:pt idx="4">
                  <c:v>0.97895076203027398</c:v>
                </c:pt>
                <c:pt idx="5">
                  <c:v>1.0641212428356823</c:v>
                </c:pt>
                <c:pt idx="6">
                  <c:v>0.95618180752734194</c:v>
                </c:pt>
                <c:pt idx="7">
                  <c:v>0.57685118438258809</c:v>
                </c:pt>
                <c:pt idx="8">
                  <c:v>0.15618372903976085</c:v>
                </c:pt>
                <c:pt idx="9">
                  <c:v>0.13240673035543943</c:v>
                </c:pt>
                <c:pt idx="10">
                  <c:v>0.31011051427221825</c:v>
                </c:pt>
                <c:pt idx="11">
                  <c:v>0.41899305405892617</c:v>
                </c:pt>
                <c:pt idx="12">
                  <c:v>-4.4405396456619534E-2</c:v>
                </c:pt>
                <c:pt idx="13">
                  <c:v>4.3158507126686806E-2</c:v>
                </c:pt>
                <c:pt idx="14">
                  <c:v>-0.10553280483596787</c:v>
                </c:pt>
                <c:pt idx="15">
                  <c:v>-5.7317610619337468E-2</c:v>
                </c:pt>
                <c:pt idx="16">
                  <c:v>0.20769043377309038</c:v>
                </c:pt>
                <c:pt idx="17">
                  <c:v>0.1994111278121122</c:v>
                </c:pt>
                <c:pt idx="18">
                  <c:v>0.39457126264967202</c:v>
                </c:pt>
                <c:pt idx="19">
                  <c:v>0.53106915941992727</c:v>
                </c:pt>
                <c:pt idx="20">
                  <c:v>0.90470735488586451</c:v>
                </c:pt>
                <c:pt idx="21">
                  <c:v>0.96187925091846294</c:v>
                </c:pt>
                <c:pt idx="22">
                  <c:v>0.80659111223260482</c:v>
                </c:pt>
                <c:pt idx="23">
                  <c:v>0.97639755522586125</c:v>
                </c:pt>
                <c:pt idx="24">
                  <c:v>0.88338166621127856</c:v>
                </c:pt>
                <c:pt idx="25">
                  <c:v>0.66590302024601566</c:v>
                </c:pt>
                <c:pt idx="26">
                  <c:v>0.72234156147423922</c:v>
                </c:pt>
                <c:pt idx="27">
                  <c:v>0.58981738346396817</c:v>
                </c:pt>
                <c:pt idx="28">
                  <c:v>0.19983341803764565</c:v>
                </c:pt>
                <c:pt idx="29">
                  <c:v>0.32012257424933233</c:v>
                </c:pt>
                <c:pt idx="30">
                  <c:v>0.43319496242521982</c:v>
                </c:pt>
                <c:pt idx="31">
                  <c:v>0.42405404961421206</c:v>
                </c:pt>
                <c:pt idx="32">
                  <c:v>0.45816951651004673</c:v>
                </c:pt>
                <c:pt idx="33">
                  <c:v>0.37332186131712708</c:v>
                </c:pt>
                <c:pt idx="34">
                  <c:v>0.1992303505224699</c:v>
                </c:pt>
                <c:pt idx="35">
                  <c:v>0.17982694682034031</c:v>
                </c:pt>
                <c:pt idx="36">
                  <c:v>0.26873435612605362</c:v>
                </c:pt>
                <c:pt idx="37">
                  <c:v>0.15849526506000094</c:v>
                </c:pt>
                <c:pt idx="38">
                  <c:v>-6.47028034376078E-2</c:v>
                </c:pt>
              </c:numCache>
            </c:numRef>
          </c:val>
          <c:extLst>
            <c:ext xmlns:c16="http://schemas.microsoft.com/office/drawing/2014/chart" uri="{C3380CC4-5D6E-409C-BE32-E72D297353CC}">
              <c16:uniqueId val="{00000001-47AD-4A55-A5D0-09D488FC6C51}"/>
            </c:ext>
          </c:extLst>
        </c:ser>
        <c:ser>
          <c:idx val="2"/>
          <c:order val="2"/>
          <c:tx>
            <c:strRef>
              <c:f>'Trh práce 1'!$AE$7</c:f>
              <c:strCache>
                <c:ptCount val="1"/>
                <c:pt idx="0">
                  <c:v>Stavebnictví</c:v>
                </c:pt>
              </c:strCache>
            </c:strRef>
          </c:tx>
          <c:spPr>
            <a:solidFill>
              <a:srgbClr val="48AEE7"/>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1'!$AE$8:$AE$46</c:f>
              <c:numCache>
                <c:formatCode>#\ ##0.0</c:formatCode>
                <c:ptCount val="39"/>
                <c:pt idx="0">
                  <c:v>9.3873585501888082E-2</c:v>
                </c:pt>
                <c:pt idx="1">
                  <c:v>0.14259143360406704</c:v>
                </c:pt>
                <c:pt idx="2">
                  <c:v>0.18371660463360132</c:v>
                </c:pt>
                <c:pt idx="3">
                  <c:v>0.1878450552621217</c:v>
                </c:pt>
                <c:pt idx="4">
                  <c:v>-0.46459117644017811</c:v>
                </c:pt>
                <c:pt idx="5">
                  <c:v>-0.4616879929060313</c:v>
                </c:pt>
                <c:pt idx="6">
                  <c:v>-0.50318816056641913</c:v>
                </c:pt>
                <c:pt idx="7">
                  <c:v>-0.48534290072386538</c:v>
                </c:pt>
                <c:pt idx="8">
                  <c:v>-8.5917913180643235E-2</c:v>
                </c:pt>
                <c:pt idx="9">
                  <c:v>-5.8137026020918761E-2</c:v>
                </c:pt>
                <c:pt idx="10">
                  <c:v>-0.14837747801088627</c:v>
                </c:pt>
                <c:pt idx="11">
                  <c:v>-0.16295719235324882</c:v>
                </c:pt>
                <c:pt idx="12">
                  <c:v>-0.2112283521210945</c:v>
                </c:pt>
                <c:pt idx="13">
                  <c:v>-0.32386665444105772</c:v>
                </c:pt>
                <c:pt idx="14">
                  <c:v>-0.19405752472914967</c:v>
                </c:pt>
                <c:pt idx="15">
                  <c:v>-9.30623842748034E-2</c:v>
                </c:pt>
                <c:pt idx="16">
                  <c:v>-0.43150295601258509</c:v>
                </c:pt>
                <c:pt idx="17">
                  <c:v>-0.30664293593782627</c:v>
                </c:pt>
                <c:pt idx="18">
                  <c:v>-0.36558411945062813</c:v>
                </c:pt>
                <c:pt idx="19">
                  <c:v>-0.44482059984761585</c:v>
                </c:pt>
                <c:pt idx="20">
                  <c:v>-9.9424868399593299E-3</c:v>
                </c:pt>
                <c:pt idx="21">
                  <c:v>-3.3539559125437316E-3</c:v>
                </c:pt>
                <c:pt idx="22">
                  <c:v>-5.6760622044817514E-2</c:v>
                </c:pt>
                <c:pt idx="23">
                  <c:v>-7.8859282070708484E-2</c:v>
                </c:pt>
                <c:pt idx="24">
                  <c:v>-0.17401000397426594</c:v>
                </c:pt>
                <c:pt idx="25">
                  <c:v>-0.19657276720170863</c:v>
                </c:pt>
                <c:pt idx="26">
                  <c:v>-9.6037081884339681E-2</c:v>
                </c:pt>
                <c:pt idx="27">
                  <c:v>-6.2672903197279528E-2</c:v>
                </c:pt>
                <c:pt idx="28">
                  <c:v>-3.5906224401297321E-3</c:v>
                </c:pt>
                <c:pt idx="29">
                  <c:v>3.1746122268193882E-3</c:v>
                </c:pt>
                <c:pt idx="30">
                  <c:v>5.6715927469711339E-2</c:v>
                </c:pt>
                <c:pt idx="31">
                  <c:v>-8.3930904378625562E-2</c:v>
                </c:pt>
                <c:pt idx="32">
                  <c:v>9.0738004317254872E-2</c:v>
                </c:pt>
                <c:pt idx="33">
                  <c:v>3.6006328112165767E-2</c:v>
                </c:pt>
                <c:pt idx="34">
                  <c:v>3.049463149184509E-2</c:v>
                </c:pt>
                <c:pt idx="35">
                  <c:v>0.10318916331314207</c:v>
                </c:pt>
                <c:pt idx="36">
                  <c:v>6.429078199620672E-2</c:v>
                </c:pt>
                <c:pt idx="37">
                  <c:v>9.0921765969956325E-2</c:v>
                </c:pt>
                <c:pt idx="38">
                  <c:v>0.11287475090712418</c:v>
                </c:pt>
              </c:numCache>
            </c:numRef>
          </c:val>
          <c:extLst>
            <c:ext xmlns:c16="http://schemas.microsoft.com/office/drawing/2014/chart" uri="{C3380CC4-5D6E-409C-BE32-E72D297353CC}">
              <c16:uniqueId val="{00000002-47AD-4A55-A5D0-09D488FC6C51}"/>
            </c:ext>
          </c:extLst>
        </c:ser>
        <c:ser>
          <c:idx val="3"/>
          <c:order val="3"/>
          <c:tx>
            <c:strRef>
              <c:f>'Trh práce 1'!$AF$7</c:f>
              <c:strCache>
                <c:ptCount val="1"/>
                <c:pt idx="0">
                  <c:v>Obchod, doprava, ubytování a pohost.</c:v>
                </c:pt>
              </c:strCache>
            </c:strRef>
          </c:tx>
          <c:spPr>
            <a:solidFill>
              <a:srgbClr val="FDDEB3"/>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1'!$AF$8:$AF$46</c:f>
              <c:numCache>
                <c:formatCode>#\ ##0.0</c:formatCode>
                <c:ptCount val="39"/>
                <c:pt idx="0">
                  <c:v>-0.36020586170372848</c:v>
                </c:pt>
                <c:pt idx="1">
                  <c:v>-0.12853367400426938</c:v>
                </c:pt>
                <c:pt idx="2">
                  <c:v>0.13275641462376636</c:v>
                </c:pt>
                <c:pt idx="3">
                  <c:v>0.29832589360603401</c:v>
                </c:pt>
                <c:pt idx="4">
                  <c:v>-6.8329822215403707E-2</c:v>
                </c:pt>
                <c:pt idx="5">
                  <c:v>-7.5578817344047824E-2</c:v>
                </c:pt>
                <c:pt idx="6">
                  <c:v>-9.226004151702058E-2</c:v>
                </c:pt>
                <c:pt idx="7">
                  <c:v>-0.1522180456464855</c:v>
                </c:pt>
                <c:pt idx="8">
                  <c:v>-0.13386609977903038</c:v>
                </c:pt>
                <c:pt idx="9">
                  <c:v>-9.5588593345255934E-2</c:v>
                </c:pt>
                <c:pt idx="10">
                  <c:v>-9.2577400810211111E-2</c:v>
                </c:pt>
                <c:pt idx="11">
                  <c:v>-0.19122243914977163</c:v>
                </c:pt>
                <c:pt idx="12">
                  <c:v>0.21176431354457628</c:v>
                </c:pt>
                <c:pt idx="13">
                  <c:v>0.14567972277377983</c:v>
                </c:pt>
                <c:pt idx="14">
                  <c:v>1.7303364195265018E-2</c:v>
                </c:pt>
                <c:pt idx="15">
                  <c:v>2.2222384062236263E-2</c:v>
                </c:pt>
                <c:pt idx="16">
                  <c:v>-7.053413704051871E-2</c:v>
                </c:pt>
                <c:pt idx="17">
                  <c:v>-0.25891457624497549</c:v>
                </c:pt>
                <c:pt idx="18">
                  <c:v>-0.10855429474811551</c:v>
                </c:pt>
                <c:pt idx="19">
                  <c:v>0.17354005176094334</c:v>
                </c:pt>
                <c:pt idx="20">
                  <c:v>0.11952598309777195</c:v>
                </c:pt>
                <c:pt idx="21">
                  <c:v>0.37489773866877718</c:v>
                </c:pt>
                <c:pt idx="22">
                  <c:v>0.24119355235297801</c:v>
                </c:pt>
                <c:pt idx="23">
                  <c:v>7.7144526246092138E-2</c:v>
                </c:pt>
                <c:pt idx="24">
                  <c:v>0.14837520802801801</c:v>
                </c:pt>
                <c:pt idx="25">
                  <c:v>0.19616793949638001</c:v>
                </c:pt>
                <c:pt idx="26">
                  <c:v>1.7240391808152546E-2</c:v>
                </c:pt>
                <c:pt idx="27">
                  <c:v>6.7594456331789815E-2</c:v>
                </c:pt>
                <c:pt idx="28">
                  <c:v>0.34445146653053038</c:v>
                </c:pt>
                <c:pt idx="29">
                  <c:v>0.15720983901674454</c:v>
                </c:pt>
                <c:pt idx="30">
                  <c:v>0.48991088989493115</c:v>
                </c:pt>
                <c:pt idx="31">
                  <c:v>0.35079152790688539</c:v>
                </c:pt>
                <c:pt idx="32">
                  <c:v>0.23807198021343226</c:v>
                </c:pt>
                <c:pt idx="33">
                  <c:v>0.49561210382724846</c:v>
                </c:pt>
                <c:pt idx="34">
                  <c:v>0.33069071364889069</c:v>
                </c:pt>
                <c:pt idx="35">
                  <c:v>0.36335917034571769</c:v>
                </c:pt>
                <c:pt idx="36">
                  <c:v>0.44030006568154961</c:v>
                </c:pt>
                <c:pt idx="37">
                  <c:v>0.12153639710791321</c:v>
                </c:pt>
                <c:pt idx="38">
                  <c:v>-5.4740010778266984E-2</c:v>
                </c:pt>
              </c:numCache>
            </c:numRef>
          </c:val>
          <c:extLst>
            <c:ext xmlns:c16="http://schemas.microsoft.com/office/drawing/2014/chart" uri="{C3380CC4-5D6E-409C-BE32-E72D297353CC}">
              <c16:uniqueId val="{00000003-47AD-4A55-A5D0-09D488FC6C51}"/>
            </c:ext>
          </c:extLst>
        </c:ser>
        <c:ser>
          <c:idx val="4"/>
          <c:order val="4"/>
          <c:tx>
            <c:strRef>
              <c:f>'Trh práce 1'!$AG$7</c:f>
              <c:strCache>
                <c:ptCount val="1"/>
                <c:pt idx="0">
                  <c:v>Informační a komunikač. čin.</c:v>
                </c:pt>
              </c:strCache>
            </c:strRef>
          </c:tx>
          <c:spPr>
            <a:solidFill>
              <a:srgbClr val="F8A124"/>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1'!$AG$8:$AG$46</c:f>
              <c:numCache>
                <c:formatCode>#\ ##0.0</c:formatCode>
                <c:ptCount val="39"/>
                <c:pt idx="0">
                  <c:v>-6.5149774021976622E-2</c:v>
                </c:pt>
                <c:pt idx="1">
                  <c:v>-7.6291207174423364E-2</c:v>
                </c:pt>
                <c:pt idx="2">
                  <c:v>-6.7461209804364208E-2</c:v>
                </c:pt>
                <c:pt idx="3">
                  <c:v>-8.1706086235047687E-2</c:v>
                </c:pt>
                <c:pt idx="4">
                  <c:v>-4.2740879497316725E-2</c:v>
                </c:pt>
                <c:pt idx="5">
                  <c:v>-8.5021220663353964E-2</c:v>
                </c:pt>
                <c:pt idx="6">
                  <c:v>-0.13312200601268986</c:v>
                </c:pt>
                <c:pt idx="7">
                  <c:v>-0.16262881353526068</c:v>
                </c:pt>
                <c:pt idx="8">
                  <c:v>2.0452867349167209E-2</c:v>
                </c:pt>
                <c:pt idx="9">
                  <c:v>3.5175177132847339E-2</c:v>
                </c:pt>
                <c:pt idx="10">
                  <c:v>5.3501494475079188E-2</c:v>
                </c:pt>
                <c:pt idx="11">
                  <c:v>7.2421004792777327E-2</c:v>
                </c:pt>
                <c:pt idx="12">
                  <c:v>4.0772769030798621E-2</c:v>
                </c:pt>
                <c:pt idx="13">
                  <c:v>7.3946489774753682E-2</c:v>
                </c:pt>
                <c:pt idx="14">
                  <c:v>3.1102747927780124E-2</c:v>
                </c:pt>
                <c:pt idx="15">
                  <c:v>3.2260839218782318E-2</c:v>
                </c:pt>
                <c:pt idx="16">
                  <c:v>0.10151383644655047</c:v>
                </c:pt>
                <c:pt idx="17">
                  <c:v>6.5783495760870003E-2</c:v>
                </c:pt>
                <c:pt idx="18">
                  <c:v>8.4444228559494211E-2</c:v>
                </c:pt>
                <c:pt idx="19">
                  <c:v>8.3631389044563909E-2</c:v>
                </c:pt>
                <c:pt idx="20">
                  <c:v>8.1544111434449038E-3</c:v>
                </c:pt>
                <c:pt idx="21">
                  <c:v>5.1741144428598625E-2</c:v>
                </c:pt>
                <c:pt idx="22">
                  <c:v>7.4410360924456034E-2</c:v>
                </c:pt>
                <c:pt idx="23">
                  <c:v>0.10021578643183933</c:v>
                </c:pt>
                <c:pt idx="24">
                  <c:v>0.13486891129933629</c:v>
                </c:pt>
                <c:pt idx="25">
                  <c:v>0.11759280964307371</c:v>
                </c:pt>
                <c:pt idx="26">
                  <c:v>0.14031441923503121</c:v>
                </c:pt>
                <c:pt idx="27">
                  <c:v>0.17559947785397276</c:v>
                </c:pt>
                <c:pt idx="28">
                  <c:v>9.0644117557743126E-2</c:v>
                </c:pt>
                <c:pt idx="29">
                  <c:v>7.406161218975052E-2</c:v>
                </c:pt>
                <c:pt idx="30">
                  <c:v>8.9214571776702653E-2</c:v>
                </c:pt>
                <c:pt idx="31">
                  <c:v>6.8674173054006998E-2</c:v>
                </c:pt>
                <c:pt idx="32">
                  <c:v>8.6936080054221168E-2</c:v>
                </c:pt>
                <c:pt idx="33">
                  <c:v>0.10033013302087858</c:v>
                </c:pt>
                <c:pt idx="34">
                  <c:v>0.10094710327080546</c:v>
                </c:pt>
                <c:pt idx="35">
                  <c:v>0.12648213395636487</c:v>
                </c:pt>
                <c:pt idx="36">
                  <c:v>0.15426449824818106</c:v>
                </c:pt>
                <c:pt idx="37">
                  <c:v>8.2272210546039587E-2</c:v>
                </c:pt>
                <c:pt idx="38">
                  <c:v>0.13765258524322546</c:v>
                </c:pt>
              </c:numCache>
            </c:numRef>
          </c:val>
          <c:extLst>
            <c:ext xmlns:c16="http://schemas.microsoft.com/office/drawing/2014/chart" uri="{C3380CC4-5D6E-409C-BE32-E72D297353CC}">
              <c16:uniqueId val="{00000004-47AD-4A55-A5D0-09D488FC6C51}"/>
            </c:ext>
          </c:extLst>
        </c:ser>
        <c:ser>
          <c:idx val="5"/>
          <c:order val="5"/>
          <c:tx>
            <c:strRef>
              <c:f>'Trh práce 1'!$AH$7</c:f>
              <c:strCache>
                <c:ptCount val="1"/>
                <c:pt idx="0">
                  <c:v>Profesní, vědec., techn. a admin. čin.</c:v>
                </c:pt>
              </c:strCache>
            </c:strRef>
          </c:tx>
          <c:spPr>
            <a:solidFill>
              <a:srgbClr val="E8C0BE"/>
            </a:solidFill>
            <a:ln w="19050">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1'!$AH$8:$AH$46</c:f>
              <c:numCache>
                <c:formatCode>#\ ##0.0</c:formatCode>
                <c:ptCount val="39"/>
                <c:pt idx="0">
                  <c:v>-0.14466145378390899</c:v>
                </c:pt>
                <c:pt idx="1">
                  <c:v>-5.9633055325984431E-2</c:v>
                </c:pt>
                <c:pt idx="2">
                  <c:v>-1.1086007332124065E-2</c:v>
                </c:pt>
                <c:pt idx="3">
                  <c:v>-4.801712749030701E-2</c:v>
                </c:pt>
                <c:pt idx="4">
                  <c:v>-0.20814589945627768</c:v>
                </c:pt>
                <c:pt idx="5">
                  <c:v>-0.2444929211671909</c:v>
                </c:pt>
                <c:pt idx="6">
                  <c:v>-0.38620574265486762</c:v>
                </c:pt>
                <c:pt idx="7">
                  <c:v>-0.28641442112187154</c:v>
                </c:pt>
                <c:pt idx="8">
                  <c:v>0.11845205716961922</c:v>
                </c:pt>
                <c:pt idx="9">
                  <c:v>0.13220878338226638</c:v>
                </c:pt>
                <c:pt idx="10">
                  <c:v>0.20877472066275349</c:v>
                </c:pt>
                <c:pt idx="11">
                  <c:v>0.25063308789776856</c:v>
                </c:pt>
                <c:pt idx="12">
                  <c:v>4.9745160268345349E-2</c:v>
                </c:pt>
                <c:pt idx="13">
                  <c:v>0.1597497122766191</c:v>
                </c:pt>
                <c:pt idx="14">
                  <c:v>0.21476644296967162</c:v>
                </c:pt>
                <c:pt idx="15">
                  <c:v>0.19659625510506271</c:v>
                </c:pt>
                <c:pt idx="16">
                  <c:v>0.32279740363249149</c:v>
                </c:pt>
                <c:pt idx="17">
                  <c:v>0.2331663822001481</c:v>
                </c:pt>
                <c:pt idx="18">
                  <c:v>0.12619436764468428</c:v>
                </c:pt>
                <c:pt idx="19">
                  <c:v>7.9184166944782391E-2</c:v>
                </c:pt>
                <c:pt idx="20">
                  <c:v>0.1111161325691107</c:v>
                </c:pt>
                <c:pt idx="21">
                  <c:v>0.1162900854121157</c:v>
                </c:pt>
                <c:pt idx="22">
                  <c:v>0.22348517646709487</c:v>
                </c:pt>
                <c:pt idx="23">
                  <c:v>0.33878119053158823</c:v>
                </c:pt>
                <c:pt idx="24">
                  <c:v>0.28107069226756642</c:v>
                </c:pt>
                <c:pt idx="25">
                  <c:v>0.26149942013250738</c:v>
                </c:pt>
                <c:pt idx="26">
                  <c:v>0.25212626677828454</c:v>
                </c:pt>
                <c:pt idx="27">
                  <c:v>0.25247952076376445</c:v>
                </c:pt>
                <c:pt idx="28">
                  <c:v>0.21874148301492455</c:v>
                </c:pt>
                <c:pt idx="29">
                  <c:v>0.15224831930896096</c:v>
                </c:pt>
                <c:pt idx="30">
                  <c:v>9.8996454779683676E-2</c:v>
                </c:pt>
                <c:pt idx="31">
                  <c:v>-3.5385042700909849E-2</c:v>
                </c:pt>
                <c:pt idx="32">
                  <c:v>0.34358478921623892</c:v>
                </c:pt>
                <c:pt idx="33">
                  <c:v>0.33864701721327578</c:v>
                </c:pt>
                <c:pt idx="34">
                  <c:v>0.27368792051202695</c:v>
                </c:pt>
                <c:pt idx="35">
                  <c:v>0.40067261012910577</c:v>
                </c:pt>
                <c:pt idx="36">
                  <c:v>2.8167781324556683E-2</c:v>
                </c:pt>
                <c:pt idx="37">
                  <c:v>5.698747603390771E-3</c:v>
                </c:pt>
                <c:pt idx="38">
                  <c:v>4.2803109203093832E-3</c:v>
                </c:pt>
              </c:numCache>
            </c:numRef>
          </c:val>
          <c:extLst>
            <c:ext xmlns:c16="http://schemas.microsoft.com/office/drawing/2014/chart" uri="{C3380CC4-5D6E-409C-BE32-E72D297353CC}">
              <c16:uniqueId val="{00000005-47AD-4A55-A5D0-09D488FC6C51}"/>
            </c:ext>
          </c:extLst>
        </c:ser>
        <c:ser>
          <c:idx val="6"/>
          <c:order val="6"/>
          <c:tx>
            <c:strRef>
              <c:f>'Trh práce 1'!$AI$7</c:f>
              <c:strCache>
                <c:ptCount val="1"/>
                <c:pt idx="0">
                  <c:v>Veř.spr.,obrana, vzděl.,zdrav.a soc.péče</c:v>
                </c:pt>
              </c:strCache>
            </c:strRef>
          </c:tx>
          <c:spPr>
            <a:solidFill>
              <a:srgbClr val="D58D8B"/>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1'!$AI$8:$AI$46</c:f>
              <c:numCache>
                <c:formatCode>#\ ##0.0</c:formatCode>
                <c:ptCount val="39"/>
                <c:pt idx="0">
                  <c:v>-1.6350180324922723E-2</c:v>
                </c:pt>
                <c:pt idx="1">
                  <c:v>-4.5849021226043764E-2</c:v>
                </c:pt>
                <c:pt idx="2">
                  <c:v>-4.0523984173199516E-2</c:v>
                </c:pt>
                <c:pt idx="3">
                  <c:v>-3.1932475248383371E-2</c:v>
                </c:pt>
                <c:pt idx="4">
                  <c:v>-9.5506907227863799E-2</c:v>
                </c:pt>
                <c:pt idx="5">
                  <c:v>-0.1383104234632955</c:v>
                </c:pt>
                <c:pt idx="6">
                  <c:v>-0.17645028898347198</c:v>
                </c:pt>
                <c:pt idx="7">
                  <c:v>-0.12798540599628724</c:v>
                </c:pt>
                <c:pt idx="8">
                  <c:v>-0.43655266623256417</c:v>
                </c:pt>
                <c:pt idx="9">
                  <c:v>-0.32948273684650758</c:v>
                </c:pt>
                <c:pt idx="10">
                  <c:v>-6.1942841381147237E-2</c:v>
                </c:pt>
                <c:pt idx="11">
                  <c:v>4.6658513510212267E-2</c:v>
                </c:pt>
                <c:pt idx="12">
                  <c:v>0.15564716746372539</c:v>
                </c:pt>
                <c:pt idx="13">
                  <c:v>0.36566163730412671</c:v>
                </c:pt>
                <c:pt idx="14">
                  <c:v>0.18966770650896297</c:v>
                </c:pt>
                <c:pt idx="15">
                  <c:v>0.15604876957077865</c:v>
                </c:pt>
                <c:pt idx="16">
                  <c:v>0.27053891834616883</c:v>
                </c:pt>
                <c:pt idx="17">
                  <c:v>0.15953282727926976</c:v>
                </c:pt>
                <c:pt idx="18">
                  <c:v>0.34979261606607442</c:v>
                </c:pt>
                <c:pt idx="19">
                  <c:v>0.35300317366363104</c:v>
                </c:pt>
                <c:pt idx="20">
                  <c:v>0.24091863862597104</c:v>
                </c:pt>
                <c:pt idx="21">
                  <c:v>0.23116797886105511</c:v>
                </c:pt>
                <c:pt idx="22">
                  <c:v>0.10859573556508476</c:v>
                </c:pt>
                <c:pt idx="23">
                  <c:v>0.11701259916842215</c:v>
                </c:pt>
                <c:pt idx="24">
                  <c:v>0.35147420452569478</c:v>
                </c:pt>
                <c:pt idx="25">
                  <c:v>0.3579255240398278</c:v>
                </c:pt>
                <c:pt idx="26">
                  <c:v>0.45544332587599401</c:v>
                </c:pt>
                <c:pt idx="27">
                  <c:v>0.56982357385502003</c:v>
                </c:pt>
                <c:pt idx="28">
                  <c:v>0.51153000432975859</c:v>
                </c:pt>
                <c:pt idx="29">
                  <c:v>0.56363624266583745</c:v>
                </c:pt>
                <c:pt idx="30">
                  <c:v>0.64341997422520814</c:v>
                </c:pt>
                <c:pt idx="31">
                  <c:v>0.65113010272047778</c:v>
                </c:pt>
                <c:pt idx="32">
                  <c:v>0.2383731227293161</c:v>
                </c:pt>
                <c:pt idx="33">
                  <c:v>0.26982242129054224</c:v>
                </c:pt>
                <c:pt idx="34">
                  <c:v>0.15850874732077574</c:v>
                </c:pt>
                <c:pt idx="35">
                  <c:v>0.13506571466501852</c:v>
                </c:pt>
                <c:pt idx="36">
                  <c:v>0.46040136584996261</c:v>
                </c:pt>
                <c:pt idx="37">
                  <c:v>0.38380788470603672</c:v>
                </c:pt>
                <c:pt idx="38">
                  <c:v>0.4496540420249151</c:v>
                </c:pt>
              </c:numCache>
            </c:numRef>
          </c:val>
          <c:extLst>
            <c:ext xmlns:c16="http://schemas.microsoft.com/office/drawing/2014/chart" uri="{C3380CC4-5D6E-409C-BE32-E72D297353CC}">
              <c16:uniqueId val="{00000006-47AD-4A55-A5D0-09D488FC6C51}"/>
            </c:ext>
          </c:extLst>
        </c:ser>
        <c:ser>
          <c:idx val="7"/>
          <c:order val="7"/>
          <c:tx>
            <c:strRef>
              <c:f>'Trh práce 1'!$AJ$7</c:f>
              <c:strCache>
                <c:ptCount val="1"/>
                <c:pt idx="0">
                  <c:v>Ostatní odvětví*</c:v>
                </c:pt>
              </c:strCache>
            </c:strRef>
          </c:tx>
          <c:spPr>
            <a:solidFill>
              <a:schemeClr val="bg1">
                <a:lumMod val="85000"/>
              </a:schemeClr>
            </a:solidFill>
            <a:ln>
              <a:noFill/>
            </a:ln>
          </c:spPr>
          <c:invertIfNegative val="0"/>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1'!$AJ$8:$AJ$46</c:f>
              <c:numCache>
                <c:formatCode>#\ ##0.0</c:formatCode>
                <c:ptCount val="39"/>
                <c:pt idx="0">
                  <c:v>-0.19191675654118268</c:v>
                </c:pt>
                <c:pt idx="1">
                  <c:v>-3.8262914515721801E-2</c:v>
                </c:pt>
                <c:pt idx="2">
                  <c:v>4.6096524270874649E-2</c:v>
                </c:pt>
                <c:pt idx="3">
                  <c:v>4.9102594819516579E-2</c:v>
                </c:pt>
                <c:pt idx="4">
                  <c:v>-0.13338410094866282</c:v>
                </c:pt>
                <c:pt idx="5">
                  <c:v>-0.15119722547769443</c:v>
                </c:pt>
                <c:pt idx="6">
                  <c:v>-0.15212252354495906</c:v>
                </c:pt>
                <c:pt idx="7">
                  <c:v>-0.13638500281563992</c:v>
                </c:pt>
                <c:pt idx="8">
                  <c:v>0.26931923097215715</c:v>
                </c:pt>
                <c:pt idx="9">
                  <c:v>0.32105019578933652</c:v>
                </c:pt>
                <c:pt idx="10">
                  <c:v>0.32895492954844058</c:v>
                </c:pt>
                <c:pt idx="11">
                  <c:v>0.4005401979282377</c:v>
                </c:pt>
                <c:pt idx="12">
                  <c:v>0.23332187302239873</c:v>
                </c:pt>
                <c:pt idx="13">
                  <c:v>0.15289256851610616</c:v>
                </c:pt>
                <c:pt idx="14">
                  <c:v>-7.2835548944801556E-2</c:v>
                </c:pt>
                <c:pt idx="15">
                  <c:v>-0.23094351833677418</c:v>
                </c:pt>
                <c:pt idx="16">
                  <c:v>0.16050961605523084</c:v>
                </c:pt>
                <c:pt idx="17">
                  <c:v>3.8229788109240673E-2</c:v>
                </c:pt>
                <c:pt idx="18">
                  <c:v>0.16444402403690977</c:v>
                </c:pt>
                <c:pt idx="19">
                  <c:v>0.21779581504593726</c:v>
                </c:pt>
                <c:pt idx="20">
                  <c:v>-9.3844500291790034E-2</c:v>
                </c:pt>
                <c:pt idx="21">
                  <c:v>4.4248681512857657E-2</c:v>
                </c:pt>
                <c:pt idx="22">
                  <c:v>-7.6228108118039234E-4</c:v>
                </c:pt>
                <c:pt idx="23">
                  <c:v>-9.6493986857956113E-2</c:v>
                </c:pt>
                <c:pt idx="24">
                  <c:v>0.10669198191708645</c:v>
                </c:pt>
                <c:pt idx="25">
                  <c:v>6.5331480636127356E-2</c:v>
                </c:pt>
                <c:pt idx="26">
                  <c:v>9.622992743029217E-2</c:v>
                </c:pt>
                <c:pt idx="27">
                  <c:v>0.16268040087588326</c:v>
                </c:pt>
                <c:pt idx="28">
                  <c:v>3.7625139399231761E-3</c:v>
                </c:pt>
                <c:pt idx="29">
                  <c:v>5.6876884926009626E-2</c:v>
                </c:pt>
                <c:pt idx="30">
                  <c:v>0.10630912459744618</c:v>
                </c:pt>
                <c:pt idx="31">
                  <c:v>0.11559617471449846</c:v>
                </c:pt>
                <c:pt idx="32">
                  <c:v>9.1227360905566143E-2</c:v>
                </c:pt>
                <c:pt idx="33">
                  <c:v>0.10704381295012616</c:v>
                </c:pt>
                <c:pt idx="34">
                  <c:v>-9.1018185381279842E-2</c:v>
                </c:pt>
                <c:pt idx="35">
                  <c:v>-7.6172296483952406E-2</c:v>
                </c:pt>
                <c:pt idx="36">
                  <c:v>-3.8088625964871239E-2</c:v>
                </c:pt>
                <c:pt idx="37">
                  <c:v>2.9544963303016234E-2</c:v>
                </c:pt>
                <c:pt idx="38">
                  <c:v>0.12970080073178863</c:v>
                </c:pt>
              </c:numCache>
            </c:numRef>
          </c:val>
          <c:extLst>
            <c:ext xmlns:c16="http://schemas.microsoft.com/office/drawing/2014/chart" uri="{C3380CC4-5D6E-409C-BE32-E72D297353CC}">
              <c16:uniqueId val="{00000007-47AD-4A55-A5D0-09D488FC6C51}"/>
            </c:ext>
          </c:extLst>
        </c:ser>
        <c:dLbls>
          <c:showLegendKey val="0"/>
          <c:showVal val="0"/>
          <c:showCatName val="0"/>
          <c:showSerName val="0"/>
          <c:showPercent val="0"/>
          <c:showBubbleSize val="0"/>
        </c:dLbls>
        <c:gapWidth val="47"/>
        <c:overlap val="100"/>
        <c:axId val="101898496"/>
        <c:axId val="101781504"/>
      </c:barChart>
      <c:lineChart>
        <c:grouping val="standard"/>
        <c:varyColors val="0"/>
        <c:ser>
          <c:idx val="8"/>
          <c:order val="8"/>
          <c:tx>
            <c:strRef>
              <c:f>'Trh práce 1'!$AK$7</c:f>
              <c:strCache>
                <c:ptCount val="1"/>
                <c:pt idx="0">
                  <c:v>Zaměstnanost celkem</c:v>
                </c:pt>
              </c:strCache>
            </c:strRef>
          </c:tx>
          <c:spPr>
            <a:ln w="22225">
              <a:solidFill>
                <a:schemeClr val="tx1">
                  <a:lumMod val="95000"/>
                  <a:lumOff val="5000"/>
                </a:schemeClr>
              </a:solid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1'!$AK$8:$AK$46</c:f>
              <c:numCache>
                <c:formatCode>#\ ##0.0</c:formatCode>
                <c:ptCount val="39"/>
                <c:pt idx="0">
                  <c:v>-2.7611728966902263</c:v>
                </c:pt>
                <c:pt idx="1">
                  <c:v>-1.2304547773213699</c:v>
                </c:pt>
                <c:pt idx="2">
                  <c:v>-0.2006705163795317</c:v>
                </c:pt>
                <c:pt idx="3">
                  <c:v>9.3350190312023074E-2</c:v>
                </c:pt>
                <c:pt idx="4">
                  <c:v>6.9997371624495486E-2</c:v>
                </c:pt>
                <c:pt idx="5">
                  <c:v>3.5235802742903388E-3</c:v>
                </c:pt>
                <c:pt idx="6">
                  <c:v>-0.428054234540582</c:v>
                </c:pt>
                <c:pt idx="7">
                  <c:v>-0.73389998406837265</c:v>
                </c:pt>
                <c:pt idx="8">
                  <c:v>-6.312417449568386E-2</c:v>
                </c:pt>
                <c:pt idx="9">
                  <c:v>0.16940301964147864</c:v>
                </c:pt>
                <c:pt idx="10">
                  <c:v>0.66082271824052441</c:v>
                </c:pt>
                <c:pt idx="11">
                  <c:v>0.91394275165257</c:v>
                </c:pt>
                <c:pt idx="12">
                  <c:v>0.47051457854772138</c:v>
                </c:pt>
                <c:pt idx="13">
                  <c:v>0.69336196866028388</c:v>
                </c:pt>
                <c:pt idx="14">
                  <c:v>9.9922499038868295E-2</c:v>
                </c:pt>
                <c:pt idx="15">
                  <c:v>2.6788896996194467E-2</c:v>
                </c:pt>
                <c:pt idx="16">
                  <c:v>0.5510553546770609</c:v>
                </c:pt>
                <c:pt idx="17">
                  <c:v>5.7972686896661685E-2</c:v>
                </c:pt>
                <c:pt idx="18">
                  <c:v>0.6137644092551966</c:v>
                </c:pt>
                <c:pt idx="19">
                  <c:v>0.98590584797899794</c:v>
                </c:pt>
                <c:pt idx="20">
                  <c:v>1.2552291389531263</c:v>
                </c:pt>
                <c:pt idx="21">
                  <c:v>1.7443512811817357</c:v>
                </c:pt>
                <c:pt idx="22">
                  <c:v>1.3540066568638736</c:v>
                </c:pt>
                <c:pt idx="23">
                  <c:v>1.3578527827564244</c:v>
                </c:pt>
                <c:pt idx="24">
                  <c:v>1.6050176668570941</c:v>
                </c:pt>
                <c:pt idx="25">
                  <c:v>1.4090510221706865</c:v>
                </c:pt>
                <c:pt idx="26">
                  <c:v>1.5299979924778597</c:v>
                </c:pt>
                <c:pt idx="27">
                  <c:v>1.8150726409707829</c:v>
                </c:pt>
                <c:pt idx="28">
                  <c:v>1.4751728512273417</c:v>
                </c:pt>
                <c:pt idx="29">
                  <c:v>1.3670032325916708</c:v>
                </c:pt>
                <c:pt idx="30">
                  <c:v>1.9625116456640939</c:v>
                </c:pt>
                <c:pt idx="31">
                  <c:v>1.4104168354253801</c:v>
                </c:pt>
                <c:pt idx="32">
                  <c:v>1.4979393382280364</c:v>
                </c:pt>
                <c:pt idx="33">
                  <c:v>1.6849461292822241</c:v>
                </c:pt>
                <c:pt idx="34">
                  <c:v>0.96884257132521157</c:v>
                </c:pt>
                <c:pt idx="35">
                  <c:v>1.2409884039734607</c:v>
                </c:pt>
                <c:pt idx="36">
                  <c:v>1.3991543360766627</c:v>
                </c:pt>
                <c:pt idx="37">
                  <c:v>0.84398636431706109</c:v>
                </c:pt>
                <c:pt idx="38">
                  <c:v>0.64634539858275275</c:v>
                </c:pt>
              </c:numCache>
            </c:numRef>
          </c:val>
          <c:smooth val="0"/>
          <c:extLst>
            <c:ext xmlns:c16="http://schemas.microsoft.com/office/drawing/2014/chart" uri="{C3380CC4-5D6E-409C-BE32-E72D297353CC}">
              <c16:uniqueId val="{00000008-47AD-4A55-A5D0-09D488FC6C51}"/>
            </c:ext>
          </c:extLst>
        </c:ser>
        <c:dLbls>
          <c:showLegendKey val="0"/>
          <c:showVal val="0"/>
          <c:showCatName val="0"/>
          <c:showSerName val="0"/>
          <c:showPercent val="0"/>
          <c:showBubbleSize val="0"/>
        </c:dLbls>
        <c:marker val="1"/>
        <c:smooth val="0"/>
        <c:axId val="101898496"/>
        <c:axId val="101781504"/>
      </c:lineChart>
      <c:lineChart>
        <c:grouping val="standard"/>
        <c:varyColors val="0"/>
        <c:ser>
          <c:idx val="9"/>
          <c:order val="9"/>
          <c:tx>
            <c:strRef>
              <c:f>'Trh práce 1'!$AL$7</c:f>
              <c:strCache>
                <c:ptCount val="1"/>
              </c:strCache>
            </c:strRef>
          </c:tx>
          <c:spPr>
            <a:ln>
              <a:noFill/>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1'!$AL$8:$AL$46</c:f>
              <c:numCache>
                <c:formatCode>General</c:formatCode>
                <c:ptCount val="39"/>
              </c:numCache>
            </c:numRef>
          </c:val>
          <c:smooth val="0"/>
          <c:extLst>
            <c:ext xmlns:c16="http://schemas.microsoft.com/office/drawing/2014/chart" uri="{C3380CC4-5D6E-409C-BE32-E72D297353CC}">
              <c16:uniqueId val="{00000009-47AD-4A55-A5D0-09D488FC6C51}"/>
            </c:ext>
          </c:extLst>
        </c:ser>
        <c:ser>
          <c:idx val="10"/>
          <c:order val="10"/>
          <c:tx>
            <c:strRef>
              <c:f>'Trh práce 1'!$AM$7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1'!$AM$8:$AM$46</c:f>
              <c:numCache>
                <c:formatCode>#\ ##0.0</c:formatCode>
                <c:ptCount val="39"/>
                <c:pt idx="0">
                  <c:v>-12.033333333333333</c:v>
                </c:pt>
                <c:pt idx="1">
                  <c:v>-8.6</c:v>
                </c:pt>
                <c:pt idx="2">
                  <c:v>-0.5333333333333331</c:v>
                </c:pt>
                <c:pt idx="3">
                  <c:v>5</c:v>
                </c:pt>
                <c:pt idx="4">
                  <c:v>14.766666666666666</c:v>
                </c:pt>
                <c:pt idx="5">
                  <c:v>4.166666666666667</c:v>
                </c:pt>
                <c:pt idx="6">
                  <c:v>3.0333333333333337</c:v>
                </c:pt>
                <c:pt idx="7">
                  <c:v>-0.66666666666666663</c:v>
                </c:pt>
                <c:pt idx="8">
                  <c:v>0.13333333333333341</c:v>
                </c:pt>
                <c:pt idx="9">
                  <c:v>-8.1666666666666661</c:v>
                </c:pt>
                <c:pt idx="10">
                  <c:v>-15.466666666666669</c:v>
                </c:pt>
                <c:pt idx="11">
                  <c:v>-14.033333333333333</c:v>
                </c:pt>
                <c:pt idx="12">
                  <c:v>-11.566666666666668</c:v>
                </c:pt>
                <c:pt idx="13">
                  <c:v>-10.833333333333334</c:v>
                </c:pt>
                <c:pt idx="14">
                  <c:v>-9.3333333333333339</c:v>
                </c:pt>
                <c:pt idx="15">
                  <c:v>-1.0333333333333334</c:v>
                </c:pt>
                <c:pt idx="16">
                  <c:v>-4.5</c:v>
                </c:pt>
                <c:pt idx="17">
                  <c:v>2.8666666666666667</c:v>
                </c:pt>
                <c:pt idx="18">
                  <c:v>2.3666666666666667</c:v>
                </c:pt>
                <c:pt idx="19">
                  <c:v>5.2666666666666666</c:v>
                </c:pt>
                <c:pt idx="20">
                  <c:v>0.66666666666666663</c:v>
                </c:pt>
                <c:pt idx="21">
                  <c:v>4.5</c:v>
                </c:pt>
                <c:pt idx="22">
                  <c:v>5.8666666666666671</c:v>
                </c:pt>
                <c:pt idx="23">
                  <c:v>9.6666666666666661</c:v>
                </c:pt>
                <c:pt idx="24">
                  <c:v>10.466666666666667</c:v>
                </c:pt>
                <c:pt idx="25">
                  <c:v>9.6666666666666661</c:v>
                </c:pt>
                <c:pt idx="26">
                  <c:v>4.833333333333333</c:v>
                </c:pt>
                <c:pt idx="27">
                  <c:v>8.7666666666666657</c:v>
                </c:pt>
                <c:pt idx="28">
                  <c:v>10.933333333333332</c:v>
                </c:pt>
                <c:pt idx="29">
                  <c:v>7.666666666666667</c:v>
                </c:pt>
                <c:pt idx="30">
                  <c:v>8.6999999999999993</c:v>
                </c:pt>
                <c:pt idx="31">
                  <c:v>8.5</c:v>
                </c:pt>
                <c:pt idx="32">
                  <c:v>12.266666666666666</c:v>
                </c:pt>
                <c:pt idx="33">
                  <c:v>8.4</c:v>
                </c:pt>
                <c:pt idx="34">
                  <c:v>7.5333333333333341</c:v>
                </c:pt>
                <c:pt idx="35">
                  <c:v>5.3666666666666671</c:v>
                </c:pt>
                <c:pt idx="36">
                  <c:v>2.2000000000000002</c:v>
                </c:pt>
                <c:pt idx="37">
                  <c:v>-0.53333333333333333</c:v>
                </c:pt>
                <c:pt idx="38">
                  <c:v>1.7</c:v>
                </c:pt>
              </c:numCache>
            </c:numRef>
          </c:val>
          <c:smooth val="0"/>
          <c:extLst>
            <c:ext xmlns:c16="http://schemas.microsoft.com/office/drawing/2014/chart" uri="{C3380CC4-5D6E-409C-BE32-E72D297353CC}">
              <c16:uniqueId val="{0000000A-47AD-4A55-A5D0-09D488FC6C51}"/>
            </c:ext>
          </c:extLst>
        </c:ser>
        <c:ser>
          <c:idx val="11"/>
          <c:order val="11"/>
          <c:tx>
            <c:strRef>
              <c:f>'Trh práce 1'!$AN$7</c:f>
              <c:strCache>
                <c:ptCount val="1"/>
                <c:pt idx="0">
                  <c:v>Očekávání zaměstnanosti (stavebnictví)</c:v>
                </c:pt>
              </c:strCache>
            </c:strRef>
          </c:tx>
          <c:spPr>
            <a:ln w="15875">
              <a:solidFill>
                <a:srgbClr val="00B0F0"/>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1'!$AN$8:$AN$46</c:f>
              <c:numCache>
                <c:formatCode>#\ ##0.0</c:formatCode>
                <c:ptCount val="39"/>
                <c:pt idx="0">
                  <c:v>-21.533333333333331</c:v>
                </c:pt>
                <c:pt idx="1">
                  <c:v>-26.166666666666668</c:v>
                </c:pt>
                <c:pt idx="2">
                  <c:v>-28.866666666666664</c:v>
                </c:pt>
                <c:pt idx="3">
                  <c:v>-33.833333333333336</c:v>
                </c:pt>
                <c:pt idx="4">
                  <c:v>-26.866666666666664</c:v>
                </c:pt>
                <c:pt idx="5">
                  <c:v>-28.7</c:v>
                </c:pt>
                <c:pt idx="6">
                  <c:v>-24.899999999999995</c:v>
                </c:pt>
                <c:pt idx="7">
                  <c:v>-23.533333333333331</c:v>
                </c:pt>
                <c:pt idx="8">
                  <c:v>-30.833333333333332</c:v>
                </c:pt>
                <c:pt idx="9">
                  <c:v>-30.633333333333336</c:v>
                </c:pt>
                <c:pt idx="10">
                  <c:v>-24.400000000000002</c:v>
                </c:pt>
                <c:pt idx="11">
                  <c:v>-30.8</c:v>
                </c:pt>
                <c:pt idx="12">
                  <c:v>-33.199999999999996</c:v>
                </c:pt>
                <c:pt idx="13">
                  <c:v>-40.1</c:v>
                </c:pt>
                <c:pt idx="14">
                  <c:v>-38.1</c:v>
                </c:pt>
                <c:pt idx="15">
                  <c:v>-27.433333333333337</c:v>
                </c:pt>
                <c:pt idx="16">
                  <c:v>-24.599999999999998</c:v>
                </c:pt>
                <c:pt idx="17">
                  <c:v>-16.599999999999998</c:v>
                </c:pt>
                <c:pt idx="18">
                  <c:v>-13.233333333333333</c:v>
                </c:pt>
                <c:pt idx="19">
                  <c:v>-8.9666666666666668</c:v>
                </c:pt>
                <c:pt idx="20">
                  <c:v>6.6666666666666693E-2</c:v>
                </c:pt>
                <c:pt idx="21">
                  <c:v>6.2666666666666666</c:v>
                </c:pt>
                <c:pt idx="22">
                  <c:v>3.0333333333333337</c:v>
                </c:pt>
                <c:pt idx="23">
                  <c:v>2.8333333333333335</c:v>
                </c:pt>
                <c:pt idx="24">
                  <c:v>-3.3333333333333361E-2</c:v>
                </c:pt>
                <c:pt idx="25">
                  <c:v>-5.833333333333333</c:v>
                </c:pt>
                <c:pt idx="26">
                  <c:v>-7.9333333333333336</c:v>
                </c:pt>
                <c:pt idx="27">
                  <c:v>-9.2666666666666657</c:v>
                </c:pt>
                <c:pt idx="28">
                  <c:v>-10.033333333333333</c:v>
                </c:pt>
                <c:pt idx="29">
                  <c:v>-11</c:v>
                </c:pt>
                <c:pt idx="30">
                  <c:v>-10.5</c:v>
                </c:pt>
                <c:pt idx="31">
                  <c:v>-3.2666666666666671</c:v>
                </c:pt>
                <c:pt idx="32">
                  <c:v>3.0666666666666664</c:v>
                </c:pt>
                <c:pt idx="33">
                  <c:v>5.0999999999999996</c:v>
                </c:pt>
                <c:pt idx="34">
                  <c:v>7.5999999999999988</c:v>
                </c:pt>
                <c:pt idx="35">
                  <c:v>12.133333333333335</c:v>
                </c:pt>
                <c:pt idx="36">
                  <c:v>11.800000000000002</c:v>
                </c:pt>
                <c:pt idx="37">
                  <c:v>12.033333333333333</c:v>
                </c:pt>
                <c:pt idx="38">
                  <c:v>6.1000000000000005</c:v>
                </c:pt>
              </c:numCache>
            </c:numRef>
          </c:val>
          <c:smooth val="0"/>
          <c:extLst>
            <c:ext xmlns:c16="http://schemas.microsoft.com/office/drawing/2014/chart" uri="{C3380CC4-5D6E-409C-BE32-E72D297353CC}">
              <c16:uniqueId val="{0000000B-47AD-4A55-A5D0-09D488FC6C51}"/>
            </c:ext>
          </c:extLst>
        </c:ser>
        <c:ser>
          <c:idx val="12"/>
          <c:order val="12"/>
          <c:tx>
            <c:strRef>
              <c:f>'Trh práce 1'!$AO$7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1'!$AO$8:$AO$46</c:f>
              <c:numCache>
                <c:formatCode>#\ ##0.0</c:formatCode>
                <c:ptCount val="39"/>
                <c:pt idx="0">
                  <c:v>9.0333333333333332</c:v>
                </c:pt>
                <c:pt idx="1">
                  <c:v>2.9</c:v>
                </c:pt>
                <c:pt idx="2">
                  <c:v>1.3</c:v>
                </c:pt>
                <c:pt idx="3">
                  <c:v>8.9666666666666668</c:v>
                </c:pt>
                <c:pt idx="4">
                  <c:v>10.866666666666667</c:v>
                </c:pt>
                <c:pt idx="5">
                  <c:v>9.8666666666666671</c:v>
                </c:pt>
                <c:pt idx="6">
                  <c:v>2.7666666666666671</c:v>
                </c:pt>
                <c:pt idx="7">
                  <c:v>12.233333333333334</c:v>
                </c:pt>
                <c:pt idx="8">
                  <c:v>0.46666666666666679</c:v>
                </c:pt>
                <c:pt idx="9">
                  <c:v>7.2</c:v>
                </c:pt>
                <c:pt idx="10">
                  <c:v>0.56666666666666676</c:v>
                </c:pt>
                <c:pt idx="11">
                  <c:v>7.4000000000000012</c:v>
                </c:pt>
                <c:pt idx="12">
                  <c:v>0.9</c:v>
                </c:pt>
                <c:pt idx="13">
                  <c:v>3.2333333333333329</c:v>
                </c:pt>
                <c:pt idx="14">
                  <c:v>7.166666666666667</c:v>
                </c:pt>
                <c:pt idx="15">
                  <c:v>1.3666666666666665</c:v>
                </c:pt>
                <c:pt idx="16">
                  <c:v>6</c:v>
                </c:pt>
                <c:pt idx="17">
                  <c:v>-5.7333333333333334</c:v>
                </c:pt>
                <c:pt idx="18">
                  <c:v>3.6999999999999997</c:v>
                </c:pt>
                <c:pt idx="19">
                  <c:v>7.2333333333333334</c:v>
                </c:pt>
                <c:pt idx="20">
                  <c:v>13.266666666666666</c:v>
                </c:pt>
                <c:pt idx="21">
                  <c:v>7.5333333333333341</c:v>
                </c:pt>
                <c:pt idx="22">
                  <c:v>4.4333333333333336</c:v>
                </c:pt>
                <c:pt idx="23">
                  <c:v>4.5</c:v>
                </c:pt>
                <c:pt idx="24">
                  <c:v>15.633333333333333</c:v>
                </c:pt>
                <c:pt idx="25">
                  <c:v>21.466666666666669</c:v>
                </c:pt>
                <c:pt idx="26">
                  <c:v>20.633333333333333</c:v>
                </c:pt>
                <c:pt idx="27">
                  <c:v>16.933333333333334</c:v>
                </c:pt>
                <c:pt idx="28">
                  <c:v>16.633333333333336</c:v>
                </c:pt>
                <c:pt idx="29">
                  <c:v>18.8</c:v>
                </c:pt>
                <c:pt idx="30">
                  <c:v>19.266666666666666</c:v>
                </c:pt>
                <c:pt idx="31">
                  <c:v>13.733333333333334</c:v>
                </c:pt>
                <c:pt idx="32">
                  <c:v>24.333333333333332</c:v>
                </c:pt>
                <c:pt idx="33">
                  <c:v>28.833333333333332</c:v>
                </c:pt>
                <c:pt idx="34">
                  <c:v>24.866666666666664</c:v>
                </c:pt>
                <c:pt idx="35">
                  <c:v>18.766666666666669</c:v>
                </c:pt>
                <c:pt idx="36">
                  <c:v>15.633333333333335</c:v>
                </c:pt>
                <c:pt idx="37">
                  <c:v>14.033333333333333</c:v>
                </c:pt>
                <c:pt idx="38">
                  <c:v>15.200000000000001</c:v>
                </c:pt>
              </c:numCache>
            </c:numRef>
          </c:val>
          <c:smooth val="0"/>
          <c:extLst>
            <c:ext xmlns:c16="http://schemas.microsoft.com/office/drawing/2014/chart" uri="{C3380CC4-5D6E-409C-BE32-E72D297353CC}">
              <c16:uniqueId val="{0000000C-47AD-4A55-A5D0-09D488FC6C51}"/>
            </c:ext>
          </c:extLst>
        </c:ser>
        <c:ser>
          <c:idx val="13"/>
          <c:order val="13"/>
          <c:tx>
            <c:strRef>
              <c:f>'Trh práce 1'!$AP$7</c:f>
              <c:strCache>
                <c:ptCount val="1"/>
                <c:pt idx="0">
                  <c:v>Očekávání zaměstnanosti (vybr. služby)</c:v>
                </c:pt>
              </c:strCache>
            </c:strRef>
          </c:tx>
          <c:spPr>
            <a:ln w="15875">
              <a:solidFill>
                <a:srgbClr val="C00000"/>
              </a:solidFill>
              <a:prstDash val="sysDot"/>
            </a:ln>
          </c:spPr>
          <c:marker>
            <c:symbol val="none"/>
          </c:marker>
          <c:cat>
            <c:multiLvlStrRef>
              <c:f>'Trh práce 1'!$AA$8:$AB$46</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1'!$AP$8:$AP$46</c:f>
              <c:numCache>
                <c:formatCode>#\ ##0.0</c:formatCode>
                <c:ptCount val="39"/>
                <c:pt idx="0">
                  <c:v>-8.2333333333333325</c:v>
                </c:pt>
                <c:pt idx="1">
                  <c:v>-8.2666666666666657</c:v>
                </c:pt>
                <c:pt idx="2">
                  <c:v>-2.2666666666666666</c:v>
                </c:pt>
                <c:pt idx="3">
                  <c:v>-11.6</c:v>
                </c:pt>
                <c:pt idx="4">
                  <c:v>-16.033333333333335</c:v>
                </c:pt>
                <c:pt idx="5">
                  <c:v>-11.266666666666666</c:v>
                </c:pt>
                <c:pt idx="6">
                  <c:v>-8.8333333333333339</c:v>
                </c:pt>
                <c:pt idx="7">
                  <c:v>-4.2</c:v>
                </c:pt>
                <c:pt idx="8">
                  <c:v>-3.3000000000000003</c:v>
                </c:pt>
                <c:pt idx="9">
                  <c:v>-10.033333333333333</c:v>
                </c:pt>
                <c:pt idx="10">
                  <c:v>-8.6333333333333329</c:v>
                </c:pt>
                <c:pt idx="11">
                  <c:v>-3.1666666666666665</c:v>
                </c:pt>
                <c:pt idx="12">
                  <c:v>-9.5</c:v>
                </c:pt>
                <c:pt idx="13">
                  <c:v>-33.133333333333333</c:v>
                </c:pt>
                <c:pt idx="14">
                  <c:v>-24.033333333333331</c:v>
                </c:pt>
                <c:pt idx="15">
                  <c:v>-14.366666666666665</c:v>
                </c:pt>
                <c:pt idx="16">
                  <c:v>-14.4</c:v>
                </c:pt>
                <c:pt idx="17">
                  <c:v>-8.8999999999999986</c:v>
                </c:pt>
                <c:pt idx="18">
                  <c:v>-12.833333333333334</c:v>
                </c:pt>
                <c:pt idx="19">
                  <c:v>-10.066666666666668</c:v>
                </c:pt>
                <c:pt idx="20">
                  <c:v>-15.933333333333332</c:v>
                </c:pt>
                <c:pt idx="21">
                  <c:v>-17.366666666666667</c:v>
                </c:pt>
                <c:pt idx="22">
                  <c:v>0.16666666666666666</c:v>
                </c:pt>
                <c:pt idx="23">
                  <c:v>1.6000000000000003</c:v>
                </c:pt>
                <c:pt idx="24">
                  <c:v>2.2333333333333329</c:v>
                </c:pt>
                <c:pt idx="25">
                  <c:v>22.833333333333332</c:v>
                </c:pt>
                <c:pt idx="26">
                  <c:v>-0.33333333333333331</c:v>
                </c:pt>
                <c:pt idx="27">
                  <c:v>7.6000000000000005</c:v>
                </c:pt>
                <c:pt idx="28">
                  <c:v>11.633333333333333</c:v>
                </c:pt>
                <c:pt idx="29">
                  <c:v>9.7666666666666675</c:v>
                </c:pt>
                <c:pt idx="30">
                  <c:v>17.733333333333331</c:v>
                </c:pt>
                <c:pt idx="31">
                  <c:v>3.5666666666666664</c:v>
                </c:pt>
                <c:pt idx="32">
                  <c:v>14.299999999999999</c:v>
                </c:pt>
                <c:pt idx="33">
                  <c:v>10.1</c:v>
                </c:pt>
                <c:pt idx="34">
                  <c:v>6.0666666666666664</c:v>
                </c:pt>
                <c:pt idx="35">
                  <c:v>-6.9666666666666659</c:v>
                </c:pt>
                <c:pt idx="36">
                  <c:v>-12.033333333333331</c:v>
                </c:pt>
                <c:pt idx="37">
                  <c:v>-6.4666666666666677</c:v>
                </c:pt>
                <c:pt idx="38">
                  <c:v>-7.9666666666666677</c:v>
                </c:pt>
              </c:numCache>
            </c:numRef>
          </c:val>
          <c:smooth val="0"/>
          <c:extLst>
            <c:ext xmlns:c16="http://schemas.microsoft.com/office/drawing/2014/chart" uri="{C3380CC4-5D6E-409C-BE32-E72D297353CC}">
              <c16:uniqueId val="{0000000D-47AD-4A55-A5D0-09D488FC6C51}"/>
            </c:ext>
          </c:extLst>
        </c:ser>
        <c:dLbls>
          <c:showLegendKey val="0"/>
          <c:showVal val="0"/>
          <c:showCatName val="0"/>
          <c:showSerName val="0"/>
          <c:showPercent val="0"/>
          <c:showBubbleSize val="0"/>
        </c:dLbls>
        <c:marker val="1"/>
        <c:smooth val="0"/>
        <c:axId val="332941824"/>
        <c:axId val="332936832"/>
      </c:lineChart>
      <c:catAx>
        <c:axId val="101898496"/>
        <c:scaling>
          <c:orientation val="minMax"/>
        </c:scaling>
        <c:delete val="0"/>
        <c:axPos val="b"/>
        <c:numFmt formatCode="General" sourceLinked="1"/>
        <c:majorTickMark val="out"/>
        <c:minorTickMark val="none"/>
        <c:tickLblPos val="low"/>
        <c:spPr>
          <a:ln>
            <a:solidFill>
              <a:schemeClr val="tx1"/>
            </a:solidFill>
          </a:ln>
        </c:spPr>
        <c:crossAx val="101781504"/>
        <c:crosses val="autoZero"/>
        <c:auto val="1"/>
        <c:lblAlgn val="ctr"/>
        <c:lblOffset val="10"/>
        <c:noMultiLvlLbl val="0"/>
      </c:catAx>
      <c:valAx>
        <c:axId val="101781504"/>
        <c:scaling>
          <c:orientation val="minMax"/>
          <c:max val="2"/>
          <c:min val="-3"/>
        </c:scaling>
        <c:delete val="0"/>
        <c:axPos val="l"/>
        <c:majorGridlines>
          <c:spPr>
            <a:ln w="6350">
              <a:solidFill>
                <a:schemeClr val="bg1">
                  <a:lumMod val="75000"/>
                </a:schemeClr>
              </a:solidFill>
            </a:ln>
          </c:spPr>
        </c:majorGridlines>
        <c:title>
          <c:tx>
            <c:rich>
              <a:bodyPr/>
              <a:lstStyle/>
              <a:p>
                <a:pPr>
                  <a:defRPr sz="700" b="0" i="1"/>
                </a:pPr>
                <a:r>
                  <a:rPr lang="cs-CZ" sz="700" b="0" i="1"/>
                  <a:t>Příspěvek</a:t>
                </a:r>
                <a:r>
                  <a:rPr lang="cs-CZ" sz="700" b="0" i="1" baseline="0"/>
                  <a:t> k růstu zaměstnanosti</a:t>
                </a:r>
                <a:endParaRPr lang="cs-CZ" sz="700" b="0" i="1"/>
              </a:p>
            </c:rich>
          </c:tx>
          <c:overlay val="0"/>
        </c:title>
        <c:numFmt formatCode="0.0" sourceLinked="0"/>
        <c:majorTickMark val="out"/>
        <c:minorTickMark val="none"/>
        <c:tickLblPos val="nextTo"/>
        <c:spPr>
          <a:ln>
            <a:solidFill>
              <a:schemeClr val="tx1"/>
            </a:solidFill>
          </a:ln>
        </c:spPr>
        <c:crossAx val="101898496"/>
        <c:crosses val="autoZero"/>
        <c:crossBetween val="between"/>
        <c:majorUnit val="0.5"/>
      </c:valAx>
      <c:valAx>
        <c:axId val="332936832"/>
        <c:scaling>
          <c:orientation val="minMax"/>
          <c:max val="120"/>
          <c:min val="-80"/>
        </c:scaling>
        <c:delete val="0"/>
        <c:axPos val="r"/>
        <c:title>
          <c:tx>
            <c:rich>
              <a:bodyPr/>
              <a:lstStyle/>
              <a:p>
                <a:pPr>
                  <a:defRPr sz="700" b="0" i="1"/>
                </a:pPr>
                <a:r>
                  <a:rPr lang="cs-CZ" sz="700" b="0" i="1"/>
                  <a:t>Očekávání</a:t>
                </a:r>
                <a:r>
                  <a:rPr lang="cs-CZ" sz="700" b="0" i="1" baseline="0"/>
                  <a:t> vývoje zaměstnanosti (do 3 měsíců)</a:t>
                </a:r>
                <a:endParaRPr lang="cs-CZ" sz="700" b="0" i="1"/>
              </a:p>
            </c:rich>
          </c:tx>
          <c:layout>
            <c:manualLayout>
              <c:xMode val="edge"/>
              <c:yMode val="edge"/>
              <c:x val="0.97040343782834393"/>
              <c:y val="9.0396867251384044E-2"/>
            </c:manualLayout>
          </c:layout>
          <c:overlay val="0"/>
        </c:title>
        <c:numFmt formatCode="#,##0" sourceLinked="0"/>
        <c:majorTickMark val="out"/>
        <c:minorTickMark val="none"/>
        <c:tickLblPos val="nextTo"/>
        <c:crossAx val="332941824"/>
        <c:crosses val="max"/>
        <c:crossBetween val="between"/>
        <c:majorUnit val="20"/>
      </c:valAx>
      <c:catAx>
        <c:axId val="332941824"/>
        <c:scaling>
          <c:orientation val="minMax"/>
        </c:scaling>
        <c:delete val="1"/>
        <c:axPos val="b"/>
        <c:numFmt formatCode="General" sourceLinked="1"/>
        <c:majorTickMark val="out"/>
        <c:minorTickMark val="none"/>
        <c:tickLblPos val="nextTo"/>
        <c:crossAx val="332936832"/>
        <c:crosses val="autoZero"/>
        <c:auto val="1"/>
        <c:lblAlgn val="ctr"/>
        <c:lblOffset val="100"/>
        <c:noMultiLvlLbl val="0"/>
      </c:catAx>
      <c:spPr>
        <a:ln>
          <a:solidFill>
            <a:schemeClr val="tx1"/>
          </a:solidFill>
        </a:ln>
      </c:spPr>
    </c:plotArea>
    <c:legend>
      <c:legendPos val="b"/>
      <c:layout>
        <c:manualLayout>
          <c:xMode val="edge"/>
          <c:yMode val="edge"/>
          <c:x val="4.692510837063792E-3"/>
          <c:y val="0.7737351285059999"/>
          <c:w val="0.96005692595618608"/>
          <c:h val="0.211946183153499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2697263565753378E-2"/>
          <c:y val="1.643251153889452E-2"/>
          <c:w val="0.85454194986526066"/>
          <c:h val="0.7575347819089191"/>
        </c:manualLayout>
      </c:layout>
      <c:barChart>
        <c:barDir val="col"/>
        <c:grouping val="clustered"/>
        <c:varyColors val="0"/>
        <c:ser>
          <c:idx val="0"/>
          <c:order val="0"/>
          <c:tx>
            <c:strRef>
              <c:f>'Trh práce-2b'!$A$32</c:f>
              <c:strCache>
                <c:ptCount val="1"/>
                <c:pt idx="0">
                  <c:v>Míra nezaměstnanosti mužů (levá osa)</c:v>
                </c:pt>
              </c:strCache>
            </c:strRef>
          </c:tx>
          <c:spPr>
            <a:solidFill>
              <a:srgbClr val="BCBCBC"/>
            </a:solidFill>
          </c:spPr>
          <c:invertIfNegative val="0"/>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práce-2b'!$B$32:$AN$32</c:f>
              <c:numCache>
                <c:formatCode>0.0</c:formatCode>
                <c:ptCount val="39"/>
                <c:pt idx="0">
                  <c:v>7.1227822572604396</c:v>
                </c:pt>
                <c:pt idx="1">
                  <c:v>6.5026636365569326</c:v>
                </c:pt>
                <c:pt idx="2">
                  <c:v>6.195062678396801</c:v>
                </c:pt>
                <c:pt idx="3">
                  <c:v>6.0893607812982262</c:v>
                </c:pt>
                <c:pt idx="4">
                  <c:v>6.0826778173860054</c:v>
                </c:pt>
                <c:pt idx="5">
                  <c:v>5.9912292603245261</c:v>
                </c:pt>
                <c:pt idx="6">
                  <c:v>5.7785973030363342</c:v>
                </c:pt>
                <c:pt idx="7">
                  <c:v>5.7057160248457812</c:v>
                </c:pt>
                <c:pt idx="8">
                  <c:v>6.0241252261994376</c:v>
                </c:pt>
                <c:pt idx="9">
                  <c:v>5.9783560743765358</c:v>
                </c:pt>
                <c:pt idx="10">
                  <c:v>6.0675409102846203</c:v>
                </c:pt>
                <c:pt idx="11">
                  <c:v>6.2707060518485385</c:v>
                </c:pt>
                <c:pt idx="12">
                  <c:v>6.2975094936982678</c:v>
                </c:pt>
                <c:pt idx="13">
                  <c:v>5.8877478445429601</c:v>
                </c:pt>
                <c:pt idx="14">
                  <c:v>5.9377119428806298</c:v>
                </c:pt>
                <c:pt idx="15">
                  <c:v>5.7763567650739658</c:v>
                </c:pt>
                <c:pt idx="16">
                  <c:v>5.5595704234713308</c:v>
                </c:pt>
                <c:pt idx="17">
                  <c:v>5.2095600528156352</c:v>
                </c:pt>
                <c:pt idx="18">
                  <c:v>4.9473185223161158</c:v>
                </c:pt>
                <c:pt idx="19">
                  <c:v>5.0436675243115179</c:v>
                </c:pt>
                <c:pt idx="20">
                  <c:v>5.0128863431900177</c:v>
                </c:pt>
                <c:pt idx="21">
                  <c:v>4.3638025189340528</c:v>
                </c:pt>
                <c:pt idx="22">
                  <c:v>4.0799841481075179</c:v>
                </c:pt>
                <c:pt idx="23">
                  <c:v>3.783350320277123</c:v>
                </c:pt>
                <c:pt idx="24">
                  <c:v>3.6307801490922036</c:v>
                </c:pt>
                <c:pt idx="25">
                  <c:v>3.5856111086440943</c:v>
                </c:pt>
                <c:pt idx="26">
                  <c:v>3.3904195976387981</c:v>
                </c:pt>
                <c:pt idx="27">
                  <c:v>3.1626891609517629</c:v>
                </c:pt>
                <c:pt idx="28">
                  <c:v>2.6940765439922916</c:v>
                </c:pt>
                <c:pt idx="29">
                  <c:v>2.4827919145263784</c:v>
                </c:pt>
                <c:pt idx="30">
                  <c:v>2.2645070030476653</c:v>
                </c:pt>
                <c:pt idx="31">
                  <c:v>2.0448747248094565</c:v>
                </c:pt>
                <c:pt idx="32">
                  <c:v>1.8845552674712358</c:v>
                </c:pt>
                <c:pt idx="33">
                  <c:v>1.8509833814672512</c:v>
                </c:pt>
                <c:pt idx="34">
                  <c:v>1.9122597597899711</c:v>
                </c:pt>
                <c:pt idx="35">
                  <c:v>1.6643353434021533</c:v>
                </c:pt>
                <c:pt idx="36">
                  <c:v>1.7877542864835079</c:v>
                </c:pt>
                <c:pt idx="37">
                  <c:v>1.7049782992106106</c:v>
                </c:pt>
                <c:pt idx="38">
                  <c:v>1.7584727638843882</c:v>
                </c:pt>
              </c:numCache>
            </c:numRef>
          </c:val>
          <c:extLst>
            <c:ext xmlns:c16="http://schemas.microsoft.com/office/drawing/2014/chart" uri="{C3380CC4-5D6E-409C-BE32-E72D297353CC}">
              <c16:uniqueId val="{00000000-8BB6-4E7B-8D2E-71981E892758}"/>
            </c:ext>
          </c:extLst>
        </c:ser>
        <c:ser>
          <c:idx val="1"/>
          <c:order val="1"/>
          <c:tx>
            <c:strRef>
              <c:f>'Trh práce-2b'!$A$33</c:f>
              <c:strCache>
                <c:ptCount val="1"/>
                <c:pt idx="0">
                  <c:v>Míra nezaměstnanosti žen (levá osa)</c:v>
                </c:pt>
              </c:strCache>
            </c:strRef>
          </c:tx>
          <c:spPr>
            <a:solidFill>
              <a:srgbClr val="DBDBDB"/>
            </a:solidFill>
          </c:spPr>
          <c:invertIfNegative val="0"/>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práce-2b'!$B$33:$AN$33</c:f>
              <c:numCache>
                <c:formatCode>0.0</c:formatCode>
                <c:ptCount val="39"/>
                <c:pt idx="0">
                  <c:v>8.7722137334683676</c:v>
                </c:pt>
                <c:pt idx="1">
                  <c:v>8.5936691642007528</c:v>
                </c:pt>
                <c:pt idx="2">
                  <c:v>8.4924512823590614</c:v>
                </c:pt>
                <c:pt idx="3">
                  <c:v>8.2859200167313514</c:v>
                </c:pt>
                <c:pt idx="4">
                  <c:v>8.1837256839803825</c:v>
                </c:pt>
                <c:pt idx="5">
                  <c:v>8.1325477840540632</c:v>
                </c:pt>
                <c:pt idx="6">
                  <c:v>7.7872479988360723</c:v>
                </c:pt>
                <c:pt idx="7">
                  <c:v>7.721352211441797</c:v>
                </c:pt>
                <c:pt idx="8">
                  <c:v>8.0475081679687648</c:v>
                </c:pt>
                <c:pt idx="9">
                  <c:v>8.1764528455216308</c:v>
                </c:pt>
                <c:pt idx="10">
                  <c:v>8.3357134484231299</c:v>
                </c:pt>
                <c:pt idx="11">
                  <c:v>8.5382777990189584</c:v>
                </c:pt>
                <c:pt idx="12">
                  <c:v>8.5140736934507597</c:v>
                </c:pt>
                <c:pt idx="13">
                  <c:v>8.4032394198823681</c:v>
                </c:pt>
                <c:pt idx="14">
                  <c:v>8.3874242746796721</c:v>
                </c:pt>
                <c:pt idx="15">
                  <c:v>8.2643603292142842</c:v>
                </c:pt>
                <c:pt idx="16">
                  <c:v>8.0347299473700655</c:v>
                </c:pt>
                <c:pt idx="17">
                  <c:v>7.6395879591853628</c:v>
                </c:pt>
                <c:pt idx="18">
                  <c:v>7.3104464378030336</c:v>
                </c:pt>
                <c:pt idx="19">
                  <c:v>7.0233777628610206</c:v>
                </c:pt>
                <c:pt idx="20">
                  <c:v>6.9003665787659729</c:v>
                </c:pt>
                <c:pt idx="21">
                  <c:v>6.2225660583707354</c:v>
                </c:pt>
                <c:pt idx="22">
                  <c:v>5.9476136933880177</c:v>
                </c:pt>
                <c:pt idx="23">
                  <c:v>5.6467364336481474</c:v>
                </c:pt>
                <c:pt idx="24">
                  <c:v>5.0796611971813856</c:v>
                </c:pt>
                <c:pt idx="25">
                  <c:v>4.8138266788082946</c:v>
                </c:pt>
                <c:pt idx="26">
                  <c:v>4.8130083965011332</c:v>
                </c:pt>
                <c:pt idx="27">
                  <c:v>4.3669839863761801</c:v>
                </c:pt>
                <c:pt idx="28">
                  <c:v>4.2758785846358656</c:v>
                </c:pt>
                <c:pt idx="29">
                  <c:v>3.922676796933569</c:v>
                </c:pt>
                <c:pt idx="30">
                  <c:v>3.3903088469839404</c:v>
                </c:pt>
                <c:pt idx="31">
                  <c:v>3.0614940861300197</c:v>
                </c:pt>
                <c:pt idx="32">
                  <c:v>2.9242750877278887</c:v>
                </c:pt>
                <c:pt idx="33">
                  <c:v>2.8758186483496626</c:v>
                </c:pt>
                <c:pt idx="34">
                  <c:v>2.8448548319979978</c:v>
                </c:pt>
                <c:pt idx="35">
                  <c:v>2.6571857706474931</c:v>
                </c:pt>
                <c:pt idx="36">
                  <c:v>2.2890254309532438</c:v>
                </c:pt>
                <c:pt idx="37">
                  <c:v>2.4927825768846357</c:v>
                </c:pt>
                <c:pt idx="38">
                  <c:v>2.5425756293823434</c:v>
                </c:pt>
              </c:numCache>
            </c:numRef>
          </c:val>
          <c:extLst>
            <c:ext xmlns:c16="http://schemas.microsoft.com/office/drawing/2014/chart" uri="{C3380CC4-5D6E-409C-BE32-E72D297353CC}">
              <c16:uniqueId val="{00000001-8BB6-4E7B-8D2E-71981E892758}"/>
            </c:ext>
          </c:extLst>
        </c:ser>
        <c:dLbls>
          <c:showLegendKey val="0"/>
          <c:showVal val="0"/>
          <c:showCatName val="0"/>
          <c:showSerName val="0"/>
          <c:showPercent val="0"/>
          <c:showBubbleSize val="0"/>
        </c:dLbls>
        <c:gapWidth val="68"/>
        <c:axId val="100654464"/>
        <c:axId val="101647488"/>
      </c:barChart>
      <c:lineChart>
        <c:grouping val="standard"/>
        <c:varyColors val="0"/>
        <c:ser>
          <c:idx val="2"/>
          <c:order val="2"/>
          <c:tx>
            <c:strRef>
              <c:f>'Trh práce-2b'!$A$34</c:f>
              <c:strCache>
                <c:ptCount val="1"/>
                <c:pt idx="0">
                  <c:v>Podíl nezam. déle než 1 rok (v %, pr. osa)</c:v>
                </c:pt>
              </c:strCache>
            </c:strRef>
          </c:tx>
          <c:spPr>
            <a:ln w="22225"/>
          </c:spPr>
          <c:marker>
            <c:symbol val="none"/>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práce-2b'!$B$34:$AN$34</c:f>
              <c:numCache>
                <c:formatCode>0.0</c:formatCode>
                <c:ptCount val="39"/>
                <c:pt idx="0">
                  <c:v>35.78199052132701</c:v>
                </c:pt>
                <c:pt idx="1">
                  <c:v>41.6</c:v>
                </c:pt>
                <c:pt idx="2">
                  <c:v>43.048128342245988</c:v>
                </c:pt>
                <c:pt idx="3">
                  <c:v>44.0771349862259</c:v>
                </c:pt>
                <c:pt idx="4">
                  <c:v>39.946380697050934</c:v>
                </c:pt>
                <c:pt idx="5">
                  <c:v>39.03133903133903</c:v>
                </c:pt>
                <c:pt idx="6">
                  <c:v>40.233236151603499</c:v>
                </c:pt>
                <c:pt idx="7">
                  <c:v>42.985074626865668</c:v>
                </c:pt>
                <c:pt idx="8">
                  <c:v>43.089430894308947</c:v>
                </c:pt>
                <c:pt idx="9">
                  <c:v>44.444444444444443</c:v>
                </c:pt>
                <c:pt idx="10">
                  <c:v>43.20652173913043</c:v>
                </c:pt>
                <c:pt idx="11">
                  <c:v>42.744063324538253</c:v>
                </c:pt>
                <c:pt idx="12">
                  <c:v>43.256997455470739</c:v>
                </c:pt>
                <c:pt idx="13">
                  <c:v>43.922651933701658</c:v>
                </c:pt>
                <c:pt idx="14">
                  <c:v>43.78378378378379</c:v>
                </c:pt>
                <c:pt idx="15">
                  <c:v>42.25352112676056</c:v>
                </c:pt>
                <c:pt idx="16">
                  <c:v>41.061452513966479</c:v>
                </c:pt>
                <c:pt idx="17">
                  <c:v>43.260188087774296</c:v>
                </c:pt>
                <c:pt idx="18">
                  <c:v>43.769968051118212</c:v>
                </c:pt>
                <c:pt idx="19">
                  <c:v>46.229508196721312</c:v>
                </c:pt>
                <c:pt idx="20">
                  <c:v>45.741324921135643</c:v>
                </c:pt>
                <c:pt idx="21">
                  <c:v>46.564885496183209</c:v>
                </c:pt>
                <c:pt idx="22">
                  <c:v>48.638132295719842</c:v>
                </c:pt>
                <c:pt idx="23">
                  <c:v>48.52320675105485</c:v>
                </c:pt>
                <c:pt idx="24">
                  <c:v>45.887445887445885</c:v>
                </c:pt>
                <c:pt idx="25">
                  <c:v>43.333333333333336</c:v>
                </c:pt>
                <c:pt idx="26">
                  <c:v>39.436619718309856</c:v>
                </c:pt>
                <c:pt idx="27">
                  <c:v>39.0625</c:v>
                </c:pt>
                <c:pt idx="28">
                  <c:v>36.95652173913043</c:v>
                </c:pt>
                <c:pt idx="29">
                  <c:v>37.106918238993707</c:v>
                </c:pt>
                <c:pt idx="30">
                  <c:v>32.666666666666664</c:v>
                </c:pt>
                <c:pt idx="31">
                  <c:v>31.007751937984494</c:v>
                </c:pt>
                <c:pt idx="32">
                  <c:v>31.538461538461537</c:v>
                </c:pt>
                <c:pt idx="33">
                  <c:v>30.508474576271187</c:v>
                </c:pt>
                <c:pt idx="34">
                  <c:v>29.133858267716533</c:v>
                </c:pt>
                <c:pt idx="35">
                  <c:v>31.441441441441441</c:v>
                </c:pt>
                <c:pt idx="36">
                  <c:v>31.814038286235185</c:v>
                </c:pt>
                <c:pt idx="37">
                  <c:v>32.2265625</c:v>
                </c:pt>
                <c:pt idx="38">
                  <c:v>26.71888598781549</c:v>
                </c:pt>
              </c:numCache>
            </c:numRef>
          </c:val>
          <c:smooth val="0"/>
          <c:extLst>
            <c:ext xmlns:c16="http://schemas.microsoft.com/office/drawing/2014/chart" uri="{C3380CC4-5D6E-409C-BE32-E72D297353CC}">
              <c16:uniqueId val="{00000002-8BB6-4E7B-8D2E-71981E892758}"/>
            </c:ext>
          </c:extLst>
        </c:ser>
        <c:ser>
          <c:idx val="3"/>
          <c:order val="3"/>
          <c:tx>
            <c:strRef>
              <c:f>'Trh práce-2b'!$A$35</c:f>
              <c:strCache>
                <c:ptCount val="1"/>
                <c:pt idx="0">
                  <c:v>Podíl nezam. mladších 25 let (v %, pr. osa)</c:v>
                </c:pt>
              </c:strCache>
            </c:strRef>
          </c:tx>
          <c:spPr>
            <a:ln w="22225"/>
          </c:spPr>
          <c:marker>
            <c:symbol val="none"/>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práce-2b'!$B$35:$AN$35</c:f>
              <c:numCache>
                <c:formatCode>0.0</c:formatCode>
                <c:ptCount val="39"/>
                <c:pt idx="0">
                  <c:v>18.48341232227488</c:v>
                </c:pt>
                <c:pt idx="1">
                  <c:v>18.399999999999999</c:v>
                </c:pt>
                <c:pt idx="2">
                  <c:v>20.588235294117645</c:v>
                </c:pt>
                <c:pt idx="3">
                  <c:v>19.28374655647383</c:v>
                </c:pt>
                <c:pt idx="4">
                  <c:v>16.890080428954423</c:v>
                </c:pt>
                <c:pt idx="5">
                  <c:v>18.518518518518519</c:v>
                </c:pt>
                <c:pt idx="6">
                  <c:v>20.699708454810494</c:v>
                </c:pt>
                <c:pt idx="7">
                  <c:v>20</c:v>
                </c:pt>
                <c:pt idx="8">
                  <c:v>19.241192411924118</c:v>
                </c:pt>
                <c:pt idx="9">
                  <c:v>19.943019943019944</c:v>
                </c:pt>
                <c:pt idx="10">
                  <c:v>20.380434782608695</c:v>
                </c:pt>
                <c:pt idx="11">
                  <c:v>19.788918205804748</c:v>
                </c:pt>
                <c:pt idx="12">
                  <c:v>17.557251908396946</c:v>
                </c:pt>
                <c:pt idx="13">
                  <c:v>17.127071823204421</c:v>
                </c:pt>
                <c:pt idx="14">
                  <c:v>19.72972972972973</c:v>
                </c:pt>
                <c:pt idx="15">
                  <c:v>19.718309859154928</c:v>
                </c:pt>
                <c:pt idx="16">
                  <c:v>15.921787709497206</c:v>
                </c:pt>
                <c:pt idx="17">
                  <c:v>16.927899686520377</c:v>
                </c:pt>
                <c:pt idx="18">
                  <c:v>19.169329073482427</c:v>
                </c:pt>
                <c:pt idx="19">
                  <c:v>18.032786885245901</c:v>
                </c:pt>
                <c:pt idx="20">
                  <c:v>15.772870662460567</c:v>
                </c:pt>
                <c:pt idx="21">
                  <c:v>15.648854961832063</c:v>
                </c:pt>
                <c:pt idx="22">
                  <c:v>17.509727626459142</c:v>
                </c:pt>
                <c:pt idx="23">
                  <c:v>16.455696202531644</c:v>
                </c:pt>
                <c:pt idx="24">
                  <c:v>13.852813852813853</c:v>
                </c:pt>
                <c:pt idx="25">
                  <c:v>15.238095238095239</c:v>
                </c:pt>
                <c:pt idx="26">
                  <c:v>18.30985915492958</c:v>
                </c:pt>
                <c:pt idx="27">
                  <c:v>18.75</c:v>
                </c:pt>
                <c:pt idx="28">
                  <c:v>14.673913043478262</c:v>
                </c:pt>
                <c:pt idx="29">
                  <c:v>16.352201257861633</c:v>
                </c:pt>
                <c:pt idx="30">
                  <c:v>18.666666666666668</c:v>
                </c:pt>
                <c:pt idx="31">
                  <c:v>14.728682170542637</c:v>
                </c:pt>
                <c:pt idx="32">
                  <c:v>14.615384615384617</c:v>
                </c:pt>
                <c:pt idx="33">
                  <c:v>16.949152542372879</c:v>
                </c:pt>
                <c:pt idx="34">
                  <c:v>18.110236220472441</c:v>
                </c:pt>
                <c:pt idx="35">
                  <c:v>16.216216216216218</c:v>
                </c:pt>
                <c:pt idx="36">
                  <c:v>14.545454545454545</c:v>
                </c:pt>
                <c:pt idx="37">
                  <c:v>15.686274509803921</c:v>
                </c:pt>
                <c:pt idx="38">
                  <c:v>15.65217391304348</c:v>
                </c:pt>
              </c:numCache>
            </c:numRef>
          </c:val>
          <c:smooth val="0"/>
          <c:extLst>
            <c:ext xmlns:c16="http://schemas.microsoft.com/office/drawing/2014/chart" uri="{C3380CC4-5D6E-409C-BE32-E72D297353CC}">
              <c16:uniqueId val="{00000003-8BB6-4E7B-8D2E-71981E892758}"/>
            </c:ext>
          </c:extLst>
        </c:ser>
        <c:ser>
          <c:idx val="4"/>
          <c:order val="4"/>
          <c:tx>
            <c:strRef>
              <c:f>'Trh práce-2b'!$A$36</c:f>
              <c:strCache>
                <c:ptCount val="1"/>
                <c:pt idx="0">
                  <c:v>Ekon.neaktiv.chtějící pracovat (pr. osa)*</c:v>
                </c:pt>
              </c:strCache>
            </c:strRef>
          </c:tx>
          <c:spPr>
            <a:ln w="22225"/>
          </c:spPr>
          <c:marker>
            <c:symbol val="none"/>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práce-2b'!$B$36:$AN$36</c:f>
              <c:numCache>
                <c:formatCode>0.0</c:formatCode>
                <c:ptCount val="39"/>
                <c:pt idx="0">
                  <c:v>183.00000000000003</c:v>
                </c:pt>
                <c:pt idx="1">
                  <c:v>183.20000000000002</c:v>
                </c:pt>
                <c:pt idx="2">
                  <c:v>172.5</c:v>
                </c:pt>
                <c:pt idx="3">
                  <c:v>172.00000000000003</c:v>
                </c:pt>
                <c:pt idx="4">
                  <c:v>193.70000000000002</c:v>
                </c:pt>
                <c:pt idx="5">
                  <c:v>184.4</c:v>
                </c:pt>
                <c:pt idx="6">
                  <c:v>188.9</c:v>
                </c:pt>
                <c:pt idx="7">
                  <c:v>183.20000000000002</c:v>
                </c:pt>
                <c:pt idx="8">
                  <c:v>196.60000000000002</c:v>
                </c:pt>
                <c:pt idx="9">
                  <c:v>176.5</c:v>
                </c:pt>
                <c:pt idx="10">
                  <c:v>166.9</c:v>
                </c:pt>
                <c:pt idx="11">
                  <c:v>154.60000000000002</c:v>
                </c:pt>
                <c:pt idx="12">
                  <c:v>167.8</c:v>
                </c:pt>
                <c:pt idx="13">
                  <c:v>147.19999999999999</c:v>
                </c:pt>
                <c:pt idx="14">
                  <c:v>138.80000000000001</c:v>
                </c:pt>
                <c:pt idx="15">
                  <c:v>139.30000000000001</c:v>
                </c:pt>
                <c:pt idx="16">
                  <c:v>145.4</c:v>
                </c:pt>
                <c:pt idx="17">
                  <c:v>137.1</c:v>
                </c:pt>
                <c:pt idx="18">
                  <c:v>129</c:v>
                </c:pt>
                <c:pt idx="19">
                  <c:v>127.10000000000001</c:v>
                </c:pt>
                <c:pt idx="20" formatCode="General">
                  <c:v>138.5</c:v>
                </c:pt>
                <c:pt idx="21" formatCode="General">
                  <c:v>141.4</c:v>
                </c:pt>
                <c:pt idx="22" formatCode="General">
                  <c:v>137.1</c:v>
                </c:pt>
                <c:pt idx="23" formatCode="General">
                  <c:v>130.4</c:v>
                </c:pt>
                <c:pt idx="24" formatCode="General">
                  <c:v>141</c:v>
                </c:pt>
                <c:pt idx="25" formatCode="General">
                  <c:v>126.4</c:v>
                </c:pt>
                <c:pt idx="26" formatCode="General">
                  <c:v>129.69999999999999</c:v>
                </c:pt>
                <c:pt idx="27" formatCode="General">
                  <c:v>127.1</c:v>
                </c:pt>
                <c:pt idx="28">
                  <c:v>133.1</c:v>
                </c:pt>
                <c:pt idx="29">
                  <c:v>120.1</c:v>
                </c:pt>
                <c:pt idx="30">
                  <c:v>121.3</c:v>
                </c:pt>
                <c:pt idx="31">
                  <c:v>119.1</c:v>
                </c:pt>
                <c:pt idx="32">
                  <c:v>113.5</c:v>
                </c:pt>
                <c:pt idx="33">
                  <c:v>108.4</c:v>
                </c:pt>
                <c:pt idx="34">
                  <c:v>110.3</c:v>
                </c:pt>
                <c:pt idx="35">
                  <c:v>101.7</c:v>
                </c:pt>
                <c:pt idx="36">
                  <c:v>104.6</c:v>
                </c:pt>
                <c:pt idx="37">
                  <c:v>104.6</c:v>
                </c:pt>
                <c:pt idx="38">
                  <c:v>98</c:v>
                </c:pt>
              </c:numCache>
            </c:numRef>
          </c:val>
          <c:smooth val="0"/>
          <c:extLst>
            <c:ext xmlns:c16="http://schemas.microsoft.com/office/drawing/2014/chart" uri="{C3380CC4-5D6E-409C-BE32-E72D297353CC}">
              <c16:uniqueId val="{00000004-8BB6-4E7B-8D2E-71981E892758}"/>
            </c:ext>
          </c:extLst>
        </c:ser>
        <c:ser>
          <c:idx val="5"/>
          <c:order val="5"/>
          <c:tx>
            <c:strRef>
              <c:f>'Trh práce-2b'!$A$37</c:f>
              <c:strCache>
                <c:ptCount val="1"/>
                <c:pt idx="0">
                  <c:v>Saldo očekávání vývoje nezam. (pr. osa)**</c:v>
                </c:pt>
              </c:strCache>
            </c:strRef>
          </c:tx>
          <c:spPr>
            <a:ln w="22225">
              <a:noFill/>
              <a:prstDash val="sysDot"/>
            </a:ln>
          </c:spPr>
          <c:marker>
            <c:symbol val="diamond"/>
            <c:size val="6"/>
            <c:spPr>
              <a:solidFill>
                <a:schemeClr val="tx1">
                  <a:lumMod val="50000"/>
                  <a:lumOff val="50000"/>
                </a:schemeClr>
              </a:solidFill>
              <a:ln>
                <a:noFill/>
              </a:ln>
            </c:spPr>
          </c:marker>
          <c:cat>
            <c:multiLvlStrRef>
              <c:f>'Trh práce-2b'!$B$30:$AN$31</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práce-2b'!$B$37:$AN$37</c:f>
              <c:numCache>
                <c:formatCode>#\ ##0.0</c:formatCode>
                <c:ptCount val="39"/>
                <c:pt idx="0">
                  <c:v>32.5</c:v>
                </c:pt>
                <c:pt idx="1">
                  <c:v>18.766666666666666</c:v>
                </c:pt>
                <c:pt idx="2">
                  <c:v>24.533333333333331</c:v>
                </c:pt>
                <c:pt idx="3">
                  <c:v>27.900000000000002</c:v>
                </c:pt>
                <c:pt idx="4">
                  <c:v>26.533333333333331</c:v>
                </c:pt>
                <c:pt idx="5">
                  <c:v>21.733333333333334</c:v>
                </c:pt>
                <c:pt idx="6">
                  <c:v>25.166666666666668</c:v>
                </c:pt>
                <c:pt idx="7">
                  <c:v>42.79999999999999</c:v>
                </c:pt>
                <c:pt idx="8">
                  <c:v>42.233333333333334</c:v>
                </c:pt>
                <c:pt idx="9">
                  <c:v>35.833333333333336</c:v>
                </c:pt>
                <c:pt idx="10">
                  <c:v>39.93333333333333</c:v>
                </c:pt>
                <c:pt idx="11">
                  <c:v>43.1</c:v>
                </c:pt>
                <c:pt idx="12">
                  <c:v>44.733333333333327</c:v>
                </c:pt>
                <c:pt idx="13">
                  <c:v>33.4</c:v>
                </c:pt>
                <c:pt idx="14">
                  <c:v>31.766666666666666</c:v>
                </c:pt>
                <c:pt idx="15">
                  <c:v>32.43333333333333</c:v>
                </c:pt>
                <c:pt idx="16">
                  <c:v>21.099999999999998</c:v>
                </c:pt>
                <c:pt idx="17">
                  <c:v>15.433333333333332</c:v>
                </c:pt>
                <c:pt idx="18">
                  <c:v>18.466666666666665</c:v>
                </c:pt>
                <c:pt idx="19">
                  <c:v>14.566666666666668</c:v>
                </c:pt>
                <c:pt idx="20">
                  <c:v>10.833333333333334</c:v>
                </c:pt>
                <c:pt idx="21">
                  <c:v>6.3999999999999995</c:v>
                </c:pt>
                <c:pt idx="22">
                  <c:v>10.366666666666667</c:v>
                </c:pt>
                <c:pt idx="23">
                  <c:v>5.1333333333333337</c:v>
                </c:pt>
                <c:pt idx="24">
                  <c:v>0.20000000000000004</c:v>
                </c:pt>
                <c:pt idx="25">
                  <c:v>5.3666666666666671</c:v>
                </c:pt>
                <c:pt idx="26">
                  <c:v>7.0333333333333341</c:v>
                </c:pt>
                <c:pt idx="27">
                  <c:v>4.166666666666667</c:v>
                </c:pt>
                <c:pt idx="28">
                  <c:v>-1.8</c:v>
                </c:pt>
                <c:pt idx="29">
                  <c:v>-2.6666666666666665</c:v>
                </c:pt>
                <c:pt idx="30">
                  <c:v>1.8666666666666669</c:v>
                </c:pt>
                <c:pt idx="31">
                  <c:v>1.5333333333333332</c:v>
                </c:pt>
                <c:pt idx="32">
                  <c:v>-2</c:v>
                </c:pt>
                <c:pt idx="33">
                  <c:v>-2.4666666666666668</c:v>
                </c:pt>
                <c:pt idx="34">
                  <c:v>1.8999999999999997</c:v>
                </c:pt>
                <c:pt idx="35">
                  <c:v>3.7999999999999994</c:v>
                </c:pt>
                <c:pt idx="36">
                  <c:v>6.5</c:v>
                </c:pt>
                <c:pt idx="37">
                  <c:v>6.5666666666666664</c:v>
                </c:pt>
                <c:pt idx="38">
                  <c:v>12.200000000000001</c:v>
                </c:pt>
              </c:numCache>
            </c:numRef>
          </c:val>
          <c:smooth val="0"/>
          <c:extLst>
            <c:ext xmlns:c16="http://schemas.microsoft.com/office/drawing/2014/chart" uri="{C3380CC4-5D6E-409C-BE32-E72D297353CC}">
              <c16:uniqueId val="{00000005-8BB6-4E7B-8D2E-71981E892758}"/>
            </c:ext>
          </c:extLst>
        </c:ser>
        <c:dLbls>
          <c:showLegendKey val="0"/>
          <c:showVal val="0"/>
          <c:showCatName val="0"/>
          <c:showSerName val="0"/>
          <c:showPercent val="0"/>
          <c:showBubbleSize val="0"/>
        </c:dLbls>
        <c:marker val="1"/>
        <c:smooth val="0"/>
        <c:axId val="331670576"/>
        <c:axId val="323971328"/>
      </c:lineChart>
      <c:catAx>
        <c:axId val="100654464"/>
        <c:scaling>
          <c:orientation val="minMax"/>
        </c:scaling>
        <c:delete val="0"/>
        <c:axPos val="b"/>
        <c:numFmt formatCode="General" sourceLinked="0"/>
        <c:majorTickMark val="out"/>
        <c:minorTickMark val="none"/>
        <c:tickLblPos val="low"/>
        <c:spPr>
          <a:ln>
            <a:solidFill>
              <a:schemeClr val="tx1"/>
            </a:solidFill>
          </a:ln>
        </c:spPr>
        <c:crossAx val="101647488"/>
        <c:crossesAt val="-50"/>
        <c:auto val="1"/>
        <c:lblAlgn val="ctr"/>
        <c:lblOffset val="0"/>
        <c:noMultiLvlLbl val="0"/>
      </c:catAx>
      <c:valAx>
        <c:axId val="101647488"/>
        <c:scaling>
          <c:orientation val="minMax"/>
          <c:max val="11"/>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 sourceLinked="0"/>
        <c:majorTickMark val="out"/>
        <c:minorTickMark val="none"/>
        <c:tickLblPos val="nextTo"/>
        <c:spPr>
          <a:ln>
            <a:solidFill>
              <a:schemeClr val="tx1"/>
            </a:solidFill>
          </a:ln>
        </c:spPr>
        <c:crossAx val="100654464"/>
        <c:crosses val="autoZero"/>
        <c:crossBetween val="between"/>
        <c:majorUnit val="1"/>
      </c:valAx>
      <c:valAx>
        <c:axId val="323971328"/>
        <c:scaling>
          <c:orientation val="minMax"/>
          <c:max val="200"/>
        </c:scaling>
        <c:delete val="0"/>
        <c:axPos val="r"/>
        <c:title>
          <c:tx>
            <c:rich>
              <a:bodyPr/>
              <a:lstStyle/>
              <a:p>
                <a:pPr>
                  <a:defRPr sz="700" b="0" i="1"/>
                </a:pPr>
                <a:r>
                  <a:rPr lang="cs-CZ" sz="700" b="0" i="1"/>
                  <a:t>Počet</a:t>
                </a:r>
                <a:r>
                  <a:rPr lang="cs-CZ" sz="700" b="0" i="1" baseline="0"/>
                  <a:t> ek. neaktivních, p</a:t>
                </a:r>
                <a:r>
                  <a:rPr lang="cs-CZ" sz="700" b="0" i="1"/>
                  <a:t>odíl</a:t>
                </a:r>
                <a:r>
                  <a:rPr lang="cs-CZ" sz="700" b="0" i="1" baseline="0"/>
                  <a:t> nezaměstnaných, očekávání nezam.</a:t>
                </a:r>
                <a:endParaRPr lang="cs-CZ" sz="700" b="0" i="1"/>
              </a:p>
            </c:rich>
          </c:tx>
          <c:overlay val="0"/>
        </c:title>
        <c:numFmt formatCode="#,##0" sourceLinked="0"/>
        <c:majorTickMark val="out"/>
        <c:minorTickMark val="none"/>
        <c:tickLblPos val="nextTo"/>
        <c:crossAx val="331670576"/>
        <c:crosses val="max"/>
        <c:crossBetween val="between"/>
        <c:majorUnit val="20"/>
      </c:valAx>
      <c:catAx>
        <c:axId val="331670576"/>
        <c:scaling>
          <c:orientation val="minMax"/>
        </c:scaling>
        <c:delete val="1"/>
        <c:axPos val="b"/>
        <c:numFmt formatCode="General" sourceLinked="1"/>
        <c:majorTickMark val="out"/>
        <c:minorTickMark val="none"/>
        <c:tickLblPos val="nextTo"/>
        <c:crossAx val="323971328"/>
        <c:crosses val="autoZero"/>
        <c:auto val="1"/>
        <c:lblAlgn val="ctr"/>
        <c:lblOffset val="100"/>
        <c:noMultiLvlLbl val="0"/>
      </c:catAx>
      <c:spPr>
        <a:ln>
          <a:solidFill>
            <a:schemeClr val="tx1"/>
          </a:solidFill>
        </a:ln>
      </c:spPr>
    </c:plotArea>
    <c:legend>
      <c:legendPos val="b"/>
      <c:layout>
        <c:manualLayout>
          <c:xMode val="edge"/>
          <c:yMode val="edge"/>
          <c:x val="1.2332445249685521E-2"/>
          <c:y val="0.87379008846527229"/>
          <c:w val="0.96494720270615286"/>
          <c:h val="0.1191505687089034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'Trh práce 3'!$D$8</c:f>
              <c:strCache>
                <c:ptCount val="1"/>
                <c:pt idx="0">
                  <c:v>Průměrná mzda celkem (reálně)</c:v>
                </c:pt>
              </c:strCache>
            </c:strRef>
          </c:tx>
          <c:spPr>
            <a:solidFill>
              <a:srgbClr val="DBDBDB"/>
            </a:solidFill>
            <a:ln w="19050">
              <a:noFill/>
            </a:ln>
          </c:spPr>
          <c:invertIfNegative val="0"/>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3'!$D$9:$D$47</c:f>
              <c:numCache>
                <c:formatCode>#\ ##0.0</c:formatCode>
                <c:ptCount val="39"/>
                <c:pt idx="0">
                  <c:v>2.0999999999999943</c:v>
                </c:pt>
                <c:pt idx="1">
                  <c:v>1.9000000000000057</c:v>
                </c:pt>
                <c:pt idx="2">
                  <c:v>0.29999999999999716</c:v>
                </c:pt>
                <c:pt idx="3">
                  <c:v>-1.4000000000000057</c:v>
                </c:pt>
                <c:pt idx="4">
                  <c:v>1.0999999999999943</c:v>
                </c:pt>
                <c:pt idx="5">
                  <c:v>0.79999999999999716</c:v>
                </c:pt>
                <c:pt idx="6">
                  <c:v>0.29999999999999716</c:v>
                </c:pt>
                <c:pt idx="7">
                  <c:v>0</c:v>
                </c:pt>
                <c:pt idx="8">
                  <c:v>-0.5</c:v>
                </c:pt>
                <c:pt idx="9">
                  <c:v>-1.2999999999999972</c:v>
                </c:pt>
                <c:pt idx="10">
                  <c:v>-1.7999999999999972</c:v>
                </c:pt>
                <c:pt idx="11">
                  <c:v>0.40000000000000568</c:v>
                </c:pt>
                <c:pt idx="12">
                  <c:v>-2.4000000000000057</c:v>
                </c:pt>
                <c:pt idx="13">
                  <c:v>-0.5</c:v>
                </c:pt>
                <c:pt idx="14">
                  <c:v>0</c:v>
                </c:pt>
                <c:pt idx="15">
                  <c:v>-3.0999999999999943</c:v>
                </c:pt>
                <c:pt idx="16">
                  <c:v>3.7000000000000028</c:v>
                </c:pt>
                <c:pt idx="17">
                  <c:v>2.5999999999999943</c:v>
                </c:pt>
                <c:pt idx="18">
                  <c:v>1.5999999999999943</c:v>
                </c:pt>
                <c:pt idx="19">
                  <c:v>2.2999999999999972</c:v>
                </c:pt>
                <c:pt idx="20">
                  <c:v>2.2000000000000028</c:v>
                </c:pt>
                <c:pt idx="21">
                  <c:v>2.5999999999999943</c:v>
                </c:pt>
                <c:pt idx="22">
                  <c:v>3.0999999999999943</c:v>
                </c:pt>
                <c:pt idx="23">
                  <c:v>3.5999999999999943</c:v>
                </c:pt>
                <c:pt idx="24">
                  <c:v>4.2000000000000028</c:v>
                </c:pt>
                <c:pt idx="25">
                  <c:v>3.7999999999999972</c:v>
                </c:pt>
                <c:pt idx="26">
                  <c:v>4.2000000000000028</c:v>
                </c:pt>
                <c:pt idx="27">
                  <c:v>3</c:v>
                </c:pt>
                <c:pt idx="28">
                  <c:v>2.5999999999999943</c:v>
                </c:pt>
                <c:pt idx="29">
                  <c:v>4.9000000000000057</c:v>
                </c:pt>
                <c:pt idx="30">
                  <c:v>4.0999999999999943</c:v>
                </c:pt>
                <c:pt idx="31">
                  <c:v>5.0999999999999943</c:v>
                </c:pt>
                <c:pt idx="32">
                  <c:v>5.7999999999999972</c:v>
                </c:pt>
                <c:pt idx="33">
                  <c:v>5.7000000000000028</c:v>
                </c:pt>
                <c:pt idx="34">
                  <c:v>5.4000000000000057</c:v>
                </c:pt>
                <c:pt idx="35">
                  <c:v>4.2999999999999972</c:v>
                </c:pt>
                <c:pt idx="36">
                  <c:v>4.5999999999999943</c:v>
                </c:pt>
                <c:pt idx="37">
                  <c:v>4.2999999999999972</c:v>
                </c:pt>
                <c:pt idx="38">
                  <c:v>4</c:v>
                </c:pt>
              </c:numCache>
            </c:numRef>
          </c:val>
          <c:extLst>
            <c:ext xmlns:c16="http://schemas.microsoft.com/office/drawing/2014/chart" uri="{C3380CC4-5D6E-409C-BE32-E72D297353CC}">
              <c16:uniqueId val="{00000000-C0AB-4AFF-A2C2-CA658FEC23D9}"/>
            </c:ext>
          </c:extLst>
        </c:ser>
        <c:dLbls>
          <c:showLegendKey val="0"/>
          <c:showVal val="0"/>
          <c:showCatName val="0"/>
          <c:showSerName val="0"/>
          <c:showPercent val="0"/>
          <c:showBubbleSize val="0"/>
        </c:dLbls>
        <c:gapWidth val="37"/>
        <c:axId val="100688640"/>
        <c:axId val="100690560"/>
      </c:barChart>
      <c:lineChart>
        <c:grouping val="standard"/>
        <c:varyColors val="0"/>
        <c:ser>
          <c:idx val="0"/>
          <c:order val="0"/>
          <c:tx>
            <c:strRef>
              <c:f>'Trh práce 3'!$C$8</c:f>
              <c:strCache>
                <c:ptCount val="1"/>
                <c:pt idx="0">
                  <c:v>Průměrná mzda celkem (nominálně)</c:v>
                </c:pt>
              </c:strCache>
            </c:strRef>
          </c:tx>
          <c:spPr>
            <a:ln w="19050">
              <a:solidFill>
                <a:schemeClr val="tx1">
                  <a:lumMod val="95000"/>
                  <a:lumOff val="5000"/>
                </a:schemeClr>
              </a:solidFill>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3'!$C$9:$C$47</c:f>
              <c:numCache>
                <c:formatCode>0.0</c:formatCode>
                <c:ptCount val="39"/>
                <c:pt idx="0">
                  <c:v>2.7999999999999972</c:v>
                </c:pt>
                <c:pt idx="1">
                  <c:v>3.0999999999999943</c:v>
                </c:pt>
                <c:pt idx="2">
                  <c:v>2.2000000000000028</c:v>
                </c:pt>
                <c:pt idx="3">
                  <c:v>0.70000000000000284</c:v>
                </c:pt>
                <c:pt idx="4">
                  <c:v>2.7999999999999972</c:v>
                </c:pt>
                <c:pt idx="5">
                  <c:v>2.5999999999999943</c:v>
                </c:pt>
                <c:pt idx="6">
                  <c:v>2.0999999999999943</c:v>
                </c:pt>
                <c:pt idx="7">
                  <c:v>2.4000000000000057</c:v>
                </c:pt>
                <c:pt idx="8">
                  <c:v>3.2000000000000028</c:v>
                </c:pt>
                <c:pt idx="9">
                  <c:v>2.0999999999999943</c:v>
                </c:pt>
                <c:pt idx="10">
                  <c:v>1.4000000000000057</c:v>
                </c:pt>
                <c:pt idx="11">
                  <c:v>3.2000000000000028</c:v>
                </c:pt>
                <c:pt idx="12">
                  <c:v>-0.59999999999999432</c:v>
                </c:pt>
                <c:pt idx="13">
                  <c:v>1</c:v>
                </c:pt>
                <c:pt idx="14">
                  <c:v>1.2000000000000028</c:v>
                </c:pt>
                <c:pt idx="15">
                  <c:v>-2</c:v>
                </c:pt>
                <c:pt idx="16">
                  <c:v>3.9000000000000057</c:v>
                </c:pt>
                <c:pt idx="17">
                  <c:v>2.7999999999999972</c:v>
                </c:pt>
                <c:pt idx="18">
                  <c:v>2.2000000000000028</c:v>
                </c:pt>
                <c:pt idx="19">
                  <c:v>2.7999999999999972</c:v>
                </c:pt>
                <c:pt idx="20">
                  <c:v>2.2999999999999972</c:v>
                </c:pt>
                <c:pt idx="21">
                  <c:v>3.2999999999999972</c:v>
                </c:pt>
                <c:pt idx="22">
                  <c:v>3.5</c:v>
                </c:pt>
                <c:pt idx="23">
                  <c:v>3.7000000000000028</c:v>
                </c:pt>
                <c:pt idx="24">
                  <c:v>4.7000000000000028</c:v>
                </c:pt>
                <c:pt idx="25">
                  <c:v>4</c:v>
                </c:pt>
                <c:pt idx="26">
                  <c:v>4.7000000000000028</c:v>
                </c:pt>
                <c:pt idx="27">
                  <c:v>4.4000000000000057</c:v>
                </c:pt>
                <c:pt idx="28">
                  <c:v>5.0999999999999943</c:v>
                </c:pt>
                <c:pt idx="29">
                  <c:v>7.2000000000000028</c:v>
                </c:pt>
                <c:pt idx="30">
                  <c:v>6.7000000000000028</c:v>
                </c:pt>
                <c:pt idx="31">
                  <c:v>7.7999999999999972</c:v>
                </c:pt>
                <c:pt idx="32">
                  <c:v>7.7999999999999972</c:v>
                </c:pt>
                <c:pt idx="33">
                  <c:v>8.0999999999999943</c:v>
                </c:pt>
                <c:pt idx="34">
                  <c:v>7.9000000000000057</c:v>
                </c:pt>
                <c:pt idx="35">
                  <c:v>6.5</c:v>
                </c:pt>
                <c:pt idx="36">
                  <c:v>7.4000000000000057</c:v>
                </c:pt>
                <c:pt idx="37">
                  <c:v>7.2000000000000028</c:v>
                </c:pt>
                <c:pt idx="38">
                  <c:v>6.9000000000000057</c:v>
                </c:pt>
              </c:numCache>
            </c:numRef>
          </c:val>
          <c:smooth val="0"/>
          <c:extLst>
            <c:ext xmlns:c16="http://schemas.microsoft.com/office/drawing/2014/chart" uri="{C3380CC4-5D6E-409C-BE32-E72D297353CC}">
              <c16:uniqueId val="{00000001-C0AB-4AFF-A2C2-CA658FEC23D9}"/>
            </c:ext>
          </c:extLst>
        </c:ser>
        <c:ser>
          <c:idx val="5"/>
          <c:order val="2"/>
          <c:tx>
            <c:strRef>
              <c:f>'Trh práce 3'!$E$8</c:f>
              <c:strCache>
                <c:ptCount val="1"/>
                <c:pt idx="0">
                  <c:v>Prům. mzda ve zprac. průmyslu (nomin.)</c:v>
                </c:pt>
              </c:strCache>
            </c:strRef>
          </c:tx>
          <c:spPr>
            <a:ln w="15875">
              <a:prstDash val="sysDash"/>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3'!$E$9:$E$47</c:f>
              <c:numCache>
                <c:formatCode>0.0</c:formatCode>
                <c:ptCount val="39"/>
                <c:pt idx="0">
                  <c:v>5.5741522340270677</c:v>
                </c:pt>
                <c:pt idx="1">
                  <c:v>4.6596136154553705</c:v>
                </c:pt>
                <c:pt idx="2">
                  <c:v>3.4155684253727827</c:v>
                </c:pt>
                <c:pt idx="3">
                  <c:v>4.1331027793007422</c:v>
                </c:pt>
                <c:pt idx="4">
                  <c:v>4.0529363110008347</c:v>
                </c:pt>
                <c:pt idx="5">
                  <c:v>4.5092954775194301</c:v>
                </c:pt>
                <c:pt idx="6">
                  <c:v>3.2013405062174769</c:v>
                </c:pt>
                <c:pt idx="7">
                  <c:v>2.3814345308006892</c:v>
                </c:pt>
                <c:pt idx="8">
                  <c:v>3.8288288288288186</c:v>
                </c:pt>
                <c:pt idx="9">
                  <c:v>3.0152655704613238</c:v>
                </c:pt>
                <c:pt idx="10">
                  <c:v>1.9056571526234762</c:v>
                </c:pt>
                <c:pt idx="11">
                  <c:v>2.9589778076664572</c:v>
                </c:pt>
                <c:pt idx="12">
                  <c:v>0.506146059291396</c:v>
                </c:pt>
                <c:pt idx="13">
                  <c:v>1.9962442847811843</c:v>
                </c:pt>
                <c:pt idx="14">
                  <c:v>2.259958071278831</c:v>
                </c:pt>
                <c:pt idx="15">
                  <c:v>0.53021861912630186</c:v>
                </c:pt>
                <c:pt idx="16">
                  <c:v>4.7947524333474405</c:v>
                </c:pt>
                <c:pt idx="17">
                  <c:v>3.366019611767058</c:v>
                </c:pt>
                <c:pt idx="18">
                  <c:v>2.8824470047972568</c:v>
                </c:pt>
                <c:pt idx="19">
                  <c:v>3.6690235046818316</c:v>
                </c:pt>
                <c:pt idx="20">
                  <c:v>1.9747203489076384</c:v>
                </c:pt>
                <c:pt idx="21">
                  <c:v>3.0821652598156817</c:v>
                </c:pt>
                <c:pt idx="22">
                  <c:v>3.263988522238165</c:v>
                </c:pt>
                <c:pt idx="23">
                  <c:v>3.2258064516128968</c:v>
                </c:pt>
                <c:pt idx="24">
                  <c:v>4.9619832092507465</c:v>
                </c:pt>
                <c:pt idx="25">
                  <c:v>4.2070468033956985</c:v>
                </c:pt>
                <c:pt idx="26">
                  <c:v>4.939986878159857</c:v>
                </c:pt>
                <c:pt idx="27">
                  <c:v>4.4500000000000028</c:v>
                </c:pt>
                <c:pt idx="28">
                  <c:v>5.3386153555932765</c:v>
                </c:pt>
                <c:pt idx="29">
                  <c:v>8.1825391103741651</c:v>
                </c:pt>
                <c:pt idx="30">
                  <c:v>6.9545070059946283</c:v>
                </c:pt>
                <c:pt idx="31">
                  <c:v>6.9958284893660618</c:v>
                </c:pt>
                <c:pt idx="32">
                  <c:v>7.0128939828080235</c:v>
                </c:pt>
                <c:pt idx="33">
                  <c:v>7.5503132080501132</c:v>
                </c:pt>
                <c:pt idx="34">
                  <c:v>6.6914242486761424</c:v>
                </c:pt>
                <c:pt idx="35">
                  <c:v>7.0241595295922394</c:v>
                </c:pt>
                <c:pt idx="36">
                  <c:v>6.5767454314211022</c:v>
                </c:pt>
                <c:pt idx="37">
                  <c:v>6.5059793047896477</c:v>
                </c:pt>
                <c:pt idx="38">
                  <c:v>6.0880495036740996</c:v>
                </c:pt>
              </c:numCache>
            </c:numRef>
          </c:val>
          <c:smooth val="0"/>
          <c:extLst>
            <c:ext xmlns:c16="http://schemas.microsoft.com/office/drawing/2014/chart" uri="{C3380CC4-5D6E-409C-BE32-E72D297353CC}">
              <c16:uniqueId val="{00000002-C0AB-4AFF-A2C2-CA658FEC23D9}"/>
            </c:ext>
          </c:extLst>
        </c:ser>
        <c:ser>
          <c:idx val="1"/>
          <c:order val="3"/>
          <c:tx>
            <c:strRef>
              <c:f>'Trh práce 3'!$F$8</c:f>
              <c:strCache>
                <c:ptCount val="1"/>
                <c:pt idx="0">
                  <c:v>Prům. mzda v obchodu (nominálně)</c:v>
                </c:pt>
              </c:strCache>
            </c:strRef>
          </c:tx>
          <c:spPr>
            <a:ln w="15875">
              <a:solidFill>
                <a:schemeClr val="accent1"/>
              </a:solidFill>
              <a:prstDash val="sysDash"/>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3'!$F$9:$F$47</c:f>
              <c:numCache>
                <c:formatCode>0.0</c:formatCode>
                <c:ptCount val="39"/>
                <c:pt idx="0">
                  <c:v>2.4757068216221541</c:v>
                </c:pt>
                <c:pt idx="1">
                  <c:v>3.7727708533077617</c:v>
                </c:pt>
                <c:pt idx="2">
                  <c:v>2.8297025064417909</c:v>
                </c:pt>
                <c:pt idx="3">
                  <c:v>3.460238001141704</c:v>
                </c:pt>
                <c:pt idx="4">
                  <c:v>3.2593157342990509</c:v>
                </c:pt>
                <c:pt idx="5">
                  <c:v>3.7187601053263677</c:v>
                </c:pt>
                <c:pt idx="6">
                  <c:v>2.6743815207982209</c:v>
                </c:pt>
                <c:pt idx="7">
                  <c:v>4.3291880650227199</c:v>
                </c:pt>
                <c:pt idx="8">
                  <c:v>4.0793724042454897</c:v>
                </c:pt>
                <c:pt idx="9">
                  <c:v>0.74380901478710371</c:v>
                </c:pt>
                <c:pt idx="10">
                  <c:v>0.80315938942136711</c:v>
                </c:pt>
                <c:pt idx="11">
                  <c:v>3.3521825800414859</c:v>
                </c:pt>
                <c:pt idx="12">
                  <c:v>-0.36357187195176266</c:v>
                </c:pt>
                <c:pt idx="13">
                  <c:v>0.83115964454663072</c:v>
                </c:pt>
                <c:pt idx="14">
                  <c:v>1.2941849716071658</c:v>
                </c:pt>
                <c:pt idx="15">
                  <c:v>-4.6290100373942096</c:v>
                </c:pt>
                <c:pt idx="16">
                  <c:v>3.4576361694553128</c:v>
                </c:pt>
                <c:pt idx="17">
                  <c:v>4.1785416758012985</c:v>
                </c:pt>
                <c:pt idx="18">
                  <c:v>2.8899222111164136</c:v>
                </c:pt>
                <c:pt idx="19">
                  <c:v>2.761153989021409</c:v>
                </c:pt>
                <c:pt idx="20">
                  <c:v>3.1055099144049194</c:v>
                </c:pt>
                <c:pt idx="21">
                  <c:v>3.9141414141414117</c:v>
                </c:pt>
                <c:pt idx="22">
                  <c:v>3.949146815340427</c:v>
                </c:pt>
                <c:pt idx="23">
                  <c:v>5.7916298497871423</c:v>
                </c:pt>
                <c:pt idx="24">
                  <c:v>5.6443202202661524</c:v>
                </c:pt>
                <c:pt idx="25">
                  <c:v>3.9570676387201189</c:v>
                </c:pt>
                <c:pt idx="26">
                  <c:v>4.9977652269310511</c:v>
                </c:pt>
                <c:pt idx="27">
                  <c:v>4.4950645406226215</c:v>
                </c:pt>
                <c:pt idx="28">
                  <c:v>5.6231243089559229</c:v>
                </c:pt>
                <c:pt idx="29">
                  <c:v>7.9284684614485457</c:v>
                </c:pt>
                <c:pt idx="30">
                  <c:v>7.693200727526019</c:v>
                </c:pt>
                <c:pt idx="31">
                  <c:v>8.3926754832146457</c:v>
                </c:pt>
                <c:pt idx="32">
                  <c:v>7.2416629280693883</c:v>
                </c:pt>
                <c:pt idx="33">
                  <c:v>6.9272976680384062</c:v>
                </c:pt>
                <c:pt idx="34">
                  <c:v>6.7016421718351324</c:v>
                </c:pt>
                <c:pt idx="35">
                  <c:v>6.4389622578266312</c:v>
                </c:pt>
                <c:pt idx="36">
                  <c:v>8.2133519260937788</c:v>
                </c:pt>
                <c:pt idx="37">
                  <c:v>5.8607069308936275</c:v>
                </c:pt>
                <c:pt idx="38">
                  <c:v>6.7623088839496148</c:v>
                </c:pt>
              </c:numCache>
            </c:numRef>
          </c:val>
          <c:smooth val="0"/>
          <c:extLst>
            <c:ext xmlns:c16="http://schemas.microsoft.com/office/drawing/2014/chart" uri="{C3380CC4-5D6E-409C-BE32-E72D297353CC}">
              <c16:uniqueId val="{00000003-C0AB-4AFF-A2C2-CA658FEC23D9}"/>
            </c:ext>
          </c:extLst>
        </c:ser>
        <c:ser>
          <c:idx val="2"/>
          <c:order val="4"/>
          <c:tx>
            <c:strRef>
              <c:f>'Trh práce 3'!$G$8</c:f>
              <c:strCache>
                <c:ptCount val="1"/>
                <c:pt idx="0">
                  <c:v>Prům. mzda ve veř. službách (nomin.)*</c:v>
                </c:pt>
              </c:strCache>
            </c:strRef>
          </c:tx>
          <c:spPr>
            <a:ln w="15875">
              <a:prstDash val="sysDash"/>
            </a:ln>
          </c:spPr>
          <c:marker>
            <c:symbol val="none"/>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3'!$G$9:$G$47</c:f>
              <c:numCache>
                <c:formatCode>0.0</c:formatCode>
                <c:ptCount val="39"/>
                <c:pt idx="0">
                  <c:v>4.1711124485526927</c:v>
                </c:pt>
                <c:pt idx="1">
                  <c:v>1.6767766823809593</c:v>
                </c:pt>
                <c:pt idx="2">
                  <c:v>-0.43902053467353946</c:v>
                </c:pt>
                <c:pt idx="3">
                  <c:v>-3.6166135148511689</c:v>
                </c:pt>
                <c:pt idx="4">
                  <c:v>1.2329962882450228E-3</c:v>
                </c:pt>
                <c:pt idx="5">
                  <c:v>1.1328852086516361</c:v>
                </c:pt>
                <c:pt idx="6">
                  <c:v>2.397948860924628</c:v>
                </c:pt>
                <c:pt idx="7">
                  <c:v>3.139137288107821</c:v>
                </c:pt>
                <c:pt idx="8">
                  <c:v>3.317698985560027</c:v>
                </c:pt>
                <c:pt idx="9">
                  <c:v>1.8126282295065337</c:v>
                </c:pt>
                <c:pt idx="10">
                  <c:v>2.043381387387051</c:v>
                </c:pt>
                <c:pt idx="11">
                  <c:v>1.2181683242264376</c:v>
                </c:pt>
                <c:pt idx="12">
                  <c:v>2.3538775240305843E-2</c:v>
                </c:pt>
                <c:pt idx="13">
                  <c:v>1.5581583268922845</c:v>
                </c:pt>
                <c:pt idx="14">
                  <c:v>0.6075912505151323</c:v>
                </c:pt>
                <c:pt idx="15">
                  <c:v>0.11001449422403142</c:v>
                </c:pt>
                <c:pt idx="16">
                  <c:v>2.269026119165368</c:v>
                </c:pt>
                <c:pt idx="17">
                  <c:v>1.7831306827168456</c:v>
                </c:pt>
                <c:pt idx="18">
                  <c:v>1.9833555108015588</c:v>
                </c:pt>
                <c:pt idx="19">
                  <c:v>4.0071119221970513</c:v>
                </c:pt>
                <c:pt idx="20">
                  <c:v>3.2530785072835906</c:v>
                </c:pt>
                <c:pt idx="21">
                  <c:v>4.2345225255887042</c:v>
                </c:pt>
                <c:pt idx="22">
                  <c:v>3.7826123610902629</c:v>
                </c:pt>
                <c:pt idx="23">
                  <c:v>3.6520863050351235</c:v>
                </c:pt>
                <c:pt idx="24">
                  <c:v>4.5612595293778977</c:v>
                </c:pt>
                <c:pt idx="25">
                  <c:v>3.7795053104986027</c:v>
                </c:pt>
                <c:pt idx="26">
                  <c:v>4.8333320772190307</c:v>
                </c:pt>
                <c:pt idx="27">
                  <c:v>6.1391055152858494</c:v>
                </c:pt>
                <c:pt idx="28">
                  <c:v>5.4601382386938617</c:v>
                </c:pt>
                <c:pt idx="29">
                  <c:v>7.3051156068769734</c:v>
                </c:pt>
                <c:pt idx="30">
                  <c:v>7.9977324017314544</c:v>
                </c:pt>
                <c:pt idx="31">
                  <c:v>10.560301374473843</c:v>
                </c:pt>
                <c:pt idx="32">
                  <c:v>11.711321801907827</c:v>
                </c:pt>
                <c:pt idx="33">
                  <c:v>11.517964430852357</c:v>
                </c:pt>
                <c:pt idx="34">
                  <c:v>11.054338232306719</c:v>
                </c:pt>
                <c:pt idx="35">
                  <c:v>5.7087521833103789</c:v>
                </c:pt>
                <c:pt idx="36">
                  <c:v>9.0677032634649972</c:v>
                </c:pt>
                <c:pt idx="37">
                  <c:v>8.8766846053263162</c:v>
                </c:pt>
                <c:pt idx="38">
                  <c:v>8.0053523240291966</c:v>
                </c:pt>
              </c:numCache>
            </c:numRef>
          </c:val>
          <c:smooth val="0"/>
          <c:extLst>
            <c:ext xmlns:c16="http://schemas.microsoft.com/office/drawing/2014/chart" uri="{C3380CC4-5D6E-409C-BE32-E72D297353CC}">
              <c16:uniqueId val="{00000004-C0AB-4AFF-A2C2-CA658FEC23D9}"/>
            </c:ext>
          </c:extLst>
        </c:ser>
        <c:ser>
          <c:idx val="3"/>
          <c:order val="5"/>
          <c:tx>
            <c:strRef>
              <c:f>'Trh práce 3'!$H$8</c:f>
              <c:strCache>
                <c:ptCount val="1"/>
                <c:pt idx="0">
                  <c:v>Produktivita práce v NH (reálně)**</c:v>
                </c:pt>
              </c:strCache>
            </c:strRef>
          </c:tx>
          <c:spPr>
            <a:ln w="19050">
              <a:noFill/>
            </a:ln>
          </c:spPr>
          <c:marker>
            <c:symbol val="diamond"/>
            <c:size val="5"/>
            <c:spPr>
              <a:solidFill>
                <a:srgbClr val="F6F000"/>
              </a:solidFill>
              <a:ln w="6350">
                <a:solidFill>
                  <a:schemeClr val="bg1">
                    <a:lumMod val="50000"/>
                  </a:schemeClr>
                </a:solidFill>
              </a:ln>
            </c:spPr>
          </c:marker>
          <c:cat>
            <c:multiLvlStrRef>
              <c:f>'Trh práce 3'!$A$9:$B$47</c:f>
              <c:multiLvlStrCache>
                <c:ptCount val="39"/>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pt idx="27">
                    <c:v>4</c:v>
                  </c:pt>
                  <c:pt idx="28">
                    <c:v>1</c:v>
                  </c:pt>
                  <c:pt idx="29">
                    <c:v>2</c:v>
                  </c:pt>
                  <c:pt idx="30">
                    <c:v>3</c:v>
                  </c:pt>
                  <c:pt idx="31">
                    <c:v>4</c:v>
                  </c:pt>
                  <c:pt idx="32">
                    <c:v>1</c:v>
                  </c:pt>
                  <c:pt idx="33">
                    <c:v>2</c:v>
                  </c:pt>
                  <c:pt idx="34">
                    <c:v>3</c:v>
                  </c:pt>
                  <c:pt idx="35">
                    <c:v>4</c:v>
                  </c:pt>
                  <c:pt idx="36">
                    <c:v>1</c:v>
                  </c:pt>
                  <c:pt idx="37">
                    <c:v>2</c:v>
                  </c:pt>
                  <c:pt idx="38">
                    <c:v>3</c:v>
                  </c:pt>
                </c:lvl>
                <c:lvl>
                  <c:pt idx="0">
                    <c:v>2010</c:v>
                  </c:pt>
                  <c:pt idx="4">
                    <c:v>2011</c:v>
                  </c:pt>
                  <c:pt idx="8">
                    <c:v>2012</c:v>
                  </c:pt>
                  <c:pt idx="12">
                    <c:v>2013</c:v>
                  </c:pt>
                  <c:pt idx="16">
                    <c:v>2014</c:v>
                  </c:pt>
                  <c:pt idx="20">
                    <c:v>2015</c:v>
                  </c:pt>
                  <c:pt idx="24">
                    <c:v>2016</c:v>
                  </c:pt>
                  <c:pt idx="28">
                    <c:v>2017</c:v>
                  </c:pt>
                  <c:pt idx="32">
                    <c:v>2018</c:v>
                  </c:pt>
                  <c:pt idx="36">
                    <c:v>2019</c:v>
                  </c:pt>
                </c:lvl>
              </c:multiLvlStrCache>
            </c:multiLvlStrRef>
          </c:cat>
          <c:val>
            <c:numRef>
              <c:f>'Trh práce 3'!$H$9:$H$47</c:f>
              <c:numCache>
                <c:formatCode>0.0</c:formatCode>
                <c:ptCount val="39"/>
                <c:pt idx="0">
                  <c:v>3.5332846838865208</c:v>
                </c:pt>
                <c:pt idx="1">
                  <c:v>4.425122650740704</c:v>
                </c:pt>
                <c:pt idx="2">
                  <c:v>2.3152819998793319</c:v>
                </c:pt>
                <c:pt idx="3">
                  <c:v>2.9717863026053948</c:v>
                </c:pt>
                <c:pt idx="4">
                  <c:v>2.9527260280244576</c:v>
                </c:pt>
                <c:pt idx="5">
                  <c:v>2.0923191727528945</c:v>
                </c:pt>
                <c:pt idx="6">
                  <c:v>1.8080251400873806</c:v>
                </c:pt>
                <c:pt idx="7">
                  <c:v>1.5019620723850409</c:v>
                </c:pt>
                <c:pt idx="8">
                  <c:v>0.41537995919813397</c:v>
                </c:pt>
                <c:pt idx="9">
                  <c:v>-1.2819231607881107</c:v>
                </c:pt>
                <c:pt idx="10">
                  <c:v>-1.8249350322319771</c:v>
                </c:pt>
                <c:pt idx="11">
                  <c:v>-2.0588258996494346</c:v>
                </c:pt>
                <c:pt idx="12">
                  <c:v>-2.8802810421720295</c:v>
                </c:pt>
                <c:pt idx="13">
                  <c:v>-1.8279480046633836</c:v>
                </c:pt>
                <c:pt idx="14">
                  <c:v>0.4046193699375209</c:v>
                </c:pt>
                <c:pt idx="15">
                  <c:v>0.95515229453815209</c:v>
                </c:pt>
                <c:pt idx="16">
                  <c:v>1.7448585072078089</c:v>
                </c:pt>
                <c:pt idx="17">
                  <c:v>2.7515963261383547</c:v>
                </c:pt>
                <c:pt idx="18">
                  <c:v>3.0294730201186439</c:v>
                </c:pt>
                <c:pt idx="19">
                  <c:v>1.0840279704352724</c:v>
                </c:pt>
                <c:pt idx="20">
                  <c:v>3.7518410336967918</c:v>
                </c:pt>
                <c:pt idx="21">
                  <c:v>4.1202609165826658</c:v>
                </c:pt>
                <c:pt idx="22">
                  <c:v>3.76028698995718</c:v>
                </c:pt>
                <c:pt idx="23">
                  <c:v>3.6745015563024737</c:v>
                </c:pt>
                <c:pt idx="24">
                  <c:v>1.4752745888902723</c:v>
                </c:pt>
                <c:pt idx="25">
                  <c:v>2.0687313721092977</c:v>
                </c:pt>
                <c:pt idx="26">
                  <c:v>6.7689948363209851E-2</c:v>
                </c:pt>
                <c:pt idx="27">
                  <c:v>-0.12588932224844029</c:v>
                </c:pt>
                <c:pt idx="28">
                  <c:v>2.1906602546173986</c:v>
                </c:pt>
                <c:pt idx="29">
                  <c:v>2.4032448321291326</c:v>
                </c:pt>
                <c:pt idx="30">
                  <c:v>2.7730189049163272</c:v>
                </c:pt>
                <c:pt idx="31">
                  <c:v>3.598660449921212</c:v>
                </c:pt>
                <c:pt idx="32">
                  <c:v>1.9711231502793822</c:v>
                </c:pt>
                <c:pt idx="33">
                  <c:v>1.0416773737980378</c:v>
                </c:pt>
                <c:pt idx="34">
                  <c:v>1.5570017997824692</c:v>
                </c:pt>
                <c:pt idx="35">
                  <c:v>1.8257488602716734</c:v>
                </c:pt>
                <c:pt idx="36">
                  <c:v>1.3010770650481334</c:v>
                </c:pt>
                <c:pt idx="37">
                  <c:v>1.5795252864131442</c:v>
                </c:pt>
                <c:pt idx="38">
                  <c:v>2.7457338806420495</c:v>
                </c:pt>
              </c:numCache>
            </c:numRef>
          </c:val>
          <c:smooth val="0"/>
          <c:extLst>
            <c:ext xmlns:c16="http://schemas.microsoft.com/office/drawing/2014/chart" uri="{C3380CC4-5D6E-409C-BE32-E72D297353CC}">
              <c16:uniqueId val="{00000005-C0AB-4AFF-A2C2-CA658FEC23D9}"/>
            </c:ext>
          </c:extLst>
        </c:ser>
        <c:dLbls>
          <c:showLegendKey val="0"/>
          <c:showVal val="0"/>
          <c:showCatName val="0"/>
          <c:showSerName val="0"/>
          <c:showPercent val="0"/>
          <c:showBubbleSize val="0"/>
        </c:dLbls>
        <c:marker val="1"/>
        <c:smooth val="0"/>
        <c:axId val="100688640"/>
        <c:axId val="100690560"/>
      </c:lineChart>
      <c:catAx>
        <c:axId val="100688640"/>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00690560"/>
        <c:crosses val="autoZero"/>
        <c:auto val="1"/>
        <c:lblAlgn val="ctr"/>
        <c:lblOffset val="0"/>
        <c:tickMarkSkip val="4"/>
        <c:noMultiLvlLbl val="0"/>
      </c:catAx>
      <c:valAx>
        <c:axId val="100690560"/>
        <c:scaling>
          <c:orientation val="minMax"/>
          <c:max val="12"/>
          <c:min val="-5"/>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00688640"/>
        <c:crosses val="autoZero"/>
        <c:crossBetween val="between"/>
        <c:majorUnit val="1"/>
      </c:valAx>
      <c:spPr>
        <a:ln>
          <a:solidFill>
            <a:schemeClr val="tx1"/>
          </a:solidFill>
        </a:ln>
      </c:spPr>
    </c:plotArea>
    <c:legend>
      <c:legendPos val="b"/>
      <c:layout>
        <c:manualLayout>
          <c:xMode val="edge"/>
          <c:yMode val="edge"/>
          <c:x val="3.1246167703413017E-2"/>
          <c:y val="0.87578174603174608"/>
          <c:w val="0.95532757942632895"/>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E8FA0-B8DE-4235-A29F-98D12DE0E1F4}">
  <ds:schemaRefs>
    <ds:schemaRef ds:uri="http://schemas.openxmlformats.org/officeDocument/2006/bibliography"/>
  </ds:schemaRefs>
</ds:datastoreItem>
</file>

<file path=customXml/itemProps2.xml><?xml version="1.0" encoding="utf-8"?>
<ds:datastoreItem xmlns:ds="http://schemas.openxmlformats.org/officeDocument/2006/customXml" ds:itemID="{06F3C461-4D6A-47AF-9C96-1D97C1852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46</TotalTime>
  <Pages>1</Pages>
  <Words>1727</Words>
  <Characters>10192</Characters>
  <Application>Microsoft Office Word</Application>
  <DocSecurity>0</DocSecurity>
  <Lines>84</Lines>
  <Paragraphs>23</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11896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14</cp:revision>
  <cp:lastPrinted>2019-04-08T10:52:00Z</cp:lastPrinted>
  <dcterms:created xsi:type="dcterms:W3CDTF">2019-12-13T09:19:00Z</dcterms:created>
  <dcterms:modified xsi:type="dcterms:W3CDTF">2019-12-13T10:24:00Z</dcterms:modified>
</cp:coreProperties>
</file>