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F8DA" w14:textId="77777777" w:rsidR="006E761A" w:rsidRPr="009110F7" w:rsidRDefault="006E761A" w:rsidP="006E761A">
      <w:pPr>
        <w:pStyle w:val="Nadpis11"/>
        <w:rPr>
          <w:sz w:val="2"/>
          <w:szCs w:val="2"/>
        </w:rPr>
      </w:pPr>
      <w:bookmarkStart w:id="0" w:name="_Toc19090676"/>
      <w:bookmarkStart w:id="1" w:name="_Toc26865018"/>
    </w:p>
    <w:bookmarkEnd w:id="0"/>
    <w:p w14:paraId="1C649B4E" w14:textId="77777777" w:rsidR="00AA4790" w:rsidRPr="009110F7" w:rsidRDefault="00AA4790" w:rsidP="00AA4790">
      <w:pPr>
        <w:pStyle w:val="Nadpis11"/>
        <w:rPr>
          <w:sz w:val="2"/>
          <w:szCs w:val="2"/>
        </w:rPr>
      </w:pPr>
    </w:p>
    <w:p w14:paraId="0B9398EF" w14:textId="77777777" w:rsidR="00CB4BA9" w:rsidRPr="00A93795" w:rsidRDefault="00CB4BA9" w:rsidP="00CB4BA9">
      <w:pPr>
        <w:pStyle w:val="Nadpis11"/>
      </w:pPr>
      <w:bookmarkStart w:id="2" w:name="_Toc26539341"/>
      <w:bookmarkStart w:id="3" w:name="_Toc26865019"/>
      <w:bookmarkEnd w:id="1"/>
      <w:r w:rsidRPr="00A93795">
        <w:t>4. Vnější vztahy</w:t>
      </w:r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6"/>
        <w:gridCol w:w="219"/>
        <w:gridCol w:w="7654"/>
      </w:tblGrid>
      <w:tr w:rsidR="00CB4BA9" w:rsidRPr="00570464" w14:paraId="7191E483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85EB1BC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Meziroční dynamika exportu ve 3. čtvrtletí zrychlila.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23D559E2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E5EBBF" w14:textId="77777777" w:rsidR="00CB4BA9" w:rsidRPr="00570464" w:rsidRDefault="00CB4BA9" w:rsidP="005810E1">
            <w:pPr>
              <w:spacing w:after="200"/>
              <w:rPr>
                <w:spacing w:val="-4"/>
                <w:highlight w:val="yellow"/>
              </w:rPr>
            </w:pPr>
            <w:r>
              <w:rPr>
                <w:spacing w:val="-4"/>
              </w:rPr>
              <w:t>Celková hodnota vývozu zboží v 1. až 3. čtvrtletí 2019 dosáhla 2 774,6 mld. korun</w:t>
            </w:r>
            <w:r w:rsidRPr="00AF6F98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>. Zvýšení v porovnání se stejným obdobím předchozího roku tak činilo 105,4 mld. korun (3,9 %). Poměrně solidní byla meziroční dynamika v 1. i 2. kvartálu letošního roku (3,7 % a 3,5 %). Ve 3. čtvrtletí ale došlo k posílení meziročního růstu na 4,7 %. Hodnota exportu se tak zvýšila o 40,1 mld. korun na 893,9 mld.</w:t>
            </w:r>
          </w:p>
        </w:tc>
      </w:tr>
      <w:tr w:rsidR="00CB4BA9" w:rsidRPr="00570464" w14:paraId="363BF859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04F86589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Rostl zejména export do zemí Evropské unie.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485BFAA2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BAAE5BB" w14:textId="77777777" w:rsidR="00CB4BA9" w:rsidRPr="00570464" w:rsidRDefault="00CB4BA9" w:rsidP="005810E1">
            <w:pPr>
              <w:spacing w:after="200"/>
              <w:rPr>
                <w:spacing w:val="-4"/>
                <w:highlight w:val="yellow"/>
              </w:rPr>
            </w:pPr>
            <w:r>
              <w:rPr>
                <w:spacing w:val="-4"/>
              </w:rPr>
              <w:t>Teritoriální členění exportu ukazuje, že posílení meziroční dynamiky ve 3. čtvrtletí mělo zdroj zejména v obchodu se zeměmi Evropské unie. Hodnota vývozu do EU se zvýšila o 4,1 % a mimo EU se udrželo poměrně vysoké tempo 8,0 %. Na 4,3 % zrychlil růst vývozu do Německa a o 4,4 % se zvýšil export do Polska. Silně rostl také export do Maďarska (14,9 %) a Španělska (14,7  %). Poměrně solidní byl meziroční přírůstek hodnoty exportu na Slovensko (5,2 %), tempo ale zpomalilo oproti předchozím kvartálům, a stejně rostl i export do Francie. Mírného růstu dosáhl vývoz do Velké Británie (3,3 %). Z ostatních unijních zemí meziročně klesala hodnota vývozu do Itálie (–3,1 %), Nizozemska (–3,4 %, ovlivněno i vysokou srovnávací základnou), Rakouska (–1,4 %) a Švédska (–5,5 %). Vysokou dynamiku exportu do zemí mimo EU podpořil 21,9% růst vývozu do Švýcarska, 11,9% nárůst v případě Číny i silné 9,3% zvýšení vývozu do Ruska (tempo ale bylo slabší než v 1. pololetí). Silný, ale v porovnání s 1. pololetím mírnější byl také meziroční přírůstek exportu do Spojených států (8,6 %).</w:t>
            </w:r>
          </w:p>
        </w:tc>
      </w:tr>
      <w:tr w:rsidR="00CB4BA9" w:rsidRPr="00570464" w14:paraId="2D0B680E" w14:textId="77777777" w:rsidTr="005810E1">
        <w:trPr>
          <w:trHeight w:val="170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5B337C3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Motorová vozidla byla tahounem exportní dynamiky.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376F0DFB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A781D5E" w14:textId="77777777" w:rsidR="00CB4BA9" w:rsidRPr="00570464" w:rsidRDefault="00CB4BA9" w:rsidP="005810E1">
            <w:pPr>
              <w:spacing w:after="200"/>
              <w:rPr>
                <w:spacing w:val="-4"/>
                <w:highlight w:val="yellow"/>
              </w:rPr>
            </w:pPr>
            <w:r>
              <w:rPr>
                <w:spacing w:val="-4"/>
              </w:rPr>
              <w:t>Většina z meziročního nárůstu hodnoty exportu ve 3. čtvrtletí připadla na obchod s motorovými vozidly (32,7 mld. korun, 15,3 %), což lze zčásti vysvětlit i nižší srovnávací základnou. Až daleko za hlavním vývozním artiklem se umístily příspěvky dalších druhů zboží. Významný byl přírůstek exportu strojů a zařízení (+4,4 mld. korun, 4,7 %). Dynamika vývozu ostatních významných artiklů byla méně výrazná – vývoz elektrických zařízení meziročně rostl o 0,7 % (0,5 mld. korun), kovodělných výrobků o 3,2 % (1,7 mld. korun), pryžových a plastových výrobků o 3,6 % (1,7 mld. korun), a chemických látek a přípravků o 3,6 % (1,4 mld. korun). Mimořádně vysoká s ohledem na obvyklou úroveň byla v souvislosti s kůrovcovou kalamitou hodnota vývozu produktů lesnictví a těžby dřeva. Ta ve 3. čtvrtletí vzrostla o 44,0 % (1,5 mld. korun) na 4,8 mld. korun. Vysoká srovnávací základna ovlivnila export počítačů, elektronických a optických přístrojů, který poklesl o 6,0 % (5,7 mld. korun). Hodnota vývozu základních kovů se meziročně snížila o 11,6 % (4,3 mld. korun).</w:t>
            </w:r>
          </w:p>
        </w:tc>
      </w:tr>
      <w:tr w:rsidR="00CB4BA9" w:rsidRPr="00570464" w14:paraId="0081BEDC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29A3B0D0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Dovoz ve 3. čtvrtletí spíše stagnoval…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07C2D93B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91472B7" w14:textId="77777777" w:rsidR="00CB4BA9" w:rsidRPr="00570464" w:rsidRDefault="00CB4BA9" w:rsidP="005810E1">
            <w:pPr>
              <w:rPr>
                <w:spacing w:val="-4"/>
                <w:highlight w:val="yellow"/>
              </w:rPr>
            </w:pPr>
            <w:r>
              <w:rPr>
                <w:spacing w:val="-4"/>
              </w:rPr>
              <w:t>Celková hodnota importu zboží v 1. až 3. kvartálu dosáhla 2 638,1 mld. korun a meziročně narostla o 55,5 mld. korun (2,2 %). Meziroční dynamika dovozu v průběhu roku slábla. Zpomalení bylo výrazné již ve 2. čtvrtletí (ze 4,6 % na 1,2 %) a 3. čtvrtletí tento vývoj potvrdilo. Hodnota dovozu ve 3. kvartálu totiž meziročně vzrostla jen o 6,0 mld. korun (0,7 %) a dosáhla 864,1 mld. korun. Stagnaci vykázal dovoz z EU i ze zemí mimo ni. Mírně rostl dovoz z Německa (2,0 %) a Číny (2,0 %). Naopak posílení dynamiky zaznamenal import z Japonska (8,7 %) a Španělska (7,8 %). Ve výsledku ale převážil silně negativní meziroční vývoj u Ruska (–21,8 %) a Slovenska (–8,8 %).</w:t>
            </w:r>
          </w:p>
        </w:tc>
      </w:tr>
      <w:tr w:rsidR="00CB4BA9" w:rsidRPr="00570464" w14:paraId="2302B161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0C83B260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… avšak I dovoz motorových vozidel ve 3. čtvrtletí nabral dech.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335EC60C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E0900A" w14:textId="77777777" w:rsidR="00CB4BA9" w:rsidRPr="00570464" w:rsidRDefault="00CB4BA9" w:rsidP="005810E1">
            <w:pPr>
              <w:rPr>
                <w:spacing w:val="-4"/>
                <w:highlight w:val="yellow"/>
              </w:rPr>
            </w:pPr>
            <w:r>
              <w:rPr>
                <w:spacing w:val="-4"/>
              </w:rPr>
              <w:t>Podobně jako na straně vývozu meziroční dynamiku importu nejvíce ovlivnila motorová vozidla (meziroční přírůstek 9,4 %, +11,7 mld. korun) a stroje a zařízení (6,1 %, +5,0 mld. korun). Výraznější dopad na dynamiku měly také potravinářské výrobky (7,0 %, +2,6 mld. korun). Ve směru poklesu dovozu působila ropa a zemní plyn (–15,3 %, –5,9 mld. korun), zejména kvůli poklesu cen. Dalšími položkami, kde dovoz klesal, byly základní kovy (</w:t>
            </w:r>
            <w:r>
              <w:rPr>
                <w:spacing w:val="-4"/>
              </w:rPr>
              <w:noBreakHyphen/>
              <w:t xml:space="preserve">7,2 %, </w:t>
            </w:r>
            <w:r>
              <w:rPr>
                <w:spacing w:val="-4"/>
              </w:rPr>
              <w:lastRenderedPageBreak/>
              <w:t>–4,9 mld. korun), počítače, elektronické a optické přístroje (–4,4 %, –4,6 mld. korun) a také koks a rafinované ropné výrobky (–12,5 %, –2,2 mld. korun).</w:t>
            </w:r>
          </w:p>
        </w:tc>
      </w:tr>
      <w:tr w:rsidR="00CB4BA9" w:rsidRPr="00570464" w14:paraId="083F4304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95B9B06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lastRenderedPageBreak/>
              <w:t>Rekordní zvýšení přebytku zahraničního obchodu ve 3. čtvrtletí vylepšilo výsledky celého roku.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0A570548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772554D" w14:textId="77777777" w:rsidR="00CB4BA9" w:rsidRPr="00570464" w:rsidRDefault="00CB4BA9" w:rsidP="005810E1">
            <w:pPr>
              <w:rPr>
                <w:spacing w:val="-4"/>
                <w:highlight w:val="yellow"/>
              </w:rPr>
            </w:pPr>
            <w:r>
              <w:rPr>
                <w:spacing w:val="-4"/>
              </w:rPr>
              <w:t>Bilance zahraničního obchodu se zbožím jasně odráží výše popsaný pozitivní vývoj vývozu v kombinaci se slábnoucí dynamikou importu. Celkový přebytek kumulovaně od počátku roku činil 136,5 mld. korun a meziročně se zvýšil o 49,9 mld. Hlavní úlohu v tom hrál právě 3. kvartál. Kladné saldo totiž dosáhlo 29,8 mld. korun a meziročně narostlo o 34,1 mld. korun (nejvíce v celé dostupné časové řadě). Většina meziročního růstu přebytku ve 3. čtvrtletí připadala na země EU (+25,0 mld. korun). Po více než dvouleté sérii prohlubování negativního salda ale došlo k meziročnímu zmírnění deficitu obchodu také se zeměmi mimo EU (o 11,0 mld. korun). Roli zde hrálo snížení cen ropy a zemního plynu. Výrazné zlepšení bilance tedy zaznamenal obchod s Ruskem (+9,6 mld. korun), Německem (+7,0 mld. korun) a Slovenskem (+8,2 mld. korun). Významnější zhoršení bilance bylo patrné v případě Itálie (–2,1 mld. korun) a Švédska (–1,1 mld. korun).</w:t>
            </w:r>
          </w:p>
        </w:tc>
      </w:tr>
      <w:tr w:rsidR="00CB4BA9" w:rsidRPr="00570464" w14:paraId="3399DB87" w14:textId="77777777" w:rsidTr="005810E1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7DFAB456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  <w:r>
              <w:t>Obchod s motorovými vozidly ke zlepšení bilance přispěl nejvíce.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5E536D0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5748EE0" w14:textId="77777777" w:rsidR="00CB4BA9" w:rsidRPr="00570464" w:rsidRDefault="00CB4BA9" w:rsidP="005810E1">
            <w:pPr>
              <w:rPr>
                <w:spacing w:val="-4"/>
                <w:highlight w:val="yellow"/>
              </w:rPr>
            </w:pPr>
            <w:r>
              <w:rPr>
                <w:spacing w:val="-4"/>
              </w:rPr>
              <w:t>Ve směru meziročního růstu přebytku bilance ve 3. čtvrtletí nejsilněji přispěl obchod s motorovými vozidly (+21,0 mld. korun). Zejména kvůli poklesu cen se výrazně zlepšila bilance obchodu s ropou a zemním plynem (+6,6 mld. korun). Pozitivně působila bilance obchodu s ostatními dopravními prostředky (+3,2 mld. korun), chemickými látkami a přípravky (+2,6 mld. korun), produkty lesnictví a těžby dřeva (+1,6 mld. korun) a kovodělnými výrobky (+1,0 mld. korun). Výraznější zhoršení bilance nastalo u základních farmaceutických výrobků (–1,3 mld. korun) a počítačů, elektronických a optických přístrojů (–1,1 mld. korun).</w:t>
            </w:r>
          </w:p>
        </w:tc>
      </w:tr>
      <w:tr w:rsidR="00CB4BA9" w:rsidRPr="00570464" w14:paraId="1BE542FF" w14:textId="77777777" w:rsidTr="005810E1">
        <w:trPr>
          <w:trHeight w:val="106"/>
        </w:trPr>
        <w:tc>
          <w:tcPr>
            <w:tcW w:w="1801" w:type="dxa"/>
            <w:vMerge w:val="restart"/>
            <w:shd w:val="clear" w:color="auto" w:fill="auto"/>
            <w:tcMar>
              <w:left w:w="0" w:type="dxa"/>
            </w:tcMar>
          </w:tcPr>
          <w:p w14:paraId="30878DB4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</w:p>
        </w:tc>
        <w:tc>
          <w:tcPr>
            <w:tcW w:w="228" w:type="dxa"/>
            <w:vMerge w:val="restart"/>
            <w:shd w:val="clear" w:color="auto" w:fill="auto"/>
            <w:tcMar>
              <w:left w:w="0" w:type="dxa"/>
            </w:tcMar>
          </w:tcPr>
          <w:p w14:paraId="5B540D0D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285A3AF" w14:textId="77777777" w:rsidR="00CB4BA9" w:rsidRPr="00570464" w:rsidRDefault="00CB4BA9" w:rsidP="005810E1">
            <w:pPr>
              <w:spacing w:after="0"/>
              <w:rPr>
                <w:spacing w:val="-4"/>
                <w:szCs w:val="2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Graf č. 10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31BC9">
              <w:rPr>
                <w:b/>
                <w:spacing w:val="-4"/>
                <w:sz w:val="18"/>
                <w:szCs w:val="18"/>
              </w:rPr>
              <w:t>Bilance zahraničního obchodu* ve statistice zahraničního obchodu (</w:t>
            </w:r>
            <w:r>
              <w:rPr>
                <w:b/>
                <w:spacing w:val="-4"/>
                <w:sz w:val="18"/>
                <w:szCs w:val="18"/>
              </w:rPr>
              <w:t>kumulace 1. až 3. čtvrtletí</w:t>
            </w:r>
            <w:r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CB4BA9" w:rsidRPr="00570464" w14:paraId="09836BC9" w14:textId="77777777" w:rsidTr="005810E1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801" w:type="dxa"/>
            <w:vMerge/>
            <w:shd w:val="clear" w:color="auto" w:fill="auto"/>
          </w:tcPr>
          <w:p w14:paraId="454802FC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</w:p>
        </w:tc>
        <w:tc>
          <w:tcPr>
            <w:tcW w:w="228" w:type="dxa"/>
            <w:vMerge/>
            <w:shd w:val="clear" w:color="auto" w:fill="auto"/>
          </w:tcPr>
          <w:p w14:paraId="76A748EC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</w:tcPr>
          <w:p w14:paraId="0AA57B9A" w14:textId="77777777" w:rsidR="00CB4BA9" w:rsidRPr="00570464" w:rsidRDefault="00CB4BA9" w:rsidP="005810E1">
            <w:pPr>
              <w:spacing w:after="0"/>
              <w:rPr>
                <w:spacing w:val="-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A7AC2DC" wp14:editId="12924D43">
                  <wp:extent cx="4771467" cy="3553200"/>
                  <wp:effectExtent l="0" t="0" r="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B4BA9" w:rsidRPr="00570464" w14:paraId="77B6CA45" w14:textId="77777777" w:rsidTr="005810E1">
        <w:trPr>
          <w:trHeight w:val="106"/>
        </w:trPr>
        <w:tc>
          <w:tcPr>
            <w:tcW w:w="1801" w:type="dxa"/>
            <w:vMerge/>
            <w:shd w:val="clear" w:color="auto" w:fill="auto"/>
            <w:tcMar>
              <w:left w:w="0" w:type="dxa"/>
            </w:tcMar>
          </w:tcPr>
          <w:p w14:paraId="11CAB146" w14:textId="77777777" w:rsidR="00CB4BA9" w:rsidRPr="00570464" w:rsidRDefault="00CB4BA9" w:rsidP="005810E1">
            <w:pPr>
              <w:pStyle w:val="Marginlie"/>
              <w:rPr>
                <w:highlight w:val="yellow"/>
              </w:rPr>
            </w:pPr>
          </w:p>
        </w:tc>
        <w:tc>
          <w:tcPr>
            <w:tcW w:w="228" w:type="dxa"/>
            <w:vMerge/>
            <w:shd w:val="clear" w:color="auto" w:fill="auto"/>
            <w:tcMar>
              <w:left w:w="0" w:type="dxa"/>
            </w:tcMar>
          </w:tcPr>
          <w:p w14:paraId="27FF8733" w14:textId="77777777" w:rsidR="00CB4BA9" w:rsidRPr="00570464" w:rsidRDefault="00CB4BA9" w:rsidP="005810E1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0F26EEB" w14:textId="77777777" w:rsidR="00CB4BA9" w:rsidRDefault="00CB4BA9" w:rsidP="005810E1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3F95FA79" w14:textId="77777777" w:rsidR="00CB4BA9" w:rsidRPr="00570464" w:rsidRDefault="00CB4BA9" w:rsidP="005810E1">
            <w:pPr>
              <w:rPr>
                <w:spacing w:val="-4"/>
                <w:highlight w:val="yellow"/>
              </w:rPr>
            </w:pPr>
            <w:r>
              <w:rPr>
                <w:sz w:val="14"/>
                <w:szCs w:val="14"/>
              </w:rPr>
              <w:t>*v národním pojetí</w:t>
            </w:r>
          </w:p>
        </w:tc>
      </w:tr>
      <w:bookmarkEnd w:id="2"/>
    </w:tbl>
    <w:p w14:paraId="5BF30E05" w14:textId="77777777" w:rsidR="00430C96" w:rsidRPr="00570464" w:rsidRDefault="00430C96" w:rsidP="00430C9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</w:p>
    <w:p w14:paraId="02FD10A6" w14:textId="77777777" w:rsidR="002B1619" w:rsidRPr="00570464" w:rsidRDefault="002B1619" w:rsidP="002B1619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  <w:bookmarkStart w:id="4" w:name="_GoBack"/>
      <w:bookmarkEnd w:id="3"/>
      <w:bookmarkEnd w:id="4"/>
    </w:p>
    <w:sectPr w:rsidR="002B1619" w:rsidRPr="00570464" w:rsidSect="00F6499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A2D8F" w16cid:durableId="2195E0BF"/>
  <w16cid:commentId w16cid:paraId="3523D2E1" w16cid:durableId="2195E582"/>
  <w16cid:commentId w16cid:paraId="4A463A0C" w16cid:durableId="2195EAA7"/>
  <w16cid:commentId w16cid:paraId="7AE114DF" w16cid:durableId="2197F4F7"/>
  <w16cid:commentId w16cid:paraId="193E8431" w16cid:durableId="2196655C"/>
  <w16cid:commentId w16cid:paraId="5C5C0950" w16cid:durableId="21988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5BAB" w14:textId="77777777" w:rsidR="005F4CB5" w:rsidRDefault="005F4CB5" w:rsidP="00E71A58">
      <w:r>
        <w:separator/>
      </w:r>
    </w:p>
  </w:endnote>
  <w:endnote w:type="continuationSeparator" w:id="0">
    <w:p w14:paraId="7CDE6AD7" w14:textId="77777777" w:rsidR="005F4CB5" w:rsidRDefault="005F4CB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9C3BD7C" w:rsidR="005810E1" w:rsidRPr="00932443" w:rsidRDefault="005810E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64994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 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5627E18" w:rsidR="005810E1" w:rsidRPr="00932443" w:rsidRDefault="005810E1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až 3. 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64994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00F4" w14:textId="77777777" w:rsidR="005F4CB5" w:rsidRDefault="005F4CB5" w:rsidP="00A21B4D">
      <w:pPr>
        <w:spacing w:after="0"/>
      </w:pPr>
      <w:r>
        <w:separator/>
      </w:r>
    </w:p>
  </w:footnote>
  <w:footnote w:type="continuationSeparator" w:id="0">
    <w:p w14:paraId="63D7E7CA" w14:textId="77777777" w:rsidR="005F4CB5" w:rsidRDefault="005F4CB5" w:rsidP="00E71A58">
      <w:r>
        <w:continuationSeparator/>
      </w:r>
    </w:p>
  </w:footnote>
  <w:footnote w:id="1">
    <w:p w14:paraId="11AAC6EE" w14:textId="77777777" w:rsidR="005810E1" w:rsidRPr="003279A7" w:rsidRDefault="005810E1" w:rsidP="00CB4BA9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cenách</w:t>
      </w:r>
      <w:r>
        <w:rPr>
          <w:sz w:val="16"/>
          <w:szCs w:val="16"/>
        </w:rPr>
        <w:t xml:space="preserve"> </w:t>
      </w:r>
      <w:r w:rsidRPr="003279A7">
        <w:rPr>
          <w:sz w:val="16"/>
          <w:szCs w:val="16"/>
        </w:rPr>
        <w:t>FOB,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v zahraničí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Data jsou platná k</w:t>
      </w:r>
      <w:r>
        <w:rPr>
          <w:sz w:val="16"/>
          <w:szCs w:val="16"/>
        </w:rPr>
        <w:t> 9. 12. 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810E1" w:rsidRDefault="005810E1" w:rsidP="00937AE2">
    <w:pPr>
      <w:pStyle w:val="Zhlav"/>
    </w:pPr>
    <w:r>
      <w:t>Vývoj ekonomiky České republiky</w:t>
    </w:r>
  </w:p>
  <w:p w14:paraId="675E4C41" w14:textId="77777777" w:rsidR="005810E1" w:rsidRPr="006F5416" w:rsidRDefault="005810E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810E1" w:rsidRDefault="005810E1" w:rsidP="00937AE2">
    <w:pPr>
      <w:pStyle w:val="Zhlav"/>
    </w:pPr>
    <w:r>
      <w:t>Vývoj ekonomiky České republiky</w:t>
    </w:r>
  </w:p>
  <w:p w14:paraId="0CDCFD48" w14:textId="77777777" w:rsidR="005810E1" w:rsidRPr="006F5416" w:rsidRDefault="005810E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6D94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B161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3F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A58"/>
    <w:rsid w:val="004331C3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3E8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4CB5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1E9"/>
    <w:rsid w:val="00766460"/>
    <w:rsid w:val="00767062"/>
    <w:rsid w:val="00767777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4155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040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4068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3E0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201A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70C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321D"/>
    <w:rsid w:val="00DB459B"/>
    <w:rsid w:val="00DB47FD"/>
    <w:rsid w:val="00DB5E9A"/>
    <w:rsid w:val="00DB657E"/>
    <w:rsid w:val="00DB7342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0D7D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94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-91.787000000000006</c:v>
                </c:pt>
                <c:pt idx="1">
                  <c:v>-29.033999999999999</c:v>
                </c:pt>
                <c:pt idx="2">
                  <c:v>-22.167000000000002</c:v>
                </c:pt>
                <c:pt idx="3">
                  <c:v>-22.35</c:v>
                </c:pt>
                <c:pt idx="4">
                  <c:v>-86.534999999999997</c:v>
                </c:pt>
                <c:pt idx="5">
                  <c:v>-38.186</c:v>
                </c:pt>
                <c:pt idx="6">
                  <c:v>17.387</c:v>
                </c:pt>
                <c:pt idx="7">
                  <c:v>-96.16</c:v>
                </c:pt>
                <c:pt idx="8">
                  <c:v>43.085000000000001</c:v>
                </c:pt>
                <c:pt idx="9">
                  <c:v>-9.7750000000000004</c:v>
                </c:pt>
                <c:pt idx="10">
                  <c:v>35.652999999999999</c:v>
                </c:pt>
                <c:pt idx="11">
                  <c:v>48.668999999999997</c:v>
                </c:pt>
                <c:pt idx="12">
                  <c:v>321.661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4-4FC3-8F80-609A77F5CEAF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-92.98</c:v>
                </c:pt>
                <c:pt idx="1">
                  <c:v>-31.899000000000001</c:v>
                </c:pt>
                <c:pt idx="2">
                  <c:v>-24.388000000000002</c:v>
                </c:pt>
                <c:pt idx="3">
                  <c:v>-16.094000000000001</c:v>
                </c:pt>
                <c:pt idx="4">
                  <c:v>-84.322999999999993</c:v>
                </c:pt>
                <c:pt idx="5">
                  <c:v>-40.100999999999999</c:v>
                </c:pt>
                <c:pt idx="6">
                  <c:v>17.05</c:v>
                </c:pt>
                <c:pt idx="7">
                  <c:v>-93.691000000000003</c:v>
                </c:pt>
                <c:pt idx="8">
                  <c:v>44.859000000000002</c:v>
                </c:pt>
                <c:pt idx="9">
                  <c:v>-7.4740000000000002</c:v>
                </c:pt>
                <c:pt idx="10">
                  <c:v>34.015999999999998</c:v>
                </c:pt>
                <c:pt idx="11">
                  <c:v>48.43</c:v>
                </c:pt>
                <c:pt idx="12">
                  <c:v>352.80900000000003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C4-4FC3-8F80-609A77F5C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69DF-9ACB-44E5-8F3E-8006AC3AE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1B2AC-1771-4DDC-AA5C-34A6F3EC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46</TotalTime>
  <Pages>1</Pages>
  <Words>866</Words>
  <Characters>5113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5968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14</cp:revision>
  <cp:lastPrinted>2019-04-08T10:52:00Z</cp:lastPrinted>
  <dcterms:created xsi:type="dcterms:W3CDTF">2019-12-13T09:19:00Z</dcterms:created>
  <dcterms:modified xsi:type="dcterms:W3CDTF">2019-12-13T10:22:00Z</dcterms:modified>
</cp:coreProperties>
</file>