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0" w:rsidRPr="00BC131D" w:rsidRDefault="00AF2F40">
      <w:pPr>
        <w:tabs>
          <w:tab w:val="left" w:pos="1"/>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bCs/>
          <w:i/>
          <w:iCs/>
          <w:sz w:val="20"/>
          <w:lang w:val="en-GB"/>
        </w:rPr>
      </w:pPr>
      <w:r w:rsidRPr="00BC131D">
        <w:rPr>
          <w:rFonts w:ascii="Arial" w:hAnsi="Arial" w:cs="Arial"/>
          <w:b/>
          <w:bCs/>
          <w:i/>
          <w:iCs/>
          <w:sz w:val="20"/>
          <w:lang w:val="en-GB"/>
        </w:rPr>
        <w:t>4. LABOUR AND EARNINGS</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A. Employment</w:t>
      </w:r>
      <w:r w:rsidR="001C12C2">
        <w:rPr>
          <w:rFonts w:ascii="Arial" w:hAnsi="Arial" w:cs="Arial"/>
          <w:b/>
          <w:i/>
          <w:iCs/>
          <w:sz w:val="20"/>
          <w:lang w:val="en-GB"/>
        </w:rPr>
        <w:t xml:space="preserve"> and</w:t>
      </w:r>
      <w:r w:rsidRPr="00B85B05">
        <w:rPr>
          <w:rFonts w:ascii="Arial" w:hAnsi="Arial" w:cs="Arial"/>
          <w:b/>
          <w:i/>
          <w:iCs/>
          <w:sz w:val="20"/>
          <w:lang w:val="en-GB"/>
        </w:rPr>
        <w:t xml:space="preserve"> unemployment </w:t>
      </w:r>
    </w:p>
    <w:p w:rsidR="00CF246A" w:rsidRPr="00BC131D" w:rsidRDefault="00CF246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8920A4" w:rsidRPr="00BC131D">
        <w:rPr>
          <w:rFonts w:ascii="Arial" w:hAnsi="Arial" w:cs="Arial"/>
          <w:i/>
          <w:iCs/>
          <w:sz w:val="20"/>
          <w:lang w:val="en-GB"/>
        </w:rPr>
        <w:t>The Czech Statistical Office carrie</w:t>
      </w:r>
      <w:r w:rsidR="002767B0">
        <w:rPr>
          <w:rFonts w:ascii="Arial" w:hAnsi="Arial" w:cs="Arial"/>
          <w:i/>
          <w:iCs/>
          <w:sz w:val="20"/>
          <w:lang w:val="en-GB"/>
        </w:rPr>
        <w:t>s</w:t>
      </w:r>
      <w:r w:rsidR="008920A4" w:rsidRPr="00BC131D">
        <w:rPr>
          <w:rFonts w:ascii="Arial" w:hAnsi="Arial" w:cs="Arial"/>
          <w:i/>
          <w:iCs/>
          <w:sz w:val="20"/>
          <w:lang w:val="en-GB"/>
        </w:rPr>
        <w:t xml:space="preserve"> out </w:t>
      </w:r>
      <w:r w:rsidR="008920A4" w:rsidRPr="00BC131D">
        <w:rPr>
          <w:rFonts w:ascii="Arial" w:hAnsi="Arial" w:cs="Arial"/>
          <w:bCs/>
          <w:i/>
          <w:iCs/>
          <w:sz w:val="20"/>
          <w:lang w:val="en-GB"/>
        </w:rPr>
        <w:t>the</w:t>
      </w:r>
      <w:r w:rsidR="008920A4" w:rsidRPr="00BC131D">
        <w:rPr>
          <w:rFonts w:ascii="Arial" w:hAnsi="Arial" w:cs="Arial"/>
          <w:b/>
          <w:bCs/>
          <w:i/>
          <w:iCs/>
          <w:sz w:val="20"/>
          <w:lang w:val="en-GB"/>
        </w:rPr>
        <w:t xml:space="preserve"> </w:t>
      </w:r>
      <w:r w:rsidRPr="00BC131D">
        <w:rPr>
          <w:rFonts w:ascii="Arial" w:hAnsi="Arial" w:cs="Arial"/>
          <w:b/>
          <w:bCs/>
          <w:i/>
          <w:iCs/>
          <w:sz w:val="20"/>
          <w:lang w:val="en-GB"/>
        </w:rPr>
        <w:t>Labour Force Sample Survey</w:t>
      </w:r>
      <w:r w:rsidRPr="00BC131D">
        <w:rPr>
          <w:rFonts w:ascii="Arial" w:hAnsi="Arial" w:cs="Arial"/>
          <w:i/>
          <w:iCs/>
          <w:sz w:val="20"/>
          <w:lang w:val="en-GB"/>
        </w:rPr>
        <w:t xml:space="preserve"> (LFSS)</w:t>
      </w:r>
      <w:r w:rsidR="008920A4" w:rsidRPr="00BC131D">
        <w:rPr>
          <w:rFonts w:ascii="Arial" w:hAnsi="Arial" w:cs="Arial"/>
          <w:i/>
          <w:iCs/>
          <w:sz w:val="20"/>
          <w:lang w:val="en-GB"/>
        </w:rPr>
        <w:t>, which serves as</w:t>
      </w:r>
      <w:r w:rsidRPr="00BC131D">
        <w:rPr>
          <w:rFonts w:ascii="Arial" w:hAnsi="Arial" w:cs="Arial"/>
          <w:i/>
          <w:iCs/>
          <w:sz w:val="20"/>
          <w:lang w:val="en-GB"/>
        </w:rPr>
        <w:t xml:space="preserve"> a source of information on the labour market</w:t>
      </w:r>
      <w:r w:rsidR="00507C91" w:rsidRPr="00BC131D">
        <w:rPr>
          <w:rFonts w:ascii="Arial" w:hAnsi="Arial" w:cs="Arial"/>
          <w:i/>
          <w:iCs/>
          <w:sz w:val="20"/>
          <w:lang w:val="en-GB"/>
        </w:rPr>
        <w:t xml:space="preserve"> </w:t>
      </w:r>
      <w:r w:rsidR="0082240B" w:rsidRPr="00BC131D">
        <w:rPr>
          <w:rFonts w:ascii="Arial" w:hAnsi="Arial" w:cs="Arial"/>
          <w:i/>
          <w:iCs/>
          <w:sz w:val="20"/>
          <w:lang w:val="en-GB"/>
        </w:rPr>
        <w:t>acquired</w:t>
      </w:r>
      <w:r w:rsidR="002767B0">
        <w:rPr>
          <w:rFonts w:ascii="Arial" w:hAnsi="Arial" w:cs="Arial"/>
          <w:i/>
          <w:iCs/>
          <w:sz w:val="20"/>
          <w:lang w:val="en-GB"/>
        </w:rPr>
        <w:t>,</w:t>
      </w:r>
      <w:r w:rsidR="0082240B" w:rsidRPr="00BC131D">
        <w:rPr>
          <w:rFonts w:ascii="Arial" w:hAnsi="Arial" w:cs="Arial"/>
          <w:i/>
          <w:iCs/>
          <w:sz w:val="20"/>
          <w:lang w:val="en-GB"/>
        </w:rPr>
        <w:t xml:space="preserve"> by means of </w:t>
      </w:r>
      <w:r w:rsidR="008920A4" w:rsidRPr="00BC131D">
        <w:rPr>
          <w:rFonts w:ascii="Arial" w:hAnsi="Arial" w:cs="Arial"/>
          <w:i/>
          <w:iCs/>
          <w:sz w:val="20"/>
          <w:lang w:val="en-GB"/>
        </w:rPr>
        <w:t xml:space="preserve">personal </w:t>
      </w:r>
      <w:r w:rsidR="00AC5F20" w:rsidRPr="00BC131D">
        <w:rPr>
          <w:rFonts w:ascii="Arial" w:hAnsi="Arial" w:cs="Arial"/>
          <w:i/>
          <w:iCs/>
          <w:sz w:val="20"/>
          <w:lang w:val="en-GB"/>
        </w:rPr>
        <w:t xml:space="preserve">interviews </w:t>
      </w:r>
      <w:r w:rsidR="0082240B" w:rsidRPr="00BC131D">
        <w:rPr>
          <w:rFonts w:ascii="Arial" w:hAnsi="Arial" w:cs="Arial"/>
          <w:i/>
          <w:iCs/>
          <w:sz w:val="20"/>
          <w:lang w:val="en-GB"/>
        </w:rPr>
        <w:t>in households of respondents. The methodology of indicators measured by the LFSS is in line with the definitions and recommendations of the International Labour O</w:t>
      </w:r>
      <w:r w:rsidR="005704B4" w:rsidRPr="00BC131D">
        <w:rPr>
          <w:rFonts w:ascii="Arial" w:hAnsi="Arial" w:cs="Arial"/>
          <w:i/>
          <w:iCs/>
          <w:sz w:val="20"/>
          <w:lang w:val="en-GB"/>
        </w:rPr>
        <w:t>rganisation</w:t>
      </w:r>
      <w:r w:rsidR="0082240B" w:rsidRPr="00BC131D">
        <w:rPr>
          <w:rFonts w:ascii="Arial" w:hAnsi="Arial" w:cs="Arial"/>
          <w:i/>
          <w:iCs/>
          <w:sz w:val="20"/>
          <w:lang w:val="en-GB"/>
        </w:rPr>
        <w:t xml:space="preserve"> (ILO) and </w:t>
      </w:r>
      <w:r w:rsidR="005704B4" w:rsidRPr="00BC131D">
        <w:rPr>
          <w:rFonts w:ascii="Arial" w:hAnsi="Arial" w:cs="Arial"/>
          <w:i/>
          <w:iCs/>
          <w:sz w:val="20"/>
          <w:lang w:val="en-GB"/>
        </w:rPr>
        <w:t xml:space="preserve">thus </w:t>
      </w:r>
      <w:r w:rsidR="0082240B" w:rsidRPr="00BC131D">
        <w:rPr>
          <w:rFonts w:ascii="Arial" w:hAnsi="Arial" w:cs="Arial"/>
          <w:i/>
          <w:iCs/>
          <w:sz w:val="20"/>
          <w:lang w:val="en-GB"/>
        </w:rPr>
        <w:t xml:space="preserve">enables labour market characteristics </w:t>
      </w:r>
      <w:r w:rsidR="005704B4" w:rsidRPr="00BC131D">
        <w:rPr>
          <w:rFonts w:ascii="Arial" w:hAnsi="Arial" w:cs="Arial"/>
          <w:i/>
          <w:iCs/>
          <w:sz w:val="20"/>
          <w:lang w:val="en-GB"/>
        </w:rPr>
        <w:t>can</w:t>
      </w:r>
      <w:r w:rsidR="0082240B" w:rsidRPr="00BC131D">
        <w:rPr>
          <w:rFonts w:ascii="Arial" w:hAnsi="Arial" w:cs="Arial"/>
          <w:i/>
          <w:iCs/>
          <w:sz w:val="20"/>
          <w:lang w:val="en-GB"/>
        </w:rPr>
        <w:t xml:space="preserve"> be compared internationally.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labour force</w:t>
      </w:r>
      <w:r w:rsidRPr="00BC131D">
        <w:rPr>
          <w:rFonts w:ascii="Arial" w:hAnsi="Arial" w:cs="Arial"/>
          <w:i/>
          <w:iCs/>
          <w:sz w:val="20"/>
          <w:lang w:val="en-GB"/>
        </w:rPr>
        <w:t xml:space="preserve"> includes all persons aged 15+ years who are employed or unemployed.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Cs/>
          <w:i/>
          <w:iCs/>
          <w:sz w:val="20"/>
          <w:lang w:val="en-GB"/>
        </w:rPr>
        <w:t>The</w:t>
      </w:r>
      <w:r w:rsidRPr="00BC131D">
        <w:rPr>
          <w:rFonts w:ascii="Arial" w:hAnsi="Arial" w:cs="Arial"/>
          <w:b/>
          <w:bCs/>
          <w:i/>
          <w:iCs/>
          <w:sz w:val="20"/>
          <w:lang w:val="en-GB"/>
        </w:rPr>
        <w:t xml:space="preserve"> employed</w:t>
      </w:r>
      <w:r w:rsidRPr="00BC131D">
        <w:rPr>
          <w:rFonts w:ascii="Arial" w:hAnsi="Arial" w:cs="Arial"/>
          <w:i/>
          <w:iCs/>
          <w:sz w:val="20"/>
          <w:lang w:val="en-GB"/>
        </w:rPr>
        <w:t xml:space="preserve"> include all persons aged 15+ years with usual residence on the surveyed territory, who </w:t>
      </w:r>
      <w:r w:rsidR="006A234B" w:rsidRPr="00BC131D">
        <w:rPr>
          <w:rFonts w:ascii="Arial" w:hAnsi="Arial" w:cs="Arial"/>
          <w:i/>
          <w:sz w:val="20"/>
          <w:szCs w:val="20"/>
          <w:lang w:val="en-GB"/>
        </w:rPr>
        <w:t xml:space="preserve">performed some work </w:t>
      </w:r>
      <w:r w:rsidR="006E586E" w:rsidRPr="00BC131D">
        <w:rPr>
          <w:rFonts w:ascii="Arial" w:hAnsi="Arial" w:cs="Arial"/>
          <w:i/>
          <w:sz w:val="20"/>
          <w:szCs w:val="20"/>
          <w:lang w:val="en-GB"/>
        </w:rPr>
        <w:t xml:space="preserve">for at least one hour </w:t>
      </w:r>
      <w:r w:rsidR="006A234B" w:rsidRPr="00BC131D">
        <w:rPr>
          <w:rFonts w:ascii="Arial" w:hAnsi="Arial" w:cs="Arial"/>
          <w:i/>
          <w:sz w:val="20"/>
          <w:szCs w:val="20"/>
          <w:lang w:val="en-GB"/>
        </w:rPr>
        <w:t>for wage or salary in cash or in kind</w:t>
      </w:r>
      <w:r w:rsidRPr="00BC131D">
        <w:rPr>
          <w:rFonts w:ascii="Arial" w:hAnsi="Arial" w:cs="Arial"/>
          <w:i/>
          <w:iCs/>
          <w:sz w:val="20"/>
          <w:lang w:val="en-GB"/>
        </w:rPr>
        <w:t xml:space="preserve"> during the reference week, or who </w:t>
      </w:r>
      <w:r w:rsidR="006E586E" w:rsidRPr="00BC131D">
        <w:rPr>
          <w:rFonts w:ascii="Arial" w:hAnsi="Arial" w:cs="Arial"/>
          <w:i/>
          <w:iCs/>
          <w:sz w:val="20"/>
          <w:lang w:val="en-GB"/>
        </w:rPr>
        <w:t xml:space="preserve">were not at work yet </w:t>
      </w:r>
      <w:r w:rsidRPr="00BC131D">
        <w:rPr>
          <w:rFonts w:ascii="Arial" w:hAnsi="Arial" w:cs="Arial"/>
          <w:i/>
          <w:iCs/>
          <w:sz w:val="20"/>
          <w:lang w:val="en-GB"/>
        </w:rPr>
        <w:t xml:space="preserve">had a formal attachment </w:t>
      </w:r>
      <w:r w:rsidR="006A234B" w:rsidRPr="00BC131D">
        <w:rPr>
          <w:rFonts w:ascii="Arial" w:hAnsi="Arial" w:cs="Arial"/>
          <w:i/>
          <w:sz w:val="20"/>
          <w:szCs w:val="20"/>
          <w:lang w:val="en-GB"/>
        </w:rPr>
        <w:t>to their job during the reference period</w:t>
      </w:r>
      <w:r w:rsidRPr="00BC131D">
        <w:rPr>
          <w:rFonts w:ascii="Arial" w:hAnsi="Arial" w:cs="Arial"/>
          <w:i/>
          <w:iCs/>
          <w:sz w:val="20"/>
          <w:lang w:val="en-GB"/>
        </w:rPr>
        <w:t>. The main criterion for a person to be included into the employed is they perform any remunerated work activity. Therefore</w:t>
      </w:r>
      <w:r w:rsidR="00AC5F20" w:rsidRPr="00BC131D">
        <w:rPr>
          <w:rFonts w:ascii="Arial" w:hAnsi="Arial" w:cs="Arial"/>
          <w:i/>
          <w:iCs/>
          <w:sz w:val="20"/>
          <w:lang w:val="en-GB"/>
        </w:rPr>
        <w:t>,</w:t>
      </w:r>
      <w:r w:rsidRPr="00BC131D">
        <w:rPr>
          <w:rFonts w:ascii="Arial" w:hAnsi="Arial" w:cs="Arial"/>
          <w:i/>
          <w:iCs/>
          <w:sz w:val="20"/>
          <w:lang w:val="en-GB"/>
        </w:rPr>
        <w:t xml:space="preserve"> it does not matter whether their working activity was permanent, temporary, seasonal</w:t>
      </w:r>
      <w:r w:rsidR="006E586E" w:rsidRPr="00BC131D">
        <w:rPr>
          <w:rFonts w:ascii="Arial" w:hAnsi="Arial" w:cs="Arial"/>
          <w:i/>
          <w:iCs/>
          <w:sz w:val="20"/>
          <w:lang w:val="en-GB"/>
        </w:rPr>
        <w:t>,</w:t>
      </w:r>
      <w:r w:rsidRPr="00BC131D">
        <w:rPr>
          <w:rFonts w:ascii="Arial" w:hAnsi="Arial" w:cs="Arial"/>
          <w:i/>
          <w:iCs/>
          <w:sz w:val="20"/>
          <w:lang w:val="en-GB"/>
        </w:rPr>
        <w:t xml:space="preserve"> or occasional, or </w:t>
      </w:r>
      <w:r w:rsidR="006E586E" w:rsidRPr="00BC131D">
        <w:rPr>
          <w:rFonts w:ascii="Arial" w:hAnsi="Arial" w:cs="Arial"/>
          <w:i/>
          <w:iCs/>
          <w:sz w:val="20"/>
          <w:lang w:val="en-GB"/>
        </w:rPr>
        <w:t xml:space="preserve">had one </w:t>
      </w:r>
      <w:r w:rsidRPr="00BC131D">
        <w:rPr>
          <w:rFonts w:ascii="Arial" w:hAnsi="Arial" w:cs="Arial"/>
          <w:i/>
          <w:iCs/>
          <w:sz w:val="20"/>
          <w:lang w:val="en-GB"/>
        </w:rPr>
        <w:t>job or multiple jobs performed in parallel, or whether they were studying or receiving some type of pension</w:t>
      </w:r>
      <w:r w:rsidR="00AC5F20" w:rsidRPr="00BC131D">
        <w:rPr>
          <w:rFonts w:ascii="Arial" w:hAnsi="Arial" w:cs="Arial"/>
          <w:i/>
          <w:iCs/>
          <w:sz w:val="20"/>
          <w:lang w:val="en-GB"/>
        </w:rPr>
        <w:t>, etc.</w:t>
      </w:r>
      <w:r w:rsidRPr="00BC131D">
        <w:rPr>
          <w:rFonts w:ascii="Arial" w:hAnsi="Arial" w:cs="Arial"/>
          <w:i/>
          <w:iCs/>
          <w:sz w:val="20"/>
          <w:lang w:val="en-GB"/>
        </w:rPr>
        <w:t xml:space="preserve"> at the same time.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include: </w:t>
      </w:r>
    </w:p>
    <w:p w:rsidR="00000000"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persons </w:t>
      </w:r>
      <w:r w:rsidR="005372B4" w:rsidRPr="00BC131D">
        <w:rPr>
          <w:rFonts w:ascii="Arial" w:hAnsi="Arial" w:cs="Arial"/>
          <w:i/>
          <w:iCs/>
          <w:sz w:val="20"/>
          <w:lang w:val="en-GB"/>
        </w:rPr>
        <w:t xml:space="preserve">running </w:t>
      </w:r>
      <w:r w:rsidRPr="00BC131D">
        <w:rPr>
          <w:rFonts w:ascii="Arial" w:hAnsi="Arial" w:cs="Arial"/>
          <w:i/>
          <w:iCs/>
          <w:sz w:val="20"/>
          <w:lang w:val="en-GB"/>
        </w:rPr>
        <w:t xml:space="preserve">their own </w:t>
      </w:r>
      <w:r w:rsidR="00AC5F20" w:rsidRPr="00BC131D">
        <w:rPr>
          <w:rFonts w:ascii="Arial" w:hAnsi="Arial" w:cs="Arial"/>
          <w:i/>
          <w:iCs/>
          <w:sz w:val="20"/>
          <w:lang w:val="en-GB"/>
        </w:rPr>
        <w:t xml:space="preserve">business </w:t>
      </w:r>
      <w:r w:rsidRPr="00BC131D">
        <w:rPr>
          <w:rFonts w:ascii="Arial" w:hAnsi="Arial" w:cs="Arial"/>
          <w:i/>
          <w:iCs/>
          <w:sz w:val="20"/>
          <w:lang w:val="en-GB"/>
        </w:rPr>
        <w:t xml:space="preserve">or </w:t>
      </w:r>
      <w:r w:rsidR="005372B4" w:rsidRPr="00BC131D">
        <w:rPr>
          <w:rFonts w:ascii="Arial" w:hAnsi="Arial" w:cs="Arial"/>
          <w:i/>
          <w:iCs/>
          <w:sz w:val="20"/>
          <w:lang w:val="en-GB"/>
        </w:rPr>
        <w:t xml:space="preserve">working in a </w:t>
      </w:r>
      <w:r w:rsidRPr="00BC131D">
        <w:rPr>
          <w:rFonts w:ascii="Arial" w:hAnsi="Arial" w:cs="Arial"/>
          <w:i/>
          <w:iCs/>
          <w:sz w:val="20"/>
          <w:lang w:val="en-GB"/>
        </w:rPr>
        <w:t>family company;</w:t>
      </w:r>
    </w:p>
    <w:p w:rsidR="00AF2F40" w:rsidRPr="00BC131D"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professional soldiers and conscripts of the armed forces, including persons serving compulsory community service; and</w:t>
      </w:r>
    </w:p>
    <w:p w:rsidR="00000000"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proofErr w:type="gramStart"/>
      <w:r w:rsidRPr="00BC131D">
        <w:rPr>
          <w:rFonts w:ascii="Arial" w:hAnsi="Arial" w:cs="Arial"/>
          <w:i/>
          <w:iCs/>
          <w:sz w:val="20"/>
          <w:lang w:val="en-GB"/>
        </w:rPr>
        <w:t>persons</w:t>
      </w:r>
      <w:proofErr w:type="gramEnd"/>
      <w:r w:rsidRPr="00BC131D">
        <w:rPr>
          <w:rFonts w:ascii="Arial" w:hAnsi="Arial" w:cs="Arial"/>
          <w:i/>
          <w:iCs/>
          <w:sz w:val="20"/>
          <w:lang w:val="en-GB"/>
        </w:rPr>
        <w:t xml:space="preserve"> on maternity leave, who were jobholders before the leave.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exclude: </w:t>
      </w:r>
    </w:p>
    <w:p w:rsidR="00000000"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persons on maternity leave, who were not jobholders before the leave</w:t>
      </w:r>
      <w:r w:rsidR="0072400F" w:rsidRPr="00BC131D">
        <w:rPr>
          <w:rFonts w:ascii="Arial" w:hAnsi="Arial" w:cs="Arial"/>
          <w:i/>
          <w:iCs/>
          <w:sz w:val="20"/>
          <w:lang w:val="en-GB"/>
        </w:rPr>
        <w:t>,</w:t>
      </w:r>
      <w:r w:rsidRPr="00BC131D">
        <w:rPr>
          <w:rFonts w:ascii="Arial" w:hAnsi="Arial" w:cs="Arial"/>
          <w:i/>
          <w:iCs/>
          <w:sz w:val="20"/>
          <w:lang w:val="en-GB"/>
        </w:rPr>
        <w:t xml:space="preserve"> and persons on prolonged maternal (parental) leave</w:t>
      </w:r>
      <w:r w:rsidR="0072400F" w:rsidRPr="00BC131D">
        <w:rPr>
          <w:rFonts w:ascii="Arial" w:hAnsi="Arial" w:cs="Arial"/>
          <w:i/>
          <w:iCs/>
          <w:sz w:val="20"/>
          <w:lang w:val="en-GB"/>
        </w:rPr>
        <w:t>,</w:t>
      </w:r>
      <w:r w:rsidRPr="00BC131D">
        <w:rPr>
          <w:rFonts w:ascii="Arial" w:hAnsi="Arial" w:cs="Arial"/>
          <w:i/>
          <w:iCs/>
          <w:sz w:val="20"/>
          <w:lang w:val="en-GB"/>
        </w:rPr>
        <w:t xml:space="preserve"> who are classified as the unemployed or economically inactive persons depending on they comply with the ILO conditions or not. </w:t>
      </w:r>
    </w:p>
    <w:p w:rsidR="008E5730" w:rsidRPr="00BC131D" w:rsidRDefault="008E5730">
      <w:pPr>
        <w:tabs>
          <w:tab w:val="left" w:pos="284"/>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40" w:hanging="306"/>
        <w:jc w:val="both"/>
        <w:rPr>
          <w:rFonts w:ascii="Arial" w:hAnsi="Arial" w:cs="Arial"/>
          <w:i/>
          <w:iCs/>
          <w:sz w:val="20"/>
          <w:lang w:val="en-GB"/>
        </w:rPr>
      </w:pPr>
    </w:p>
    <w:p w:rsidR="00B85B05" w:rsidRDefault="0082240B" w:rsidP="00B85B05">
      <w:pPr>
        <w:pStyle w:val="Zkladntext"/>
        <w:tabs>
          <w:tab w:val="left" w:pos="1134"/>
        </w:tabs>
        <w:ind w:left="1134"/>
        <w:jc w:val="both"/>
      </w:pPr>
      <w:r w:rsidRPr="00BC131D">
        <w:t xml:space="preserve">According to the aforementioned definition, e.g. apprentices, students, </w:t>
      </w:r>
      <w:proofErr w:type="spellStart"/>
      <w:r w:rsidR="005372B4" w:rsidRPr="00BC131D">
        <w:t>house</w:t>
      </w:r>
      <w:r w:rsidRPr="00BC131D">
        <w:t>persons</w:t>
      </w:r>
      <w:proofErr w:type="spellEnd"/>
      <w:r w:rsidRPr="00BC131D">
        <w:t>, and other persons engaged</w:t>
      </w:r>
      <w:r w:rsidR="006E586E" w:rsidRPr="00BC131D">
        <w:t>,</w:t>
      </w:r>
      <w:r w:rsidRPr="00BC131D">
        <w:t xml:space="preserve"> </w:t>
      </w:r>
      <w:r w:rsidR="006E586E" w:rsidRPr="00BC131D">
        <w:t xml:space="preserve">first of </w:t>
      </w:r>
      <w:r w:rsidRPr="00BC131D">
        <w:t>all</w:t>
      </w:r>
      <w:r w:rsidR="006E586E" w:rsidRPr="00BC131D">
        <w:t>,</w:t>
      </w:r>
      <w:r w:rsidRPr="00BC131D">
        <w:t xml:space="preserve"> in other-than-economic activities</w:t>
      </w:r>
      <w:r w:rsidR="005372B4" w:rsidRPr="00BC131D">
        <w:t>,</w:t>
      </w:r>
      <w:r w:rsidRPr="00BC131D">
        <w:t xml:space="preserve"> </w:t>
      </w:r>
      <w:proofErr w:type="gramStart"/>
      <w:r w:rsidRPr="00BC131D">
        <w:t>who</w:t>
      </w:r>
      <w:proofErr w:type="gramEnd"/>
      <w:r w:rsidR="005372B4" w:rsidRPr="00BC131D">
        <w:t>,</w:t>
      </w:r>
      <w:r w:rsidRPr="00BC131D">
        <w:t xml:space="preserve"> however</w:t>
      </w:r>
      <w:r w:rsidR="005372B4" w:rsidRPr="00BC131D">
        <w:t>,</w:t>
      </w:r>
      <w:r w:rsidRPr="00BC131D">
        <w:t xml:space="preserve"> have worked for at least </w:t>
      </w:r>
      <w:r w:rsidR="006E586E" w:rsidRPr="00BC131D">
        <w:t>one</w:t>
      </w:r>
      <w:r w:rsidRPr="00BC131D">
        <w:t xml:space="preserve"> hour for wage or salary or had a formal attachment to their job in the reference period</w:t>
      </w:r>
      <w:r w:rsidR="005372B4" w:rsidRPr="00BC131D">
        <w:t>,</w:t>
      </w:r>
      <w:r w:rsidRPr="00BC131D">
        <w:t xml:space="preserve"> are considered the 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E5730" w:rsidP="00B85B05">
      <w:pPr>
        <w:numPr>
          <w:ilvl w:val="0"/>
          <w:numId w:val="3"/>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Cs/>
          <w:i/>
          <w:iCs/>
          <w:sz w:val="20"/>
          <w:lang w:val="en-GB"/>
        </w:rPr>
        <w:t>The</w:t>
      </w:r>
      <w:r w:rsidRPr="00BC131D">
        <w:rPr>
          <w:rFonts w:ascii="Arial" w:hAnsi="Arial" w:cs="Arial"/>
          <w:b/>
          <w:bCs/>
          <w:i/>
          <w:iCs/>
          <w:sz w:val="20"/>
          <w:lang w:val="en-GB"/>
        </w:rPr>
        <w:t xml:space="preserve"> unemployed</w:t>
      </w:r>
      <w:r w:rsidRPr="00BC131D">
        <w:rPr>
          <w:rFonts w:ascii="Arial" w:hAnsi="Arial" w:cs="Arial"/>
          <w:i/>
          <w:iCs/>
          <w:sz w:val="20"/>
          <w:lang w:val="en-GB"/>
        </w:rPr>
        <w:t xml:space="preserve"> are all persons aged 15+ years (without the upper age limit) who </w:t>
      </w:r>
      <w:r w:rsidR="002767B0" w:rsidRPr="00BC131D">
        <w:rPr>
          <w:rFonts w:ascii="Arial" w:hAnsi="Arial" w:cs="Arial"/>
          <w:i/>
          <w:iCs/>
          <w:sz w:val="20"/>
          <w:lang w:val="en-GB"/>
        </w:rPr>
        <w:t xml:space="preserve">in the reference period </w:t>
      </w:r>
      <w:r w:rsidRPr="00BC131D">
        <w:rPr>
          <w:rFonts w:ascii="Arial" w:hAnsi="Arial" w:cs="Arial"/>
          <w:i/>
          <w:iCs/>
          <w:sz w:val="20"/>
          <w:lang w:val="en-GB"/>
        </w:rPr>
        <w:t>simultaneously met the three conditions as follows:</w:t>
      </w:r>
    </w:p>
    <w:p w:rsidR="00B85B05"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were jobless, i.e. during the reference week they did not work even for a single hour for wage or salary, or had no job which they would have been temporarily absent from; </w:t>
      </w:r>
    </w:p>
    <w:p w:rsidR="00B85B05"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proofErr w:type="gramStart"/>
      <w:r w:rsidRPr="00BC131D">
        <w:rPr>
          <w:rFonts w:ascii="Arial" w:hAnsi="Arial" w:cs="Arial"/>
          <w:i/>
          <w:iCs/>
          <w:sz w:val="20"/>
          <w:lang w:val="en-GB"/>
        </w:rPr>
        <w:t>were</w:t>
      </w:r>
      <w:proofErr w:type="gramEnd"/>
      <w:r w:rsidRPr="00BC131D">
        <w:rPr>
          <w:rFonts w:ascii="Arial" w:hAnsi="Arial" w:cs="Arial"/>
          <w:i/>
          <w:iCs/>
          <w:sz w:val="20"/>
          <w:lang w:val="en-GB"/>
        </w:rPr>
        <w:t xml:space="preserve"> seeking employment in an active manner. "In an active manner" shall mean the seeking of work by means of a labour office or a private employment agency, direct contacts with and at companies, placing or answering job advertisements, taking steps to establish their own business, applying for work permit or license, or any other active way of seeking employment; and</w:t>
      </w:r>
    </w:p>
    <w:p w:rsidR="00B85B05"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proofErr w:type="gramStart"/>
      <w:r w:rsidRPr="00BC131D">
        <w:rPr>
          <w:rFonts w:ascii="Arial" w:hAnsi="Arial" w:cs="Arial"/>
          <w:i/>
          <w:iCs/>
          <w:sz w:val="20"/>
          <w:lang w:val="en-GB"/>
        </w:rPr>
        <w:t>were</w:t>
      </w:r>
      <w:proofErr w:type="gramEnd"/>
      <w:r w:rsidRPr="00BC131D">
        <w:rPr>
          <w:rFonts w:ascii="Arial" w:hAnsi="Arial" w:cs="Arial"/>
          <w:i/>
          <w:iCs/>
          <w:sz w:val="20"/>
          <w:lang w:val="en-GB"/>
        </w:rPr>
        <w:t xml:space="preserve"> ready to start to work immediately or within two weeks, at the latest. Besides these persons, persons who are not seeking a job, because they have already found one, but they should start to work later, within three months at the latest, are classified as the unemployed according to the </w:t>
      </w:r>
      <w:proofErr w:type="spellStart"/>
      <w:r w:rsidRPr="00BC131D">
        <w:rPr>
          <w:rFonts w:ascii="Arial" w:hAnsi="Arial" w:cs="Arial"/>
          <w:i/>
          <w:iCs/>
          <w:sz w:val="20"/>
          <w:lang w:val="en-GB"/>
        </w:rPr>
        <w:t>Eurostat</w:t>
      </w:r>
      <w:proofErr w:type="spellEnd"/>
      <w:r w:rsidRPr="00BC131D">
        <w:rPr>
          <w:rFonts w:ascii="Arial" w:hAnsi="Arial" w:cs="Arial"/>
          <w:i/>
          <w:iCs/>
          <w:sz w:val="20"/>
          <w:lang w:val="en-GB"/>
        </w:rPr>
        <w:t xml:space="preserve"> definition.</w:t>
      </w:r>
    </w:p>
    <w:p w:rsidR="00B85B05" w:rsidRDefault="00B85B05" w:rsidP="00B8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rPr>
          <w:rFonts w:ascii="Arial" w:hAnsi="Arial" w:cs="Arial"/>
          <w:i/>
          <w:iCs/>
          <w:sz w:val="20"/>
          <w:lang w:val="en-GB"/>
        </w:rPr>
      </w:pPr>
    </w:p>
    <w:p w:rsidR="00B85B05" w:rsidRDefault="008E5730" w:rsidP="00B85B0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jc w:val="both"/>
        <w:rPr>
          <w:rFonts w:ascii="Arial" w:hAnsi="Arial" w:cs="Arial"/>
          <w:i/>
          <w:iCs/>
          <w:sz w:val="20"/>
          <w:lang w:val="en-GB"/>
        </w:rPr>
      </w:pPr>
      <w:r w:rsidRPr="00BC131D">
        <w:rPr>
          <w:rFonts w:ascii="Arial" w:hAnsi="Arial" w:cs="Arial"/>
          <w:i/>
          <w:iCs/>
          <w:sz w:val="20"/>
          <w:lang w:val="en-GB"/>
        </w:rPr>
        <w:t xml:space="preserve">Persons, which do not comply with one of the three aforementioned conditions, at least, are classified either as the employed, or as the </w:t>
      </w:r>
      <w:r w:rsidR="00B85B05" w:rsidRPr="00B85B05">
        <w:rPr>
          <w:rFonts w:ascii="Arial" w:hAnsi="Arial" w:cs="Arial"/>
          <w:b/>
          <w:i/>
          <w:iCs/>
          <w:sz w:val="20"/>
          <w:lang w:val="en-GB"/>
        </w:rPr>
        <w:t>economically inactive</w:t>
      </w:r>
      <w:r w:rsidRPr="00BC131D">
        <w:rPr>
          <w:rFonts w:ascii="Arial" w:hAnsi="Arial" w:cs="Arial"/>
          <w:i/>
          <w:iCs/>
          <w:sz w:val="20"/>
          <w:lang w:val="en-GB"/>
        </w:rPr>
        <w:t xml:space="preserve">. </w:t>
      </w:r>
    </w:p>
    <w:p w:rsidR="008E5730" w:rsidRPr="00BC131D" w:rsidRDefault="008E573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b/>
          <w:i/>
          <w:iCs/>
          <w:sz w:val="20"/>
          <w:lang w:val="en-GB"/>
        </w:rPr>
        <w:t>Employment status</w:t>
      </w:r>
      <w:r w:rsidRPr="00BC131D">
        <w:rPr>
          <w:rFonts w:ascii="Arial" w:hAnsi="Arial" w:cs="Arial"/>
          <w:i/>
          <w:iCs/>
          <w:sz w:val="20"/>
          <w:lang w:val="en-GB"/>
        </w:rPr>
        <w:t xml:space="preserve"> or </w:t>
      </w:r>
      <w:r w:rsidR="00B85B05" w:rsidRPr="00B85B05">
        <w:rPr>
          <w:rFonts w:ascii="Arial" w:hAnsi="Arial" w:cs="Arial"/>
          <w:b/>
          <w:i/>
          <w:iCs/>
          <w:sz w:val="20"/>
          <w:lang w:val="en-GB"/>
        </w:rPr>
        <w:t>status in employment</w:t>
      </w:r>
      <w:r w:rsidRPr="00BC131D">
        <w:rPr>
          <w:rFonts w:ascii="Arial" w:hAnsi="Arial" w:cs="Arial"/>
          <w:i/>
          <w:iCs/>
          <w:sz w:val="20"/>
          <w:lang w:val="en-GB"/>
        </w:rPr>
        <w:t xml:space="preserve"> is determined and classified according to the </w:t>
      </w:r>
      <w:r w:rsidR="006F0FA3" w:rsidRPr="00BC131D">
        <w:rPr>
          <w:rFonts w:ascii="Arial" w:hAnsi="Arial" w:cs="Arial"/>
          <w:i/>
          <w:iCs/>
          <w:sz w:val="20"/>
          <w:lang w:val="en-GB"/>
        </w:rPr>
        <w:t>national</w:t>
      </w:r>
      <w:r w:rsidRPr="00BC131D">
        <w:rPr>
          <w:rFonts w:ascii="Arial" w:hAnsi="Arial" w:cs="Arial"/>
          <w:i/>
          <w:iCs/>
          <w:sz w:val="20"/>
          <w:lang w:val="en-GB"/>
        </w:rPr>
        <w:t xml:space="preserve"> version ICSE-CZ of the </w:t>
      </w:r>
      <w:r w:rsidR="00B85B05" w:rsidRPr="00B85B05">
        <w:rPr>
          <w:rFonts w:ascii="Arial" w:hAnsi="Arial" w:cs="Arial"/>
          <w:i/>
          <w:sz w:val="20"/>
          <w:szCs w:val="20"/>
          <w:lang w:val="en-GB"/>
        </w:rPr>
        <w:t xml:space="preserve">International Classification of Status in Employment (ICSE-93), which the national version is fully compatible with. </w:t>
      </w: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6A234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
          <w:i/>
          <w:iCs/>
          <w:sz w:val="20"/>
          <w:lang w:val="en-GB"/>
        </w:rPr>
        <w:t>Employees</w:t>
      </w:r>
      <w:r w:rsidR="0082240B" w:rsidRPr="00BC131D">
        <w:rPr>
          <w:rFonts w:ascii="Arial" w:hAnsi="Arial" w:cs="Arial"/>
          <w:i/>
          <w:iCs/>
          <w:sz w:val="20"/>
          <w:lang w:val="en-GB"/>
        </w:rPr>
        <w:t xml:space="preserve"> are all persons with a formal attachment to their job, irrespective they have worked in the reference week or not. The formal attachment to a job shall mean, first of all, an employment contract (employment contract, appointment or delegation, or election </w:t>
      </w:r>
      <w:r w:rsidR="005372B4" w:rsidRPr="00BC131D">
        <w:rPr>
          <w:rFonts w:ascii="Arial" w:hAnsi="Arial" w:cs="Arial"/>
          <w:i/>
          <w:iCs/>
          <w:sz w:val="20"/>
          <w:lang w:val="en-GB"/>
        </w:rPr>
        <w:t xml:space="preserve">according to </w:t>
      </w:r>
      <w:r w:rsidR="0082240B" w:rsidRPr="00BC131D">
        <w:rPr>
          <w:rFonts w:ascii="Arial" w:hAnsi="Arial" w:cs="Arial"/>
          <w:i/>
          <w:iCs/>
          <w:sz w:val="20"/>
          <w:lang w:val="en-GB"/>
        </w:rPr>
        <w:t>the current legislation), contract for work and contract on works</w:t>
      </w:r>
      <w:r w:rsidR="0072400F" w:rsidRPr="00BC131D">
        <w:rPr>
          <w:rFonts w:ascii="Arial" w:hAnsi="Arial" w:cs="Arial"/>
          <w:i/>
          <w:iCs/>
          <w:sz w:val="20"/>
          <w:lang w:val="en-GB"/>
        </w:rPr>
        <w:t>,</w:t>
      </w:r>
      <w:r w:rsidR="0082240B" w:rsidRPr="00BC131D">
        <w:rPr>
          <w:rFonts w:ascii="Arial" w:hAnsi="Arial" w:cs="Arial"/>
          <w:i/>
          <w:iCs/>
          <w:sz w:val="20"/>
          <w:lang w:val="en-GB"/>
        </w:rPr>
        <w:t xml:space="preserve"> and, as the case may be, other contractual relations outside the domain of the labour law (e.g. </w:t>
      </w:r>
      <w:r w:rsidR="005372B4" w:rsidRPr="00BC131D">
        <w:rPr>
          <w:rFonts w:ascii="Arial" w:hAnsi="Arial" w:cs="Arial"/>
          <w:i/>
          <w:iCs/>
          <w:sz w:val="20"/>
          <w:lang w:val="en-GB"/>
        </w:rPr>
        <w:t xml:space="preserve">copyright </w:t>
      </w:r>
      <w:r w:rsidR="0082240B" w:rsidRPr="00BC131D">
        <w:rPr>
          <w:rFonts w:ascii="Arial" w:hAnsi="Arial" w:cs="Arial"/>
          <w:i/>
          <w:iCs/>
          <w:sz w:val="20"/>
          <w:lang w:val="en-GB"/>
        </w:rPr>
        <w:t xml:space="preserve">contracts). </w:t>
      </w:r>
      <w:r w:rsidR="00AB2EF4" w:rsidRPr="00BC131D">
        <w:rPr>
          <w:rFonts w:ascii="Arial" w:hAnsi="Arial" w:cs="Arial"/>
          <w:i/>
          <w:iCs/>
          <w:sz w:val="20"/>
          <w:lang w:val="en-GB"/>
        </w:rPr>
        <w:t xml:space="preserve">Members of </w:t>
      </w:r>
      <w:r w:rsidR="00AB2EF4" w:rsidRPr="00BC131D">
        <w:rPr>
          <w:rFonts w:ascii="Arial" w:hAnsi="Arial" w:cs="Arial"/>
          <w:i/>
          <w:iCs/>
          <w:sz w:val="20"/>
          <w:lang w:val="en-GB"/>
        </w:rPr>
        <w:lastRenderedPageBreak/>
        <w:t>arm</w:t>
      </w:r>
      <w:r w:rsidR="002767B0">
        <w:rPr>
          <w:rFonts w:ascii="Arial" w:hAnsi="Arial" w:cs="Arial"/>
          <w:i/>
          <w:iCs/>
          <w:sz w:val="20"/>
          <w:lang w:val="en-GB"/>
        </w:rPr>
        <w:t>ed forces</w:t>
      </w:r>
      <w:r w:rsidR="00AB2EF4" w:rsidRPr="00BC131D">
        <w:rPr>
          <w:rFonts w:ascii="Arial" w:hAnsi="Arial" w:cs="Arial"/>
          <w:i/>
          <w:iCs/>
          <w:sz w:val="20"/>
          <w:lang w:val="en-GB"/>
        </w:rPr>
        <w:t xml:space="preserve"> as professional soldiers and also conscripts of compulsory military service till </w:t>
      </w:r>
      <w:proofErr w:type="gramStart"/>
      <w:r w:rsidR="00AB2EF4" w:rsidRPr="00BC131D">
        <w:rPr>
          <w:rFonts w:ascii="Arial" w:hAnsi="Arial" w:cs="Arial"/>
          <w:i/>
          <w:iCs/>
          <w:sz w:val="20"/>
          <w:lang w:val="en-GB"/>
        </w:rPr>
        <w:t>2004,</w:t>
      </w:r>
      <w:proofErr w:type="gramEnd"/>
      <w:r w:rsidR="00AB2EF4" w:rsidRPr="00BC131D">
        <w:rPr>
          <w:rFonts w:ascii="Arial" w:hAnsi="Arial" w:cs="Arial"/>
          <w:i/>
          <w:iCs/>
          <w:sz w:val="20"/>
          <w:lang w:val="en-GB"/>
        </w:rPr>
        <w:t xml:space="preserve"> are taken as employees</w:t>
      </w:r>
      <w:r w:rsidR="002767B0">
        <w:rPr>
          <w:rFonts w:ascii="Arial" w:hAnsi="Arial" w:cs="Arial"/>
          <w:i/>
          <w:iCs/>
          <w:sz w:val="20"/>
          <w:lang w:val="en-GB"/>
        </w:rPr>
        <w:t xml:space="preserve"> according to the ILO as well.</w:t>
      </w:r>
      <w:r w:rsidR="00AB2EF4" w:rsidRPr="00BC131D">
        <w:rPr>
          <w:rFonts w:ascii="Arial" w:hAnsi="Arial" w:cs="Arial"/>
          <w:i/>
          <w:iCs/>
          <w:sz w:val="20"/>
          <w:lang w:val="en-GB"/>
        </w:rPr>
        <w:t xml:space="preserve"> </w:t>
      </w:r>
      <w:r w:rsidR="0082240B" w:rsidRPr="00BC131D">
        <w:rPr>
          <w:rFonts w:ascii="Arial" w:hAnsi="Arial" w:cs="Arial"/>
          <w:i/>
          <w:iCs/>
          <w:sz w:val="20"/>
          <w:lang w:val="en-GB"/>
        </w:rPr>
        <w:t xml:space="preserve">Since 2012 employees include </w:t>
      </w:r>
      <w:r w:rsidR="00B85B05" w:rsidRPr="00B85B05">
        <w:rPr>
          <w:rFonts w:ascii="Arial" w:hAnsi="Arial" w:cs="Arial"/>
          <w:i/>
          <w:iCs/>
          <w:sz w:val="20"/>
          <w:lang w:val="en-GB"/>
        </w:rPr>
        <w:t>members of producers´ cooperatives</w:t>
      </w:r>
      <w:r w:rsidR="0082240B" w:rsidRPr="00BC131D">
        <w:rPr>
          <w:rFonts w:ascii="Arial" w:hAnsi="Arial" w:cs="Arial"/>
          <w:i/>
          <w:iCs/>
          <w:sz w:val="20"/>
          <w:lang w:val="en-GB"/>
        </w:rPr>
        <w:t xml:space="preserve">. Time series were </w:t>
      </w:r>
      <w:r w:rsidR="0086312C" w:rsidRPr="00BC131D">
        <w:rPr>
          <w:rFonts w:ascii="Arial" w:hAnsi="Arial" w:cs="Arial"/>
          <w:i/>
          <w:iCs/>
          <w:sz w:val="20"/>
          <w:lang w:val="en-GB"/>
        </w:rPr>
        <w:t xml:space="preserve">retrospectively </w:t>
      </w:r>
      <w:r w:rsidR="0082240B" w:rsidRPr="00BC131D">
        <w:rPr>
          <w:rFonts w:ascii="Arial" w:hAnsi="Arial" w:cs="Arial"/>
          <w:i/>
          <w:iCs/>
          <w:sz w:val="20"/>
          <w:lang w:val="en-GB"/>
        </w:rPr>
        <w:t>recalculated.</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Pr="00B85B05" w:rsidRDefault="00B85B05" w:rsidP="00B85B05">
      <w:pPr>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1134" w:hanging="425"/>
        <w:jc w:val="both"/>
        <w:rPr>
          <w:rFonts w:ascii="Arial" w:hAnsi="Arial" w:cs="Arial"/>
          <w:i/>
          <w:sz w:val="20"/>
          <w:szCs w:val="17"/>
          <w:lang w:val="en-GB"/>
        </w:rPr>
      </w:pPr>
      <w:r w:rsidRPr="00B85B05">
        <w:rPr>
          <w:rFonts w:ascii="Arial" w:hAnsi="Arial" w:cs="Arial"/>
          <w:i/>
          <w:sz w:val="20"/>
          <w:szCs w:val="17"/>
          <w:lang w:val="en-GB"/>
        </w:rPr>
        <w:t xml:space="preserve">The </w:t>
      </w:r>
      <w:r w:rsidRPr="00B85B05">
        <w:rPr>
          <w:rFonts w:ascii="Arial" w:hAnsi="Arial" w:cs="Arial"/>
          <w:b/>
          <w:i/>
          <w:sz w:val="20"/>
          <w:szCs w:val="17"/>
          <w:lang w:val="en-GB"/>
        </w:rPr>
        <w:t>self-employed</w:t>
      </w:r>
      <w:r w:rsidRPr="00B85B05">
        <w:rPr>
          <w:rFonts w:ascii="Arial" w:hAnsi="Arial" w:cs="Arial"/>
          <w:i/>
          <w:sz w:val="20"/>
          <w:szCs w:val="17"/>
          <w:lang w:val="en-GB"/>
        </w:rPr>
        <w:t xml:space="preserve"> shall mean the group of employers whi</w:t>
      </w:r>
      <w:r w:rsidR="00F36B0F">
        <w:rPr>
          <w:rFonts w:ascii="Arial" w:hAnsi="Arial" w:cs="Arial"/>
          <w:i/>
          <w:sz w:val="20"/>
          <w:szCs w:val="17"/>
          <w:lang w:val="en-GB"/>
        </w:rPr>
        <w:t>ch</w:t>
      </w:r>
      <w:r w:rsidRPr="00B85B05">
        <w:rPr>
          <w:rFonts w:ascii="Arial" w:hAnsi="Arial" w:cs="Arial"/>
          <w:i/>
          <w:sz w:val="20"/>
          <w:szCs w:val="17"/>
          <w:lang w:val="en-GB"/>
        </w:rPr>
        <w:t xml:space="preserve"> is in the LFSS subdivided in</w:t>
      </w:r>
      <w:r w:rsidR="00F36B0F">
        <w:rPr>
          <w:rFonts w:ascii="Arial" w:hAnsi="Arial" w:cs="Arial"/>
          <w:i/>
          <w:sz w:val="20"/>
          <w:szCs w:val="17"/>
          <w:lang w:val="en-GB"/>
        </w:rPr>
        <w:t>t</w:t>
      </w:r>
      <w:r w:rsidRPr="00B85B05">
        <w:rPr>
          <w:rFonts w:ascii="Arial" w:hAnsi="Arial" w:cs="Arial"/>
          <w:i/>
          <w:sz w:val="20"/>
          <w:szCs w:val="17"/>
          <w:lang w:val="en-GB"/>
        </w:rPr>
        <w:t>o two subgroups of the</w:t>
      </w:r>
      <w:r w:rsidRPr="00B85B05">
        <w:rPr>
          <w:rFonts w:ascii="Arial" w:hAnsi="Arial" w:cs="Arial"/>
          <w:b/>
          <w:i/>
          <w:sz w:val="20"/>
          <w:szCs w:val="17"/>
          <w:lang w:val="en-GB"/>
        </w:rPr>
        <w:t xml:space="preserve"> self-employed with employees</w:t>
      </w:r>
      <w:r w:rsidRPr="00B85B05">
        <w:rPr>
          <w:rFonts w:ascii="Arial" w:hAnsi="Arial" w:cs="Arial"/>
          <w:i/>
          <w:sz w:val="20"/>
          <w:szCs w:val="17"/>
          <w:lang w:val="en-GB"/>
        </w:rPr>
        <w:t xml:space="preserve"> and the own-account workers, that is the </w:t>
      </w:r>
      <w:r w:rsidRPr="00B85B05">
        <w:rPr>
          <w:rFonts w:ascii="Arial" w:hAnsi="Arial" w:cs="Arial"/>
          <w:b/>
          <w:i/>
          <w:sz w:val="20"/>
          <w:szCs w:val="17"/>
          <w:lang w:val="en-GB"/>
        </w:rPr>
        <w:t>self-employed without employees</w:t>
      </w:r>
      <w:r w:rsidRPr="00B85B05">
        <w:rPr>
          <w:rFonts w:ascii="Arial" w:hAnsi="Arial" w:cs="Arial"/>
          <w:i/>
          <w:sz w:val="20"/>
          <w:szCs w:val="17"/>
          <w:lang w:val="en-GB"/>
        </w:rPr>
        <w:t>. The self-employed also include family workers no matter how many hours they worked in the reference week.</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general unemployment rate</w:t>
      </w:r>
      <w:r w:rsidR="00AB2EF4" w:rsidRPr="00BC131D">
        <w:rPr>
          <w:rFonts w:ascii="Arial" w:hAnsi="Arial" w:cs="Arial"/>
          <w:i/>
          <w:iCs/>
          <w:sz w:val="20"/>
          <w:lang w:val="en-GB"/>
        </w:rPr>
        <w:t xml:space="preserve"> (ILO definition) is an indicator calculated from the LFSS results according to international definitions and recommendations. It is constructed as the share of the number of unemployed persons in the total labour force.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jc w:val="both"/>
        <w:rPr>
          <w:rFonts w:ascii="Arial" w:hAnsi="Arial" w:cs="Arial"/>
          <w:i/>
          <w:iCs/>
          <w:sz w:val="20"/>
          <w:lang w:val="en-GB"/>
        </w:rPr>
      </w:pPr>
      <w:r w:rsidRPr="00BC131D">
        <w:rPr>
          <w:rFonts w:ascii="Arial" w:hAnsi="Arial" w:cs="Arial"/>
          <w:i/>
          <w:iCs/>
          <w:sz w:val="20"/>
          <w:lang w:val="en-GB"/>
        </w:rPr>
        <w:t xml:space="preserve">The </w:t>
      </w:r>
      <w:r w:rsidRPr="00BC131D">
        <w:rPr>
          <w:rFonts w:ascii="Arial" w:hAnsi="Arial" w:cs="Arial"/>
          <w:b/>
          <w:bCs/>
          <w:i/>
          <w:iCs/>
          <w:sz w:val="20"/>
          <w:lang w:val="en-GB"/>
        </w:rPr>
        <w:t xml:space="preserve">employment rate </w:t>
      </w:r>
      <w:r w:rsidRPr="00BC131D">
        <w:rPr>
          <w:rFonts w:ascii="Arial" w:hAnsi="Arial" w:cs="Arial"/>
          <w:i/>
          <w:iCs/>
          <w:sz w:val="20"/>
          <w:lang w:val="en-GB"/>
        </w:rPr>
        <w:t xml:space="preserve">is the share of the employed in the total number of all persons aged 15+ years.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participation rate</w:t>
      </w:r>
      <w:r w:rsidR="00AB2EF4" w:rsidRPr="00BC131D">
        <w:rPr>
          <w:rFonts w:ascii="Arial" w:hAnsi="Arial" w:cs="Arial"/>
          <w:i/>
          <w:iCs/>
          <w:sz w:val="20"/>
          <w:lang w:val="en-GB"/>
        </w:rPr>
        <w:t xml:space="preserve"> is constructed according to the ILO and </w:t>
      </w:r>
      <w:proofErr w:type="spellStart"/>
      <w:r w:rsidR="00AB2EF4" w:rsidRPr="00BC131D">
        <w:rPr>
          <w:rFonts w:ascii="Arial" w:hAnsi="Arial" w:cs="Arial"/>
          <w:i/>
          <w:iCs/>
          <w:sz w:val="20"/>
          <w:lang w:val="en-GB"/>
        </w:rPr>
        <w:t>Eurostat</w:t>
      </w:r>
      <w:proofErr w:type="spellEnd"/>
      <w:r w:rsidR="00AB2EF4" w:rsidRPr="00BC131D">
        <w:rPr>
          <w:rFonts w:ascii="Arial" w:hAnsi="Arial" w:cs="Arial"/>
          <w:i/>
          <w:iCs/>
          <w:sz w:val="20"/>
          <w:lang w:val="en-GB"/>
        </w:rPr>
        <w:t xml:space="preserve"> methodology as the share of the total labour force, the persons employed and the persons unemployed, in the number of persons aged 15+ years, i.e. working age population.</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long-term unemployed</w:t>
      </w:r>
      <w:r w:rsidRPr="00BC131D">
        <w:rPr>
          <w:rFonts w:ascii="Arial" w:hAnsi="Arial" w:cs="Arial"/>
          <w:i/>
          <w:iCs/>
          <w:sz w:val="20"/>
          <w:lang w:val="en-GB"/>
        </w:rPr>
        <w:t xml:space="preserve"> are persons, who in the reference week were unemployed for more than one year.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006A234B" w:rsidRPr="00BC131D">
        <w:rPr>
          <w:rFonts w:ascii="Arial" w:hAnsi="Arial" w:cs="Arial"/>
          <w:i/>
          <w:sz w:val="20"/>
          <w:lang w:val="en-GB"/>
        </w:rPr>
        <w:t>The</w:t>
      </w:r>
      <w:r w:rsidRPr="00BC131D">
        <w:rPr>
          <w:rFonts w:ascii="Arial" w:hAnsi="Arial" w:cs="Arial"/>
          <w:sz w:val="20"/>
          <w:lang w:val="en-GB"/>
        </w:rPr>
        <w:t xml:space="preserve"> </w:t>
      </w:r>
      <w:r w:rsidRPr="00BC131D">
        <w:rPr>
          <w:rFonts w:ascii="Arial" w:hAnsi="Arial" w:cs="Arial"/>
          <w:b/>
          <w:bCs/>
          <w:i/>
          <w:iCs/>
          <w:sz w:val="20"/>
          <w:lang w:val="en-GB"/>
        </w:rPr>
        <w:t>long-term unemployment rate</w:t>
      </w:r>
      <w:r w:rsidRPr="00BC131D">
        <w:rPr>
          <w:rFonts w:ascii="Arial" w:hAnsi="Arial" w:cs="Arial"/>
          <w:i/>
          <w:iCs/>
          <w:sz w:val="20"/>
          <w:lang w:val="en-GB"/>
        </w:rPr>
        <w:t xml:space="preserve"> is the share of the long-term unemployed in the sum of the employed and the long-term unemployed.</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
          <w:bCs/>
          <w:i/>
          <w:iCs/>
          <w:sz w:val="20"/>
          <w:lang w:val="en-GB"/>
        </w:rPr>
        <w:t xml:space="preserve">Working pensioners </w:t>
      </w:r>
      <w:r w:rsidRPr="00BC131D">
        <w:rPr>
          <w:rFonts w:ascii="Arial" w:hAnsi="Arial" w:cs="Arial"/>
          <w:i/>
          <w:iCs/>
          <w:sz w:val="20"/>
          <w:lang w:val="en-GB"/>
        </w:rPr>
        <w:t>are persons the usual status of whom corresponds to persons receiving an old-age pension</w:t>
      </w:r>
      <w:r w:rsidRPr="00BC131D">
        <w:rPr>
          <w:rFonts w:ascii="Arial" w:hAnsi="Arial" w:cs="Arial"/>
          <w:b/>
          <w:bCs/>
          <w:i/>
          <w:iCs/>
          <w:sz w:val="20"/>
          <w:lang w:val="en-GB"/>
        </w:rPr>
        <w:t xml:space="preserve"> </w:t>
      </w:r>
      <w:r w:rsidRPr="00BC131D">
        <w:rPr>
          <w:rFonts w:ascii="Arial" w:hAnsi="Arial" w:cs="Arial"/>
          <w:i/>
          <w:iCs/>
          <w:sz w:val="20"/>
          <w:lang w:val="en-GB"/>
        </w:rPr>
        <w:t xml:space="preserve">and, at the same time, they comply with the criterion to be included into the employed in the reference period.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EA3A4E" w:rsidRPr="00BC131D" w:rsidRDefault="00EA3A4E" w:rsidP="00EA3A4E">
      <w:pPr>
        <w:jc w:val="both"/>
        <w:rPr>
          <w:rFonts w:ascii="Arial" w:hAnsi="Arial" w:cs="Arial"/>
          <w:i/>
          <w:iCs/>
          <w:sz w:val="20"/>
          <w:lang w:val="en-GB"/>
        </w:rPr>
      </w:pPr>
      <w:r w:rsidRPr="00BC131D">
        <w:rPr>
          <w:rFonts w:ascii="Arial" w:hAnsi="Arial" w:cs="Arial"/>
          <w:b/>
          <w:bCs/>
          <w:i/>
          <w:iCs/>
          <w:sz w:val="20"/>
          <w:lang w:val="en-GB"/>
        </w:rPr>
        <w:t>Non-formal education</w:t>
      </w:r>
      <w:r w:rsidRPr="00BC131D">
        <w:rPr>
          <w:rFonts w:ascii="Arial" w:hAnsi="Arial" w:cs="Arial"/>
          <w:i/>
          <w:iCs/>
          <w:sz w:val="20"/>
          <w:lang w:val="en-GB"/>
        </w:rPr>
        <w:t xml:space="preserve"> is institutionalised, intentional and planned by an education provider and is not terminated by completion of a certain level of education. It may, however, be completed by granting a certificate. Unlike formal education it is usually shorter and more flexible in terms of its content.</w:t>
      </w:r>
      <w:r w:rsidRPr="00BC131D" w:rsidDel="0055700C">
        <w:rPr>
          <w:rFonts w:ascii="Arial" w:hAnsi="Arial" w:cs="Arial"/>
          <w:i/>
          <w:iCs/>
          <w:sz w:val="20"/>
          <w:lang w:val="en-GB"/>
        </w:rPr>
        <w:t xml:space="preserve"> </w:t>
      </w:r>
    </w:p>
    <w:p w:rsidR="00B85B05" w:rsidRDefault="00001FD4" w:rsidP="00B85B05">
      <w:pPr>
        <w:tabs>
          <w:tab w:val="left" w:pos="1"/>
          <w:tab w:val="left" w:pos="680"/>
        </w:tabs>
        <w:jc w:val="both"/>
        <w:rPr>
          <w:rFonts w:ascii="Arial" w:hAnsi="Arial" w:cs="Arial"/>
          <w:i/>
          <w:iCs/>
          <w:sz w:val="20"/>
          <w:lang w:val="en-GB"/>
        </w:rPr>
      </w:pPr>
      <w:r w:rsidRPr="00BC131D">
        <w:rPr>
          <w:rFonts w:ascii="Arial" w:hAnsi="Arial" w:cs="Arial"/>
          <w:i/>
          <w:iCs/>
          <w:sz w:val="20"/>
          <w:lang w:val="en-GB"/>
        </w:rPr>
        <w:tab/>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00000" w:rsidRDefault="00FA2EBA">
      <w:pPr>
        <w:pBdr>
          <w:top w:val="single" w:sz="4" w:space="1"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p>
    <w:p w:rsidR="00B85B05" w:rsidRPr="00B85B05" w:rsidRDefault="00B85B05" w:rsidP="00B85B05">
      <w:pPr>
        <w:pStyle w:val="Odstavec"/>
        <w:spacing w:before="0"/>
        <w:ind w:firstLine="0"/>
        <w:jc w:val="both"/>
        <w:rPr>
          <w:rFonts w:cs="Arial"/>
          <w:b/>
          <w:i/>
          <w:iCs/>
          <w:lang w:val="en-GB"/>
        </w:rPr>
      </w:pPr>
      <w:r w:rsidRPr="00B85B05">
        <w:rPr>
          <w:rFonts w:cs="Arial"/>
          <w:b/>
          <w:i/>
          <w:iCs/>
          <w:lang w:val="en-GB"/>
        </w:rPr>
        <w:t xml:space="preserve">Notes </w:t>
      </w:r>
    </w:p>
    <w:p w:rsidR="00B85B05" w:rsidRDefault="00B85B05" w:rsidP="00B85B05">
      <w:pPr>
        <w:pStyle w:val="Odstavec"/>
        <w:tabs>
          <w:tab w:val="left" w:pos="2127"/>
        </w:tabs>
        <w:spacing w:before="0"/>
        <w:ind w:firstLine="0"/>
        <w:jc w:val="both"/>
        <w:rPr>
          <w:rFonts w:cs="Arial"/>
          <w:i/>
          <w:iCs/>
          <w:lang w:val="en-GB"/>
        </w:rPr>
      </w:pPr>
    </w:p>
    <w:p w:rsidR="00B85B05" w:rsidRDefault="00B85B05" w:rsidP="00B85B05">
      <w:pPr>
        <w:pStyle w:val="Odstavec"/>
        <w:numPr>
          <w:ilvl w:val="0"/>
          <w:numId w:val="5"/>
        </w:numPr>
        <w:spacing w:before="0"/>
        <w:ind w:left="1134" w:hanging="425"/>
        <w:jc w:val="both"/>
        <w:rPr>
          <w:rFonts w:cs="Arial"/>
          <w:i/>
          <w:iCs/>
          <w:lang w:val="en-GB"/>
        </w:rPr>
      </w:pPr>
      <w:r w:rsidRPr="00B85B05">
        <w:rPr>
          <w:rFonts w:cs="Arial"/>
          <w:b/>
          <w:i/>
          <w:iCs/>
          <w:lang w:val="en-GB"/>
        </w:rPr>
        <w:t>Figures on absolute numbers</w:t>
      </w:r>
      <w:r w:rsidR="00EA3A4E" w:rsidRPr="00BC131D">
        <w:rPr>
          <w:rFonts w:cs="Arial"/>
          <w:i/>
          <w:iCs/>
          <w:lang w:val="en-GB"/>
        </w:rPr>
        <w:t xml:space="preserve"> are given in thousands. Differences between the data for the total and the sum of partial data in tables enclosed result from the fact that the total is not a sum of rounded partial data, but the rounded total of non-rounded partial data. Both absolute and relative figures in all tables in the text and in enclosed tables, and in the text are calculated from non-rounded numbers.</w:t>
      </w:r>
    </w:p>
    <w:p w:rsidR="00B85B05" w:rsidRDefault="00B85B05" w:rsidP="00B85B05">
      <w:pPr>
        <w:pStyle w:val="Odstavec"/>
        <w:tabs>
          <w:tab w:val="left" w:pos="2127"/>
        </w:tabs>
        <w:spacing w:before="0"/>
        <w:ind w:firstLine="0"/>
        <w:jc w:val="both"/>
        <w:rPr>
          <w:rFonts w:cs="Arial"/>
          <w:i/>
          <w:iCs/>
          <w:lang w:val="en-GB"/>
        </w:rPr>
      </w:pPr>
    </w:p>
    <w:p w:rsidR="00B85B05" w:rsidRDefault="00EA3A4E" w:rsidP="00B85B05">
      <w:pPr>
        <w:pStyle w:val="Odstavec"/>
        <w:numPr>
          <w:ilvl w:val="0"/>
          <w:numId w:val="5"/>
        </w:numPr>
        <w:spacing w:before="0"/>
        <w:ind w:left="1134" w:hanging="425"/>
        <w:jc w:val="both"/>
        <w:rPr>
          <w:rFonts w:cs="Arial"/>
          <w:i/>
          <w:iCs/>
          <w:lang w:val="en-GB"/>
        </w:rPr>
      </w:pPr>
      <w:r w:rsidRPr="00BC131D">
        <w:rPr>
          <w:rFonts w:cs="Arial"/>
          <w:i/>
          <w:iCs/>
          <w:lang w:val="en-GB"/>
        </w:rPr>
        <w:t>"</w:t>
      </w:r>
      <w:r w:rsidR="00B85B05" w:rsidRPr="00B85B05">
        <w:rPr>
          <w:rFonts w:cs="Arial"/>
          <w:b/>
          <w:i/>
          <w:iCs/>
          <w:lang w:val="en-GB"/>
        </w:rPr>
        <w:t>Not identified</w:t>
      </w:r>
      <w:r w:rsidRPr="00BC131D">
        <w:rPr>
          <w:rFonts w:cs="Arial"/>
          <w:i/>
          <w:iCs/>
          <w:lang w:val="en-GB"/>
        </w:rPr>
        <w:t xml:space="preserve">" in the tables stays for refused answers, answers “I do not know”, and any other case of an unidentified answer of the respondent. </w:t>
      </w:r>
    </w:p>
    <w:p w:rsidR="00B85B05" w:rsidRDefault="00B85B05" w:rsidP="00B85B05">
      <w:pPr>
        <w:pStyle w:val="Odstavec"/>
        <w:tabs>
          <w:tab w:val="left" w:pos="2127"/>
        </w:tabs>
        <w:spacing w:before="0"/>
        <w:ind w:firstLine="0"/>
        <w:jc w:val="both"/>
        <w:rPr>
          <w:rFonts w:cs="Arial"/>
          <w:i/>
          <w:iCs/>
          <w:lang w:val="en-GB"/>
        </w:rPr>
      </w:pPr>
    </w:p>
    <w:p w:rsidR="00B85B05" w:rsidRDefault="00EA3A4E" w:rsidP="00B85B05">
      <w:pPr>
        <w:pStyle w:val="Odstavec"/>
        <w:numPr>
          <w:ilvl w:val="0"/>
          <w:numId w:val="5"/>
        </w:numPr>
        <w:spacing w:before="0"/>
        <w:ind w:left="1134" w:hanging="425"/>
        <w:jc w:val="both"/>
        <w:rPr>
          <w:rFonts w:cs="Arial"/>
          <w:szCs w:val="20"/>
          <w:lang w:val="en-GB"/>
        </w:rPr>
      </w:pPr>
      <w:r w:rsidRPr="00BC131D">
        <w:rPr>
          <w:rFonts w:cs="Arial"/>
          <w:i/>
          <w:iCs/>
          <w:lang w:val="en-GB"/>
        </w:rPr>
        <w:t xml:space="preserve">In the </w:t>
      </w:r>
      <w:r w:rsidR="00B85B05" w:rsidRPr="00B85B05">
        <w:rPr>
          <w:rFonts w:cs="Arial"/>
          <w:b/>
          <w:i/>
          <w:iCs/>
          <w:lang w:val="en-GB"/>
        </w:rPr>
        <w:t>publications based on the LFSS results</w:t>
      </w:r>
      <w:r w:rsidRPr="00BC131D">
        <w:rPr>
          <w:rFonts w:cs="Arial"/>
          <w:i/>
          <w:iCs/>
          <w:lang w:val="en-GB"/>
        </w:rPr>
        <w:t xml:space="preserve"> (Labour Market in the CR, Employment and Unemployment in the CR as Measured by the Labour Force Sample Survey – Quarterly Data, Annual Averages) data provided are broken down in a greater detail by age, educational attainment, region, etc. You can find these publications on the CZSO website at:</w:t>
      </w:r>
      <w:r w:rsidR="00001FD4" w:rsidRPr="00BC131D">
        <w:rPr>
          <w:rFonts w:cs="Arial"/>
          <w:i/>
          <w:iCs/>
          <w:lang w:val="en-GB"/>
        </w:rPr>
        <w:t xml:space="preserve"> </w:t>
      </w:r>
      <w:hyperlink r:id="rId7" w:history="1">
        <w:r w:rsidR="00001FD4" w:rsidRPr="00BC131D">
          <w:rPr>
            <w:rStyle w:val="Hypertextovodkaz"/>
            <w:rFonts w:cs="Arial"/>
            <w:szCs w:val="20"/>
            <w:lang w:val="en-GB"/>
          </w:rPr>
          <w:t>https://www.czso.cz/csu/czso/employment-and-unemployment</w:t>
        </w:r>
      </w:hyperlink>
      <w:r w:rsidR="00001FD4" w:rsidRPr="00BC131D">
        <w:rPr>
          <w:rFonts w:cs="Arial"/>
          <w:szCs w:val="20"/>
          <w:lang w:val="en-GB"/>
        </w:rPr>
        <w:t xml:space="preserve"> </w:t>
      </w:r>
      <w:r w:rsidRPr="00BC131D">
        <w:rPr>
          <w:rFonts w:cs="Arial"/>
          <w:color w:val="000000"/>
          <w:szCs w:val="20"/>
          <w:lang w:val="en-GB"/>
        </w:rPr>
        <w:t>.</w:t>
      </w:r>
    </w:p>
    <w:p w:rsidR="00000000" w:rsidRDefault="006A234B">
      <w:pPr>
        <w:pBdr>
          <w:bottom w:val="single" w:sz="4" w:space="1"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i/>
          <w:sz w:val="20"/>
          <w:szCs w:val="17"/>
          <w:lang w:val="en-GB"/>
        </w:rPr>
        <w:tab/>
      </w:r>
    </w:p>
    <w:p w:rsid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p>
    <w:p w:rsidR="00F17B8F" w:rsidRPr="00BC131D" w:rsidRDefault="00F17B8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BC131D" w:rsidRPr="00BC131D" w:rsidRDefault="00B85B05" w:rsidP="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i/>
          <w:sz w:val="20"/>
          <w:szCs w:val="17"/>
          <w:lang w:val="en-GB"/>
        </w:rPr>
      </w:pPr>
      <w:r w:rsidRPr="00B85B05">
        <w:rPr>
          <w:rFonts w:ascii="Arial" w:hAnsi="Arial" w:cs="Arial"/>
          <w:b/>
          <w:i/>
          <w:sz w:val="20"/>
          <w:szCs w:val="17"/>
          <w:lang w:val="en-GB"/>
        </w:rPr>
        <w:t>B. Wages and labour costs</w:t>
      </w:r>
    </w:p>
    <w:p w:rsidR="00BC131D" w:rsidRPr="00BC131D" w:rsidRDefault="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135F6F"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sidRPr="00BC131D">
        <w:rPr>
          <w:rFonts w:ascii="Arial" w:hAnsi="Arial" w:cs="Arial"/>
          <w:i/>
          <w:iCs/>
          <w:sz w:val="20"/>
          <w:lang w:val="en-GB"/>
        </w:rPr>
        <w:t xml:space="preserve">Results in Tables 4-35 to 4-36 are taken over from the CZSO data publication of </w:t>
      </w:r>
      <w:r w:rsidR="00B85B05" w:rsidRPr="00B85B05">
        <w:rPr>
          <w:rFonts w:ascii="Arial" w:hAnsi="Arial" w:cs="Arial"/>
          <w:b/>
          <w:i/>
          <w:iCs/>
          <w:sz w:val="20"/>
          <w:lang w:val="en-GB"/>
        </w:rPr>
        <w:t>Structure of Earnings Survey</w:t>
      </w:r>
      <w:r w:rsidRPr="00BC131D">
        <w:rPr>
          <w:rFonts w:ascii="Arial" w:hAnsi="Arial" w:cs="Arial"/>
          <w:i/>
          <w:iCs/>
          <w:sz w:val="20"/>
          <w:lang w:val="en-GB"/>
        </w:rPr>
        <w:t xml:space="preserve"> based on the </w:t>
      </w:r>
      <w:r w:rsidR="00CE73F8" w:rsidRPr="00BC131D">
        <w:rPr>
          <w:rFonts w:ascii="Arial" w:hAnsi="Arial" w:cs="Arial"/>
          <w:i/>
          <w:iCs/>
          <w:sz w:val="20"/>
          <w:lang w:val="en-GB"/>
        </w:rPr>
        <w:t xml:space="preserve">Information System on </w:t>
      </w:r>
      <w:r w:rsidRPr="00BC131D">
        <w:rPr>
          <w:rFonts w:ascii="Arial" w:hAnsi="Arial" w:cs="Arial"/>
          <w:i/>
          <w:iCs/>
          <w:sz w:val="20"/>
          <w:lang w:val="en-GB"/>
        </w:rPr>
        <w:t>Average Earnings, which is administered by the Ministry of Labour and Social Affairs, and on the Salary Information System, which is administered by the Ministry of Finance.</w:t>
      </w:r>
      <w:r w:rsidR="007A72B0" w:rsidRPr="00BC131D">
        <w:rPr>
          <w:rFonts w:ascii="Arial" w:hAnsi="Arial" w:cs="Arial"/>
          <w:i/>
          <w:iCs/>
          <w:sz w:val="20"/>
          <w:lang w:val="en-GB"/>
        </w:rPr>
        <w:br/>
      </w:r>
      <w:r w:rsidR="007A72B0" w:rsidRPr="00BC131D">
        <w:rPr>
          <w:rFonts w:ascii="Arial" w:hAnsi="Arial" w:cs="Arial"/>
          <w:i/>
          <w:iCs/>
          <w:sz w:val="20"/>
          <w:lang w:val="en-GB"/>
        </w:rPr>
        <w:lastRenderedPageBreak/>
        <w:t>The publication,</w:t>
      </w:r>
      <w:r w:rsidR="00E76151" w:rsidRPr="00BC131D">
        <w:rPr>
          <w:rFonts w:ascii="Arial" w:hAnsi="Arial" w:cs="Arial"/>
          <w:i/>
          <w:iCs/>
          <w:sz w:val="20"/>
          <w:lang w:val="en-GB"/>
        </w:rPr>
        <w:t xml:space="preserve"> including</w:t>
      </w:r>
      <w:r w:rsidR="007A72B0" w:rsidRPr="00BC131D">
        <w:rPr>
          <w:rFonts w:ascii="Arial" w:hAnsi="Arial" w:cs="Arial"/>
          <w:i/>
          <w:iCs/>
          <w:sz w:val="20"/>
          <w:lang w:val="en-GB"/>
        </w:rPr>
        <w:t xml:space="preserve"> the methodology applied, </w:t>
      </w:r>
      <w:r w:rsidR="00E76151" w:rsidRPr="00BC131D">
        <w:rPr>
          <w:rFonts w:ascii="Arial" w:hAnsi="Arial" w:cs="Arial"/>
          <w:i/>
          <w:iCs/>
          <w:sz w:val="20"/>
          <w:lang w:val="en-GB"/>
        </w:rPr>
        <w:t xml:space="preserve">is available at </w:t>
      </w:r>
      <w:hyperlink r:id="rId8" w:history="1">
        <w:r w:rsidR="00B85B05" w:rsidRPr="00B85B05">
          <w:rPr>
            <w:rStyle w:val="Hypertextovodkaz"/>
            <w:rFonts w:ascii="Arial" w:hAnsi="Arial" w:cs="Arial"/>
            <w:sz w:val="20"/>
            <w:szCs w:val="17"/>
            <w:lang w:val="en-GB"/>
          </w:rPr>
          <w:t>https://www.czso.cz/csu/czso/struktura-mezd-zamestnancu-2018</w:t>
        </w:r>
      </w:hyperlink>
      <w:r w:rsidR="00B85B05" w:rsidRPr="00B85B05">
        <w:rPr>
          <w:rFonts w:ascii="Arial" w:hAnsi="Arial" w:cs="Arial"/>
          <w:sz w:val="20"/>
          <w:szCs w:val="17"/>
          <w:lang w:val="en-GB"/>
        </w:rPr>
        <w:t xml:space="preserve"> .</w:t>
      </w:r>
    </w:p>
    <w:p w:rsidR="00AD797A" w:rsidRPr="00BC131D" w:rsidRDefault="00AD797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B85B05" w:rsidRDefault="00E76151" w:rsidP="00B85B05">
      <w:pPr>
        <w:jc w:val="both"/>
        <w:rPr>
          <w:rFonts w:ascii="Arial" w:hAnsi="Arial" w:cs="Arial"/>
          <w:i/>
          <w:iCs/>
          <w:sz w:val="20"/>
          <w:lang w:val="en-GB"/>
        </w:rPr>
      </w:pPr>
      <w:r w:rsidRPr="00BC131D">
        <w:rPr>
          <w:rFonts w:ascii="Arial" w:hAnsi="Arial" w:cs="Arial"/>
          <w:bCs/>
          <w:i/>
          <w:iCs/>
          <w:sz w:val="20"/>
          <w:lang w:val="en-GB" w:eastAsia="en-US"/>
        </w:rPr>
        <w:t xml:space="preserve">The </w:t>
      </w:r>
      <w:r w:rsidRPr="00BC131D">
        <w:rPr>
          <w:rFonts w:ascii="Arial" w:hAnsi="Arial" w:cs="Arial"/>
          <w:b/>
          <w:bCs/>
          <w:i/>
          <w:iCs/>
          <w:sz w:val="20"/>
          <w:lang w:val="en-GB" w:eastAsia="en-US"/>
        </w:rPr>
        <w:t>GPG</w:t>
      </w:r>
      <w:r w:rsidRPr="00BC131D">
        <w:rPr>
          <w:rFonts w:ascii="Arial" w:hAnsi="Arial" w:cs="Arial"/>
          <w:i/>
          <w:iCs/>
          <w:sz w:val="20"/>
          <w:lang w:val="en-GB" w:eastAsia="en-US"/>
        </w:rPr>
        <w:t xml:space="preserve"> means the gender pay gap, which is the relative difference in the average wage or median wage of males and of females related to the median wage of males and expressed as percentage. A higher value of the GPG does not necessarily mean discrimination on the labour market. In most cases the difference can be explained by the influence of other factors, which have a different structure for males and females. These are, besides education, for example, economic activities, occupations, number of hours worked, etc.</w:t>
      </w:r>
    </w:p>
    <w:p w:rsidR="0019321A" w:rsidRPr="00BC131D" w:rsidRDefault="0019321A" w:rsidP="00501047">
      <w:pPr>
        <w:pStyle w:val="Normlnweb"/>
        <w:spacing w:before="0" w:beforeAutospacing="0" w:after="0" w:afterAutospacing="0"/>
        <w:jc w:val="both"/>
        <w:rPr>
          <w:rFonts w:ascii="Arial" w:hAnsi="Arial" w:cs="Arial"/>
          <w:i/>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4251FE" w:rsidRPr="00BC131D">
        <w:rPr>
          <w:rFonts w:ascii="Arial" w:hAnsi="Arial" w:cs="Arial"/>
          <w:b/>
          <w:bCs/>
          <w:i/>
          <w:iCs/>
          <w:sz w:val="20"/>
          <w:lang w:val="en-GB"/>
        </w:rPr>
        <w:t xml:space="preserve">Job </w:t>
      </w:r>
      <w:r w:rsidRPr="00BC131D">
        <w:rPr>
          <w:rFonts w:ascii="Arial" w:hAnsi="Arial" w:cs="Arial"/>
          <w:b/>
          <w:bCs/>
          <w:i/>
          <w:iCs/>
          <w:sz w:val="20"/>
          <w:lang w:val="en-GB"/>
        </w:rPr>
        <w:t>applicants</w:t>
      </w:r>
      <w:r w:rsidR="004251FE" w:rsidRPr="00BC131D">
        <w:rPr>
          <w:rFonts w:ascii="Arial" w:hAnsi="Arial" w:cs="Arial"/>
          <w:b/>
          <w:bCs/>
          <w:i/>
          <w:iCs/>
          <w:sz w:val="20"/>
          <w:lang w:val="en-GB"/>
        </w:rPr>
        <w:t xml:space="preserve"> kept in the labour office register</w:t>
      </w:r>
      <w:r w:rsidRPr="00BC131D">
        <w:rPr>
          <w:rFonts w:ascii="Arial" w:hAnsi="Arial" w:cs="Arial"/>
          <w:i/>
          <w:iCs/>
          <w:sz w:val="20"/>
          <w:lang w:val="en-GB"/>
        </w:rPr>
        <w:t xml:space="preserve"> are </w:t>
      </w:r>
      <w:r w:rsidR="00E0386C">
        <w:rPr>
          <w:rFonts w:ascii="Arial" w:hAnsi="Arial" w:cs="Arial"/>
          <w:i/>
          <w:iCs/>
          <w:sz w:val="20"/>
          <w:lang w:val="en-GB"/>
        </w:rPr>
        <w:t>natural persons</w:t>
      </w:r>
      <w:r w:rsidR="00E0386C" w:rsidRPr="00BC131D">
        <w:rPr>
          <w:rFonts w:ascii="Arial" w:hAnsi="Arial" w:cs="Arial"/>
          <w:i/>
          <w:iCs/>
          <w:sz w:val="20"/>
          <w:lang w:val="en-GB"/>
        </w:rPr>
        <w:t xml:space="preserve"> </w:t>
      </w:r>
      <w:r w:rsidRPr="00BC131D">
        <w:rPr>
          <w:rFonts w:ascii="Arial" w:hAnsi="Arial" w:cs="Arial"/>
          <w:i/>
          <w:iCs/>
          <w:sz w:val="20"/>
          <w:lang w:val="en-GB"/>
        </w:rPr>
        <w:t>having permanent residence in the area</w:t>
      </w:r>
      <w:r w:rsidR="005E5B7A" w:rsidRPr="00BC131D">
        <w:rPr>
          <w:rFonts w:ascii="Arial" w:hAnsi="Arial" w:cs="Arial"/>
          <w:i/>
          <w:iCs/>
          <w:sz w:val="20"/>
          <w:lang w:val="en-GB"/>
        </w:rPr>
        <w:t xml:space="preserve"> of a </w:t>
      </w:r>
      <w:r w:rsidR="0055700C" w:rsidRPr="00BC131D">
        <w:rPr>
          <w:rFonts w:ascii="Arial" w:hAnsi="Arial" w:cs="Arial"/>
          <w:i/>
          <w:iCs/>
          <w:sz w:val="20"/>
          <w:lang w:val="en-GB"/>
        </w:rPr>
        <w:t xml:space="preserve">labour office </w:t>
      </w:r>
      <w:r w:rsidR="005E5B7A" w:rsidRPr="00BC131D">
        <w:rPr>
          <w:rFonts w:ascii="Arial" w:hAnsi="Arial" w:cs="Arial"/>
          <w:i/>
          <w:iCs/>
          <w:sz w:val="20"/>
          <w:lang w:val="en-GB"/>
        </w:rPr>
        <w:t>regi</w:t>
      </w:r>
      <w:r w:rsidR="0055700C" w:rsidRPr="00BC131D">
        <w:rPr>
          <w:rFonts w:ascii="Arial" w:hAnsi="Arial" w:cs="Arial"/>
          <w:i/>
          <w:iCs/>
          <w:sz w:val="20"/>
          <w:lang w:val="en-GB"/>
        </w:rPr>
        <w:t>o</w:t>
      </w:r>
      <w:r w:rsidR="005E5B7A" w:rsidRPr="00BC131D">
        <w:rPr>
          <w:rFonts w:ascii="Arial" w:hAnsi="Arial" w:cs="Arial"/>
          <w:i/>
          <w:iCs/>
          <w:sz w:val="20"/>
          <w:lang w:val="en-GB"/>
        </w:rPr>
        <w:t>nal branch</w:t>
      </w:r>
      <w:r w:rsidRPr="00BC131D">
        <w:rPr>
          <w:rFonts w:ascii="Arial" w:hAnsi="Arial" w:cs="Arial"/>
          <w:i/>
          <w:iCs/>
          <w:sz w:val="20"/>
          <w:lang w:val="en-GB"/>
        </w:rPr>
        <w:t xml:space="preserve">, who have asked </w:t>
      </w:r>
      <w:r w:rsidR="00E0386C">
        <w:rPr>
          <w:rFonts w:ascii="Arial" w:hAnsi="Arial" w:cs="Arial"/>
          <w:i/>
          <w:iCs/>
          <w:sz w:val="20"/>
          <w:lang w:val="en-GB"/>
        </w:rPr>
        <w:t xml:space="preserve">in person </w:t>
      </w:r>
      <w:r w:rsidR="005E5B7A" w:rsidRPr="00BC131D">
        <w:rPr>
          <w:rFonts w:ascii="Arial" w:hAnsi="Arial" w:cs="Arial"/>
          <w:i/>
          <w:iCs/>
          <w:sz w:val="20"/>
          <w:lang w:val="en-GB"/>
        </w:rPr>
        <w:t>the</w:t>
      </w:r>
      <w:r w:rsidRPr="00BC131D">
        <w:rPr>
          <w:rFonts w:ascii="Arial" w:hAnsi="Arial" w:cs="Arial"/>
          <w:i/>
          <w:iCs/>
          <w:sz w:val="20"/>
          <w:lang w:val="en-GB"/>
        </w:rPr>
        <w:t xml:space="preserve"> labour office to facilitate a suitable job for them.</w:t>
      </w:r>
      <w:r w:rsidR="005E5B7A" w:rsidRPr="00BC131D">
        <w:rPr>
          <w:rFonts w:ascii="Arial" w:hAnsi="Arial" w:cs="Arial"/>
          <w:i/>
          <w:iCs/>
          <w:sz w:val="20"/>
          <w:lang w:val="en-GB"/>
        </w:rPr>
        <w:t xml:space="preserve"> In case they comply with conditions stipulated by law the </w:t>
      </w:r>
      <w:r w:rsidR="00CE6F0F" w:rsidRPr="00BC131D">
        <w:rPr>
          <w:rFonts w:ascii="Arial" w:hAnsi="Arial" w:cs="Arial"/>
          <w:i/>
          <w:iCs/>
          <w:sz w:val="20"/>
          <w:lang w:val="en-GB"/>
        </w:rPr>
        <w:t>regional</w:t>
      </w:r>
      <w:r w:rsidR="005E5B7A" w:rsidRPr="00BC131D">
        <w:rPr>
          <w:rFonts w:ascii="Arial" w:hAnsi="Arial" w:cs="Arial"/>
          <w:i/>
          <w:iCs/>
          <w:sz w:val="20"/>
          <w:lang w:val="en-GB"/>
        </w:rPr>
        <w:t xml:space="preserve"> branch of the labour office put them </w:t>
      </w:r>
      <w:r w:rsidR="0055700C" w:rsidRPr="00BC131D">
        <w:rPr>
          <w:rFonts w:ascii="Arial" w:hAnsi="Arial" w:cs="Arial"/>
          <w:i/>
          <w:iCs/>
          <w:sz w:val="20"/>
          <w:lang w:val="en-GB"/>
        </w:rPr>
        <w:t>into</w:t>
      </w:r>
      <w:r w:rsidR="005E5B7A" w:rsidRPr="00BC131D">
        <w:rPr>
          <w:rFonts w:ascii="Arial" w:hAnsi="Arial" w:cs="Arial"/>
          <w:i/>
          <w:iCs/>
          <w:sz w:val="20"/>
          <w:lang w:val="en-GB"/>
        </w:rPr>
        <w:t xml:space="preserve"> the job applicants register.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97929"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sz w:val="20"/>
          <w:szCs w:val="17"/>
          <w:lang w:val="en-GB"/>
        </w:rPr>
        <w:tab/>
        <w:t xml:space="preserve">The </w:t>
      </w:r>
      <w:r w:rsidRPr="00BC131D">
        <w:rPr>
          <w:rFonts w:ascii="Arial" w:hAnsi="Arial" w:cs="Arial"/>
          <w:b/>
          <w:i/>
          <w:sz w:val="20"/>
          <w:szCs w:val="17"/>
          <w:lang w:val="en-GB"/>
        </w:rPr>
        <w:t>share of unemployed persons</w:t>
      </w:r>
      <w:r w:rsidRPr="00BC131D">
        <w:rPr>
          <w:rFonts w:ascii="Arial" w:hAnsi="Arial" w:cs="Arial"/>
          <w:i/>
          <w:iCs/>
          <w:sz w:val="20"/>
          <w:lang w:val="en-GB"/>
        </w:rPr>
        <w:t xml:space="preserve"> is the percentage of available job applicants</w:t>
      </w:r>
      <w:r w:rsidR="00FC6C10" w:rsidRPr="00BC131D">
        <w:rPr>
          <w:rFonts w:ascii="Arial" w:hAnsi="Arial" w:cs="Arial"/>
          <w:i/>
          <w:iCs/>
          <w:sz w:val="20"/>
          <w:lang w:val="en-GB"/>
        </w:rPr>
        <w:t xml:space="preserve"> kept in the labour office register</w:t>
      </w:r>
      <w:r w:rsidRPr="00BC131D">
        <w:rPr>
          <w:rFonts w:ascii="Arial" w:hAnsi="Arial" w:cs="Arial"/>
          <w:i/>
          <w:iCs/>
          <w:sz w:val="20"/>
          <w:lang w:val="en-GB"/>
        </w:rPr>
        <w:t xml:space="preserve"> aged 15</w:t>
      </w:r>
      <w:r w:rsidR="005E5B7A" w:rsidRPr="00BC131D">
        <w:rPr>
          <w:rFonts w:ascii="Arial" w:hAnsi="Arial" w:cs="Arial"/>
          <w:i/>
          <w:iCs/>
          <w:sz w:val="20"/>
          <w:lang w:val="en-GB"/>
        </w:rPr>
        <w:t>–</w:t>
      </w:r>
      <w:r w:rsidRPr="00BC131D">
        <w:rPr>
          <w:rFonts w:ascii="Arial" w:hAnsi="Arial" w:cs="Arial"/>
          <w:i/>
          <w:iCs/>
          <w:sz w:val="20"/>
          <w:lang w:val="en-GB"/>
        </w:rPr>
        <w:t xml:space="preserve">64 years in the population of the same age. The Ministry of Labour and Social Affairs started to publish the new indicator monthly since November 2012. The indicator replaced the registered unemployment rate published before, which measures all available job applicants only to economically active persons. Since January 2013 data are published only according to the new calculation. </w:t>
      </w:r>
    </w:p>
    <w:p w:rsidR="00AF2F40"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p>
    <w:p w:rsidR="00000000" w:rsidRDefault="00FA2EBA">
      <w:pPr>
        <w:tabs>
          <w:tab w:val="left" w:pos="1"/>
          <w:tab w:val="left" w:pos="708"/>
          <w:tab w:val="left" w:pos="1134"/>
          <w:tab w:val="left" w:pos="283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00000" w:rsidRDefault="00FA2EBA">
      <w:pPr>
        <w:pBdr>
          <w:top w:val="single" w:sz="4" w:space="1"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E76151"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Classifications used</w:t>
      </w:r>
    </w:p>
    <w:p w:rsidR="00E76151" w:rsidRPr="00BC131D" w:rsidRDefault="00E76151">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Data on </w:t>
      </w:r>
      <w:r w:rsidR="00B85B05" w:rsidRPr="00B85B05">
        <w:rPr>
          <w:rFonts w:ascii="Arial" w:hAnsi="Arial" w:cs="Arial"/>
          <w:b/>
          <w:i/>
          <w:iCs/>
          <w:sz w:val="20"/>
          <w:lang w:val="en-GB"/>
        </w:rPr>
        <w:t>economic activities</w:t>
      </w:r>
      <w:r w:rsidRPr="00BC131D">
        <w:rPr>
          <w:rFonts w:ascii="Arial" w:hAnsi="Arial" w:cs="Arial"/>
          <w:i/>
          <w:iCs/>
          <w:sz w:val="20"/>
          <w:lang w:val="en-GB"/>
        </w:rPr>
        <w:t xml:space="preserve"> are broken down by section of the Classification of Economic Activities (</w:t>
      </w:r>
      <w:r w:rsidR="00B85B05" w:rsidRPr="00B85B05">
        <w:rPr>
          <w:rFonts w:ascii="Arial" w:hAnsi="Arial" w:cs="Arial"/>
          <w:i/>
          <w:iCs/>
          <w:sz w:val="20"/>
          <w:lang w:val="en-GB"/>
        </w:rPr>
        <w:t>CZ-NACE</w:t>
      </w:r>
      <w:r w:rsidRPr="00BC131D">
        <w:rPr>
          <w:rFonts w:ascii="Arial" w:hAnsi="Arial" w:cs="Arial"/>
          <w:i/>
          <w:iCs/>
          <w:sz w:val="20"/>
          <w:lang w:val="en-GB"/>
        </w:rPr>
        <w:t xml:space="preserve">), </w:t>
      </w:r>
      <w:r w:rsidR="004251FE" w:rsidRPr="00BC131D">
        <w:rPr>
          <w:rFonts w:ascii="Arial" w:hAnsi="Arial" w:cs="Arial"/>
          <w:i/>
          <w:iCs/>
          <w:sz w:val="20"/>
          <w:lang w:val="en-GB"/>
        </w:rPr>
        <w:t xml:space="preserve">the </w:t>
      </w:r>
      <w:r w:rsidRPr="00BC131D">
        <w:rPr>
          <w:rFonts w:ascii="Arial" w:hAnsi="Arial" w:cs="Arial"/>
          <w:i/>
          <w:iCs/>
          <w:sz w:val="20"/>
          <w:lang w:val="en-GB"/>
        </w:rPr>
        <w:t xml:space="preserve">version valid </w:t>
      </w:r>
      <w:r w:rsidR="004251FE" w:rsidRPr="00BC131D">
        <w:rPr>
          <w:rFonts w:ascii="Arial" w:hAnsi="Arial" w:cs="Arial"/>
          <w:i/>
          <w:iCs/>
          <w:sz w:val="20"/>
          <w:lang w:val="en-GB"/>
        </w:rPr>
        <w:t xml:space="preserve">since </w:t>
      </w:r>
      <w:r w:rsidRPr="00BC131D">
        <w:rPr>
          <w:rFonts w:ascii="Arial" w:hAnsi="Arial" w:cs="Arial"/>
          <w:i/>
          <w:iCs/>
          <w:sz w:val="20"/>
          <w:lang w:val="en-GB"/>
        </w:rPr>
        <w:t xml:space="preserve">1 January 2008. </w:t>
      </w:r>
      <w:r w:rsidR="006A234B" w:rsidRPr="00BC131D">
        <w:rPr>
          <w:rFonts w:ascii="Arial" w:hAnsi="Arial" w:cs="Arial"/>
          <w:i/>
          <w:iCs/>
          <w:sz w:val="20"/>
          <w:lang w:val="en-GB"/>
        </w:rPr>
        <w:t xml:space="preserve">The Classification </w:t>
      </w:r>
      <w:r w:rsidR="005E5B7A" w:rsidRPr="00BC131D">
        <w:rPr>
          <w:rFonts w:ascii="Arial" w:hAnsi="Arial" w:cs="Arial"/>
          <w:i/>
          <w:iCs/>
          <w:sz w:val="20"/>
          <w:lang w:val="en-GB"/>
        </w:rPr>
        <w:t xml:space="preserve">is a national version that fully </w:t>
      </w:r>
      <w:r w:rsidR="006A234B" w:rsidRPr="00BC131D">
        <w:rPr>
          <w:rFonts w:ascii="Arial" w:hAnsi="Arial" w:cs="Arial"/>
          <w:i/>
          <w:iCs/>
          <w:sz w:val="20"/>
          <w:lang w:val="en-GB"/>
        </w:rPr>
        <w:t xml:space="preserve">corresponds to the international Statistical Classification of Economic </w:t>
      </w:r>
      <w:r w:rsidRPr="00BC131D">
        <w:rPr>
          <w:rFonts w:ascii="Arial" w:hAnsi="Arial" w:cs="Arial"/>
          <w:i/>
          <w:iCs/>
          <w:sz w:val="20"/>
          <w:lang w:val="en-GB"/>
        </w:rPr>
        <w:t>Activities</w:t>
      </w:r>
      <w:r w:rsidR="006A234B" w:rsidRPr="00BC131D">
        <w:rPr>
          <w:rFonts w:ascii="Arial" w:hAnsi="Arial" w:cs="Arial"/>
          <w:i/>
          <w:iCs/>
          <w:sz w:val="20"/>
          <w:lang w:val="en-GB"/>
        </w:rPr>
        <w:t xml:space="preserve"> in the European Community (NACE Rev. 2).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The breakdown by </w:t>
      </w:r>
      <w:r w:rsidR="00B85B05" w:rsidRPr="00B85B05">
        <w:rPr>
          <w:rFonts w:ascii="Arial" w:hAnsi="Arial" w:cs="Arial"/>
          <w:b/>
          <w:i/>
          <w:iCs/>
          <w:sz w:val="20"/>
          <w:lang w:val="en-GB"/>
        </w:rPr>
        <w:t>occupation</w:t>
      </w:r>
      <w:r w:rsidRPr="00BC131D">
        <w:rPr>
          <w:rFonts w:ascii="Arial" w:hAnsi="Arial" w:cs="Arial"/>
          <w:i/>
          <w:iCs/>
          <w:sz w:val="20"/>
          <w:lang w:val="en-GB"/>
        </w:rPr>
        <w:t xml:space="preserve"> is made according to the classification of </w:t>
      </w:r>
      <w:r w:rsidRPr="00BC131D">
        <w:rPr>
          <w:rFonts w:ascii="Arial" w:hAnsi="Arial" w:cs="Arial"/>
          <w:b/>
          <w:i/>
          <w:iCs/>
          <w:sz w:val="20"/>
          <w:lang w:val="en-GB"/>
        </w:rPr>
        <w:t>CZ-ISCO</w:t>
      </w:r>
      <w:r w:rsidR="006A234B" w:rsidRPr="00BC131D">
        <w:rPr>
          <w:rFonts w:ascii="Arial" w:hAnsi="Arial" w:cs="Arial"/>
          <w:i/>
          <w:iCs/>
          <w:sz w:val="20"/>
          <w:lang w:val="en-GB"/>
        </w:rPr>
        <w:t xml:space="preserve">, </w:t>
      </w:r>
      <w:r w:rsidRPr="00BC131D">
        <w:rPr>
          <w:rFonts w:ascii="Arial" w:hAnsi="Arial" w:cs="Arial"/>
          <w:i/>
          <w:iCs/>
          <w:sz w:val="20"/>
          <w:lang w:val="en-GB"/>
        </w:rPr>
        <w:t xml:space="preserve">effective since 1 January 2011, which is the Czech </w:t>
      </w:r>
      <w:r w:rsidR="005E5B7A" w:rsidRPr="00BC131D">
        <w:rPr>
          <w:rFonts w:ascii="Arial" w:hAnsi="Arial" w:cs="Arial"/>
          <w:i/>
          <w:iCs/>
          <w:sz w:val="20"/>
          <w:lang w:val="en-GB"/>
        </w:rPr>
        <w:t xml:space="preserve">national </w:t>
      </w:r>
      <w:r w:rsidRPr="00BC131D">
        <w:rPr>
          <w:rFonts w:ascii="Arial" w:hAnsi="Arial" w:cs="Arial"/>
          <w:i/>
          <w:iCs/>
          <w:sz w:val="20"/>
          <w:lang w:val="en-GB"/>
        </w:rPr>
        <w:t xml:space="preserve">version of the </w:t>
      </w:r>
      <w:r w:rsidR="006A234B" w:rsidRPr="00BC131D">
        <w:rPr>
          <w:rFonts w:ascii="Arial" w:hAnsi="Arial" w:cs="Arial"/>
          <w:i/>
          <w:iCs/>
          <w:sz w:val="20"/>
          <w:lang w:val="en-GB"/>
        </w:rPr>
        <w:t>International Standard Classification of Occupations 2008 (ISCO-08)</w:t>
      </w:r>
      <w:r w:rsidRPr="00BC131D">
        <w:rPr>
          <w:rFonts w:ascii="Arial" w:hAnsi="Arial" w:cs="Arial"/>
          <w:i/>
          <w:iCs/>
          <w:sz w:val="20"/>
          <w:lang w:val="en-GB"/>
        </w:rPr>
        <w:t xml:space="preserve">. </w:t>
      </w:r>
    </w:p>
    <w:p w:rsidR="00374ACC" w:rsidRPr="00BC131D"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Since 2014 the EU Member States use the </w:t>
      </w:r>
      <w:r w:rsidR="006A234B" w:rsidRPr="00BC131D">
        <w:rPr>
          <w:rFonts w:ascii="Arial" w:hAnsi="Arial" w:cs="Arial"/>
          <w:i/>
          <w:iCs/>
          <w:sz w:val="20"/>
          <w:lang w:val="en-GB"/>
        </w:rPr>
        <w:t>International Standard Classification of Education (</w:t>
      </w:r>
      <w:r w:rsidRPr="00BC131D">
        <w:rPr>
          <w:rFonts w:ascii="Arial" w:hAnsi="Arial" w:cs="Arial"/>
          <w:i/>
          <w:iCs/>
          <w:sz w:val="20"/>
          <w:lang w:val="en-GB"/>
        </w:rPr>
        <w:t xml:space="preserve">ISCED 2011) for the </w:t>
      </w:r>
      <w:r w:rsidR="00B85B05" w:rsidRPr="00B85B05">
        <w:rPr>
          <w:rFonts w:ascii="Arial" w:hAnsi="Arial" w:cs="Arial"/>
          <w:b/>
          <w:i/>
          <w:iCs/>
          <w:sz w:val="20"/>
          <w:lang w:val="en-GB"/>
        </w:rPr>
        <w:t>education statistics</w:t>
      </w:r>
      <w:r w:rsidRPr="00BC131D">
        <w:rPr>
          <w:rFonts w:ascii="Arial" w:hAnsi="Arial" w:cs="Arial"/>
          <w:i/>
          <w:iCs/>
          <w:sz w:val="20"/>
          <w:lang w:val="en-GB"/>
        </w:rPr>
        <w:t xml:space="preserve">. The </w:t>
      </w:r>
      <w:r w:rsidR="005E5B7A" w:rsidRPr="00BC131D">
        <w:rPr>
          <w:rFonts w:ascii="Arial" w:hAnsi="Arial" w:cs="Arial"/>
          <w:i/>
          <w:iCs/>
          <w:sz w:val="20"/>
          <w:lang w:val="en-GB"/>
        </w:rPr>
        <w:t xml:space="preserve">Czech national </w:t>
      </w:r>
      <w:r w:rsidRPr="00BC131D">
        <w:rPr>
          <w:rFonts w:ascii="Arial" w:hAnsi="Arial" w:cs="Arial"/>
          <w:i/>
          <w:iCs/>
          <w:sz w:val="20"/>
          <w:lang w:val="en-GB"/>
        </w:rPr>
        <w:t xml:space="preserve">classification of </w:t>
      </w:r>
      <w:r w:rsidRPr="00BC131D">
        <w:rPr>
          <w:rFonts w:ascii="Arial" w:hAnsi="Arial" w:cs="Arial"/>
          <w:b/>
          <w:i/>
          <w:iCs/>
          <w:sz w:val="20"/>
          <w:lang w:val="en-GB"/>
        </w:rPr>
        <w:t>CZ-ISCED 2011</w:t>
      </w:r>
      <w:r w:rsidRPr="00BC131D">
        <w:rPr>
          <w:rFonts w:ascii="Arial" w:hAnsi="Arial" w:cs="Arial"/>
          <w:i/>
          <w:iCs/>
          <w:sz w:val="20"/>
          <w:lang w:val="en-GB"/>
        </w:rPr>
        <w:t xml:space="preserve"> </w:t>
      </w:r>
      <w:r w:rsidR="005E5B7A" w:rsidRPr="00BC131D">
        <w:rPr>
          <w:rFonts w:ascii="Arial" w:hAnsi="Arial" w:cs="Arial"/>
          <w:i/>
          <w:iCs/>
          <w:sz w:val="20"/>
          <w:lang w:val="en-GB"/>
        </w:rPr>
        <w:t xml:space="preserve">fully </w:t>
      </w:r>
      <w:r w:rsidRPr="00BC131D">
        <w:rPr>
          <w:rFonts w:ascii="Arial" w:hAnsi="Arial" w:cs="Arial"/>
          <w:i/>
          <w:iCs/>
          <w:sz w:val="20"/>
          <w:lang w:val="en-GB"/>
        </w:rPr>
        <w:t xml:space="preserve">corresponds to the ISCED 2011. It is the translation of the international standard, which applies terminology </w:t>
      </w:r>
      <w:r w:rsidR="004251FE" w:rsidRPr="00BC131D">
        <w:rPr>
          <w:rFonts w:ascii="Arial" w:hAnsi="Arial" w:cs="Arial"/>
          <w:i/>
          <w:iCs/>
          <w:sz w:val="20"/>
          <w:lang w:val="en-GB"/>
        </w:rPr>
        <w:t xml:space="preserve">which is </w:t>
      </w:r>
      <w:r w:rsidRPr="00BC131D">
        <w:rPr>
          <w:rFonts w:ascii="Arial" w:hAnsi="Arial" w:cs="Arial"/>
          <w:i/>
          <w:iCs/>
          <w:sz w:val="20"/>
          <w:lang w:val="en-GB"/>
        </w:rPr>
        <w:t>established and in common use in the Czech Republic. The ISCED serves as a tool for the data collection and production of statistics on education, both on the national and international levels.</w:t>
      </w:r>
    </w:p>
    <w:p w:rsidR="00000000" w:rsidRDefault="00FA2EBA">
      <w:pPr>
        <w:pBdr>
          <w:bottom w:val="single" w:sz="4" w:space="1"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00000" w:rsidRDefault="00FA2EB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r w:rsidRPr="00B85B05">
        <w:rPr>
          <w:rFonts w:ascii="Arial" w:hAnsi="Arial" w:cs="Arial"/>
          <w:i/>
          <w:iCs/>
          <w:sz w:val="20"/>
          <w:lang w:val="en-GB"/>
        </w:rPr>
        <w:t xml:space="preserve">Working with tables it is necessary to keep in mind that data were acquired applying sampling methods and therefore their accuracy decreases as the sample diminishes. </w:t>
      </w: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p>
    <w:p w:rsidR="00FA2EBA" w:rsidRDefault="00FA2EB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sz w:val="20"/>
          <w:szCs w:val="20"/>
          <w:lang w:val="en-GB"/>
        </w:rPr>
      </w:pPr>
    </w:p>
    <w:sectPr w:rsidR="00FA2EBA" w:rsidSect="001844A4">
      <w:footerReference w:type="even" r:id="rId9"/>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BA" w:rsidRDefault="00FA2EBA">
      <w:r>
        <w:separator/>
      </w:r>
    </w:p>
  </w:endnote>
  <w:endnote w:type="continuationSeparator" w:id="0">
    <w:p w:rsidR="00FA2EBA" w:rsidRDefault="00FA2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66" w:rsidRDefault="00B85B05">
    <w:pPr>
      <w:pStyle w:val="Zpat"/>
      <w:framePr w:wrap="around" w:vAnchor="text" w:hAnchor="margin" w:xAlign="center" w:y="1"/>
      <w:rPr>
        <w:rStyle w:val="slostrnky"/>
      </w:rPr>
    </w:pPr>
    <w:r>
      <w:rPr>
        <w:rStyle w:val="slostrnky"/>
      </w:rPr>
      <w:fldChar w:fldCharType="begin"/>
    </w:r>
    <w:r w:rsidR="00FD7866">
      <w:rPr>
        <w:rStyle w:val="slostrnky"/>
      </w:rPr>
      <w:instrText xml:space="preserve">PAGE  </w:instrText>
    </w:r>
    <w:r>
      <w:rPr>
        <w:rStyle w:val="slostrnky"/>
      </w:rPr>
      <w:fldChar w:fldCharType="end"/>
    </w:r>
  </w:p>
  <w:p w:rsidR="00FD7866" w:rsidRDefault="00FD78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BA" w:rsidRDefault="00FA2EBA">
      <w:r>
        <w:separator/>
      </w:r>
    </w:p>
  </w:footnote>
  <w:footnote w:type="continuationSeparator" w:id="0">
    <w:p w:rsidR="00FA2EBA" w:rsidRDefault="00FA2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AA"/>
    <w:multiLevelType w:val="hybridMultilevel"/>
    <w:tmpl w:val="89227F50"/>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nsid w:val="3EFC0728"/>
    <w:multiLevelType w:val="hybridMultilevel"/>
    <w:tmpl w:val="2F203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BD3A51"/>
    <w:multiLevelType w:val="hybridMultilevel"/>
    <w:tmpl w:val="5D18EA28"/>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nsid w:val="5F103C5C"/>
    <w:multiLevelType w:val="hybridMultilevel"/>
    <w:tmpl w:val="93324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0777159"/>
    <w:multiLevelType w:val="hybridMultilevel"/>
    <w:tmpl w:val="DA127A0E"/>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nsid w:val="6D790BBF"/>
    <w:multiLevelType w:val="hybridMultilevel"/>
    <w:tmpl w:val="A0B24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A6C"/>
    <w:rsid w:val="00001FD4"/>
    <w:rsid w:val="00020DEE"/>
    <w:rsid w:val="00027C41"/>
    <w:rsid w:val="00035A1D"/>
    <w:rsid w:val="00047890"/>
    <w:rsid w:val="0007220F"/>
    <w:rsid w:val="00073FDA"/>
    <w:rsid w:val="00097929"/>
    <w:rsid w:val="000A477F"/>
    <w:rsid w:val="000A65D8"/>
    <w:rsid w:val="000B4402"/>
    <w:rsid w:val="000C4470"/>
    <w:rsid w:val="000E6249"/>
    <w:rsid w:val="000F18E7"/>
    <w:rsid w:val="000F41A0"/>
    <w:rsid w:val="001045D3"/>
    <w:rsid w:val="00126C1C"/>
    <w:rsid w:val="00135F6F"/>
    <w:rsid w:val="00165DC5"/>
    <w:rsid w:val="00182D82"/>
    <w:rsid w:val="001844A4"/>
    <w:rsid w:val="00190B9D"/>
    <w:rsid w:val="0019321A"/>
    <w:rsid w:val="00195455"/>
    <w:rsid w:val="001A381D"/>
    <w:rsid w:val="001A4F8A"/>
    <w:rsid w:val="001B36A9"/>
    <w:rsid w:val="001C12C2"/>
    <w:rsid w:val="001C48A9"/>
    <w:rsid w:val="001F1798"/>
    <w:rsid w:val="001F1DB9"/>
    <w:rsid w:val="001F27B7"/>
    <w:rsid w:val="001F52FE"/>
    <w:rsid w:val="0021405A"/>
    <w:rsid w:val="00216577"/>
    <w:rsid w:val="00235D76"/>
    <w:rsid w:val="00253706"/>
    <w:rsid w:val="002537CC"/>
    <w:rsid w:val="00260B30"/>
    <w:rsid w:val="00264C16"/>
    <w:rsid w:val="002767B0"/>
    <w:rsid w:val="00285369"/>
    <w:rsid w:val="0029146C"/>
    <w:rsid w:val="002D7F2A"/>
    <w:rsid w:val="002E16B0"/>
    <w:rsid w:val="002E57CB"/>
    <w:rsid w:val="002F3703"/>
    <w:rsid w:val="002F6D63"/>
    <w:rsid w:val="002F70F0"/>
    <w:rsid w:val="00322792"/>
    <w:rsid w:val="00322BDD"/>
    <w:rsid w:val="003249CD"/>
    <w:rsid w:val="00332C30"/>
    <w:rsid w:val="00333D99"/>
    <w:rsid w:val="00356606"/>
    <w:rsid w:val="00356F4A"/>
    <w:rsid w:val="00371139"/>
    <w:rsid w:val="0037220A"/>
    <w:rsid w:val="003727CB"/>
    <w:rsid w:val="00374ACC"/>
    <w:rsid w:val="003950DD"/>
    <w:rsid w:val="003A2472"/>
    <w:rsid w:val="003A6749"/>
    <w:rsid w:val="003B62C7"/>
    <w:rsid w:val="003C073D"/>
    <w:rsid w:val="003C0769"/>
    <w:rsid w:val="003D0ECB"/>
    <w:rsid w:val="003D72E9"/>
    <w:rsid w:val="003E0B44"/>
    <w:rsid w:val="003E4409"/>
    <w:rsid w:val="003F029B"/>
    <w:rsid w:val="003F3DF5"/>
    <w:rsid w:val="00403D5A"/>
    <w:rsid w:val="00406DE6"/>
    <w:rsid w:val="0041439E"/>
    <w:rsid w:val="00415D0F"/>
    <w:rsid w:val="00420054"/>
    <w:rsid w:val="004251FE"/>
    <w:rsid w:val="0043732A"/>
    <w:rsid w:val="00454F29"/>
    <w:rsid w:val="0046176F"/>
    <w:rsid w:val="00462EEB"/>
    <w:rsid w:val="00477428"/>
    <w:rsid w:val="0048224F"/>
    <w:rsid w:val="00485CD6"/>
    <w:rsid w:val="004923AE"/>
    <w:rsid w:val="004B3AF3"/>
    <w:rsid w:val="004D193F"/>
    <w:rsid w:val="00501047"/>
    <w:rsid w:val="00507C91"/>
    <w:rsid w:val="00510EF8"/>
    <w:rsid w:val="00514A93"/>
    <w:rsid w:val="005372B4"/>
    <w:rsid w:val="0055700C"/>
    <w:rsid w:val="005634D0"/>
    <w:rsid w:val="005704B4"/>
    <w:rsid w:val="00581C39"/>
    <w:rsid w:val="005A38A7"/>
    <w:rsid w:val="005B0D54"/>
    <w:rsid w:val="005B6E74"/>
    <w:rsid w:val="005C2B17"/>
    <w:rsid w:val="005C4630"/>
    <w:rsid w:val="005C5C7B"/>
    <w:rsid w:val="005D566E"/>
    <w:rsid w:val="005E5B7A"/>
    <w:rsid w:val="00605DF2"/>
    <w:rsid w:val="006105A7"/>
    <w:rsid w:val="006664DD"/>
    <w:rsid w:val="006706B1"/>
    <w:rsid w:val="006800FC"/>
    <w:rsid w:val="00685713"/>
    <w:rsid w:val="00696F28"/>
    <w:rsid w:val="006A234B"/>
    <w:rsid w:val="006C55CD"/>
    <w:rsid w:val="006C5982"/>
    <w:rsid w:val="006D16FE"/>
    <w:rsid w:val="006D25A8"/>
    <w:rsid w:val="006E586E"/>
    <w:rsid w:val="006F0FA3"/>
    <w:rsid w:val="0072400F"/>
    <w:rsid w:val="00725811"/>
    <w:rsid w:val="00736DE0"/>
    <w:rsid w:val="00762B68"/>
    <w:rsid w:val="00765823"/>
    <w:rsid w:val="0076741F"/>
    <w:rsid w:val="0077291A"/>
    <w:rsid w:val="0078182B"/>
    <w:rsid w:val="007870A2"/>
    <w:rsid w:val="00795A82"/>
    <w:rsid w:val="0079721E"/>
    <w:rsid w:val="007A72B0"/>
    <w:rsid w:val="007B687E"/>
    <w:rsid w:val="007C57B7"/>
    <w:rsid w:val="007D7663"/>
    <w:rsid w:val="007D7875"/>
    <w:rsid w:val="007E5F00"/>
    <w:rsid w:val="007F6EDE"/>
    <w:rsid w:val="00802964"/>
    <w:rsid w:val="00804804"/>
    <w:rsid w:val="0082240B"/>
    <w:rsid w:val="00826FB6"/>
    <w:rsid w:val="00830D76"/>
    <w:rsid w:val="00845122"/>
    <w:rsid w:val="008466D9"/>
    <w:rsid w:val="008578B6"/>
    <w:rsid w:val="0086312C"/>
    <w:rsid w:val="0087024A"/>
    <w:rsid w:val="008920A4"/>
    <w:rsid w:val="00893FAA"/>
    <w:rsid w:val="008977EF"/>
    <w:rsid w:val="008A476A"/>
    <w:rsid w:val="008B4EE7"/>
    <w:rsid w:val="008C5BC7"/>
    <w:rsid w:val="008D3A60"/>
    <w:rsid w:val="008E5730"/>
    <w:rsid w:val="008E7CAA"/>
    <w:rsid w:val="0090632F"/>
    <w:rsid w:val="00970A6C"/>
    <w:rsid w:val="00993A79"/>
    <w:rsid w:val="00993CAC"/>
    <w:rsid w:val="009B3D0E"/>
    <w:rsid w:val="009B4E1C"/>
    <w:rsid w:val="009C6C78"/>
    <w:rsid w:val="009D1B93"/>
    <w:rsid w:val="009D3B9C"/>
    <w:rsid w:val="009D7343"/>
    <w:rsid w:val="00A03476"/>
    <w:rsid w:val="00A25B6E"/>
    <w:rsid w:val="00A704E6"/>
    <w:rsid w:val="00A77D8D"/>
    <w:rsid w:val="00AA5A7B"/>
    <w:rsid w:val="00AB2EF4"/>
    <w:rsid w:val="00AC0477"/>
    <w:rsid w:val="00AC4A0E"/>
    <w:rsid w:val="00AC5F20"/>
    <w:rsid w:val="00AD5C15"/>
    <w:rsid w:val="00AD797A"/>
    <w:rsid w:val="00AF2F40"/>
    <w:rsid w:val="00B03A84"/>
    <w:rsid w:val="00B15C51"/>
    <w:rsid w:val="00B15CB4"/>
    <w:rsid w:val="00B25DF3"/>
    <w:rsid w:val="00B33692"/>
    <w:rsid w:val="00B465C0"/>
    <w:rsid w:val="00B5291A"/>
    <w:rsid w:val="00B64141"/>
    <w:rsid w:val="00B80CC3"/>
    <w:rsid w:val="00B85B05"/>
    <w:rsid w:val="00B873D1"/>
    <w:rsid w:val="00B955AE"/>
    <w:rsid w:val="00BA1CA7"/>
    <w:rsid w:val="00BB1B89"/>
    <w:rsid w:val="00BC131D"/>
    <w:rsid w:val="00BC4B0D"/>
    <w:rsid w:val="00BD09A4"/>
    <w:rsid w:val="00BD7D52"/>
    <w:rsid w:val="00BE3483"/>
    <w:rsid w:val="00BE3FEC"/>
    <w:rsid w:val="00BF066C"/>
    <w:rsid w:val="00C01A63"/>
    <w:rsid w:val="00C12B40"/>
    <w:rsid w:val="00C163B1"/>
    <w:rsid w:val="00C24582"/>
    <w:rsid w:val="00C303D4"/>
    <w:rsid w:val="00C3610D"/>
    <w:rsid w:val="00C75134"/>
    <w:rsid w:val="00C76D2A"/>
    <w:rsid w:val="00C8634C"/>
    <w:rsid w:val="00C87031"/>
    <w:rsid w:val="00C878C3"/>
    <w:rsid w:val="00C97215"/>
    <w:rsid w:val="00CA0CFF"/>
    <w:rsid w:val="00CA5A70"/>
    <w:rsid w:val="00CB1842"/>
    <w:rsid w:val="00CC0AA4"/>
    <w:rsid w:val="00CC5B55"/>
    <w:rsid w:val="00CC6513"/>
    <w:rsid w:val="00CC7ABE"/>
    <w:rsid w:val="00CD4E94"/>
    <w:rsid w:val="00CE6F0F"/>
    <w:rsid w:val="00CE73F8"/>
    <w:rsid w:val="00CF2125"/>
    <w:rsid w:val="00CF246A"/>
    <w:rsid w:val="00CF69BD"/>
    <w:rsid w:val="00CF7BBD"/>
    <w:rsid w:val="00CF7F02"/>
    <w:rsid w:val="00D138D6"/>
    <w:rsid w:val="00D1557A"/>
    <w:rsid w:val="00D22850"/>
    <w:rsid w:val="00D31AAA"/>
    <w:rsid w:val="00D33432"/>
    <w:rsid w:val="00D40507"/>
    <w:rsid w:val="00D556D5"/>
    <w:rsid w:val="00D67C38"/>
    <w:rsid w:val="00D73848"/>
    <w:rsid w:val="00D80E30"/>
    <w:rsid w:val="00D84239"/>
    <w:rsid w:val="00D855CF"/>
    <w:rsid w:val="00D8710C"/>
    <w:rsid w:val="00D90121"/>
    <w:rsid w:val="00DA1B59"/>
    <w:rsid w:val="00DC3E3D"/>
    <w:rsid w:val="00DE1EDA"/>
    <w:rsid w:val="00DE6C72"/>
    <w:rsid w:val="00E0303A"/>
    <w:rsid w:val="00E0386C"/>
    <w:rsid w:val="00E048D0"/>
    <w:rsid w:val="00E07F31"/>
    <w:rsid w:val="00E176C7"/>
    <w:rsid w:val="00E17D6C"/>
    <w:rsid w:val="00E21F8E"/>
    <w:rsid w:val="00E2264A"/>
    <w:rsid w:val="00E229B9"/>
    <w:rsid w:val="00E317EE"/>
    <w:rsid w:val="00E3295D"/>
    <w:rsid w:val="00E3360E"/>
    <w:rsid w:val="00E76151"/>
    <w:rsid w:val="00E86286"/>
    <w:rsid w:val="00E9050A"/>
    <w:rsid w:val="00E92070"/>
    <w:rsid w:val="00EA317C"/>
    <w:rsid w:val="00EA3A4E"/>
    <w:rsid w:val="00EC44E5"/>
    <w:rsid w:val="00EC7489"/>
    <w:rsid w:val="00ED0DBB"/>
    <w:rsid w:val="00ED3F02"/>
    <w:rsid w:val="00EF347D"/>
    <w:rsid w:val="00F02134"/>
    <w:rsid w:val="00F121D8"/>
    <w:rsid w:val="00F130EC"/>
    <w:rsid w:val="00F161D3"/>
    <w:rsid w:val="00F17B8F"/>
    <w:rsid w:val="00F36B0F"/>
    <w:rsid w:val="00F44AAE"/>
    <w:rsid w:val="00F61C38"/>
    <w:rsid w:val="00FA2EBA"/>
    <w:rsid w:val="00FA7AEE"/>
    <w:rsid w:val="00FB657B"/>
    <w:rsid w:val="00FB7475"/>
    <w:rsid w:val="00FC08BE"/>
    <w:rsid w:val="00FC6B3F"/>
    <w:rsid w:val="00FC6C10"/>
    <w:rsid w:val="00FD03B1"/>
    <w:rsid w:val="00FD58A1"/>
    <w:rsid w:val="00FD7866"/>
    <w:rsid w:val="00FE0270"/>
    <w:rsid w:val="00FE4E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381D"/>
    <w:rPr>
      <w:sz w:val="24"/>
      <w:szCs w:val="24"/>
    </w:rPr>
  </w:style>
  <w:style w:type="paragraph" w:styleId="Nadpis1">
    <w:name w:val="heading 1"/>
    <w:basedOn w:val="Normln"/>
    <w:next w:val="Normln"/>
    <w:qFormat/>
    <w:rsid w:val="001A381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1A381D"/>
    <w:pPr>
      <w:ind w:firstLine="720"/>
      <w:jc w:val="both"/>
    </w:pPr>
    <w:rPr>
      <w:rFonts w:ascii="Arial" w:hAnsi="Arial" w:cs="Arial"/>
      <w:sz w:val="20"/>
      <w:szCs w:val="20"/>
    </w:rPr>
  </w:style>
  <w:style w:type="paragraph" w:customStyle="1" w:styleId="podraeny">
    <w:name w:val="podraženy"/>
    <w:basedOn w:val="Normln"/>
    <w:rsid w:val="001A381D"/>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Odstavec">
    <w:name w:val="Odstavec"/>
    <w:basedOn w:val="Zkladntextodsazen"/>
    <w:rsid w:val="001A381D"/>
    <w:pPr>
      <w:spacing w:before="240"/>
      <w:ind w:firstLine="539"/>
      <w:jc w:val="left"/>
    </w:pPr>
    <w:rPr>
      <w:rFonts w:cs="Times New Roman"/>
      <w:color w:val="auto"/>
      <w:szCs w:val="24"/>
    </w:rPr>
  </w:style>
  <w:style w:type="paragraph" w:styleId="Zkladntextodsazen">
    <w:name w:val="Body Text Indent"/>
    <w:basedOn w:val="Normln"/>
    <w:semiHidden/>
    <w:rsid w:val="001A381D"/>
    <w:pPr>
      <w:ind w:firstLine="567"/>
      <w:jc w:val="both"/>
    </w:pPr>
    <w:rPr>
      <w:rFonts w:ascii="Arial" w:hAnsi="Arial" w:cs="Arial"/>
      <w:color w:val="FF0000"/>
      <w:sz w:val="20"/>
      <w:szCs w:val="20"/>
    </w:rPr>
  </w:style>
  <w:style w:type="character" w:styleId="Hypertextovodkaz">
    <w:name w:val="Hyperlink"/>
    <w:basedOn w:val="Standardnpsmoodstavce"/>
    <w:semiHidden/>
    <w:rsid w:val="001A381D"/>
    <w:rPr>
      <w:color w:val="0000FF"/>
      <w:u w:val="single"/>
    </w:rPr>
  </w:style>
  <w:style w:type="paragraph" w:styleId="Zkladntext">
    <w:name w:val="Body Text"/>
    <w:basedOn w:val="Normln"/>
    <w:semiHidden/>
    <w:rsid w:val="001A381D"/>
    <w:rPr>
      <w:rFonts w:ascii="Arial" w:hAnsi="Arial" w:cs="Arial"/>
      <w:i/>
      <w:iCs/>
      <w:sz w:val="20"/>
      <w:lang w:val="en-GB"/>
    </w:rPr>
  </w:style>
  <w:style w:type="paragraph" w:styleId="Zpat">
    <w:name w:val="footer"/>
    <w:basedOn w:val="Normln"/>
    <w:semiHidden/>
    <w:rsid w:val="001A381D"/>
    <w:pPr>
      <w:tabs>
        <w:tab w:val="center" w:pos="4536"/>
        <w:tab w:val="right" w:pos="9072"/>
      </w:tabs>
    </w:pPr>
  </w:style>
  <w:style w:type="character" w:styleId="slostrnky">
    <w:name w:val="page number"/>
    <w:basedOn w:val="Standardnpsmoodstavce"/>
    <w:semiHidden/>
    <w:rsid w:val="001A381D"/>
  </w:style>
  <w:style w:type="paragraph" w:styleId="Zhlav">
    <w:name w:val="header"/>
    <w:basedOn w:val="Normln"/>
    <w:semiHidden/>
    <w:rsid w:val="001A381D"/>
    <w:pPr>
      <w:tabs>
        <w:tab w:val="center" w:pos="4536"/>
        <w:tab w:val="right" w:pos="9072"/>
      </w:tabs>
    </w:pPr>
  </w:style>
  <w:style w:type="paragraph" w:styleId="Normlnweb">
    <w:name w:val="Normal (Web)"/>
    <w:basedOn w:val="Normln"/>
    <w:semiHidden/>
    <w:rsid w:val="005C4630"/>
    <w:pPr>
      <w:spacing w:before="100" w:beforeAutospacing="1" w:after="100" w:afterAutospacing="1"/>
    </w:pPr>
  </w:style>
  <w:style w:type="paragraph" w:styleId="Textbubliny">
    <w:name w:val="Balloon Text"/>
    <w:basedOn w:val="Normln"/>
    <w:link w:val="TextbublinyChar"/>
    <w:uiPriority w:val="99"/>
    <w:semiHidden/>
    <w:unhideWhenUsed/>
    <w:rsid w:val="001844A4"/>
    <w:rPr>
      <w:rFonts w:ascii="Tahoma" w:hAnsi="Tahoma" w:cs="Tahoma"/>
      <w:sz w:val="16"/>
      <w:szCs w:val="16"/>
    </w:rPr>
  </w:style>
  <w:style w:type="character" w:customStyle="1" w:styleId="TextbublinyChar">
    <w:name w:val="Text bubliny Char"/>
    <w:basedOn w:val="Standardnpsmoodstavce"/>
    <w:link w:val="Textbubliny"/>
    <w:uiPriority w:val="99"/>
    <w:semiHidden/>
    <w:rsid w:val="001844A4"/>
    <w:rPr>
      <w:rFonts w:ascii="Tahoma" w:hAnsi="Tahoma" w:cs="Tahoma"/>
      <w:sz w:val="16"/>
      <w:szCs w:val="16"/>
    </w:rPr>
  </w:style>
  <w:style w:type="character" w:styleId="Odkaznakoment">
    <w:name w:val="annotation reference"/>
    <w:basedOn w:val="Standardnpsmoodstavce"/>
    <w:uiPriority w:val="99"/>
    <w:semiHidden/>
    <w:unhideWhenUsed/>
    <w:rsid w:val="001F1DB9"/>
    <w:rPr>
      <w:sz w:val="16"/>
      <w:szCs w:val="16"/>
    </w:rPr>
  </w:style>
  <w:style w:type="paragraph" w:styleId="Textkomente">
    <w:name w:val="annotation text"/>
    <w:basedOn w:val="Normln"/>
    <w:link w:val="TextkomenteChar"/>
    <w:uiPriority w:val="99"/>
    <w:semiHidden/>
    <w:unhideWhenUsed/>
    <w:rsid w:val="001F1DB9"/>
    <w:rPr>
      <w:sz w:val="20"/>
      <w:szCs w:val="20"/>
    </w:rPr>
  </w:style>
  <w:style w:type="character" w:customStyle="1" w:styleId="TextkomenteChar">
    <w:name w:val="Text komentáře Char"/>
    <w:basedOn w:val="Standardnpsmoodstavce"/>
    <w:link w:val="Textkomente"/>
    <w:uiPriority w:val="99"/>
    <w:semiHidden/>
    <w:rsid w:val="001F1DB9"/>
  </w:style>
  <w:style w:type="paragraph" w:styleId="Pedmtkomente">
    <w:name w:val="annotation subject"/>
    <w:basedOn w:val="Textkomente"/>
    <w:next w:val="Textkomente"/>
    <w:link w:val="PedmtkomenteChar"/>
    <w:uiPriority w:val="99"/>
    <w:semiHidden/>
    <w:unhideWhenUsed/>
    <w:rsid w:val="001F1DB9"/>
    <w:rPr>
      <w:b/>
      <w:bCs/>
    </w:rPr>
  </w:style>
  <w:style w:type="character" w:customStyle="1" w:styleId="PedmtkomenteChar">
    <w:name w:val="Předmět komentáře Char"/>
    <w:basedOn w:val="TextkomenteChar"/>
    <w:link w:val="Pedmtkomente"/>
    <w:uiPriority w:val="99"/>
    <w:semiHidden/>
    <w:rsid w:val="001F1DB9"/>
    <w:rPr>
      <w:b/>
      <w:bCs/>
    </w:rPr>
  </w:style>
  <w:style w:type="character" w:styleId="Sledovanodkaz">
    <w:name w:val="FollowedHyperlink"/>
    <w:basedOn w:val="Standardnpsmoodstavce"/>
    <w:uiPriority w:val="99"/>
    <w:semiHidden/>
    <w:unhideWhenUsed/>
    <w:rsid w:val="007870A2"/>
    <w:rPr>
      <w:color w:val="800080"/>
      <w:u w:val="single"/>
    </w:rPr>
  </w:style>
  <w:style w:type="paragraph" w:styleId="Revize">
    <w:name w:val="Revision"/>
    <w:hidden/>
    <w:uiPriority w:val="99"/>
    <w:semiHidden/>
    <w:rsid w:val="007870A2"/>
    <w:rPr>
      <w:sz w:val="24"/>
      <w:szCs w:val="24"/>
    </w:rPr>
  </w:style>
</w:styles>
</file>

<file path=word/webSettings.xml><?xml version="1.0" encoding="utf-8"?>
<w:webSettings xmlns:r="http://schemas.openxmlformats.org/officeDocument/2006/relationships" xmlns:w="http://schemas.openxmlformats.org/wordprocessingml/2006/main">
  <w:divs>
    <w:div w:id="1442188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884">
          <w:marLeft w:val="0"/>
          <w:marRight w:val="0"/>
          <w:marTop w:val="0"/>
          <w:marBottom w:val="0"/>
          <w:divBdr>
            <w:top w:val="none" w:sz="0" w:space="0" w:color="auto"/>
            <w:left w:val="none" w:sz="0" w:space="0" w:color="auto"/>
            <w:bottom w:val="none" w:sz="0" w:space="0" w:color="auto"/>
            <w:right w:val="none" w:sz="0" w:space="0" w:color="auto"/>
          </w:divBdr>
          <w:divsChild>
            <w:div w:id="200629190">
              <w:marLeft w:val="0"/>
              <w:marRight w:val="0"/>
              <w:marTop w:val="0"/>
              <w:marBottom w:val="0"/>
              <w:divBdr>
                <w:top w:val="none" w:sz="0" w:space="0" w:color="auto"/>
                <w:left w:val="none" w:sz="0" w:space="0" w:color="auto"/>
                <w:bottom w:val="none" w:sz="0" w:space="0" w:color="auto"/>
                <w:right w:val="none" w:sz="0" w:space="0" w:color="auto"/>
              </w:divBdr>
            </w:div>
            <w:div w:id="1784642967">
              <w:marLeft w:val="0"/>
              <w:marRight w:val="0"/>
              <w:marTop w:val="0"/>
              <w:marBottom w:val="0"/>
              <w:divBdr>
                <w:top w:val="none" w:sz="0" w:space="0" w:color="auto"/>
                <w:left w:val="none" w:sz="0" w:space="0" w:color="auto"/>
                <w:bottom w:val="none" w:sz="0" w:space="0" w:color="auto"/>
                <w:right w:val="none" w:sz="0" w:space="0" w:color="auto"/>
              </w:divBdr>
            </w:div>
            <w:div w:id="1131636660">
              <w:marLeft w:val="0"/>
              <w:marRight w:val="0"/>
              <w:marTop w:val="0"/>
              <w:marBottom w:val="0"/>
              <w:divBdr>
                <w:top w:val="none" w:sz="0" w:space="0" w:color="auto"/>
                <w:left w:val="none" w:sz="0" w:space="0" w:color="auto"/>
                <w:bottom w:val="none" w:sz="0" w:space="0" w:color="auto"/>
                <w:right w:val="none" w:sz="0" w:space="0" w:color="auto"/>
              </w:divBdr>
            </w:div>
            <w:div w:id="442309559">
              <w:marLeft w:val="0"/>
              <w:marRight w:val="0"/>
              <w:marTop w:val="0"/>
              <w:marBottom w:val="0"/>
              <w:divBdr>
                <w:top w:val="none" w:sz="0" w:space="0" w:color="auto"/>
                <w:left w:val="none" w:sz="0" w:space="0" w:color="auto"/>
                <w:bottom w:val="none" w:sz="0" w:space="0" w:color="auto"/>
                <w:right w:val="none" w:sz="0" w:space="0" w:color="auto"/>
              </w:divBdr>
            </w:div>
            <w:div w:id="1476754241">
              <w:marLeft w:val="0"/>
              <w:marRight w:val="0"/>
              <w:marTop w:val="0"/>
              <w:marBottom w:val="0"/>
              <w:divBdr>
                <w:top w:val="none" w:sz="0" w:space="0" w:color="auto"/>
                <w:left w:val="none" w:sz="0" w:space="0" w:color="auto"/>
                <w:bottom w:val="none" w:sz="0" w:space="0" w:color="auto"/>
                <w:right w:val="none" w:sz="0" w:space="0" w:color="auto"/>
              </w:divBdr>
            </w:div>
            <w:div w:id="332337376">
              <w:marLeft w:val="0"/>
              <w:marRight w:val="0"/>
              <w:marTop w:val="0"/>
              <w:marBottom w:val="0"/>
              <w:divBdr>
                <w:top w:val="none" w:sz="0" w:space="0" w:color="auto"/>
                <w:left w:val="none" w:sz="0" w:space="0" w:color="auto"/>
                <w:bottom w:val="none" w:sz="0" w:space="0" w:color="auto"/>
                <w:right w:val="none" w:sz="0" w:space="0" w:color="auto"/>
              </w:divBdr>
            </w:div>
            <w:div w:id="2045867369">
              <w:marLeft w:val="0"/>
              <w:marRight w:val="0"/>
              <w:marTop w:val="0"/>
              <w:marBottom w:val="0"/>
              <w:divBdr>
                <w:top w:val="none" w:sz="0" w:space="0" w:color="auto"/>
                <w:left w:val="none" w:sz="0" w:space="0" w:color="auto"/>
                <w:bottom w:val="none" w:sz="0" w:space="0" w:color="auto"/>
                <w:right w:val="none" w:sz="0" w:space="0" w:color="auto"/>
              </w:divBdr>
            </w:div>
            <w:div w:id="1955937770">
              <w:marLeft w:val="0"/>
              <w:marRight w:val="0"/>
              <w:marTop w:val="0"/>
              <w:marBottom w:val="0"/>
              <w:divBdr>
                <w:top w:val="none" w:sz="0" w:space="0" w:color="auto"/>
                <w:left w:val="none" w:sz="0" w:space="0" w:color="auto"/>
                <w:bottom w:val="none" w:sz="0" w:space="0" w:color="auto"/>
                <w:right w:val="none" w:sz="0" w:space="0" w:color="auto"/>
              </w:divBdr>
            </w:div>
            <w:div w:id="1512328892">
              <w:marLeft w:val="0"/>
              <w:marRight w:val="0"/>
              <w:marTop w:val="0"/>
              <w:marBottom w:val="0"/>
              <w:divBdr>
                <w:top w:val="none" w:sz="0" w:space="0" w:color="auto"/>
                <w:left w:val="none" w:sz="0" w:space="0" w:color="auto"/>
                <w:bottom w:val="none" w:sz="0" w:space="0" w:color="auto"/>
                <w:right w:val="none" w:sz="0" w:space="0" w:color="auto"/>
              </w:divBdr>
            </w:div>
            <w:div w:id="528376680">
              <w:marLeft w:val="0"/>
              <w:marRight w:val="0"/>
              <w:marTop w:val="0"/>
              <w:marBottom w:val="0"/>
              <w:divBdr>
                <w:top w:val="none" w:sz="0" w:space="0" w:color="auto"/>
                <w:left w:val="none" w:sz="0" w:space="0" w:color="auto"/>
                <w:bottom w:val="none" w:sz="0" w:space="0" w:color="auto"/>
                <w:right w:val="none" w:sz="0" w:space="0" w:color="auto"/>
              </w:divBdr>
            </w:div>
            <w:div w:id="951715789">
              <w:marLeft w:val="0"/>
              <w:marRight w:val="0"/>
              <w:marTop w:val="0"/>
              <w:marBottom w:val="0"/>
              <w:divBdr>
                <w:top w:val="none" w:sz="0" w:space="0" w:color="auto"/>
                <w:left w:val="none" w:sz="0" w:space="0" w:color="auto"/>
                <w:bottom w:val="none" w:sz="0" w:space="0" w:color="auto"/>
                <w:right w:val="none" w:sz="0" w:space="0" w:color="auto"/>
              </w:divBdr>
            </w:div>
            <w:div w:id="1611858603">
              <w:marLeft w:val="0"/>
              <w:marRight w:val="0"/>
              <w:marTop w:val="0"/>
              <w:marBottom w:val="0"/>
              <w:divBdr>
                <w:top w:val="none" w:sz="0" w:space="0" w:color="auto"/>
                <w:left w:val="none" w:sz="0" w:space="0" w:color="auto"/>
                <w:bottom w:val="none" w:sz="0" w:space="0" w:color="auto"/>
                <w:right w:val="none" w:sz="0" w:space="0" w:color="auto"/>
              </w:divBdr>
            </w:div>
            <w:div w:id="1831284617">
              <w:marLeft w:val="0"/>
              <w:marRight w:val="0"/>
              <w:marTop w:val="0"/>
              <w:marBottom w:val="0"/>
              <w:divBdr>
                <w:top w:val="none" w:sz="0" w:space="0" w:color="auto"/>
                <w:left w:val="none" w:sz="0" w:space="0" w:color="auto"/>
                <w:bottom w:val="none" w:sz="0" w:space="0" w:color="auto"/>
                <w:right w:val="none" w:sz="0" w:space="0" w:color="auto"/>
              </w:divBdr>
            </w:div>
            <w:div w:id="737098933">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034961205">
              <w:marLeft w:val="0"/>
              <w:marRight w:val="0"/>
              <w:marTop w:val="0"/>
              <w:marBottom w:val="0"/>
              <w:divBdr>
                <w:top w:val="none" w:sz="0" w:space="0" w:color="auto"/>
                <w:left w:val="none" w:sz="0" w:space="0" w:color="auto"/>
                <w:bottom w:val="none" w:sz="0" w:space="0" w:color="auto"/>
                <w:right w:val="none" w:sz="0" w:space="0" w:color="auto"/>
              </w:divBdr>
            </w:div>
            <w:div w:id="773400135">
              <w:marLeft w:val="0"/>
              <w:marRight w:val="0"/>
              <w:marTop w:val="0"/>
              <w:marBottom w:val="0"/>
              <w:divBdr>
                <w:top w:val="none" w:sz="0" w:space="0" w:color="auto"/>
                <w:left w:val="none" w:sz="0" w:space="0" w:color="auto"/>
                <w:bottom w:val="none" w:sz="0" w:space="0" w:color="auto"/>
                <w:right w:val="none" w:sz="0" w:space="0" w:color="auto"/>
              </w:divBdr>
            </w:div>
            <w:div w:id="2086410550">
              <w:marLeft w:val="0"/>
              <w:marRight w:val="0"/>
              <w:marTop w:val="0"/>
              <w:marBottom w:val="0"/>
              <w:divBdr>
                <w:top w:val="none" w:sz="0" w:space="0" w:color="auto"/>
                <w:left w:val="none" w:sz="0" w:space="0" w:color="auto"/>
                <w:bottom w:val="none" w:sz="0" w:space="0" w:color="auto"/>
                <w:right w:val="none" w:sz="0" w:space="0" w:color="auto"/>
              </w:divBdr>
            </w:div>
            <w:div w:id="1189609930">
              <w:marLeft w:val="0"/>
              <w:marRight w:val="0"/>
              <w:marTop w:val="0"/>
              <w:marBottom w:val="0"/>
              <w:divBdr>
                <w:top w:val="none" w:sz="0" w:space="0" w:color="auto"/>
                <w:left w:val="none" w:sz="0" w:space="0" w:color="auto"/>
                <w:bottom w:val="none" w:sz="0" w:space="0" w:color="auto"/>
                <w:right w:val="none" w:sz="0" w:space="0" w:color="auto"/>
              </w:divBdr>
            </w:div>
            <w:div w:id="916017897">
              <w:marLeft w:val="0"/>
              <w:marRight w:val="0"/>
              <w:marTop w:val="0"/>
              <w:marBottom w:val="0"/>
              <w:divBdr>
                <w:top w:val="none" w:sz="0" w:space="0" w:color="auto"/>
                <w:left w:val="none" w:sz="0" w:space="0" w:color="auto"/>
                <w:bottom w:val="none" w:sz="0" w:space="0" w:color="auto"/>
                <w:right w:val="none" w:sz="0" w:space="0" w:color="auto"/>
              </w:divBdr>
            </w:div>
            <w:div w:id="1248614581">
              <w:marLeft w:val="0"/>
              <w:marRight w:val="0"/>
              <w:marTop w:val="0"/>
              <w:marBottom w:val="0"/>
              <w:divBdr>
                <w:top w:val="none" w:sz="0" w:space="0" w:color="auto"/>
                <w:left w:val="none" w:sz="0" w:space="0" w:color="auto"/>
                <w:bottom w:val="none" w:sz="0" w:space="0" w:color="auto"/>
                <w:right w:val="none" w:sz="0" w:space="0" w:color="auto"/>
              </w:divBdr>
            </w:div>
            <w:div w:id="744842543">
              <w:marLeft w:val="0"/>
              <w:marRight w:val="0"/>
              <w:marTop w:val="0"/>
              <w:marBottom w:val="0"/>
              <w:divBdr>
                <w:top w:val="none" w:sz="0" w:space="0" w:color="auto"/>
                <w:left w:val="none" w:sz="0" w:space="0" w:color="auto"/>
                <w:bottom w:val="none" w:sz="0" w:space="0" w:color="auto"/>
                <w:right w:val="none" w:sz="0" w:space="0" w:color="auto"/>
              </w:divBdr>
            </w:div>
            <w:div w:id="1391998395">
              <w:marLeft w:val="0"/>
              <w:marRight w:val="0"/>
              <w:marTop w:val="0"/>
              <w:marBottom w:val="0"/>
              <w:divBdr>
                <w:top w:val="none" w:sz="0" w:space="0" w:color="auto"/>
                <w:left w:val="none" w:sz="0" w:space="0" w:color="auto"/>
                <w:bottom w:val="none" w:sz="0" w:space="0" w:color="auto"/>
                <w:right w:val="none" w:sz="0" w:space="0" w:color="auto"/>
              </w:divBdr>
            </w:div>
            <w:div w:id="1618678263">
              <w:marLeft w:val="0"/>
              <w:marRight w:val="0"/>
              <w:marTop w:val="0"/>
              <w:marBottom w:val="0"/>
              <w:divBdr>
                <w:top w:val="none" w:sz="0" w:space="0" w:color="auto"/>
                <w:left w:val="none" w:sz="0" w:space="0" w:color="auto"/>
                <w:bottom w:val="none" w:sz="0" w:space="0" w:color="auto"/>
                <w:right w:val="none" w:sz="0" w:space="0" w:color="auto"/>
              </w:divBdr>
            </w:div>
            <w:div w:id="1069377750">
              <w:marLeft w:val="0"/>
              <w:marRight w:val="0"/>
              <w:marTop w:val="0"/>
              <w:marBottom w:val="0"/>
              <w:divBdr>
                <w:top w:val="none" w:sz="0" w:space="0" w:color="auto"/>
                <w:left w:val="none" w:sz="0" w:space="0" w:color="auto"/>
                <w:bottom w:val="none" w:sz="0" w:space="0" w:color="auto"/>
                <w:right w:val="none" w:sz="0" w:space="0" w:color="auto"/>
              </w:divBdr>
            </w:div>
            <w:div w:id="1892496694">
              <w:marLeft w:val="0"/>
              <w:marRight w:val="0"/>
              <w:marTop w:val="0"/>
              <w:marBottom w:val="0"/>
              <w:divBdr>
                <w:top w:val="none" w:sz="0" w:space="0" w:color="auto"/>
                <w:left w:val="none" w:sz="0" w:space="0" w:color="auto"/>
                <w:bottom w:val="none" w:sz="0" w:space="0" w:color="auto"/>
                <w:right w:val="none" w:sz="0" w:space="0" w:color="auto"/>
              </w:divBdr>
            </w:div>
            <w:div w:id="2081828715">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 w:id="1799956852">
              <w:marLeft w:val="0"/>
              <w:marRight w:val="0"/>
              <w:marTop w:val="0"/>
              <w:marBottom w:val="0"/>
              <w:divBdr>
                <w:top w:val="none" w:sz="0" w:space="0" w:color="auto"/>
                <w:left w:val="none" w:sz="0" w:space="0" w:color="auto"/>
                <w:bottom w:val="none" w:sz="0" w:space="0" w:color="auto"/>
                <w:right w:val="none" w:sz="0" w:space="0" w:color="auto"/>
              </w:divBdr>
            </w:div>
            <w:div w:id="1413552083">
              <w:marLeft w:val="0"/>
              <w:marRight w:val="0"/>
              <w:marTop w:val="0"/>
              <w:marBottom w:val="0"/>
              <w:divBdr>
                <w:top w:val="none" w:sz="0" w:space="0" w:color="auto"/>
                <w:left w:val="none" w:sz="0" w:space="0" w:color="auto"/>
                <w:bottom w:val="none" w:sz="0" w:space="0" w:color="auto"/>
                <w:right w:val="none" w:sz="0" w:space="0" w:color="auto"/>
              </w:divBdr>
            </w:div>
            <w:div w:id="220217708">
              <w:marLeft w:val="0"/>
              <w:marRight w:val="0"/>
              <w:marTop w:val="0"/>
              <w:marBottom w:val="0"/>
              <w:divBdr>
                <w:top w:val="none" w:sz="0" w:space="0" w:color="auto"/>
                <w:left w:val="none" w:sz="0" w:space="0" w:color="auto"/>
                <w:bottom w:val="none" w:sz="0" w:space="0" w:color="auto"/>
                <w:right w:val="none" w:sz="0" w:space="0" w:color="auto"/>
              </w:divBdr>
            </w:div>
            <w:div w:id="1588342263">
              <w:marLeft w:val="0"/>
              <w:marRight w:val="0"/>
              <w:marTop w:val="0"/>
              <w:marBottom w:val="0"/>
              <w:divBdr>
                <w:top w:val="none" w:sz="0" w:space="0" w:color="auto"/>
                <w:left w:val="none" w:sz="0" w:space="0" w:color="auto"/>
                <w:bottom w:val="none" w:sz="0" w:space="0" w:color="auto"/>
                <w:right w:val="none" w:sz="0" w:space="0" w:color="auto"/>
              </w:divBdr>
            </w:div>
            <w:div w:id="1818763988">
              <w:marLeft w:val="0"/>
              <w:marRight w:val="0"/>
              <w:marTop w:val="0"/>
              <w:marBottom w:val="0"/>
              <w:divBdr>
                <w:top w:val="none" w:sz="0" w:space="0" w:color="auto"/>
                <w:left w:val="none" w:sz="0" w:space="0" w:color="auto"/>
                <w:bottom w:val="none" w:sz="0" w:space="0" w:color="auto"/>
                <w:right w:val="none" w:sz="0" w:space="0" w:color="auto"/>
              </w:divBdr>
            </w:div>
            <w:div w:id="994718745">
              <w:marLeft w:val="0"/>
              <w:marRight w:val="0"/>
              <w:marTop w:val="0"/>
              <w:marBottom w:val="0"/>
              <w:divBdr>
                <w:top w:val="none" w:sz="0" w:space="0" w:color="auto"/>
                <w:left w:val="none" w:sz="0" w:space="0" w:color="auto"/>
                <w:bottom w:val="none" w:sz="0" w:space="0" w:color="auto"/>
                <w:right w:val="none" w:sz="0" w:space="0" w:color="auto"/>
              </w:divBdr>
            </w:div>
            <w:div w:id="1051462950">
              <w:marLeft w:val="0"/>
              <w:marRight w:val="0"/>
              <w:marTop w:val="0"/>
              <w:marBottom w:val="0"/>
              <w:divBdr>
                <w:top w:val="none" w:sz="0" w:space="0" w:color="auto"/>
                <w:left w:val="none" w:sz="0" w:space="0" w:color="auto"/>
                <w:bottom w:val="none" w:sz="0" w:space="0" w:color="auto"/>
                <w:right w:val="none" w:sz="0" w:space="0" w:color="auto"/>
              </w:divBdr>
            </w:div>
            <w:div w:id="87434879">
              <w:marLeft w:val="0"/>
              <w:marRight w:val="0"/>
              <w:marTop w:val="0"/>
              <w:marBottom w:val="0"/>
              <w:divBdr>
                <w:top w:val="none" w:sz="0" w:space="0" w:color="auto"/>
                <w:left w:val="none" w:sz="0" w:space="0" w:color="auto"/>
                <w:bottom w:val="none" w:sz="0" w:space="0" w:color="auto"/>
                <w:right w:val="none" w:sz="0" w:space="0" w:color="auto"/>
              </w:divBdr>
            </w:div>
            <w:div w:id="1792823389">
              <w:marLeft w:val="0"/>
              <w:marRight w:val="0"/>
              <w:marTop w:val="0"/>
              <w:marBottom w:val="0"/>
              <w:divBdr>
                <w:top w:val="none" w:sz="0" w:space="0" w:color="auto"/>
                <w:left w:val="none" w:sz="0" w:space="0" w:color="auto"/>
                <w:bottom w:val="none" w:sz="0" w:space="0" w:color="auto"/>
                <w:right w:val="none" w:sz="0" w:space="0" w:color="auto"/>
              </w:divBdr>
            </w:div>
            <w:div w:id="323626044">
              <w:marLeft w:val="0"/>
              <w:marRight w:val="0"/>
              <w:marTop w:val="0"/>
              <w:marBottom w:val="0"/>
              <w:divBdr>
                <w:top w:val="none" w:sz="0" w:space="0" w:color="auto"/>
                <w:left w:val="none" w:sz="0" w:space="0" w:color="auto"/>
                <w:bottom w:val="none" w:sz="0" w:space="0" w:color="auto"/>
                <w:right w:val="none" w:sz="0" w:space="0" w:color="auto"/>
              </w:divBdr>
            </w:div>
            <w:div w:id="898711210">
              <w:marLeft w:val="0"/>
              <w:marRight w:val="0"/>
              <w:marTop w:val="0"/>
              <w:marBottom w:val="0"/>
              <w:divBdr>
                <w:top w:val="none" w:sz="0" w:space="0" w:color="auto"/>
                <w:left w:val="none" w:sz="0" w:space="0" w:color="auto"/>
                <w:bottom w:val="none" w:sz="0" w:space="0" w:color="auto"/>
                <w:right w:val="none" w:sz="0" w:space="0" w:color="auto"/>
              </w:divBdr>
            </w:div>
            <w:div w:id="220987440">
              <w:marLeft w:val="0"/>
              <w:marRight w:val="0"/>
              <w:marTop w:val="0"/>
              <w:marBottom w:val="0"/>
              <w:divBdr>
                <w:top w:val="none" w:sz="0" w:space="0" w:color="auto"/>
                <w:left w:val="none" w:sz="0" w:space="0" w:color="auto"/>
                <w:bottom w:val="none" w:sz="0" w:space="0" w:color="auto"/>
                <w:right w:val="none" w:sz="0" w:space="0" w:color="auto"/>
              </w:divBdr>
            </w:div>
            <w:div w:id="739988517">
              <w:marLeft w:val="0"/>
              <w:marRight w:val="0"/>
              <w:marTop w:val="0"/>
              <w:marBottom w:val="0"/>
              <w:divBdr>
                <w:top w:val="none" w:sz="0" w:space="0" w:color="auto"/>
                <w:left w:val="none" w:sz="0" w:space="0" w:color="auto"/>
                <w:bottom w:val="none" w:sz="0" w:space="0" w:color="auto"/>
                <w:right w:val="none" w:sz="0" w:space="0" w:color="auto"/>
              </w:divBdr>
            </w:div>
            <w:div w:id="1129011045">
              <w:marLeft w:val="0"/>
              <w:marRight w:val="0"/>
              <w:marTop w:val="0"/>
              <w:marBottom w:val="0"/>
              <w:divBdr>
                <w:top w:val="none" w:sz="0" w:space="0" w:color="auto"/>
                <w:left w:val="none" w:sz="0" w:space="0" w:color="auto"/>
                <w:bottom w:val="none" w:sz="0" w:space="0" w:color="auto"/>
                <w:right w:val="none" w:sz="0" w:space="0" w:color="auto"/>
              </w:divBdr>
            </w:div>
            <w:div w:id="1466005295">
              <w:marLeft w:val="0"/>
              <w:marRight w:val="0"/>
              <w:marTop w:val="0"/>
              <w:marBottom w:val="0"/>
              <w:divBdr>
                <w:top w:val="none" w:sz="0" w:space="0" w:color="auto"/>
                <w:left w:val="none" w:sz="0" w:space="0" w:color="auto"/>
                <w:bottom w:val="none" w:sz="0" w:space="0" w:color="auto"/>
                <w:right w:val="none" w:sz="0" w:space="0" w:color="auto"/>
              </w:divBdr>
            </w:div>
            <w:div w:id="2093113095">
              <w:marLeft w:val="0"/>
              <w:marRight w:val="0"/>
              <w:marTop w:val="0"/>
              <w:marBottom w:val="0"/>
              <w:divBdr>
                <w:top w:val="none" w:sz="0" w:space="0" w:color="auto"/>
                <w:left w:val="none" w:sz="0" w:space="0" w:color="auto"/>
                <w:bottom w:val="none" w:sz="0" w:space="0" w:color="auto"/>
                <w:right w:val="none" w:sz="0" w:space="0" w:color="auto"/>
              </w:divBdr>
            </w:div>
            <w:div w:id="865873646">
              <w:marLeft w:val="0"/>
              <w:marRight w:val="0"/>
              <w:marTop w:val="0"/>
              <w:marBottom w:val="0"/>
              <w:divBdr>
                <w:top w:val="none" w:sz="0" w:space="0" w:color="auto"/>
                <w:left w:val="none" w:sz="0" w:space="0" w:color="auto"/>
                <w:bottom w:val="none" w:sz="0" w:space="0" w:color="auto"/>
                <w:right w:val="none" w:sz="0" w:space="0" w:color="auto"/>
              </w:divBdr>
            </w:div>
            <w:div w:id="2089376031">
              <w:marLeft w:val="0"/>
              <w:marRight w:val="0"/>
              <w:marTop w:val="0"/>
              <w:marBottom w:val="0"/>
              <w:divBdr>
                <w:top w:val="none" w:sz="0" w:space="0" w:color="auto"/>
                <w:left w:val="none" w:sz="0" w:space="0" w:color="auto"/>
                <w:bottom w:val="none" w:sz="0" w:space="0" w:color="auto"/>
                <w:right w:val="none" w:sz="0" w:space="0" w:color="auto"/>
              </w:divBdr>
            </w:div>
            <w:div w:id="517740016">
              <w:marLeft w:val="0"/>
              <w:marRight w:val="0"/>
              <w:marTop w:val="0"/>
              <w:marBottom w:val="0"/>
              <w:divBdr>
                <w:top w:val="none" w:sz="0" w:space="0" w:color="auto"/>
                <w:left w:val="none" w:sz="0" w:space="0" w:color="auto"/>
                <w:bottom w:val="none" w:sz="0" w:space="0" w:color="auto"/>
                <w:right w:val="none" w:sz="0" w:space="0" w:color="auto"/>
              </w:divBdr>
            </w:div>
            <w:div w:id="523204579">
              <w:marLeft w:val="0"/>
              <w:marRight w:val="0"/>
              <w:marTop w:val="0"/>
              <w:marBottom w:val="0"/>
              <w:divBdr>
                <w:top w:val="none" w:sz="0" w:space="0" w:color="auto"/>
                <w:left w:val="none" w:sz="0" w:space="0" w:color="auto"/>
                <w:bottom w:val="none" w:sz="0" w:space="0" w:color="auto"/>
                <w:right w:val="none" w:sz="0" w:space="0" w:color="auto"/>
              </w:divBdr>
            </w:div>
            <w:div w:id="1813712733">
              <w:marLeft w:val="0"/>
              <w:marRight w:val="0"/>
              <w:marTop w:val="0"/>
              <w:marBottom w:val="0"/>
              <w:divBdr>
                <w:top w:val="none" w:sz="0" w:space="0" w:color="auto"/>
                <w:left w:val="none" w:sz="0" w:space="0" w:color="auto"/>
                <w:bottom w:val="none" w:sz="0" w:space="0" w:color="auto"/>
                <w:right w:val="none" w:sz="0" w:space="0" w:color="auto"/>
              </w:divBdr>
            </w:div>
            <w:div w:id="1759718455">
              <w:marLeft w:val="0"/>
              <w:marRight w:val="0"/>
              <w:marTop w:val="0"/>
              <w:marBottom w:val="0"/>
              <w:divBdr>
                <w:top w:val="none" w:sz="0" w:space="0" w:color="auto"/>
                <w:left w:val="none" w:sz="0" w:space="0" w:color="auto"/>
                <w:bottom w:val="none" w:sz="0" w:space="0" w:color="auto"/>
                <w:right w:val="none" w:sz="0" w:space="0" w:color="auto"/>
              </w:divBdr>
            </w:div>
            <w:div w:id="1449007442">
              <w:marLeft w:val="0"/>
              <w:marRight w:val="0"/>
              <w:marTop w:val="0"/>
              <w:marBottom w:val="0"/>
              <w:divBdr>
                <w:top w:val="none" w:sz="0" w:space="0" w:color="auto"/>
                <w:left w:val="none" w:sz="0" w:space="0" w:color="auto"/>
                <w:bottom w:val="none" w:sz="0" w:space="0" w:color="auto"/>
                <w:right w:val="none" w:sz="0" w:space="0" w:color="auto"/>
              </w:divBdr>
            </w:div>
            <w:div w:id="10837891">
              <w:marLeft w:val="0"/>
              <w:marRight w:val="0"/>
              <w:marTop w:val="0"/>
              <w:marBottom w:val="0"/>
              <w:divBdr>
                <w:top w:val="none" w:sz="0" w:space="0" w:color="auto"/>
                <w:left w:val="none" w:sz="0" w:space="0" w:color="auto"/>
                <w:bottom w:val="none" w:sz="0" w:space="0" w:color="auto"/>
                <w:right w:val="none" w:sz="0" w:space="0" w:color="auto"/>
              </w:divBdr>
            </w:div>
            <w:div w:id="1039236299">
              <w:marLeft w:val="0"/>
              <w:marRight w:val="0"/>
              <w:marTop w:val="0"/>
              <w:marBottom w:val="0"/>
              <w:divBdr>
                <w:top w:val="none" w:sz="0" w:space="0" w:color="auto"/>
                <w:left w:val="none" w:sz="0" w:space="0" w:color="auto"/>
                <w:bottom w:val="none" w:sz="0" w:space="0" w:color="auto"/>
                <w:right w:val="none" w:sz="0" w:space="0" w:color="auto"/>
              </w:divBdr>
            </w:div>
            <w:div w:id="632101348">
              <w:marLeft w:val="0"/>
              <w:marRight w:val="0"/>
              <w:marTop w:val="0"/>
              <w:marBottom w:val="0"/>
              <w:divBdr>
                <w:top w:val="none" w:sz="0" w:space="0" w:color="auto"/>
                <w:left w:val="none" w:sz="0" w:space="0" w:color="auto"/>
                <w:bottom w:val="none" w:sz="0" w:space="0" w:color="auto"/>
                <w:right w:val="none" w:sz="0" w:space="0" w:color="auto"/>
              </w:divBdr>
            </w:div>
            <w:div w:id="1375496350">
              <w:marLeft w:val="0"/>
              <w:marRight w:val="0"/>
              <w:marTop w:val="0"/>
              <w:marBottom w:val="0"/>
              <w:divBdr>
                <w:top w:val="none" w:sz="0" w:space="0" w:color="auto"/>
                <w:left w:val="none" w:sz="0" w:space="0" w:color="auto"/>
                <w:bottom w:val="none" w:sz="0" w:space="0" w:color="auto"/>
                <w:right w:val="none" w:sz="0" w:space="0" w:color="auto"/>
              </w:divBdr>
            </w:div>
            <w:div w:id="612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ruktura-mezd-zamestnancu-2018" TargetMode="External"/><Relationship Id="rId3" Type="http://schemas.openxmlformats.org/officeDocument/2006/relationships/settings" Target="settings.xml"/><Relationship Id="rId7" Type="http://schemas.openxmlformats.org/officeDocument/2006/relationships/hyperlink" Target="https://www.czso.cz/csu/czso/employment-and-un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10308</CharactersWithSpaces>
  <SharedDoc>false</SharedDoc>
  <HLinks>
    <vt:vector size="6" baseType="variant">
      <vt:variant>
        <vt:i4>7536681</vt:i4>
      </vt:variant>
      <vt:variant>
        <vt:i4>0</vt:i4>
      </vt:variant>
      <vt:variant>
        <vt:i4>0</vt:i4>
      </vt:variant>
      <vt:variant>
        <vt:i4>5</vt:i4>
      </vt:variant>
      <vt:variant>
        <vt:lpwstr>http://www.czso.cz/csu/edicniplan.nsf/aktual/ep-3</vt:lpwstr>
      </vt:variant>
      <vt:variant>
        <vt:lpwst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jileckova</dc:creator>
  <cp:lastModifiedBy>Marek Řezanka</cp:lastModifiedBy>
  <cp:revision>2</cp:revision>
  <cp:lastPrinted>2018-11-07T13:08:00Z</cp:lastPrinted>
  <dcterms:created xsi:type="dcterms:W3CDTF">2019-11-21T13:54:00Z</dcterms:created>
  <dcterms:modified xsi:type="dcterms:W3CDTF">2019-11-21T13:54:00Z</dcterms:modified>
</cp:coreProperties>
</file>