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w:t>
      </w:r>
      <w:r w:rsidR="00F752DB">
        <w:rPr>
          <w:rFonts w:cs="Arial"/>
          <w:szCs w:val="24"/>
        </w:rPr>
        <w:t xml:space="preserve">(každoroční) </w:t>
      </w:r>
      <w:r>
        <w:rPr>
          <w:rFonts w:cs="Arial"/>
          <w:szCs w:val="24"/>
        </w:rPr>
        <w:t>intercenzální</w:t>
      </w:r>
      <w:r w:rsidR="00F752DB">
        <w:rPr>
          <w:rFonts w:cs="Arial"/>
          <w:szCs w:val="24"/>
        </w:rPr>
        <w:t xml:space="preserve"> </w:t>
      </w:r>
      <w:r>
        <w:rPr>
          <w:rFonts w:cs="Arial"/>
          <w:szCs w:val="24"/>
        </w:rPr>
        <w:t xml:space="preserve">statistické bilance obyvatel vycházející ze zpracování statistických hlášení ČSÚ o sňatcích, narozeních, úmrtích a rozvodech a dat o stěhování z informačních systémů Ministerstva vnitra ČR. </w:t>
      </w:r>
      <w:r>
        <w:rPr>
          <w:rFonts w:cs="Arial"/>
        </w:rPr>
        <w:t>V údajích o</w:t>
      </w:r>
      <w:r w:rsidR="00F752DB">
        <w:rPr>
          <w:rFonts w:cs="Arial"/>
        </w:rPr>
        <w:t> </w:t>
      </w:r>
      <w:r>
        <w:rPr>
          <w:rFonts w:cs="Arial"/>
        </w:rPr>
        <w:t>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považován počet obyvatel k 1. 7. sledovaného roku. Střední stav obyvatel za jiná období se </w:t>
      </w:r>
      <w:r w:rsidR="00F752DB">
        <w:rPr>
          <w:rFonts w:ascii="Arial" w:hAnsi="Arial" w:cs="Arial"/>
          <w:sz w:val="20"/>
        </w:rPr>
        <w:t>určuje</w:t>
      </w:r>
      <w:r>
        <w:rPr>
          <w:rFonts w:ascii="Arial" w:hAnsi="Arial" w:cs="Arial"/>
          <w:sz w:val="20"/>
        </w:rPr>
        <w:t xml:space="preserve"> jako aritmetický průměr středních stavů příslušných měsíců</w:t>
      </w:r>
      <w:r w:rsidR="00F752DB">
        <w:rPr>
          <w:rFonts w:ascii="Arial" w:hAnsi="Arial" w:cs="Arial"/>
          <w:sz w:val="20"/>
        </w:rPr>
        <w:t xml:space="preserve"> v daném období</w:t>
      </w:r>
      <w:r>
        <w:rPr>
          <w:rFonts w:ascii="Arial" w:hAnsi="Arial" w:cs="Arial"/>
          <w:sz w:val="20"/>
        </w:rPr>
        <w:t xml:space="preserve">.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Výsledky jsou publikovány za celou populaci podniků</w:t>
      </w:r>
      <w:r w:rsidRPr="006B662A">
        <w:rPr>
          <w:rFonts w:cs="Arial"/>
          <w:bCs/>
        </w:rPr>
        <w:t xml:space="preserve">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w:t>
      </w:r>
      <w:r w:rsidR="00F752DB">
        <w:rPr>
          <w:rFonts w:ascii="Arial" w:hAnsi="Arial" w:cs="Arial"/>
          <w:bCs/>
          <w:color w:val="auto"/>
          <w:sz w:val="20"/>
        </w:rPr>
        <w:t> </w:t>
      </w:r>
      <w:r>
        <w:rPr>
          <w:rFonts w:ascii="Arial" w:hAnsi="Arial" w:cs="Arial"/>
          <w:bCs/>
          <w:color w:val="auto"/>
          <w:sz w:val="20"/>
        </w:rPr>
        <w:t xml:space="preserve">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w:t>
      </w:r>
      <w:r w:rsidR="00F752DB">
        <w:rPr>
          <w:rFonts w:ascii="Arial" w:hAnsi="Arial" w:cs="Arial"/>
          <w:sz w:val="20"/>
        </w:rPr>
        <w:t> </w:t>
      </w:r>
      <w:r>
        <w:rPr>
          <w:rFonts w:ascii="Arial" w:hAnsi="Arial" w:cs="Arial"/>
          <w:sz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lastRenderedPageBreak/>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4B20EB" w:rsidRDefault="004B20EB" w:rsidP="004B20EB">
      <w:pPr>
        <w:pStyle w:val="Normlnweb"/>
        <w:spacing w:after="240" w:afterAutospacing="0"/>
        <w:jc w:val="center"/>
        <w:rPr>
          <w:rFonts w:ascii="Arial" w:hAnsi="Arial" w:cs="Arial"/>
          <w:b/>
          <w:color w:val="auto"/>
          <w:sz w:val="20"/>
        </w:rPr>
      </w:pPr>
      <w:r w:rsidRPr="00975221">
        <w:rPr>
          <w:rFonts w:ascii="Arial" w:hAnsi="Arial" w:cs="Arial"/>
          <w:b/>
          <w:color w:val="auto"/>
          <w:sz w:val="20"/>
        </w:rPr>
        <w:t>Intervaly spolehlivosti (95%) pro odhad počtu zaměstnaných v NH,</w:t>
      </w:r>
      <w:r w:rsidRPr="00975221">
        <w:rPr>
          <w:rFonts w:ascii="Arial" w:hAnsi="Arial" w:cs="Arial"/>
          <w:b/>
          <w:color w:val="auto"/>
          <w:sz w:val="20"/>
        </w:rPr>
        <w:br/>
        <w:t>nezaměstnaných a měr nezaměstnanosti (</w:t>
      </w:r>
      <w:r w:rsidR="00F752DB">
        <w:rPr>
          <w:rFonts w:ascii="Arial" w:hAnsi="Arial" w:cs="Arial"/>
          <w:b/>
          <w:color w:val="auto"/>
          <w:sz w:val="20"/>
        </w:rPr>
        <w:t>1</w:t>
      </w:r>
      <w:r w:rsidRPr="00975221">
        <w:rPr>
          <w:rFonts w:ascii="Arial" w:hAnsi="Arial" w:cs="Arial"/>
          <w:b/>
          <w:color w:val="auto"/>
          <w:sz w:val="20"/>
        </w:rPr>
        <w:t>. čtvrtletí 201</w:t>
      </w:r>
      <w:r w:rsidR="00F752DB">
        <w:rPr>
          <w:rFonts w:ascii="Arial" w:hAnsi="Arial" w:cs="Arial"/>
          <w:b/>
          <w:color w:val="auto"/>
          <w:sz w:val="20"/>
        </w:rPr>
        <w:t>9</w:t>
      </w:r>
      <w:r w:rsidRPr="00975221">
        <w:rPr>
          <w:rFonts w:ascii="Arial" w:hAnsi="Arial" w:cs="Arial"/>
          <w:b/>
          <w:color w:val="auto"/>
          <w:sz w:val="20"/>
        </w:rPr>
        <w:t>)</w:t>
      </w:r>
    </w:p>
    <w:tbl>
      <w:tblPr>
        <w:tblW w:w="0" w:type="auto"/>
        <w:jc w:val="center"/>
        <w:tblLayout w:type="fixed"/>
        <w:tblCellMar>
          <w:left w:w="70" w:type="dxa"/>
          <w:right w:w="70" w:type="dxa"/>
        </w:tblCellMar>
        <w:tblLook w:val="0000" w:firstRow="0" w:lastRow="0" w:firstColumn="0" w:lastColumn="0" w:noHBand="0" w:noVBand="0"/>
      </w:tblPr>
      <w:tblGrid>
        <w:gridCol w:w="1783"/>
        <w:gridCol w:w="931"/>
        <w:gridCol w:w="932"/>
        <w:gridCol w:w="931"/>
        <w:gridCol w:w="931"/>
        <w:gridCol w:w="931"/>
        <w:gridCol w:w="931"/>
        <w:gridCol w:w="932"/>
        <w:gridCol w:w="1276"/>
      </w:tblGrid>
      <w:tr w:rsidR="00F752DB" w:rsidTr="00F752DB">
        <w:trPr>
          <w:trHeight w:val="334"/>
          <w:jc w:val="center"/>
        </w:trPr>
        <w:tc>
          <w:tcPr>
            <w:tcW w:w="1783" w:type="dxa"/>
            <w:tcBorders>
              <w:top w:val="single" w:sz="12" w:space="0" w:color="auto"/>
              <w:left w:val="nil"/>
              <w:bottom w:val="nil"/>
              <w:right w:val="single" w:sz="6" w:space="0" w:color="auto"/>
            </w:tcBorders>
          </w:tcPr>
          <w:p w:rsidR="00F752DB" w:rsidRDefault="00F752DB">
            <w:pPr>
              <w:autoSpaceDE w:val="0"/>
              <w:autoSpaceDN w:val="0"/>
              <w:adjustRightInd w:val="0"/>
              <w:jc w:val="center"/>
              <w:rPr>
                <w:rFonts w:ascii="Arial" w:hAnsi="Arial" w:cs="Arial"/>
                <w:b/>
                <w:bCs/>
                <w:color w:val="000000"/>
                <w:sz w:val="16"/>
                <w:szCs w:val="16"/>
              </w:rPr>
            </w:pPr>
          </w:p>
        </w:tc>
        <w:tc>
          <w:tcPr>
            <w:tcW w:w="931" w:type="dxa"/>
            <w:gridSpan w:val="2"/>
            <w:tcBorders>
              <w:top w:val="single" w:sz="12" w:space="0" w:color="auto"/>
              <w:left w:val="single" w:sz="6" w:space="0" w:color="auto"/>
              <w:bottom w:val="single" w:sz="6" w:space="0" w:color="auto"/>
              <w:right w:val="nil"/>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Zaměstnaní (v tis.)</w:t>
            </w:r>
          </w:p>
        </w:tc>
        <w:tc>
          <w:tcPr>
            <w:tcW w:w="931" w:type="dxa"/>
            <w:tcBorders>
              <w:top w:val="single" w:sz="12" w:space="0" w:color="auto"/>
              <w:left w:val="nil"/>
              <w:bottom w:val="single" w:sz="6" w:space="0" w:color="auto"/>
              <w:right w:val="single" w:sz="6" w:space="0" w:color="auto"/>
            </w:tcBorders>
          </w:tcPr>
          <w:p w:rsidR="00F752DB" w:rsidRDefault="00F752DB">
            <w:pPr>
              <w:autoSpaceDE w:val="0"/>
              <w:autoSpaceDN w:val="0"/>
              <w:adjustRightInd w:val="0"/>
              <w:jc w:val="center"/>
              <w:rPr>
                <w:rFonts w:ascii="Arial" w:hAnsi="Arial" w:cs="Arial"/>
                <w:color w:val="000000"/>
                <w:sz w:val="16"/>
                <w:szCs w:val="16"/>
              </w:rPr>
            </w:pPr>
          </w:p>
        </w:tc>
        <w:tc>
          <w:tcPr>
            <w:tcW w:w="931" w:type="dxa"/>
            <w:gridSpan w:val="2"/>
            <w:tcBorders>
              <w:top w:val="single" w:sz="12" w:space="0" w:color="auto"/>
              <w:left w:val="single" w:sz="6" w:space="0" w:color="auto"/>
              <w:bottom w:val="single" w:sz="6" w:space="0" w:color="auto"/>
              <w:right w:val="nil"/>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Nezaměstnaní (v tis.)</w:t>
            </w:r>
          </w:p>
        </w:tc>
        <w:tc>
          <w:tcPr>
            <w:tcW w:w="931" w:type="dxa"/>
            <w:tcBorders>
              <w:top w:val="single" w:sz="12" w:space="0" w:color="auto"/>
              <w:left w:val="nil"/>
              <w:bottom w:val="single" w:sz="6" w:space="0" w:color="auto"/>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p>
        </w:tc>
        <w:tc>
          <w:tcPr>
            <w:tcW w:w="932" w:type="dxa"/>
            <w:gridSpan w:val="2"/>
            <w:tcBorders>
              <w:top w:val="single" w:sz="12" w:space="0" w:color="auto"/>
              <w:left w:val="single" w:sz="6" w:space="0" w:color="auto"/>
              <w:bottom w:val="single" w:sz="6" w:space="0" w:color="auto"/>
              <w:right w:val="nil"/>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Míra nezaměstnanosti (v %)</w:t>
            </w:r>
          </w:p>
        </w:tc>
      </w:tr>
      <w:tr w:rsidR="00F752DB" w:rsidTr="00F752DB">
        <w:trPr>
          <w:trHeight w:val="466"/>
          <w:jc w:val="center"/>
        </w:trPr>
        <w:tc>
          <w:tcPr>
            <w:tcW w:w="1783" w:type="dxa"/>
            <w:tcBorders>
              <w:top w:val="nil"/>
              <w:left w:val="nil"/>
              <w:bottom w:val="nil"/>
              <w:right w:val="single" w:sz="6" w:space="0" w:color="auto"/>
            </w:tcBorders>
          </w:tcPr>
          <w:p w:rsidR="00F752DB" w:rsidRDefault="00F752DB">
            <w:pPr>
              <w:autoSpaceDE w:val="0"/>
              <w:autoSpaceDN w:val="0"/>
              <w:adjustRightInd w:val="0"/>
              <w:jc w:val="center"/>
              <w:rPr>
                <w:rFonts w:ascii="Arial" w:hAnsi="Arial" w:cs="Arial"/>
                <w:b/>
                <w:bCs/>
                <w:color w:val="000000"/>
                <w:sz w:val="16"/>
                <w:szCs w:val="16"/>
              </w:rPr>
            </w:pPr>
          </w:p>
        </w:tc>
        <w:tc>
          <w:tcPr>
            <w:tcW w:w="931" w:type="dxa"/>
            <w:tcBorders>
              <w:top w:val="single" w:sz="6" w:space="0" w:color="auto"/>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odhad</w:t>
            </w:r>
          </w:p>
        </w:tc>
        <w:tc>
          <w:tcPr>
            <w:tcW w:w="932" w:type="dxa"/>
            <w:gridSpan w:val="2"/>
            <w:tcBorders>
              <w:top w:val="single" w:sz="6" w:space="0" w:color="auto"/>
              <w:left w:val="single" w:sz="6" w:space="0" w:color="auto"/>
              <w:bottom w:val="single" w:sz="6" w:space="0" w:color="auto"/>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95% interval</w:t>
            </w:r>
          </w:p>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spolehlivosti</w:t>
            </w:r>
          </w:p>
        </w:tc>
        <w:tc>
          <w:tcPr>
            <w:tcW w:w="931" w:type="dxa"/>
            <w:tcBorders>
              <w:top w:val="single" w:sz="6" w:space="0" w:color="auto"/>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odhad</w:t>
            </w:r>
          </w:p>
        </w:tc>
        <w:tc>
          <w:tcPr>
            <w:tcW w:w="931" w:type="dxa"/>
            <w:gridSpan w:val="2"/>
            <w:tcBorders>
              <w:top w:val="single" w:sz="6" w:space="0" w:color="auto"/>
              <w:left w:val="single" w:sz="6" w:space="0" w:color="auto"/>
              <w:bottom w:val="single" w:sz="6" w:space="0" w:color="auto"/>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95% interval</w:t>
            </w:r>
          </w:p>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spolehlivosti</w:t>
            </w:r>
          </w:p>
        </w:tc>
        <w:tc>
          <w:tcPr>
            <w:tcW w:w="932" w:type="dxa"/>
            <w:tcBorders>
              <w:top w:val="single" w:sz="6" w:space="0" w:color="auto"/>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odhad</w:t>
            </w:r>
          </w:p>
        </w:tc>
        <w:tc>
          <w:tcPr>
            <w:tcW w:w="1276" w:type="dxa"/>
            <w:tcBorders>
              <w:top w:val="single" w:sz="6" w:space="0" w:color="auto"/>
              <w:left w:val="single" w:sz="6" w:space="0" w:color="auto"/>
              <w:bottom w:val="single" w:sz="6" w:space="0" w:color="auto"/>
              <w:right w:val="nil"/>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95% interval</w:t>
            </w:r>
          </w:p>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spolehlivosti</w:t>
            </w:r>
          </w:p>
        </w:tc>
      </w:tr>
      <w:tr w:rsidR="00F752DB" w:rsidTr="00F752DB">
        <w:trPr>
          <w:trHeight w:val="247"/>
          <w:jc w:val="center"/>
        </w:trPr>
        <w:tc>
          <w:tcPr>
            <w:tcW w:w="1783" w:type="dxa"/>
            <w:tcBorders>
              <w:top w:val="nil"/>
              <w:left w:val="nil"/>
              <w:bottom w:val="nil"/>
              <w:right w:val="single" w:sz="6" w:space="0" w:color="auto"/>
            </w:tcBorders>
          </w:tcPr>
          <w:p w:rsidR="00F752DB" w:rsidRDefault="00F752DB">
            <w:pPr>
              <w:autoSpaceDE w:val="0"/>
              <w:autoSpaceDN w:val="0"/>
              <w:adjustRightInd w:val="0"/>
              <w:jc w:val="center"/>
              <w:rPr>
                <w:rFonts w:ascii="Arial" w:hAnsi="Arial" w:cs="Arial"/>
                <w:b/>
                <w:bCs/>
                <w:color w:val="000000"/>
                <w:sz w:val="16"/>
                <w:szCs w:val="16"/>
              </w:rPr>
            </w:pPr>
          </w:p>
        </w:tc>
        <w:tc>
          <w:tcPr>
            <w:tcW w:w="931" w:type="dxa"/>
            <w:tcBorders>
              <w:top w:val="nil"/>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p>
        </w:tc>
        <w:tc>
          <w:tcPr>
            <w:tcW w:w="932" w:type="dxa"/>
            <w:tcBorders>
              <w:top w:val="single" w:sz="6" w:space="0" w:color="auto"/>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abs.</w:t>
            </w:r>
          </w:p>
        </w:tc>
        <w:tc>
          <w:tcPr>
            <w:tcW w:w="931" w:type="dxa"/>
            <w:tcBorders>
              <w:top w:val="single" w:sz="6" w:space="0" w:color="auto"/>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rel.</w:t>
            </w:r>
          </w:p>
        </w:tc>
        <w:tc>
          <w:tcPr>
            <w:tcW w:w="931" w:type="dxa"/>
            <w:tcBorders>
              <w:top w:val="nil"/>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p>
        </w:tc>
        <w:tc>
          <w:tcPr>
            <w:tcW w:w="931" w:type="dxa"/>
            <w:tcBorders>
              <w:top w:val="single" w:sz="6" w:space="0" w:color="auto"/>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abs.</w:t>
            </w:r>
          </w:p>
        </w:tc>
        <w:tc>
          <w:tcPr>
            <w:tcW w:w="931" w:type="dxa"/>
            <w:tcBorders>
              <w:top w:val="single" w:sz="6" w:space="0" w:color="auto"/>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rel.</w:t>
            </w:r>
          </w:p>
        </w:tc>
        <w:tc>
          <w:tcPr>
            <w:tcW w:w="932" w:type="dxa"/>
            <w:tcBorders>
              <w:top w:val="nil"/>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p>
        </w:tc>
        <w:tc>
          <w:tcPr>
            <w:tcW w:w="1276" w:type="dxa"/>
            <w:tcBorders>
              <w:top w:val="single" w:sz="6" w:space="0" w:color="auto"/>
              <w:left w:val="single" w:sz="6" w:space="0" w:color="auto"/>
              <w:bottom w:val="nil"/>
              <w:right w:val="nil"/>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abs.</w:t>
            </w:r>
          </w:p>
        </w:tc>
      </w:tr>
      <w:tr w:rsidR="00F752DB" w:rsidTr="00F752DB">
        <w:trPr>
          <w:trHeight w:val="247"/>
          <w:jc w:val="center"/>
        </w:trPr>
        <w:tc>
          <w:tcPr>
            <w:tcW w:w="1783" w:type="dxa"/>
            <w:tcBorders>
              <w:top w:val="nil"/>
              <w:left w:val="nil"/>
              <w:bottom w:val="single" w:sz="12" w:space="0" w:color="auto"/>
              <w:right w:val="single" w:sz="6" w:space="0" w:color="auto"/>
            </w:tcBorders>
          </w:tcPr>
          <w:p w:rsidR="00F752DB" w:rsidRDefault="00F752DB">
            <w:pPr>
              <w:autoSpaceDE w:val="0"/>
              <w:autoSpaceDN w:val="0"/>
              <w:adjustRightInd w:val="0"/>
              <w:jc w:val="center"/>
              <w:rPr>
                <w:rFonts w:ascii="Arial" w:hAnsi="Arial" w:cs="Arial"/>
                <w:b/>
                <w:bCs/>
                <w:color w:val="000000"/>
                <w:sz w:val="16"/>
                <w:szCs w:val="16"/>
              </w:rPr>
            </w:pPr>
          </w:p>
        </w:tc>
        <w:tc>
          <w:tcPr>
            <w:tcW w:w="931" w:type="dxa"/>
            <w:tcBorders>
              <w:top w:val="nil"/>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p>
        </w:tc>
        <w:tc>
          <w:tcPr>
            <w:tcW w:w="932" w:type="dxa"/>
            <w:tcBorders>
              <w:top w:val="nil"/>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31" w:type="dxa"/>
            <w:tcBorders>
              <w:top w:val="nil"/>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 (%)</w:t>
            </w:r>
          </w:p>
        </w:tc>
        <w:tc>
          <w:tcPr>
            <w:tcW w:w="931" w:type="dxa"/>
            <w:tcBorders>
              <w:top w:val="nil"/>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p>
        </w:tc>
        <w:tc>
          <w:tcPr>
            <w:tcW w:w="931" w:type="dxa"/>
            <w:tcBorders>
              <w:top w:val="nil"/>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31" w:type="dxa"/>
            <w:tcBorders>
              <w:top w:val="nil"/>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 (%)</w:t>
            </w:r>
          </w:p>
        </w:tc>
        <w:tc>
          <w:tcPr>
            <w:tcW w:w="932" w:type="dxa"/>
            <w:tcBorders>
              <w:top w:val="nil"/>
              <w:left w:val="single" w:sz="6" w:space="0" w:color="auto"/>
              <w:bottom w:val="nil"/>
              <w:right w:val="single" w:sz="6" w:space="0" w:color="auto"/>
            </w:tcBorders>
            <w:vAlign w:val="center"/>
          </w:tcPr>
          <w:p w:rsidR="00F752DB" w:rsidRDefault="00F752DB">
            <w:pPr>
              <w:autoSpaceDE w:val="0"/>
              <w:autoSpaceDN w:val="0"/>
              <w:adjustRightInd w:val="0"/>
              <w:jc w:val="center"/>
              <w:rPr>
                <w:rFonts w:ascii="Arial" w:hAnsi="Arial" w:cs="Arial"/>
                <w:color w:val="000000"/>
                <w:sz w:val="16"/>
                <w:szCs w:val="16"/>
              </w:rPr>
            </w:pPr>
          </w:p>
        </w:tc>
        <w:tc>
          <w:tcPr>
            <w:tcW w:w="1276" w:type="dxa"/>
            <w:tcBorders>
              <w:top w:val="nil"/>
              <w:left w:val="single" w:sz="6" w:space="0" w:color="auto"/>
              <w:bottom w:val="nil"/>
              <w:right w:val="nil"/>
            </w:tcBorders>
            <w:vAlign w:val="center"/>
          </w:tcPr>
          <w:p w:rsidR="00F752DB" w:rsidRDefault="00F752DB">
            <w:pPr>
              <w:autoSpaceDE w:val="0"/>
              <w:autoSpaceDN w:val="0"/>
              <w:adjustRightInd w:val="0"/>
              <w:jc w:val="center"/>
              <w:rPr>
                <w:rFonts w:ascii="Arial" w:hAnsi="Arial" w:cs="Arial"/>
                <w:color w:val="000000"/>
                <w:sz w:val="16"/>
                <w:szCs w:val="16"/>
              </w:rPr>
            </w:pPr>
            <w:r>
              <w:rPr>
                <w:rFonts w:ascii="Arial" w:hAnsi="Arial" w:cs="Arial"/>
                <w:color w:val="000000"/>
                <w:sz w:val="16"/>
                <w:szCs w:val="16"/>
              </w:rPr>
              <w:t>-/+ (proc. body)</w:t>
            </w:r>
          </w:p>
        </w:tc>
      </w:tr>
      <w:tr w:rsidR="00F752DB" w:rsidTr="00F752DB">
        <w:trPr>
          <w:trHeight w:val="290"/>
          <w:jc w:val="center"/>
        </w:trPr>
        <w:tc>
          <w:tcPr>
            <w:tcW w:w="1783" w:type="dxa"/>
            <w:tcBorders>
              <w:top w:val="single" w:sz="12" w:space="0" w:color="auto"/>
              <w:left w:val="nil"/>
              <w:bottom w:val="nil"/>
              <w:right w:val="nil"/>
            </w:tcBorders>
            <w:vAlign w:val="center"/>
          </w:tcPr>
          <w:p w:rsidR="00F752DB" w:rsidRDefault="00F752DB">
            <w:pPr>
              <w:autoSpaceDE w:val="0"/>
              <w:autoSpaceDN w:val="0"/>
              <w:adjustRightInd w:val="0"/>
              <w:rPr>
                <w:rFonts w:ascii="Arial" w:hAnsi="Arial" w:cs="Arial"/>
                <w:b/>
                <w:bCs/>
                <w:color w:val="000000"/>
                <w:sz w:val="16"/>
                <w:szCs w:val="16"/>
              </w:rPr>
            </w:pPr>
            <w:r>
              <w:rPr>
                <w:rFonts w:ascii="Arial" w:hAnsi="Arial" w:cs="Arial"/>
                <w:b/>
                <w:bCs/>
                <w:color w:val="000000"/>
                <w:sz w:val="16"/>
                <w:szCs w:val="16"/>
              </w:rPr>
              <w:t>Česká republika</w:t>
            </w:r>
          </w:p>
        </w:tc>
        <w:tc>
          <w:tcPr>
            <w:tcW w:w="931" w:type="dxa"/>
            <w:tcBorders>
              <w:top w:val="single" w:sz="12" w:space="0" w:color="auto"/>
              <w:left w:val="single" w:sz="6" w:space="0" w:color="auto"/>
              <w:bottom w:val="nil"/>
              <w:right w:val="single" w:sz="6" w:space="0" w:color="auto"/>
            </w:tcBorders>
            <w:vAlign w:val="center"/>
          </w:tcPr>
          <w:p w:rsidR="00F752DB" w:rsidRDefault="00F752D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5 305,5 </w:t>
            </w:r>
          </w:p>
        </w:tc>
        <w:tc>
          <w:tcPr>
            <w:tcW w:w="932" w:type="dxa"/>
            <w:tcBorders>
              <w:top w:val="single" w:sz="12" w:space="0" w:color="auto"/>
              <w:left w:val="single" w:sz="6" w:space="0" w:color="auto"/>
              <w:bottom w:val="nil"/>
              <w:right w:val="single" w:sz="6" w:space="0" w:color="auto"/>
            </w:tcBorders>
            <w:vAlign w:val="center"/>
          </w:tcPr>
          <w:p w:rsidR="00F752DB" w:rsidRDefault="00F752D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41,0 </w:t>
            </w:r>
          </w:p>
        </w:tc>
        <w:tc>
          <w:tcPr>
            <w:tcW w:w="931" w:type="dxa"/>
            <w:tcBorders>
              <w:top w:val="single" w:sz="12" w:space="0" w:color="auto"/>
              <w:left w:val="single" w:sz="6" w:space="0" w:color="auto"/>
              <w:bottom w:val="nil"/>
              <w:right w:val="single" w:sz="6" w:space="0" w:color="auto"/>
            </w:tcBorders>
            <w:vAlign w:val="center"/>
          </w:tcPr>
          <w:p w:rsidR="00F752DB" w:rsidRDefault="00F752D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0,8 </w:t>
            </w:r>
          </w:p>
        </w:tc>
        <w:tc>
          <w:tcPr>
            <w:tcW w:w="931" w:type="dxa"/>
            <w:tcBorders>
              <w:top w:val="single" w:sz="12" w:space="0" w:color="auto"/>
              <w:left w:val="single" w:sz="6" w:space="0" w:color="auto"/>
              <w:bottom w:val="nil"/>
              <w:right w:val="single" w:sz="6" w:space="0" w:color="auto"/>
            </w:tcBorders>
            <w:vAlign w:val="center"/>
          </w:tcPr>
          <w:p w:rsidR="00F752DB" w:rsidRDefault="00F752D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109,7 </w:t>
            </w:r>
          </w:p>
        </w:tc>
        <w:tc>
          <w:tcPr>
            <w:tcW w:w="931" w:type="dxa"/>
            <w:tcBorders>
              <w:top w:val="single" w:sz="12" w:space="0" w:color="auto"/>
              <w:left w:val="single" w:sz="6" w:space="0" w:color="auto"/>
              <w:bottom w:val="nil"/>
              <w:right w:val="single" w:sz="6" w:space="0" w:color="auto"/>
            </w:tcBorders>
            <w:vAlign w:val="center"/>
          </w:tcPr>
          <w:p w:rsidR="00F752DB" w:rsidRDefault="00F752D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9,2 </w:t>
            </w:r>
          </w:p>
        </w:tc>
        <w:tc>
          <w:tcPr>
            <w:tcW w:w="931" w:type="dxa"/>
            <w:tcBorders>
              <w:top w:val="single" w:sz="12" w:space="0" w:color="auto"/>
              <w:left w:val="single" w:sz="6" w:space="0" w:color="auto"/>
              <w:bottom w:val="nil"/>
              <w:right w:val="single" w:sz="6" w:space="0" w:color="auto"/>
            </w:tcBorders>
            <w:vAlign w:val="center"/>
          </w:tcPr>
          <w:p w:rsidR="00F752DB" w:rsidRDefault="00F752D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8,4 </w:t>
            </w:r>
          </w:p>
        </w:tc>
        <w:tc>
          <w:tcPr>
            <w:tcW w:w="932" w:type="dxa"/>
            <w:tcBorders>
              <w:top w:val="single" w:sz="12" w:space="0" w:color="auto"/>
              <w:left w:val="single" w:sz="6" w:space="0" w:color="auto"/>
              <w:bottom w:val="nil"/>
              <w:right w:val="single" w:sz="6" w:space="0" w:color="auto"/>
            </w:tcBorders>
            <w:vAlign w:val="center"/>
          </w:tcPr>
          <w:p w:rsidR="00F752DB" w:rsidRDefault="00F752D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2,0 </w:t>
            </w:r>
          </w:p>
        </w:tc>
        <w:tc>
          <w:tcPr>
            <w:tcW w:w="1276" w:type="dxa"/>
            <w:tcBorders>
              <w:top w:val="single" w:sz="12" w:space="0" w:color="auto"/>
              <w:left w:val="single" w:sz="6" w:space="0" w:color="auto"/>
              <w:bottom w:val="nil"/>
              <w:right w:val="nil"/>
            </w:tcBorders>
            <w:vAlign w:val="center"/>
          </w:tcPr>
          <w:p w:rsidR="00F752DB" w:rsidRDefault="00F752D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0,2 </w:t>
            </w: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v tom kraje:</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Hl. m. Praha</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714,8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17,9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2,5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9,1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3,4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37,3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1,3 </w:t>
            </w: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0,5 </w:t>
            </w: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Středočeský</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685,6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14,5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2,1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10,5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2,9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27,1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1,5 </w:t>
            </w: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0,4 </w:t>
            </w: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Jihočeský</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312,8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9,0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2,9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4,9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1,7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35,6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1,5 </w:t>
            </w: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0,5 </w:t>
            </w: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Plzeňský</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294,6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8,5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2,9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4,1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1,6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38,2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1,4 </w:t>
            </w: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0,5 </w:t>
            </w: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Karlovarský</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149,7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5,5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3,7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6,6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1,8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27,4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4,2 </w:t>
            </w: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1,2 </w:t>
            </w: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Ústecký</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388,7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13,9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3,6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7,4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2,9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39,3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1,9 </w:t>
            </w: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0,7 </w:t>
            </w: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Liberecký</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211,0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7,9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3,7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2,7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1,4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49,8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1,3 </w:t>
            </w: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0,6 </w:t>
            </w: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Královéhradecký</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271,4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9,1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3,3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4,2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1,8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41,4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1,5 </w:t>
            </w: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0,6 </w:t>
            </w: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Pardubický</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257,7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8,3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3,2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4,9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1,8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36,4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1,9 </w:t>
            </w: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0,7 </w:t>
            </w: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Vysočina</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252,0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8,0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3,2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3,4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1,4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42,7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1,3 </w:t>
            </w: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0,6 </w:t>
            </w: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Jihomoravský</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594,3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13,6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2,3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15,5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3,4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22,1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2,5 </w:t>
            </w: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0,6 </w:t>
            </w: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Olomoucký</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307,8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10,4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3,4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9,1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2,7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29,9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2,9 </w:t>
            </w: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0,9 </w:t>
            </w: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Zlínský</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284,7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9,3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3,3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4,4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1,8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39,9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1,5 </w:t>
            </w: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0,6 </w:t>
            </w:r>
          </w:p>
        </w:tc>
      </w:tr>
      <w:tr w:rsidR="00F752DB" w:rsidTr="00F752DB">
        <w:trPr>
          <w:trHeight w:val="247"/>
          <w:jc w:val="center"/>
        </w:trPr>
        <w:tc>
          <w:tcPr>
            <w:tcW w:w="1783" w:type="dxa"/>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Moravskoslezský</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580,5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14,3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2,5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22,7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4,3 </w:t>
            </w:r>
          </w:p>
        </w:tc>
        <w:tc>
          <w:tcPr>
            <w:tcW w:w="931"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18,8 </w:t>
            </w:r>
          </w:p>
        </w:tc>
        <w:tc>
          <w:tcPr>
            <w:tcW w:w="932" w:type="dxa"/>
            <w:tcBorders>
              <w:top w:val="nil"/>
              <w:left w:val="single" w:sz="6" w:space="0" w:color="auto"/>
              <w:bottom w:val="nil"/>
              <w:right w:val="single" w:sz="6" w:space="0" w:color="auto"/>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3,8 </w:t>
            </w:r>
          </w:p>
        </w:tc>
        <w:tc>
          <w:tcPr>
            <w:tcW w:w="1276" w:type="dxa"/>
            <w:tcBorders>
              <w:top w:val="nil"/>
              <w:left w:val="single" w:sz="6" w:space="0" w:color="auto"/>
              <w:bottom w:val="nil"/>
              <w:right w:val="nil"/>
            </w:tcBorders>
          </w:tcPr>
          <w:p w:rsidR="00F752DB" w:rsidRDefault="00F752DB">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0,7 </w:t>
            </w:r>
          </w:p>
        </w:tc>
      </w:tr>
      <w:tr w:rsidR="00F752DB" w:rsidTr="00F752DB">
        <w:trPr>
          <w:trHeight w:val="115"/>
          <w:jc w:val="center"/>
        </w:trPr>
        <w:tc>
          <w:tcPr>
            <w:tcW w:w="1783"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20"/>
                <w:szCs w:val="20"/>
              </w:rPr>
            </w:pPr>
          </w:p>
        </w:tc>
        <w:tc>
          <w:tcPr>
            <w:tcW w:w="931"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20"/>
                <w:szCs w:val="20"/>
              </w:rPr>
            </w:pPr>
          </w:p>
        </w:tc>
        <w:tc>
          <w:tcPr>
            <w:tcW w:w="932"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20"/>
                <w:szCs w:val="20"/>
              </w:rPr>
            </w:pPr>
          </w:p>
        </w:tc>
        <w:tc>
          <w:tcPr>
            <w:tcW w:w="931"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20"/>
                <w:szCs w:val="20"/>
              </w:rPr>
            </w:pPr>
          </w:p>
        </w:tc>
        <w:tc>
          <w:tcPr>
            <w:tcW w:w="931"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20"/>
                <w:szCs w:val="20"/>
              </w:rPr>
            </w:pPr>
          </w:p>
        </w:tc>
        <w:tc>
          <w:tcPr>
            <w:tcW w:w="931"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20"/>
                <w:szCs w:val="20"/>
              </w:rPr>
            </w:pPr>
          </w:p>
        </w:tc>
        <w:tc>
          <w:tcPr>
            <w:tcW w:w="931"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16"/>
                <w:szCs w:val="16"/>
              </w:rPr>
            </w:pPr>
          </w:p>
        </w:tc>
        <w:tc>
          <w:tcPr>
            <w:tcW w:w="932"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16"/>
                <w:szCs w:val="16"/>
              </w:rPr>
            </w:pPr>
          </w:p>
        </w:tc>
        <w:tc>
          <w:tcPr>
            <w:tcW w:w="1276"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20"/>
                <w:szCs w:val="20"/>
              </w:rPr>
            </w:pPr>
          </w:p>
        </w:tc>
      </w:tr>
      <w:tr w:rsidR="00F752DB" w:rsidTr="00F752DB">
        <w:trPr>
          <w:trHeight w:val="218"/>
          <w:jc w:val="center"/>
        </w:trPr>
        <w:tc>
          <w:tcPr>
            <w:tcW w:w="1783" w:type="dxa"/>
            <w:gridSpan w:val="3"/>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Poznámka: věková skupina 15+</w:t>
            </w:r>
          </w:p>
        </w:tc>
        <w:tc>
          <w:tcPr>
            <w:tcW w:w="931"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16"/>
                <w:szCs w:val="16"/>
              </w:rPr>
            </w:pPr>
          </w:p>
        </w:tc>
        <w:tc>
          <w:tcPr>
            <w:tcW w:w="931"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16"/>
                <w:szCs w:val="16"/>
              </w:rPr>
            </w:pPr>
          </w:p>
        </w:tc>
        <w:tc>
          <w:tcPr>
            <w:tcW w:w="931"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16"/>
                <w:szCs w:val="16"/>
              </w:rPr>
            </w:pPr>
          </w:p>
        </w:tc>
        <w:tc>
          <w:tcPr>
            <w:tcW w:w="931"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16"/>
                <w:szCs w:val="16"/>
              </w:rPr>
            </w:pPr>
          </w:p>
        </w:tc>
        <w:tc>
          <w:tcPr>
            <w:tcW w:w="932"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16"/>
                <w:szCs w:val="16"/>
              </w:rPr>
            </w:pPr>
          </w:p>
        </w:tc>
        <w:tc>
          <w:tcPr>
            <w:tcW w:w="1276"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16"/>
                <w:szCs w:val="16"/>
              </w:rPr>
            </w:pPr>
          </w:p>
        </w:tc>
      </w:tr>
      <w:tr w:rsidR="00F752DB" w:rsidTr="00F752DB">
        <w:trPr>
          <w:trHeight w:val="218"/>
          <w:jc w:val="center"/>
        </w:trPr>
        <w:tc>
          <w:tcPr>
            <w:tcW w:w="1783" w:type="dxa"/>
            <w:gridSpan w:val="3"/>
            <w:tcBorders>
              <w:top w:val="nil"/>
              <w:left w:val="nil"/>
              <w:bottom w:val="nil"/>
              <w:right w:val="nil"/>
            </w:tcBorders>
          </w:tcPr>
          <w:p w:rsidR="00F752DB" w:rsidRDefault="00F752DB">
            <w:pPr>
              <w:autoSpaceDE w:val="0"/>
              <w:autoSpaceDN w:val="0"/>
              <w:adjustRightInd w:val="0"/>
              <w:rPr>
                <w:rFonts w:ascii="Arial" w:hAnsi="Arial" w:cs="Arial"/>
                <w:color w:val="000000"/>
                <w:sz w:val="16"/>
                <w:szCs w:val="16"/>
              </w:rPr>
            </w:pPr>
            <w:r>
              <w:rPr>
                <w:rFonts w:ascii="Arial" w:hAnsi="Arial" w:cs="Arial"/>
                <w:color w:val="000000"/>
                <w:sz w:val="16"/>
                <w:szCs w:val="16"/>
              </w:rPr>
              <w:t>Zdroj: Výběrové šetření pracovních sil</w:t>
            </w:r>
          </w:p>
        </w:tc>
        <w:tc>
          <w:tcPr>
            <w:tcW w:w="931"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16"/>
                <w:szCs w:val="16"/>
              </w:rPr>
            </w:pPr>
          </w:p>
        </w:tc>
        <w:tc>
          <w:tcPr>
            <w:tcW w:w="931"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16"/>
                <w:szCs w:val="16"/>
              </w:rPr>
            </w:pPr>
          </w:p>
        </w:tc>
        <w:tc>
          <w:tcPr>
            <w:tcW w:w="931"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16"/>
                <w:szCs w:val="16"/>
              </w:rPr>
            </w:pPr>
          </w:p>
        </w:tc>
        <w:tc>
          <w:tcPr>
            <w:tcW w:w="931"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16"/>
                <w:szCs w:val="16"/>
              </w:rPr>
            </w:pPr>
          </w:p>
        </w:tc>
        <w:tc>
          <w:tcPr>
            <w:tcW w:w="932"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16"/>
                <w:szCs w:val="16"/>
              </w:rPr>
            </w:pPr>
          </w:p>
        </w:tc>
        <w:tc>
          <w:tcPr>
            <w:tcW w:w="1276" w:type="dxa"/>
            <w:tcBorders>
              <w:top w:val="nil"/>
              <w:left w:val="nil"/>
              <w:bottom w:val="nil"/>
              <w:right w:val="nil"/>
            </w:tcBorders>
          </w:tcPr>
          <w:p w:rsidR="00F752DB" w:rsidRDefault="00F752DB">
            <w:pPr>
              <w:autoSpaceDE w:val="0"/>
              <w:autoSpaceDN w:val="0"/>
              <w:adjustRightInd w:val="0"/>
              <w:jc w:val="right"/>
              <w:rPr>
                <w:rFonts w:ascii="Arial" w:hAnsi="Arial" w:cs="Arial"/>
                <w:color w:val="000000"/>
                <w:sz w:val="16"/>
                <w:szCs w:val="16"/>
              </w:rPr>
            </w:pPr>
          </w:p>
        </w:tc>
      </w:tr>
    </w:tbl>
    <w:p w:rsidR="008D1CC6" w:rsidRPr="00F752DB" w:rsidRDefault="008D1CC6" w:rsidP="00554481">
      <w:pPr>
        <w:spacing w:after="120"/>
        <w:jc w:val="center"/>
        <w:rPr>
          <w:rFonts w:ascii="Arial" w:hAnsi="Arial" w:cs="Arial"/>
          <w:b/>
          <w:bCs/>
          <w:sz w:val="6"/>
          <w:szCs w:val="6"/>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nezaměstnanosti</w:t>
      </w:r>
      <w:r w:rsidRPr="006B662A">
        <w:rPr>
          <w:rFonts w:ascii="Arial" w:hAnsi="Arial" w:cs="Arial"/>
          <w:bCs/>
          <w:color w:val="auto"/>
          <w:sz w:val="20"/>
          <w:szCs w:val="20"/>
        </w:rPr>
        <w:t xml:space="preserve">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w:t>
      </w:r>
      <w:r w:rsidR="00F752DB">
        <w:rPr>
          <w:rFonts w:ascii="Arial" w:hAnsi="Arial" w:cs="Arial"/>
          <w:color w:val="auto"/>
          <w:sz w:val="20"/>
          <w:szCs w:val="20"/>
        </w:rPr>
        <w:t> </w:t>
      </w:r>
      <w:r w:rsidR="00EF27D4" w:rsidRPr="00C63FAD">
        <w:rPr>
          <w:rFonts w:ascii="Arial" w:hAnsi="Arial" w:cs="Arial"/>
          <w:color w:val="auto"/>
          <w:sz w:val="20"/>
          <w:szCs w:val="20"/>
        </w:rPr>
        <w:t>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w:t>
      </w:r>
      <w:r w:rsidR="00F752DB">
        <w:rPr>
          <w:rFonts w:ascii="Arial" w:hAnsi="Arial" w:cs="Arial"/>
          <w:color w:val="auto"/>
          <w:sz w:val="20"/>
          <w:szCs w:val="20"/>
        </w:rPr>
        <w:t> </w:t>
      </w:r>
      <w:r w:rsidR="00EF27D4" w:rsidRPr="00C63FAD">
        <w:rPr>
          <w:rFonts w:ascii="Arial" w:hAnsi="Arial" w:cs="Arial"/>
          <w:color w:val="auto"/>
          <w:sz w:val="20"/>
          <w:szCs w:val="20"/>
        </w:rPr>
        <w:t>nabídce vhodného pracovního místa, protože nemají žádnou objektivní překážku pro přijetí do</w:t>
      </w:r>
      <w:r w:rsidR="00F752DB">
        <w:rPr>
          <w:rFonts w:ascii="Arial" w:hAnsi="Arial" w:cs="Arial"/>
          <w:color w:val="auto"/>
          <w:sz w:val="20"/>
          <w:szCs w:val="20"/>
        </w:rPr>
        <w:t> </w:t>
      </w:r>
      <w:r w:rsidR="00EF27D4" w:rsidRPr="00C63FAD">
        <w:rPr>
          <w:rFonts w:ascii="Arial" w:hAnsi="Arial" w:cs="Arial"/>
          <w:color w:val="auto"/>
          <w:sz w:val="20"/>
          <w:szCs w:val="20"/>
        </w:rPr>
        <w:t>zaměstnání (nejsou ve vazbě, ve výkonu trestu, nepobírají peněžitou pomoc v mateřství, hmotné zabezpečení po dobu mateřské dovolené, nejsou v pracovní neschopnosti, nejsou zařazeni do</w:t>
      </w:r>
      <w:r w:rsidR="00F752DB">
        <w:rPr>
          <w:rFonts w:ascii="Arial" w:hAnsi="Arial" w:cs="Arial"/>
          <w:color w:val="auto"/>
          <w:sz w:val="20"/>
          <w:szCs w:val="20"/>
        </w:rPr>
        <w:t> </w:t>
      </w:r>
      <w:r w:rsidR="00EF27D4" w:rsidRPr="00C63FAD">
        <w:rPr>
          <w:rFonts w:ascii="Arial" w:hAnsi="Arial" w:cs="Arial"/>
          <w:color w:val="auto"/>
          <w:sz w:val="20"/>
          <w:szCs w:val="20"/>
        </w:rPr>
        <w:t>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se rozumí nově vytvořená nebo uvolněná pracovní místa, na</w:t>
      </w:r>
      <w:r w:rsidR="00F752DB">
        <w:rPr>
          <w:rFonts w:ascii="Arial" w:hAnsi="Arial" w:cs="Arial"/>
          <w:sz w:val="20"/>
          <w:szCs w:val="20"/>
        </w:rPr>
        <w:t> </w:t>
      </w:r>
      <w:r w:rsidR="00EC1D74" w:rsidRPr="00C63FAD">
        <w:rPr>
          <w:rFonts w:ascii="Arial" w:hAnsi="Arial" w:cs="Arial"/>
          <w:sz w:val="20"/>
          <w:szCs w:val="20"/>
        </w:rPr>
        <w:t xml:space="preserve">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956E81" w:rsidRPr="00C63FAD" w:rsidRDefault="001613CD" w:rsidP="00956E81">
      <w:pPr>
        <w:pStyle w:val="Nadpis8"/>
        <w:rPr>
          <w:rFonts w:cs="Arial"/>
          <w:b w:val="0"/>
          <w:bCs w:val="0"/>
        </w:rPr>
      </w:pPr>
      <w:r w:rsidRPr="00C63FAD">
        <w:rPr>
          <w:rStyle w:val="Siln"/>
          <w:rFonts w:cs="Arial"/>
          <w:b/>
          <w:bCs/>
        </w:rPr>
        <w:lastRenderedPageBreak/>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CA5B96">
        <w:rPr>
          <w:rFonts w:cs="Arial"/>
          <w:szCs w:val="24"/>
        </w:rPr>
        <w:t xml:space="preserve">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sidR="00F752DB">
        <w:rPr>
          <w:rFonts w:ascii="Arial" w:hAnsi="Arial" w:cs="Arial"/>
          <w:sz w:val="20"/>
        </w:rPr>
        <w:t>pro</w:t>
      </w:r>
      <w:r w:rsidRPr="00C63FAD">
        <w:rPr>
          <w:rFonts w:ascii="Arial" w:hAnsi="Arial" w:cs="Arial"/>
          <w:sz w:val="20"/>
        </w:rPr>
        <w:t xml:space="preserv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Orientační hodnota</w:t>
      </w:r>
      <w:r w:rsidRPr="006D726B">
        <w:rPr>
          <w:rFonts w:ascii="Arial" w:hAnsi="Arial" w:cs="Arial"/>
          <w:bCs/>
          <w:sz w:val="20"/>
          <w:szCs w:val="20"/>
        </w:rPr>
        <w:t xml:space="preserve">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w:t>
      </w:r>
      <w:r w:rsidR="007D0670">
        <w:rPr>
          <w:rFonts w:ascii="Arial" w:hAnsi="Arial" w:cs="Arial"/>
          <w:sz w:val="20"/>
          <w:szCs w:val="20"/>
        </w:rPr>
        <w:t> </w:t>
      </w:r>
      <w:r w:rsidRPr="00EB7A75">
        <w:rPr>
          <w:rFonts w:ascii="Arial" w:hAnsi="Arial" w:cs="Arial"/>
          <w:sz w:val="20"/>
          <w:szCs w:val="20"/>
        </w:rPr>
        <w:t>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w:t>
      </w:r>
      <w:r w:rsidR="00F752DB">
        <w:rPr>
          <w:rFonts w:ascii="Arial" w:hAnsi="Arial" w:cs="Arial"/>
          <w:sz w:val="20"/>
          <w:szCs w:val="20"/>
        </w:rPr>
        <w:t> </w:t>
      </w:r>
      <w:r w:rsidRPr="00EB7A75">
        <w:rPr>
          <w:rFonts w:ascii="Arial" w:hAnsi="Arial" w:cs="Arial"/>
          <w:sz w:val="20"/>
          <w:szCs w:val="20"/>
        </w:rPr>
        <w:t>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definice považován rodinný dům, bytový dům, nástavba, vestavba nebo přístavba k oběma uvedeným domům, dům s</w:t>
      </w:r>
      <w:r w:rsidR="007D0670">
        <w:rPr>
          <w:rFonts w:ascii="Arial" w:hAnsi="Arial" w:cs="Arial"/>
          <w:color w:val="000000"/>
          <w:sz w:val="20"/>
          <w:szCs w:val="20"/>
        </w:rPr>
        <w:t> </w:t>
      </w:r>
      <w:r w:rsidRPr="00B421E4">
        <w:rPr>
          <w:rFonts w:ascii="Arial" w:hAnsi="Arial" w:cs="Arial"/>
          <w:color w:val="000000"/>
          <w:sz w:val="20"/>
          <w:szCs w:val="20"/>
        </w:rPr>
        <w:t xml:space="preserve">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w:t>
      </w:r>
      <w:r w:rsidR="007D0670">
        <w:rPr>
          <w:rFonts w:ascii="Arial" w:hAnsi="Arial" w:cs="Arial"/>
          <w:color w:val="000000"/>
          <w:sz w:val="20"/>
          <w:szCs w:val="20"/>
        </w:rPr>
        <w:t> </w:t>
      </w:r>
      <w:r w:rsidRPr="00B421E4">
        <w:rPr>
          <w:rFonts w:ascii="Arial" w:hAnsi="Arial" w:cs="Arial"/>
          <w:color w:val="000000"/>
          <w:sz w:val="20"/>
          <w:szCs w:val="20"/>
        </w:rPr>
        <w:t>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t>Byty dokončené</w:t>
      </w:r>
      <w:r w:rsidRPr="00B421E4">
        <w:rPr>
          <w:rFonts w:ascii="Arial" w:hAnsi="Arial" w:cs="Arial"/>
          <w:color w:val="000000"/>
          <w:sz w:val="20"/>
          <w:szCs w:val="20"/>
        </w:rPr>
        <w:t xml:space="preserve"> jsou byty v nových budovách, kterým bylo přiděleno číslo popisné/evidenční nebo nově dokončené byty ve stávajících budovách.</w:t>
      </w:r>
    </w:p>
    <w:p w:rsidR="001613CD" w:rsidRPr="00C63FAD" w:rsidRDefault="001613CD">
      <w:pPr>
        <w:pStyle w:val="Nadpis8"/>
        <w:rPr>
          <w:rFonts w:cs="Arial"/>
          <w:b w:val="0"/>
          <w:bCs w:val="0"/>
        </w:rPr>
      </w:pPr>
      <w:r w:rsidRPr="00C63FAD">
        <w:rPr>
          <w:rStyle w:val="Siln"/>
          <w:rFonts w:cs="Arial"/>
          <w:b/>
          <w:bCs/>
        </w:rPr>
        <w:lastRenderedPageBreak/>
        <w:t>ZEMĚDĚLSTVÍ</w:t>
      </w:r>
      <w:r w:rsidRPr="00C63FAD">
        <w:rPr>
          <w:rFonts w:cs="Arial"/>
          <w:b w:val="0"/>
          <w:bCs w:val="0"/>
        </w:rPr>
        <w:t xml:space="preserve"> </w:t>
      </w:r>
    </w:p>
    <w:p w:rsidR="00224BF2" w:rsidRPr="00C63FAD" w:rsidRDefault="00F752DB" w:rsidP="00224BF2">
      <w:pPr>
        <w:pStyle w:val="Zkladntext3"/>
        <w:spacing w:before="120" w:after="120" w:line="233" w:lineRule="auto"/>
        <w:rPr>
          <w:rFonts w:cs="Arial"/>
        </w:rPr>
      </w:pPr>
      <w:r w:rsidRPr="00F752DB">
        <w:rPr>
          <w:rFonts w:cs="Arial"/>
          <w:szCs w:val="20"/>
        </w:rPr>
        <w:t xml:space="preserve">Výroba masa uvádí jatečnou hmotnost zvířat poražených na registrovaných jatkách. Jatečná hmotnost je hmotnost jatečně upravených těl. </w:t>
      </w:r>
      <w:r>
        <w:rPr>
          <w:rFonts w:cs="Arial"/>
          <w:szCs w:val="20"/>
        </w:rPr>
        <w:t>Z</w:t>
      </w:r>
      <w:r w:rsidR="00224BF2" w:rsidRPr="00C63FAD">
        <w:rPr>
          <w:rFonts w:cs="Arial"/>
          <w:szCs w:val="20"/>
        </w:rPr>
        <w:t>ahrnují jatečná zvířata bez ohledu na to, zda jsou tuzemského původu nebo byla dovezena ze zahraničí</w:t>
      </w:r>
      <w:r w:rsidR="00EB7A75">
        <w:rPr>
          <w:rFonts w:cs="Arial"/>
          <w:szCs w:val="20"/>
        </w:rPr>
        <w:t>, zda byla nakoupena nebo poražena za úplatu</w:t>
      </w:r>
      <w:r w:rsidR="00224BF2" w:rsidRPr="00C63FAD">
        <w:rPr>
          <w:rFonts w:cs="Arial"/>
          <w:szCs w:val="20"/>
        </w:rPr>
        <w:t xml:space="preserve">. Nutné porážky jsou </w:t>
      </w:r>
      <w:r>
        <w:rPr>
          <w:rFonts w:cs="Arial"/>
          <w:szCs w:val="20"/>
        </w:rPr>
        <w:t>započteny</w:t>
      </w:r>
      <w:r w:rsidR="00224BF2" w:rsidRPr="00C63FAD">
        <w:rPr>
          <w:rFonts w:cs="Arial"/>
          <w:szCs w:val="20"/>
        </w:rPr>
        <w:t xml:space="preserve"> v případě, že maso </w:t>
      </w:r>
      <w:r>
        <w:rPr>
          <w:rFonts w:cs="Arial"/>
          <w:szCs w:val="20"/>
        </w:rPr>
        <w:t>bylo určeno</w:t>
      </w:r>
      <w:r w:rsidR="00224BF2" w:rsidRPr="00C63FAD">
        <w:rPr>
          <w:rFonts w:cs="Arial"/>
          <w:szCs w:val="20"/>
        </w:rPr>
        <w:t xml:space="preserve"> pro lidskou spotřebu. Výroba masa</w:t>
      </w:r>
      <w:r>
        <w:rPr>
          <w:rFonts w:cs="Arial"/>
          <w:szCs w:val="20"/>
        </w:rPr>
        <w:t xml:space="preserve"> celkem (bez drůbežího)</w:t>
      </w:r>
      <w:r w:rsidR="00224BF2" w:rsidRPr="00C63FAD">
        <w:rPr>
          <w:rFonts w:cs="Arial"/>
          <w:szCs w:val="20"/>
        </w:rPr>
        <w:t xml:space="preserve"> zahrnuje výrobu hovězího, telecího, vepřového, skopového, 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r w:rsidR="00224BF2" w:rsidRPr="00C63FAD">
        <w:rPr>
          <w:rFonts w:cs="Arial"/>
          <w:szCs w:val="20"/>
        </w:rPr>
        <w:t xml:space="preserve">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w:t>
      </w:r>
      <w:r w:rsidR="00F752DB">
        <w:rPr>
          <w:rFonts w:ascii="Arial" w:hAnsi="Arial" w:cs="Arial"/>
          <w:sz w:val="20"/>
          <w:szCs w:val="26"/>
        </w:rPr>
        <w:t xml:space="preserve">(popřípadě K.3) </w:t>
      </w:r>
      <w:r w:rsidRPr="00C63FAD">
        <w:rPr>
          <w:rFonts w:ascii="Arial" w:hAnsi="Arial" w:cs="Arial"/>
          <w:sz w:val="20"/>
          <w:szCs w:val="26"/>
        </w:rPr>
        <w:t xml:space="preserve">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00F752DB">
        <w:rPr>
          <w:rFonts w:ascii="Arial" w:hAnsi="Arial" w:cs="Arial"/>
          <w:sz w:val="20"/>
          <w:szCs w:val="26"/>
        </w:rPr>
        <w:t xml:space="preserve">a odhad hektarových výnosů sklizně </w:t>
      </w:r>
      <w:r w:rsidRPr="00C63FAD">
        <w:rPr>
          <w:rFonts w:ascii="Arial" w:hAnsi="Arial" w:cs="Arial"/>
          <w:sz w:val="20"/>
          <w:szCs w:val="26"/>
        </w:rPr>
        <w:t xml:space="preserve">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00F752DB" w:rsidRPr="00F752DB">
        <w:rPr>
          <w:rFonts w:ascii="Arial" w:hAnsi="Arial" w:cs="Arial"/>
          <w:sz w:val="20"/>
          <w:szCs w:val="26"/>
        </w:rPr>
        <w:t xml:space="preserve"> a hektarové výnosy sklizně</w:t>
      </w:r>
      <w:r w:rsidRPr="00C63FAD">
        <w:rPr>
          <w:rFonts w:ascii="Arial" w:hAnsi="Arial" w:cs="Arial"/>
          <w:sz w:val="20"/>
          <w:szCs w:val="26"/>
        </w:rPr>
        <w:t>.</w:t>
      </w:r>
      <w:r w:rsidR="00004FAC">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se 100 a více zaměstnanci</w:t>
      </w:r>
      <w:r w:rsidRPr="006B662A">
        <w:rPr>
          <w:rFonts w:cs="Arial"/>
        </w:rPr>
        <w:t xml:space="preserve"> </w:t>
      </w:r>
      <w:r>
        <w:rPr>
          <w:rFonts w:cs="Arial"/>
        </w:rPr>
        <w:t xml:space="preserve">a zjišťovány podnikovou metodou, tedy za podniky </w:t>
      </w:r>
      <w:r>
        <w:rPr>
          <w:rFonts w:cs="Arial"/>
          <w:b/>
        </w:rPr>
        <w:t>se sídlem na</w:t>
      </w:r>
      <w:r w:rsidR="00F752DB">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w:t>
      </w:r>
      <w:r w:rsidR="00F752DB">
        <w:rPr>
          <w:szCs w:val="20"/>
        </w:rPr>
        <w:t> </w:t>
      </w:r>
      <w:r w:rsidRPr="006A20C7">
        <w:rPr>
          <w:szCs w:val="20"/>
        </w:rPr>
        <w:t xml:space="preserve">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F752DB">
        <w:rPr>
          <w:rFonts w:cs="Arial"/>
        </w:rPr>
        <w:t xml:space="preserve"> </w:t>
      </w:r>
      <w:r w:rsidR="00F752DB" w:rsidRPr="00F752DB">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lastRenderedPageBreak/>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zpronevěry, ostatní majetkové a osta</w:t>
      </w:r>
      <w:bookmarkStart w:id="0" w:name="_GoBack"/>
      <w:bookmarkEnd w:id="0"/>
      <w:r>
        <w:rPr>
          <w:rFonts w:ascii="Arial" w:hAnsi="Arial" w:cs="Arial"/>
          <w:sz w:val="20"/>
        </w:rPr>
        <w:t xml:space="preserve">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F752DB">
        <w:rPr>
          <w:rFonts w:ascii="Arial" w:hAnsi="Arial" w:cs="Arial"/>
          <w:sz w:val="20"/>
        </w:rPr>
        <w:t>9</w:t>
      </w:r>
      <w:r w:rsidRPr="00C63FAD">
        <w:rPr>
          <w:rFonts w:ascii="Arial" w:hAnsi="Arial" w:cs="Arial"/>
          <w:sz w:val="20"/>
        </w:rPr>
        <w:t>/201</w:t>
      </w:r>
      <w:r w:rsidR="00F752DB">
        <w:rPr>
          <w:rFonts w:ascii="Arial" w:hAnsi="Arial" w:cs="Arial"/>
          <w:sz w:val="20"/>
        </w:rPr>
        <w:t>8</w:t>
      </w:r>
      <w:r w:rsidRPr="00C63FAD">
        <w:rPr>
          <w:rFonts w:ascii="Arial" w:hAnsi="Arial" w:cs="Arial"/>
          <w:sz w:val="20"/>
        </w:rPr>
        <w:t>, respektive 201</w:t>
      </w:r>
      <w:r w:rsidR="00F752DB">
        <w:rPr>
          <w:rFonts w:ascii="Arial" w:hAnsi="Arial" w:cs="Arial"/>
          <w:sz w:val="20"/>
        </w:rPr>
        <w:t>8</w:t>
      </w:r>
      <w:r w:rsidRPr="00C63FAD">
        <w:rPr>
          <w:rFonts w:ascii="Arial" w:hAnsi="Arial" w:cs="Arial"/>
          <w:sz w:val="20"/>
        </w:rPr>
        <w:t>/201</w:t>
      </w:r>
      <w:r w:rsidR="00F752DB">
        <w:rPr>
          <w:rFonts w:ascii="Arial" w:hAnsi="Arial" w:cs="Arial"/>
          <w:sz w:val="20"/>
        </w:rPr>
        <w:t>7</w:t>
      </w:r>
      <w:r w:rsidRPr="00C63FAD">
        <w:rPr>
          <w:rFonts w:ascii="Arial" w:hAnsi="Arial" w:cs="Arial"/>
          <w:sz w:val="20"/>
        </w:rPr>
        <w:t>, jsou uváděny v %.</w:t>
      </w:r>
    </w:p>
    <w:sectPr w:rsidR="003A617B" w:rsidRPr="00C63FAD" w:rsidSect="00DE19BF">
      <w:headerReference w:type="default" r:id="rId9"/>
      <w:footerReference w:type="default" r:id="rId10"/>
      <w:headerReference w:type="firs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928B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6D726B">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45849"/>
    <w:rsid w:val="00056DCA"/>
    <w:rsid w:val="000645A7"/>
    <w:rsid w:val="00076703"/>
    <w:rsid w:val="00084D9B"/>
    <w:rsid w:val="000B5E2F"/>
    <w:rsid w:val="000F3315"/>
    <w:rsid w:val="000F4D30"/>
    <w:rsid w:val="000F649F"/>
    <w:rsid w:val="00111AB0"/>
    <w:rsid w:val="00144A26"/>
    <w:rsid w:val="00145516"/>
    <w:rsid w:val="001613CD"/>
    <w:rsid w:val="001638A3"/>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1C29"/>
    <w:rsid w:val="0033610D"/>
    <w:rsid w:val="0034429F"/>
    <w:rsid w:val="00374492"/>
    <w:rsid w:val="003A617B"/>
    <w:rsid w:val="003A6A47"/>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B20EB"/>
    <w:rsid w:val="004E3467"/>
    <w:rsid w:val="004E596E"/>
    <w:rsid w:val="004E763F"/>
    <w:rsid w:val="004F4394"/>
    <w:rsid w:val="005119B0"/>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639B7"/>
    <w:rsid w:val="00767361"/>
    <w:rsid w:val="0079256B"/>
    <w:rsid w:val="007B3135"/>
    <w:rsid w:val="007B5D42"/>
    <w:rsid w:val="007C2441"/>
    <w:rsid w:val="007D0670"/>
    <w:rsid w:val="007D0F87"/>
    <w:rsid w:val="007E228D"/>
    <w:rsid w:val="007F0639"/>
    <w:rsid w:val="007F638D"/>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3BE8"/>
    <w:rsid w:val="00B048DE"/>
    <w:rsid w:val="00B2092E"/>
    <w:rsid w:val="00B30D8A"/>
    <w:rsid w:val="00B73E2E"/>
    <w:rsid w:val="00B862CB"/>
    <w:rsid w:val="00B93505"/>
    <w:rsid w:val="00B95665"/>
    <w:rsid w:val="00BC08CC"/>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5896"/>
    <w:rsid w:val="00D73C03"/>
    <w:rsid w:val="00D928BF"/>
    <w:rsid w:val="00DA0916"/>
    <w:rsid w:val="00DA573C"/>
    <w:rsid w:val="00DA6DC9"/>
    <w:rsid w:val="00DE19BF"/>
    <w:rsid w:val="00DF54F1"/>
    <w:rsid w:val="00E04409"/>
    <w:rsid w:val="00E32933"/>
    <w:rsid w:val="00E45CE4"/>
    <w:rsid w:val="00E47CD0"/>
    <w:rsid w:val="00E5328D"/>
    <w:rsid w:val="00E55CBE"/>
    <w:rsid w:val="00E6298F"/>
    <w:rsid w:val="00E87A33"/>
    <w:rsid w:val="00E947DA"/>
    <w:rsid w:val="00E95B0D"/>
    <w:rsid w:val="00EB372D"/>
    <w:rsid w:val="00EB7A75"/>
    <w:rsid w:val="00EC1D74"/>
    <w:rsid w:val="00EE6248"/>
    <w:rsid w:val="00EE633C"/>
    <w:rsid w:val="00EF27D4"/>
    <w:rsid w:val="00F01EE3"/>
    <w:rsid w:val="00F03E13"/>
    <w:rsid w:val="00F05DD8"/>
    <w:rsid w:val="00F162EF"/>
    <w:rsid w:val="00F3686A"/>
    <w:rsid w:val="00F50B9C"/>
    <w:rsid w:val="00F70D76"/>
    <w:rsid w:val="00F752DB"/>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FA3245-CC7B-4C4D-BE19-F7E3F8F8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B6C09-5E9D-4119-B68C-B36AB987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2933</Words>
  <Characters>17821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20713</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Jan Honner</cp:lastModifiedBy>
  <cp:revision>2</cp:revision>
  <cp:lastPrinted>2018-06-22T14:46:00Z</cp:lastPrinted>
  <dcterms:created xsi:type="dcterms:W3CDTF">2019-06-14T15:49:00Z</dcterms:created>
  <dcterms:modified xsi:type="dcterms:W3CDTF">2019-06-14T15:49:00Z</dcterms:modified>
</cp:coreProperties>
</file>