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5FB91" w14:textId="77777777" w:rsidR="00C715CC" w:rsidRPr="000A5DBC" w:rsidRDefault="00C715CC" w:rsidP="00C715CC">
      <w:pPr>
        <w:pStyle w:val="Nadpis1"/>
        <w:rPr>
          <w:lang w:val="en-GB"/>
        </w:rPr>
      </w:pPr>
      <w:bookmarkStart w:id="0" w:name="_Toc26865017"/>
      <w:bookmarkStart w:id="1" w:name="_Toc37403641"/>
      <w:r w:rsidRPr="000A5DBC">
        <w:rPr>
          <w:lang w:val="en-GB"/>
        </w:rPr>
        <w:t>2. </w:t>
      </w:r>
      <w:r w:rsidR="00A32A33" w:rsidRPr="000A5DBC">
        <w:rPr>
          <w:lang w:val="en-GB"/>
        </w:rPr>
        <w:t xml:space="preserve">Overall Economic </w:t>
      </w:r>
      <w:bookmarkEnd w:id="0"/>
      <w:bookmarkEnd w:id="1"/>
      <w:r w:rsidR="00A4269D" w:rsidRPr="000A5DBC">
        <w:rPr>
          <w:lang w:val="en-GB"/>
        </w:rPr>
        <w:t>Performance</w:t>
      </w:r>
    </w:p>
    <w:tbl>
      <w:tblPr>
        <w:tblW w:w="9639" w:type="dxa"/>
        <w:tblInd w:w="-15" w:type="dxa"/>
        <w:tblCellMar>
          <w:left w:w="0" w:type="dxa"/>
          <w:right w:w="0" w:type="dxa"/>
        </w:tblCellMar>
        <w:tblLook w:val="00A0" w:firstRow="1" w:lastRow="0" w:firstColumn="1" w:lastColumn="0" w:noHBand="0" w:noVBand="0"/>
      </w:tblPr>
      <w:tblGrid>
        <w:gridCol w:w="1806"/>
        <w:gridCol w:w="223"/>
        <w:gridCol w:w="7610"/>
      </w:tblGrid>
      <w:tr w:rsidR="00F93F2C" w:rsidRPr="000A5DBC" w14:paraId="604B36FC" w14:textId="77777777" w:rsidTr="002F3893">
        <w:trPr>
          <w:trHeight w:val="145"/>
        </w:trPr>
        <w:tc>
          <w:tcPr>
            <w:tcW w:w="1806" w:type="dxa"/>
            <w:shd w:val="clear" w:color="auto" w:fill="auto"/>
            <w:tcMar>
              <w:left w:w="0" w:type="dxa"/>
            </w:tcMar>
          </w:tcPr>
          <w:p w14:paraId="4C40C71C" w14:textId="77777777" w:rsidR="00F93F2C" w:rsidRPr="000A5DBC" w:rsidRDefault="00A32A33" w:rsidP="00993A46">
            <w:pPr>
              <w:pStyle w:val="Marginlie"/>
              <w:rPr>
                <w:lang w:val="en-GB"/>
              </w:rPr>
            </w:pPr>
            <w:r w:rsidRPr="000A5DBC">
              <w:rPr>
                <w:lang w:val="en-GB"/>
              </w:rPr>
              <w:t xml:space="preserve">Gross domestic product increased by </w:t>
            </w:r>
            <w:r w:rsidR="00F93F2C" w:rsidRPr="000A5DBC">
              <w:rPr>
                <w:lang w:val="en-GB"/>
              </w:rPr>
              <w:t>2</w:t>
            </w:r>
            <w:r w:rsidRPr="000A5DBC">
              <w:rPr>
                <w:lang w:val="en-GB"/>
              </w:rPr>
              <w:t>.</w:t>
            </w:r>
            <w:r w:rsidR="00F93F2C" w:rsidRPr="000A5DBC">
              <w:rPr>
                <w:lang w:val="en-GB"/>
              </w:rPr>
              <w:t>5%</w:t>
            </w:r>
            <w:r w:rsidRPr="000A5DBC">
              <w:rPr>
                <w:lang w:val="en-GB"/>
              </w:rPr>
              <w:t xml:space="preserve"> in 2019</w:t>
            </w:r>
            <w:r w:rsidR="00F93F2C" w:rsidRPr="000A5DBC">
              <w:rPr>
                <w:lang w:val="en-GB"/>
              </w:rPr>
              <w:t>.</w:t>
            </w:r>
            <w:r w:rsidRPr="000A5DBC">
              <w:rPr>
                <w:lang w:val="en-GB"/>
              </w:rPr>
              <w:t xml:space="preserve"> Year-on-year dynamics </w:t>
            </w:r>
            <w:r w:rsidR="00993A46" w:rsidRPr="000A5DBC">
              <w:rPr>
                <w:lang w:val="en-GB"/>
              </w:rPr>
              <w:t xml:space="preserve">slowed notably at the end of the year.  </w:t>
            </w:r>
          </w:p>
        </w:tc>
        <w:tc>
          <w:tcPr>
            <w:tcW w:w="223" w:type="dxa"/>
            <w:shd w:val="clear" w:color="auto" w:fill="auto"/>
            <w:tcMar>
              <w:left w:w="0" w:type="dxa"/>
            </w:tcMar>
          </w:tcPr>
          <w:p w14:paraId="6C236A6A"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25B65E45" w14:textId="77777777" w:rsidR="00F93F2C" w:rsidRPr="000A5DBC" w:rsidRDefault="00993A46" w:rsidP="00754551">
            <w:pPr>
              <w:spacing w:after="220"/>
              <w:rPr>
                <w:spacing w:val="-2"/>
                <w:lang w:val="en-GB"/>
              </w:rPr>
            </w:pPr>
            <w:r w:rsidRPr="000A5DBC">
              <w:rPr>
                <w:spacing w:val="-2"/>
                <w:lang w:val="en-GB"/>
              </w:rPr>
              <w:t>Year-on-year growth of the gross domestic product (GDP)</w:t>
            </w:r>
            <w:r w:rsidR="00754551" w:rsidRPr="000A5DBC">
              <w:rPr>
                <w:spacing w:val="-2"/>
                <w:lang w:val="en-GB"/>
              </w:rPr>
              <w:t xml:space="preserve"> featured downward tendency since the beginning of the year</w:t>
            </w:r>
            <w:r w:rsidR="00F93F2C" w:rsidRPr="000A5DBC">
              <w:rPr>
                <w:spacing w:val="-2"/>
                <w:lang w:val="en-GB"/>
              </w:rPr>
              <w:t xml:space="preserve">, </w:t>
            </w:r>
            <w:r w:rsidR="00D826F6" w:rsidRPr="000A5DBC">
              <w:rPr>
                <w:spacing w:val="-2"/>
                <w:lang w:val="en-GB"/>
              </w:rPr>
              <w:t>it however stayed around the 2.5% boundary</w:t>
            </w:r>
            <w:r w:rsidR="00050477" w:rsidRPr="000A5DBC">
              <w:rPr>
                <w:spacing w:val="-2"/>
                <w:lang w:val="en-GB"/>
              </w:rPr>
              <w:t xml:space="preserve"> </w:t>
            </w:r>
            <w:r w:rsidR="00D826F6" w:rsidRPr="000A5DBC">
              <w:rPr>
                <w:spacing w:val="-2"/>
                <w:lang w:val="en-GB"/>
              </w:rPr>
              <w:t>from Q1 to Q</w:t>
            </w:r>
            <w:r w:rsidR="00F93F2C" w:rsidRPr="000A5DBC">
              <w:rPr>
                <w:spacing w:val="-2"/>
                <w:lang w:val="en-GB"/>
              </w:rPr>
              <w:t>3</w:t>
            </w:r>
            <w:r w:rsidR="00D826F6" w:rsidRPr="000A5DBC">
              <w:rPr>
                <w:spacing w:val="-2"/>
                <w:lang w:val="en-GB"/>
              </w:rPr>
              <w:t xml:space="preserve"> </w:t>
            </w:r>
            <w:r w:rsidR="00F93F2C" w:rsidRPr="000A5DBC">
              <w:rPr>
                <w:spacing w:val="-2"/>
                <w:lang w:val="en-GB"/>
              </w:rPr>
              <w:t>(2</w:t>
            </w:r>
            <w:r w:rsidR="00D826F6" w:rsidRPr="000A5DBC">
              <w:rPr>
                <w:spacing w:val="-2"/>
                <w:lang w:val="en-GB"/>
              </w:rPr>
              <w:t>.</w:t>
            </w:r>
            <w:r w:rsidR="00F93F2C" w:rsidRPr="000A5DBC">
              <w:rPr>
                <w:spacing w:val="-2"/>
                <w:lang w:val="en-GB"/>
              </w:rPr>
              <w:t>8%, 2</w:t>
            </w:r>
            <w:r w:rsidR="00D826F6" w:rsidRPr="000A5DBC">
              <w:rPr>
                <w:spacing w:val="-2"/>
                <w:lang w:val="en-GB"/>
              </w:rPr>
              <w:t>.</w:t>
            </w:r>
            <w:r w:rsidR="00F93F2C" w:rsidRPr="000A5DBC">
              <w:rPr>
                <w:spacing w:val="-2"/>
                <w:lang w:val="en-GB"/>
              </w:rPr>
              <w:t>7%</w:t>
            </w:r>
            <w:r w:rsidR="00D826F6" w:rsidRPr="000A5DBC">
              <w:rPr>
                <w:spacing w:val="-2"/>
                <w:lang w:val="en-GB"/>
              </w:rPr>
              <w:t xml:space="preserve"> and </w:t>
            </w:r>
            <w:r w:rsidR="00F93F2C" w:rsidRPr="000A5DBC">
              <w:rPr>
                <w:spacing w:val="-2"/>
                <w:lang w:val="en-GB"/>
              </w:rPr>
              <w:t>2</w:t>
            </w:r>
            <w:r w:rsidR="00D826F6" w:rsidRPr="000A5DBC">
              <w:rPr>
                <w:spacing w:val="-2"/>
                <w:lang w:val="en-GB"/>
              </w:rPr>
              <w:t>.</w:t>
            </w:r>
            <w:r w:rsidR="00F93F2C" w:rsidRPr="000A5DBC">
              <w:rPr>
                <w:spacing w:val="-2"/>
                <w:lang w:val="en-GB"/>
              </w:rPr>
              <w:t>5%</w:t>
            </w:r>
            <w:r w:rsidR="00D826F6" w:rsidRPr="000A5DBC">
              <w:rPr>
                <w:spacing w:val="-2"/>
                <w:lang w:val="en-GB"/>
              </w:rPr>
              <w:t xml:space="preserve"> in Q</w:t>
            </w:r>
            <w:r w:rsidR="00F93F2C" w:rsidRPr="000A5DBC">
              <w:rPr>
                <w:spacing w:val="-2"/>
                <w:lang w:val="en-GB"/>
              </w:rPr>
              <w:t>1, 2</w:t>
            </w:r>
            <w:r w:rsidR="00D826F6" w:rsidRPr="000A5DBC">
              <w:rPr>
                <w:spacing w:val="-2"/>
                <w:lang w:val="en-GB"/>
              </w:rPr>
              <w:t xml:space="preserve"> and </w:t>
            </w:r>
            <w:r w:rsidR="00F93F2C" w:rsidRPr="000A5DBC">
              <w:rPr>
                <w:spacing w:val="-2"/>
                <w:lang w:val="en-GB"/>
              </w:rPr>
              <w:t>3)</w:t>
            </w:r>
            <w:r w:rsidR="00F93F2C" w:rsidRPr="000A5DBC">
              <w:rPr>
                <w:rStyle w:val="Znakapoznpodarou"/>
                <w:rFonts w:cs="Arial"/>
                <w:spacing w:val="-2"/>
                <w:lang w:val="en-GB"/>
              </w:rPr>
              <w:footnoteReference w:id="1"/>
            </w:r>
            <w:r w:rsidR="00F93F2C" w:rsidRPr="000A5DBC">
              <w:rPr>
                <w:spacing w:val="-2"/>
                <w:lang w:val="en-GB"/>
              </w:rPr>
              <w:t xml:space="preserve">. </w:t>
            </w:r>
            <w:r w:rsidR="00D826F6" w:rsidRPr="000A5DBC">
              <w:rPr>
                <w:spacing w:val="-2"/>
                <w:lang w:val="en-GB"/>
              </w:rPr>
              <w:t xml:space="preserve">Finish of the year brought stronger pace slowdown and the year-on-year GDP increase was </w:t>
            </w:r>
            <w:r w:rsidR="00F93F2C" w:rsidRPr="000A5DBC">
              <w:rPr>
                <w:spacing w:val="-2"/>
                <w:lang w:val="en-GB"/>
              </w:rPr>
              <w:t>2</w:t>
            </w:r>
            <w:r w:rsidR="00D826F6" w:rsidRPr="000A5DBC">
              <w:rPr>
                <w:spacing w:val="-2"/>
                <w:lang w:val="en-GB"/>
              </w:rPr>
              <w:t>.</w:t>
            </w:r>
            <w:r w:rsidR="00F93F2C" w:rsidRPr="000A5DBC">
              <w:rPr>
                <w:spacing w:val="-2"/>
                <w:lang w:val="en-GB"/>
              </w:rPr>
              <w:t>0%</w:t>
            </w:r>
            <w:r w:rsidR="00D826F6" w:rsidRPr="000A5DBC">
              <w:rPr>
                <w:spacing w:val="-2"/>
                <w:lang w:val="en-GB"/>
              </w:rPr>
              <w:t xml:space="preserve"> in Q4</w:t>
            </w:r>
            <w:r w:rsidR="00F93F2C" w:rsidRPr="000A5DBC">
              <w:rPr>
                <w:spacing w:val="-2"/>
                <w:lang w:val="en-GB"/>
              </w:rPr>
              <w:t xml:space="preserve"> (</w:t>
            </w:r>
            <w:r w:rsidR="00D826F6" w:rsidRPr="000A5DBC">
              <w:rPr>
                <w:spacing w:val="-2"/>
                <w:lang w:val="en-GB"/>
              </w:rPr>
              <w:t>the least since Q</w:t>
            </w:r>
            <w:r w:rsidR="00F93F2C" w:rsidRPr="000A5DBC">
              <w:rPr>
                <w:spacing w:val="-2"/>
                <w:lang w:val="en-GB"/>
              </w:rPr>
              <w:t>4</w:t>
            </w:r>
            <w:r w:rsidR="00D826F6" w:rsidRPr="000A5DBC">
              <w:rPr>
                <w:spacing w:val="-2"/>
                <w:lang w:val="en-GB"/>
              </w:rPr>
              <w:t xml:space="preserve"> </w:t>
            </w:r>
            <w:r w:rsidR="00F93F2C" w:rsidRPr="000A5DBC">
              <w:rPr>
                <w:spacing w:val="-2"/>
                <w:lang w:val="en-GB"/>
              </w:rPr>
              <w:t>2016).</w:t>
            </w:r>
            <w:r w:rsidR="00D826F6" w:rsidRPr="000A5DBC">
              <w:rPr>
                <w:spacing w:val="-2"/>
                <w:lang w:val="en-GB"/>
              </w:rPr>
              <w:t xml:space="preserve"> </w:t>
            </w:r>
            <w:r w:rsidR="00F93F2C" w:rsidRPr="000A5DBC">
              <w:rPr>
                <w:spacing w:val="-2"/>
                <w:lang w:val="en-GB"/>
              </w:rPr>
              <w:t xml:space="preserve"> </w:t>
            </w:r>
            <w:r w:rsidR="00050477" w:rsidRPr="000A5DBC">
              <w:rPr>
                <w:spacing w:val="-2"/>
                <w:lang w:val="en-GB"/>
              </w:rPr>
              <w:t>Quarter-on-quarter additions were weakening during Q</w:t>
            </w:r>
            <w:r w:rsidR="00F93F2C" w:rsidRPr="000A5DBC">
              <w:rPr>
                <w:spacing w:val="-2"/>
                <w:lang w:val="en-GB"/>
              </w:rPr>
              <w:t>1</w:t>
            </w:r>
            <w:r w:rsidR="00050477" w:rsidRPr="000A5DBC">
              <w:rPr>
                <w:spacing w:val="-2"/>
                <w:lang w:val="en-GB"/>
              </w:rPr>
              <w:t xml:space="preserve"> to Q</w:t>
            </w:r>
            <w:r w:rsidR="00F93F2C" w:rsidRPr="000A5DBC">
              <w:rPr>
                <w:spacing w:val="-2"/>
                <w:lang w:val="en-GB"/>
              </w:rPr>
              <w:t>3</w:t>
            </w:r>
            <w:r w:rsidR="00050477" w:rsidRPr="000A5DBC">
              <w:rPr>
                <w:spacing w:val="-2"/>
                <w:lang w:val="en-GB"/>
              </w:rPr>
              <w:t xml:space="preserve"> </w:t>
            </w:r>
            <w:r w:rsidR="00F93F2C" w:rsidRPr="000A5DBC">
              <w:rPr>
                <w:spacing w:val="-2"/>
                <w:lang w:val="en-GB"/>
              </w:rPr>
              <w:t>(0</w:t>
            </w:r>
            <w:r w:rsidR="00050477" w:rsidRPr="000A5DBC">
              <w:rPr>
                <w:spacing w:val="-2"/>
                <w:lang w:val="en-GB"/>
              </w:rPr>
              <w:t>.</w:t>
            </w:r>
            <w:r w:rsidR="00F93F2C" w:rsidRPr="000A5DBC">
              <w:rPr>
                <w:spacing w:val="-2"/>
                <w:lang w:val="en-GB"/>
              </w:rPr>
              <w:t>6%, 0</w:t>
            </w:r>
            <w:r w:rsidR="00050477" w:rsidRPr="000A5DBC">
              <w:rPr>
                <w:spacing w:val="-2"/>
                <w:lang w:val="en-GB"/>
              </w:rPr>
              <w:t>.</w:t>
            </w:r>
            <w:r w:rsidR="00F93F2C" w:rsidRPr="000A5DBC">
              <w:rPr>
                <w:spacing w:val="-2"/>
                <w:lang w:val="en-GB"/>
              </w:rPr>
              <w:t xml:space="preserve">5% </w:t>
            </w:r>
            <w:r w:rsidR="00050477" w:rsidRPr="000A5DBC">
              <w:rPr>
                <w:spacing w:val="-2"/>
                <w:lang w:val="en-GB"/>
              </w:rPr>
              <w:t xml:space="preserve">and </w:t>
            </w:r>
            <w:r w:rsidR="00F93F2C" w:rsidRPr="000A5DBC">
              <w:rPr>
                <w:spacing w:val="-2"/>
                <w:lang w:val="en-GB"/>
              </w:rPr>
              <w:t>0</w:t>
            </w:r>
            <w:r w:rsidR="00050477" w:rsidRPr="000A5DBC">
              <w:rPr>
                <w:spacing w:val="-2"/>
                <w:lang w:val="en-GB"/>
              </w:rPr>
              <w:t>.</w:t>
            </w:r>
            <w:r w:rsidR="00F93F2C" w:rsidRPr="000A5DBC">
              <w:rPr>
                <w:spacing w:val="-2"/>
                <w:lang w:val="en-GB"/>
              </w:rPr>
              <w:t>4%</w:t>
            </w:r>
            <w:r w:rsidR="00050477" w:rsidRPr="000A5DBC">
              <w:rPr>
                <w:spacing w:val="-2"/>
                <w:lang w:val="en-GB"/>
              </w:rPr>
              <w:t xml:space="preserve"> in individual quarters</w:t>
            </w:r>
            <w:r w:rsidR="00F93F2C" w:rsidRPr="000A5DBC">
              <w:rPr>
                <w:spacing w:val="-2"/>
                <w:lang w:val="en-GB"/>
              </w:rPr>
              <w:t>),</w:t>
            </w:r>
            <w:r w:rsidR="00050477" w:rsidRPr="000A5DBC">
              <w:rPr>
                <w:spacing w:val="-2"/>
                <w:lang w:val="en-GB"/>
              </w:rPr>
              <w:t xml:space="preserve"> but the GDP rose by </w:t>
            </w:r>
            <w:r w:rsidR="00F93F2C" w:rsidRPr="000A5DBC">
              <w:rPr>
                <w:spacing w:val="-2"/>
                <w:lang w:val="en-GB"/>
              </w:rPr>
              <w:t>0</w:t>
            </w:r>
            <w:r w:rsidR="00050477" w:rsidRPr="000A5DBC">
              <w:rPr>
                <w:spacing w:val="-2"/>
                <w:lang w:val="en-GB"/>
              </w:rPr>
              <w:t>.</w:t>
            </w:r>
            <w:r w:rsidR="00F93F2C" w:rsidRPr="000A5DBC">
              <w:rPr>
                <w:spacing w:val="-2"/>
                <w:lang w:val="en-GB"/>
              </w:rPr>
              <w:t>5%</w:t>
            </w:r>
            <w:r w:rsidR="00050477" w:rsidRPr="000A5DBC">
              <w:rPr>
                <w:spacing w:val="-2"/>
                <w:lang w:val="en-GB"/>
              </w:rPr>
              <w:t xml:space="preserve"> in Q4</w:t>
            </w:r>
            <w:r w:rsidR="00F93F2C" w:rsidRPr="000A5DBC">
              <w:rPr>
                <w:spacing w:val="-2"/>
                <w:lang w:val="en-GB"/>
              </w:rPr>
              <w:t>.</w:t>
            </w:r>
            <w:r w:rsidR="00050477" w:rsidRPr="000A5DBC">
              <w:rPr>
                <w:spacing w:val="-2"/>
                <w:lang w:val="en-GB"/>
              </w:rPr>
              <w:t xml:space="preserve"> The GDP increased by 2.5% in real terms for the whole year </w:t>
            </w:r>
            <w:r w:rsidR="00F93F2C" w:rsidRPr="000A5DBC">
              <w:rPr>
                <w:spacing w:val="-2"/>
                <w:lang w:val="en-GB"/>
              </w:rPr>
              <w:t>2019</w:t>
            </w:r>
            <w:r w:rsidR="00050477" w:rsidRPr="000A5DBC">
              <w:rPr>
                <w:spacing w:val="-2"/>
                <w:lang w:val="en-GB"/>
              </w:rPr>
              <w:t xml:space="preserve">. The domestic consumption was the key driver of the economic growth throughout the whole year. It contributed </w:t>
            </w:r>
            <w:r w:rsidR="00F93F2C" w:rsidRPr="000A5DBC">
              <w:rPr>
                <w:spacing w:val="-2"/>
                <w:lang w:val="en-GB"/>
              </w:rPr>
              <w:t>1</w:t>
            </w:r>
            <w:r w:rsidR="00050477" w:rsidRPr="000A5DBC">
              <w:rPr>
                <w:spacing w:val="-2"/>
                <w:lang w:val="en-GB"/>
              </w:rPr>
              <w:t>.</w:t>
            </w:r>
            <w:r w:rsidR="00F93F2C" w:rsidRPr="000A5DBC">
              <w:rPr>
                <w:spacing w:val="-2"/>
                <w:lang w:val="en-GB"/>
              </w:rPr>
              <w:t>8 p.</w:t>
            </w:r>
            <w:r w:rsidR="00050477" w:rsidRPr="000A5DBC">
              <w:rPr>
                <w:spacing w:val="-2"/>
                <w:lang w:val="en-GB"/>
              </w:rPr>
              <w:t>p.</w:t>
            </w:r>
            <w:r w:rsidR="00F93F2C" w:rsidRPr="000A5DBC">
              <w:rPr>
                <w:rStyle w:val="Znakapoznpodarou"/>
                <w:lang w:val="en-GB"/>
              </w:rPr>
              <w:footnoteReference w:id="2"/>
            </w:r>
            <w:r w:rsidR="00050477" w:rsidRPr="000A5DBC">
              <w:rPr>
                <w:spacing w:val="-2"/>
                <w:lang w:val="en-GB"/>
              </w:rPr>
              <w:t xml:space="preserve"> to the yearly addition to GDP.</w:t>
            </w:r>
            <w:r w:rsidR="00F93F2C" w:rsidRPr="000A5DBC">
              <w:rPr>
                <w:spacing w:val="-2"/>
                <w:lang w:val="en-GB"/>
              </w:rPr>
              <w:t xml:space="preserve"> </w:t>
            </w:r>
            <w:r w:rsidR="00050477" w:rsidRPr="000A5DBC">
              <w:rPr>
                <w:spacing w:val="-2"/>
                <w:lang w:val="en-GB"/>
              </w:rPr>
              <w:t xml:space="preserve">The impact of the gross capital formation </w:t>
            </w:r>
            <w:r w:rsidR="00F93F2C" w:rsidRPr="000A5DBC">
              <w:rPr>
                <w:spacing w:val="-2"/>
                <w:lang w:val="en-GB"/>
              </w:rPr>
              <w:t>(0</w:t>
            </w:r>
            <w:r w:rsidR="00050477" w:rsidRPr="000A5DBC">
              <w:rPr>
                <w:spacing w:val="-2"/>
                <w:lang w:val="en-GB"/>
              </w:rPr>
              <w:t>.</w:t>
            </w:r>
            <w:r w:rsidR="00F93F2C" w:rsidRPr="000A5DBC">
              <w:rPr>
                <w:spacing w:val="-2"/>
                <w:lang w:val="en-GB"/>
              </w:rPr>
              <w:t>6 p.</w:t>
            </w:r>
            <w:r w:rsidR="00050477" w:rsidRPr="000A5DBC">
              <w:rPr>
                <w:spacing w:val="-2"/>
                <w:lang w:val="en-GB"/>
              </w:rPr>
              <w:t>p.</w:t>
            </w:r>
            <w:r w:rsidR="00F93F2C" w:rsidRPr="000A5DBC">
              <w:rPr>
                <w:spacing w:val="-2"/>
                <w:lang w:val="en-GB"/>
              </w:rPr>
              <w:t>)</w:t>
            </w:r>
            <w:r w:rsidR="00050477" w:rsidRPr="000A5DBC">
              <w:rPr>
                <w:spacing w:val="-2"/>
                <w:lang w:val="en-GB"/>
              </w:rPr>
              <w:t xml:space="preserve"> and foreign trade balance </w:t>
            </w:r>
            <w:r w:rsidR="00F93F2C" w:rsidRPr="000A5DBC">
              <w:rPr>
                <w:spacing w:val="-2"/>
                <w:lang w:val="en-GB"/>
              </w:rPr>
              <w:t>(0</w:t>
            </w:r>
            <w:r w:rsidR="00050477" w:rsidRPr="000A5DBC">
              <w:rPr>
                <w:spacing w:val="-2"/>
                <w:lang w:val="en-GB"/>
              </w:rPr>
              <w:t>.</w:t>
            </w:r>
            <w:r w:rsidR="00F93F2C" w:rsidRPr="000A5DBC">
              <w:rPr>
                <w:spacing w:val="-2"/>
                <w:lang w:val="en-GB"/>
              </w:rPr>
              <w:t>1 p.</w:t>
            </w:r>
            <w:r w:rsidR="00050477" w:rsidRPr="000A5DBC">
              <w:rPr>
                <w:spacing w:val="-2"/>
                <w:lang w:val="en-GB"/>
              </w:rPr>
              <w:t>p.</w:t>
            </w:r>
            <w:r w:rsidR="00F93F2C" w:rsidRPr="000A5DBC">
              <w:rPr>
                <w:spacing w:val="-2"/>
                <w:lang w:val="en-GB"/>
              </w:rPr>
              <w:t>)</w:t>
            </w:r>
            <w:r w:rsidR="00050477" w:rsidRPr="000A5DBC">
              <w:rPr>
                <w:spacing w:val="-2"/>
                <w:lang w:val="en-GB"/>
              </w:rPr>
              <w:t xml:space="preserve"> was notably weaker</w:t>
            </w:r>
            <w:r w:rsidR="00F93F2C" w:rsidRPr="000A5DBC">
              <w:rPr>
                <w:spacing w:val="-2"/>
                <w:lang w:val="en-GB"/>
              </w:rPr>
              <w:t xml:space="preserve">. </w:t>
            </w:r>
            <w:r w:rsidR="00CE719A" w:rsidRPr="000A5DBC">
              <w:rPr>
                <w:spacing w:val="-2"/>
                <w:lang w:val="en-GB"/>
              </w:rPr>
              <w:t xml:space="preserve">The gross capital formation exerted extraordinarily strong influence on the GDP growth in Q4 itself </w:t>
            </w:r>
            <w:r w:rsidR="00F93F2C" w:rsidRPr="000A5DBC">
              <w:rPr>
                <w:spacing w:val="-2"/>
                <w:lang w:val="en-GB"/>
              </w:rPr>
              <w:t>(2</w:t>
            </w:r>
            <w:r w:rsidR="00CE719A" w:rsidRPr="000A5DBC">
              <w:rPr>
                <w:spacing w:val="-2"/>
                <w:lang w:val="en-GB"/>
              </w:rPr>
              <w:t>.</w:t>
            </w:r>
            <w:r w:rsidR="00F93F2C" w:rsidRPr="000A5DBC">
              <w:rPr>
                <w:spacing w:val="-2"/>
                <w:lang w:val="en-GB"/>
              </w:rPr>
              <w:t>3 p.</w:t>
            </w:r>
            <w:r w:rsidR="00CE719A" w:rsidRPr="000A5DBC">
              <w:rPr>
                <w:spacing w:val="-2"/>
                <w:lang w:val="en-GB"/>
              </w:rPr>
              <w:t>p.</w:t>
            </w:r>
            <w:r w:rsidR="00F93F2C" w:rsidRPr="000A5DBC">
              <w:rPr>
                <w:spacing w:val="-2"/>
                <w:lang w:val="en-GB"/>
              </w:rPr>
              <w:t xml:space="preserve">), </w:t>
            </w:r>
            <w:r w:rsidR="005D7521" w:rsidRPr="000A5DBC">
              <w:rPr>
                <w:spacing w:val="-2"/>
                <w:lang w:val="en-GB"/>
              </w:rPr>
              <w:t xml:space="preserve">supplemented by the effect of consumption expenditures </w:t>
            </w:r>
            <w:r w:rsidR="00F93F2C" w:rsidRPr="000A5DBC">
              <w:rPr>
                <w:spacing w:val="-2"/>
                <w:lang w:val="en-GB"/>
              </w:rPr>
              <w:t>(1</w:t>
            </w:r>
            <w:r w:rsidR="005D7521" w:rsidRPr="000A5DBC">
              <w:rPr>
                <w:spacing w:val="-2"/>
                <w:lang w:val="en-GB"/>
              </w:rPr>
              <w:t>.</w:t>
            </w:r>
            <w:r w:rsidR="00F93F2C" w:rsidRPr="000A5DBC">
              <w:rPr>
                <w:spacing w:val="-2"/>
                <w:lang w:val="en-GB"/>
              </w:rPr>
              <w:t>7 p.</w:t>
            </w:r>
            <w:r w:rsidR="005D7521" w:rsidRPr="000A5DBC">
              <w:rPr>
                <w:spacing w:val="-2"/>
                <w:lang w:val="en-GB"/>
              </w:rPr>
              <w:t>p.</w:t>
            </w:r>
            <w:r w:rsidR="00F93F2C" w:rsidRPr="000A5DBC">
              <w:rPr>
                <w:spacing w:val="-2"/>
                <w:lang w:val="en-GB"/>
              </w:rPr>
              <w:t>).</w:t>
            </w:r>
            <w:r w:rsidR="005D7521" w:rsidRPr="000A5DBC">
              <w:rPr>
                <w:spacing w:val="-2"/>
                <w:lang w:val="en-GB"/>
              </w:rPr>
              <w:t xml:space="preserve"> The contribution of the foreign trade balance was however strongly negative </w:t>
            </w:r>
            <w:r w:rsidR="00F93F2C" w:rsidRPr="000A5DBC">
              <w:rPr>
                <w:spacing w:val="-2"/>
                <w:lang w:val="en-GB"/>
              </w:rPr>
              <w:t>(</w:t>
            </w:r>
            <w:r w:rsidR="00BF24A6">
              <w:rPr>
                <w:spacing w:val="-2"/>
                <w:lang w:val="en-GB"/>
              </w:rPr>
              <w:t>-</w:t>
            </w:r>
            <w:r w:rsidR="00F93F2C" w:rsidRPr="000A5DBC">
              <w:rPr>
                <w:spacing w:val="-2"/>
                <w:lang w:val="en-GB"/>
              </w:rPr>
              <w:t>1</w:t>
            </w:r>
            <w:r w:rsidR="005D7521" w:rsidRPr="000A5DBC">
              <w:rPr>
                <w:spacing w:val="-2"/>
                <w:lang w:val="en-GB"/>
              </w:rPr>
              <w:t>.</w:t>
            </w:r>
            <w:r w:rsidR="00F93F2C" w:rsidRPr="000A5DBC">
              <w:rPr>
                <w:spacing w:val="-2"/>
                <w:lang w:val="en-GB"/>
              </w:rPr>
              <w:t>9 p.</w:t>
            </w:r>
            <w:r w:rsidR="005D7521" w:rsidRPr="000A5DBC">
              <w:rPr>
                <w:spacing w:val="-2"/>
                <w:lang w:val="en-GB"/>
              </w:rPr>
              <w:t>p</w:t>
            </w:r>
            <w:r w:rsidR="00F93F2C" w:rsidRPr="000A5DBC">
              <w:rPr>
                <w:spacing w:val="-2"/>
                <w:lang w:val="en-GB"/>
              </w:rPr>
              <w:t xml:space="preserve">.). </w:t>
            </w:r>
            <w:r w:rsidR="005D7521" w:rsidRPr="000A5DBC">
              <w:rPr>
                <w:spacing w:val="-2"/>
                <w:lang w:val="en-GB"/>
              </w:rPr>
              <w:t>It represents the worst contribution of the balance si</w:t>
            </w:r>
            <w:r w:rsidR="00AC746D" w:rsidRPr="000A5DBC">
              <w:rPr>
                <w:spacing w:val="-2"/>
                <w:lang w:val="en-GB"/>
              </w:rPr>
              <w:t>nce Q</w:t>
            </w:r>
            <w:r w:rsidR="00F93F2C" w:rsidRPr="000A5DBC">
              <w:rPr>
                <w:spacing w:val="-2"/>
                <w:lang w:val="en-GB"/>
              </w:rPr>
              <w:t>2</w:t>
            </w:r>
            <w:r w:rsidR="00AC746D" w:rsidRPr="000A5DBC">
              <w:rPr>
                <w:spacing w:val="-2"/>
                <w:lang w:val="en-GB"/>
              </w:rPr>
              <w:t xml:space="preserve"> </w:t>
            </w:r>
            <w:r w:rsidR="00F93F2C" w:rsidRPr="000A5DBC">
              <w:rPr>
                <w:spacing w:val="-2"/>
                <w:lang w:val="en-GB"/>
              </w:rPr>
              <w:t>2009.</w:t>
            </w:r>
          </w:p>
        </w:tc>
      </w:tr>
      <w:tr w:rsidR="00F93F2C" w:rsidRPr="000A5DBC" w14:paraId="17273711" w14:textId="77777777" w:rsidTr="002F3893">
        <w:trPr>
          <w:trHeight w:val="170"/>
        </w:trPr>
        <w:tc>
          <w:tcPr>
            <w:tcW w:w="1806" w:type="dxa"/>
            <w:vMerge w:val="restart"/>
            <w:shd w:val="clear" w:color="auto" w:fill="auto"/>
            <w:tcMar>
              <w:left w:w="0" w:type="dxa"/>
            </w:tcMar>
          </w:tcPr>
          <w:p w14:paraId="40894B0C" w14:textId="77777777" w:rsidR="00F93F2C" w:rsidRPr="000A5DBC" w:rsidRDefault="00F93F2C" w:rsidP="00F93F2C">
            <w:pPr>
              <w:pStyle w:val="Marginlie"/>
              <w:rPr>
                <w:lang w:val="en-GB"/>
              </w:rPr>
            </w:pPr>
          </w:p>
        </w:tc>
        <w:tc>
          <w:tcPr>
            <w:tcW w:w="223" w:type="dxa"/>
            <w:vMerge w:val="restart"/>
            <w:shd w:val="clear" w:color="auto" w:fill="auto"/>
            <w:tcMar>
              <w:left w:w="0" w:type="dxa"/>
            </w:tcMar>
          </w:tcPr>
          <w:p w14:paraId="6E10DB9B"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17C5B7C1" w14:textId="77777777" w:rsidR="00F93F2C" w:rsidRPr="000A5DBC" w:rsidRDefault="00993A46" w:rsidP="00CE719A">
            <w:pPr>
              <w:spacing w:after="0"/>
              <w:rPr>
                <w:b/>
                <w:szCs w:val="20"/>
                <w:lang w:val="en-GB"/>
              </w:rPr>
            </w:pPr>
            <w:r w:rsidRPr="000A5DBC">
              <w:rPr>
                <w:rFonts w:cs="Arial"/>
                <w:b/>
                <w:bCs/>
                <w:color w:val="000000"/>
                <w:sz w:val="18"/>
                <w:szCs w:val="18"/>
                <w:lang w:val="en-GB"/>
              </w:rPr>
              <w:t xml:space="preserve">Chart </w:t>
            </w:r>
            <w:proofErr w:type="gramStart"/>
            <w:r w:rsidR="00F93F2C" w:rsidRPr="000A5DBC">
              <w:rPr>
                <w:rFonts w:cs="Arial"/>
                <w:b/>
                <w:bCs/>
                <w:color w:val="000000"/>
                <w:sz w:val="18"/>
                <w:szCs w:val="18"/>
                <w:lang w:val="en-GB"/>
              </w:rPr>
              <w:t xml:space="preserve">1  </w:t>
            </w:r>
            <w:r w:rsidR="00CE719A" w:rsidRPr="000A5DBC">
              <w:rPr>
                <w:rFonts w:cs="Arial"/>
                <w:b/>
                <w:sz w:val="18"/>
                <w:szCs w:val="18"/>
                <w:lang w:val="en-GB" w:eastAsia="en-US"/>
              </w:rPr>
              <w:t>GDP</w:t>
            </w:r>
            <w:proofErr w:type="gramEnd"/>
            <w:r w:rsidR="00CE719A" w:rsidRPr="000A5DBC">
              <w:rPr>
                <w:rFonts w:cs="Arial"/>
                <w:b/>
                <w:sz w:val="18"/>
                <w:szCs w:val="18"/>
                <w:lang w:val="en-GB" w:eastAsia="en-US"/>
              </w:rPr>
              <w:t xml:space="preserve"> (volume indices, adjusted for seasonal and calendar effects, in %)</w:t>
            </w:r>
          </w:p>
        </w:tc>
      </w:tr>
      <w:tr w:rsidR="00F93F2C" w:rsidRPr="000A5DBC" w14:paraId="60137531" w14:textId="77777777" w:rsidTr="002F3893">
        <w:tblPrEx>
          <w:tblCellMar>
            <w:left w:w="70" w:type="dxa"/>
            <w:right w:w="70" w:type="dxa"/>
          </w:tblCellMar>
        </w:tblPrEx>
        <w:trPr>
          <w:trHeight w:val="170"/>
        </w:trPr>
        <w:tc>
          <w:tcPr>
            <w:tcW w:w="1806" w:type="dxa"/>
            <w:vMerge/>
            <w:shd w:val="clear" w:color="auto" w:fill="auto"/>
          </w:tcPr>
          <w:p w14:paraId="56783362" w14:textId="77777777" w:rsidR="00F93F2C" w:rsidRPr="000A5DBC" w:rsidRDefault="00F93F2C" w:rsidP="00F93F2C">
            <w:pPr>
              <w:pStyle w:val="Marginlie"/>
              <w:rPr>
                <w:lang w:val="en-GB"/>
              </w:rPr>
            </w:pPr>
          </w:p>
        </w:tc>
        <w:tc>
          <w:tcPr>
            <w:tcW w:w="223" w:type="dxa"/>
            <w:vMerge/>
            <w:shd w:val="clear" w:color="auto" w:fill="auto"/>
          </w:tcPr>
          <w:p w14:paraId="5C5816E2" w14:textId="77777777" w:rsidR="00F93F2C" w:rsidRPr="000A5DBC" w:rsidRDefault="00F93F2C" w:rsidP="00F93F2C">
            <w:pPr>
              <w:pStyle w:val="Textpoznpodarou"/>
              <w:jc w:val="both"/>
              <w:rPr>
                <w:spacing w:val="-4"/>
                <w:lang w:val="en-GB"/>
              </w:rPr>
            </w:pPr>
          </w:p>
        </w:tc>
        <w:tc>
          <w:tcPr>
            <w:tcW w:w="7610" w:type="dxa"/>
            <w:shd w:val="clear" w:color="auto" w:fill="auto"/>
          </w:tcPr>
          <w:p w14:paraId="3A72C59A" w14:textId="77777777" w:rsidR="00F93F2C" w:rsidRPr="000A5DBC" w:rsidRDefault="0032159E" w:rsidP="00F93F2C">
            <w:pPr>
              <w:spacing w:after="0"/>
              <w:rPr>
                <w:lang w:val="en-GB"/>
              </w:rPr>
            </w:pPr>
            <w:r>
              <w:rPr>
                <w:noProof/>
              </w:rPr>
              <w:drawing>
                <wp:inline distT="0" distB="0" distL="0" distR="0" wp14:anchorId="50182B09" wp14:editId="4A37D2A2">
                  <wp:extent cx="4737600" cy="3403975"/>
                  <wp:effectExtent l="0" t="0" r="6350" b="6350"/>
                  <wp:docPr id="1"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93F2C" w:rsidRPr="000A5DBC" w14:paraId="2D760091" w14:textId="77777777" w:rsidTr="002F3893">
        <w:trPr>
          <w:trHeight w:val="170"/>
        </w:trPr>
        <w:tc>
          <w:tcPr>
            <w:tcW w:w="1806" w:type="dxa"/>
            <w:vMerge/>
            <w:shd w:val="clear" w:color="auto" w:fill="auto"/>
            <w:tcMar>
              <w:left w:w="0" w:type="dxa"/>
            </w:tcMar>
          </w:tcPr>
          <w:p w14:paraId="6583C73E" w14:textId="77777777" w:rsidR="00F93F2C" w:rsidRPr="000A5DBC" w:rsidRDefault="00F93F2C" w:rsidP="00F93F2C">
            <w:pPr>
              <w:pStyle w:val="Marginlie"/>
              <w:rPr>
                <w:lang w:val="en-GB"/>
              </w:rPr>
            </w:pPr>
          </w:p>
        </w:tc>
        <w:tc>
          <w:tcPr>
            <w:tcW w:w="223" w:type="dxa"/>
            <w:vMerge/>
            <w:shd w:val="clear" w:color="auto" w:fill="auto"/>
            <w:tcMar>
              <w:left w:w="0" w:type="dxa"/>
            </w:tcMar>
          </w:tcPr>
          <w:p w14:paraId="0B7F8BB0"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371EA393" w14:textId="77777777" w:rsidR="00CE719A" w:rsidRPr="000A5DBC" w:rsidRDefault="00F8001E" w:rsidP="0032159E">
            <w:pPr>
              <w:spacing w:after="220"/>
              <w:rPr>
                <w:sz w:val="14"/>
                <w:szCs w:val="14"/>
                <w:lang w:val="en-GB"/>
              </w:rPr>
            </w:pPr>
            <w:r w:rsidRPr="000A5DBC">
              <w:rPr>
                <w:sz w:val="14"/>
                <w:szCs w:val="14"/>
                <w:lang w:val="en-GB"/>
              </w:rPr>
              <w:t>Source</w:t>
            </w:r>
            <w:r w:rsidR="00F93F2C" w:rsidRPr="000A5DBC">
              <w:rPr>
                <w:sz w:val="14"/>
                <w:szCs w:val="14"/>
                <w:lang w:val="en-GB"/>
              </w:rPr>
              <w:t xml:space="preserve">: </w:t>
            </w:r>
            <w:r w:rsidRPr="000A5DBC">
              <w:rPr>
                <w:sz w:val="14"/>
                <w:szCs w:val="14"/>
                <w:lang w:val="en-GB"/>
              </w:rPr>
              <w:t>CZSO</w:t>
            </w:r>
            <w:r w:rsidR="00F93F2C" w:rsidRPr="000A5DBC">
              <w:rPr>
                <w:sz w:val="14"/>
                <w:szCs w:val="14"/>
                <w:lang w:val="en-GB"/>
              </w:rPr>
              <w:t>, Eurostat</w:t>
            </w:r>
          </w:p>
        </w:tc>
      </w:tr>
      <w:tr w:rsidR="00F93F2C" w:rsidRPr="000A5DBC" w14:paraId="09B532B7" w14:textId="77777777" w:rsidTr="002F3893">
        <w:trPr>
          <w:trHeight w:val="145"/>
        </w:trPr>
        <w:tc>
          <w:tcPr>
            <w:tcW w:w="1806" w:type="dxa"/>
            <w:shd w:val="clear" w:color="auto" w:fill="auto"/>
            <w:tcMar>
              <w:left w:w="0" w:type="dxa"/>
            </w:tcMar>
          </w:tcPr>
          <w:p w14:paraId="23007D10" w14:textId="77777777" w:rsidR="00F93F2C" w:rsidRPr="000A5DBC" w:rsidRDefault="00390C94" w:rsidP="00390C94">
            <w:pPr>
              <w:pStyle w:val="Marginlie"/>
              <w:rPr>
                <w:lang w:val="en-GB"/>
              </w:rPr>
            </w:pPr>
            <w:r w:rsidRPr="000A5DBC">
              <w:rPr>
                <w:lang w:val="en-GB"/>
              </w:rPr>
              <w:t>Economic growth</w:t>
            </w:r>
            <w:r w:rsidR="00860386" w:rsidRPr="000A5DBC">
              <w:rPr>
                <w:lang w:val="en-GB"/>
              </w:rPr>
              <w:t xml:space="preserve"> eased pace</w:t>
            </w:r>
            <w:r w:rsidRPr="000A5DBC">
              <w:rPr>
                <w:lang w:val="en-GB"/>
              </w:rPr>
              <w:t xml:space="preserve"> </w:t>
            </w:r>
            <w:r w:rsidR="000E37EB" w:rsidRPr="000A5DBC">
              <w:rPr>
                <w:lang w:val="en-GB"/>
              </w:rPr>
              <w:t>across</w:t>
            </w:r>
            <w:r w:rsidRPr="000A5DBC">
              <w:rPr>
                <w:lang w:val="en-GB"/>
              </w:rPr>
              <w:t xml:space="preserve"> the whole EU last year. </w:t>
            </w:r>
          </w:p>
        </w:tc>
        <w:tc>
          <w:tcPr>
            <w:tcW w:w="223" w:type="dxa"/>
            <w:shd w:val="clear" w:color="auto" w:fill="auto"/>
            <w:tcMar>
              <w:left w:w="0" w:type="dxa"/>
            </w:tcMar>
          </w:tcPr>
          <w:p w14:paraId="64CAA61A"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4D5324BD" w14:textId="77777777" w:rsidR="00F93F2C" w:rsidRPr="000A5DBC" w:rsidRDefault="009E540A" w:rsidP="00754551">
            <w:pPr>
              <w:rPr>
                <w:lang w:val="en-GB"/>
              </w:rPr>
            </w:pPr>
            <w:r w:rsidRPr="000A5DBC">
              <w:rPr>
                <w:lang w:val="en-GB"/>
              </w:rPr>
              <w:t>The Gross domestic product grew by 1.</w:t>
            </w:r>
            <w:r w:rsidR="00F93F2C" w:rsidRPr="000A5DBC">
              <w:rPr>
                <w:lang w:val="en-GB"/>
              </w:rPr>
              <w:t>5%</w:t>
            </w:r>
            <w:r w:rsidRPr="000A5DBC">
              <w:rPr>
                <w:lang w:val="en-GB"/>
              </w:rPr>
              <w:t xml:space="preserve"> in real terms in the European Union last year</w:t>
            </w:r>
            <w:r w:rsidR="00F93F2C" w:rsidRPr="000A5DBC">
              <w:rPr>
                <w:lang w:val="en-GB"/>
              </w:rPr>
              <w:t>.</w:t>
            </w:r>
            <w:r w:rsidRPr="000A5DBC">
              <w:rPr>
                <w:lang w:val="en-GB"/>
              </w:rPr>
              <w:t xml:space="preserve"> I</w:t>
            </w:r>
            <w:r w:rsidR="00860386" w:rsidRPr="000A5DBC">
              <w:rPr>
                <w:lang w:val="en-GB"/>
              </w:rPr>
              <w:t xml:space="preserve">t </w:t>
            </w:r>
            <w:r w:rsidRPr="000A5DBC">
              <w:rPr>
                <w:lang w:val="en-GB"/>
              </w:rPr>
              <w:t>is the least since year 2</w:t>
            </w:r>
            <w:r w:rsidR="00F93F2C" w:rsidRPr="000A5DBC">
              <w:rPr>
                <w:lang w:val="en-GB"/>
              </w:rPr>
              <w:t>013.</w:t>
            </w:r>
            <w:r w:rsidRPr="000A5DBC">
              <w:rPr>
                <w:lang w:val="en-GB"/>
              </w:rPr>
              <w:t xml:space="preserve"> The consumption growth remained moderate </w:t>
            </w:r>
            <w:r w:rsidR="00F93F2C" w:rsidRPr="000A5DBC">
              <w:rPr>
                <w:lang w:val="en-GB"/>
              </w:rPr>
              <w:t>(1</w:t>
            </w:r>
            <w:r w:rsidRPr="000A5DBC">
              <w:rPr>
                <w:lang w:val="en-GB"/>
              </w:rPr>
              <w:t>.</w:t>
            </w:r>
            <w:r w:rsidR="00F93F2C" w:rsidRPr="000A5DBC">
              <w:rPr>
                <w:lang w:val="en-GB"/>
              </w:rPr>
              <w:t>6%),</w:t>
            </w:r>
            <w:r w:rsidRPr="000A5DBC">
              <w:rPr>
                <w:lang w:val="en-GB"/>
              </w:rPr>
              <w:t xml:space="preserve"> dynamics of expenditures on gross capital fell </w:t>
            </w:r>
            <w:r w:rsidR="00F93F2C" w:rsidRPr="000A5DBC">
              <w:rPr>
                <w:lang w:val="en-GB"/>
              </w:rPr>
              <w:t>(2</w:t>
            </w:r>
            <w:r w:rsidRPr="000A5DBC">
              <w:rPr>
                <w:lang w:val="en-GB"/>
              </w:rPr>
              <w:t>.</w:t>
            </w:r>
            <w:r w:rsidR="00F93F2C" w:rsidRPr="000A5DBC">
              <w:rPr>
                <w:lang w:val="en-GB"/>
              </w:rPr>
              <w:t>6%) a</w:t>
            </w:r>
            <w:r w:rsidRPr="000A5DBC">
              <w:rPr>
                <w:lang w:val="en-GB"/>
              </w:rPr>
              <w:t xml:space="preserve">nd the foreign trade balance surplus decreased. The GDP dynamics slowed down in majority of EU countries in comparison to year </w:t>
            </w:r>
            <w:r w:rsidR="00F93F2C" w:rsidRPr="000A5DBC">
              <w:rPr>
                <w:lang w:val="en-GB"/>
              </w:rPr>
              <w:t>2018</w:t>
            </w:r>
            <w:r w:rsidRPr="000A5DBC">
              <w:rPr>
                <w:lang w:val="en-GB"/>
              </w:rPr>
              <w:t xml:space="preserve">. The GDP increased the most in Ireland </w:t>
            </w:r>
            <w:r w:rsidR="00F93F2C" w:rsidRPr="000A5DBC">
              <w:rPr>
                <w:lang w:val="en-GB"/>
              </w:rPr>
              <w:t>(5</w:t>
            </w:r>
            <w:r w:rsidRPr="000A5DBC">
              <w:rPr>
                <w:lang w:val="en-GB"/>
              </w:rPr>
              <w:t>.</w:t>
            </w:r>
            <w:r w:rsidR="00F93F2C" w:rsidRPr="000A5DBC">
              <w:rPr>
                <w:lang w:val="en-GB"/>
              </w:rPr>
              <w:t>5%),</w:t>
            </w:r>
            <w:r w:rsidRPr="000A5DBC">
              <w:rPr>
                <w:lang w:val="en-GB"/>
              </w:rPr>
              <w:t xml:space="preserve"> Hungary </w:t>
            </w:r>
            <w:r w:rsidR="00F93F2C" w:rsidRPr="000A5DBC">
              <w:rPr>
                <w:lang w:val="en-GB"/>
              </w:rPr>
              <w:t>(4</w:t>
            </w:r>
            <w:r w:rsidRPr="000A5DBC">
              <w:rPr>
                <w:lang w:val="en-GB"/>
              </w:rPr>
              <w:t>.</w:t>
            </w:r>
            <w:r w:rsidR="00F93F2C" w:rsidRPr="000A5DBC">
              <w:rPr>
                <w:lang w:val="en-GB"/>
              </w:rPr>
              <w:t>9%)</w:t>
            </w:r>
            <w:r w:rsidRPr="000A5DBC">
              <w:rPr>
                <w:lang w:val="en-GB"/>
              </w:rPr>
              <w:t xml:space="preserve"> and Malta </w:t>
            </w:r>
            <w:r w:rsidR="00F93F2C" w:rsidRPr="000A5DBC">
              <w:rPr>
                <w:lang w:val="en-GB"/>
              </w:rPr>
              <w:t>(4</w:t>
            </w:r>
            <w:r w:rsidRPr="000A5DBC">
              <w:rPr>
                <w:lang w:val="en-GB"/>
              </w:rPr>
              <w:t>.</w:t>
            </w:r>
            <w:r w:rsidR="00F93F2C" w:rsidRPr="000A5DBC">
              <w:rPr>
                <w:lang w:val="en-GB"/>
              </w:rPr>
              <w:t>4%)</w:t>
            </w:r>
            <w:r w:rsidRPr="000A5DBC">
              <w:rPr>
                <w:lang w:val="en-GB"/>
              </w:rPr>
              <w:t xml:space="preserve"> last year</w:t>
            </w:r>
            <w:r w:rsidR="00F93F2C" w:rsidRPr="000A5DBC">
              <w:rPr>
                <w:lang w:val="en-GB"/>
              </w:rPr>
              <w:t>.</w:t>
            </w:r>
            <w:r w:rsidR="000E37EB" w:rsidRPr="000A5DBC">
              <w:rPr>
                <w:lang w:val="en-GB"/>
              </w:rPr>
              <w:t xml:space="preserve"> The addition was positive in all member countries last year, the least in Italy </w:t>
            </w:r>
            <w:r w:rsidR="00F93F2C" w:rsidRPr="000A5DBC">
              <w:rPr>
                <w:lang w:val="en-GB"/>
              </w:rPr>
              <w:t>(0</w:t>
            </w:r>
            <w:r w:rsidR="000E37EB" w:rsidRPr="000A5DBC">
              <w:rPr>
                <w:lang w:val="en-GB"/>
              </w:rPr>
              <w:t>.</w:t>
            </w:r>
            <w:r w:rsidR="00F93F2C" w:rsidRPr="000A5DBC">
              <w:rPr>
                <w:lang w:val="en-GB"/>
              </w:rPr>
              <w:t xml:space="preserve">3%), </w:t>
            </w:r>
            <w:r w:rsidR="000E37EB" w:rsidRPr="000A5DBC">
              <w:rPr>
                <w:lang w:val="en-GB"/>
              </w:rPr>
              <w:t xml:space="preserve">Germany </w:t>
            </w:r>
            <w:r w:rsidR="00F93F2C" w:rsidRPr="000A5DBC">
              <w:rPr>
                <w:lang w:val="en-GB"/>
              </w:rPr>
              <w:t>(0</w:t>
            </w:r>
            <w:r w:rsidR="000E37EB" w:rsidRPr="000A5DBC">
              <w:rPr>
                <w:lang w:val="en-GB"/>
              </w:rPr>
              <w:t>.</w:t>
            </w:r>
            <w:r w:rsidR="00F93F2C" w:rsidRPr="000A5DBC">
              <w:rPr>
                <w:lang w:val="en-GB"/>
              </w:rPr>
              <w:t>6%) a</w:t>
            </w:r>
            <w:r w:rsidR="000E37EB" w:rsidRPr="000A5DBC">
              <w:rPr>
                <w:lang w:val="en-GB"/>
              </w:rPr>
              <w:t xml:space="preserve">nd Finland </w:t>
            </w:r>
            <w:r w:rsidR="00F93F2C" w:rsidRPr="000A5DBC">
              <w:rPr>
                <w:lang w:val="en-GB"/>
              </w:rPr>
              <w:t>(1</w:t>
            </w:r>
            <w:r w:rsidR="000E37EB" w:rsidRPr="000A5DBC">
              <w:rPr>
                <w:lang w:val="en-GB"/>
              </w:rPr>
              <w:t>.</w:t>
            </w:r>
            <w:r w:rsidR="00F93F2C" w:rsidRPr="000A5DBC">
              <w:rPr>
                <w:lang w:val="en-GB"/>
              </w:rPr>
              <w:t>0%).</w:t>
            </w:r>
            <w:r w:rsidR="008F1FC0" w:rsidRPr="000A5DBC">
              <w:rPr>
                <w:lang w:val="en-GB"/>
              </w:rPr>
              <w:t xml:space="preserve"> Year-on-year GDP growth declined to 1.2% in the EU in Q</w:t>
            </w:r>
            <w:r w:rsidR="00F93F2C" w:rsidRPr="000A5DBC">
              <w:rPr>
                <w:lang w:val="en-GB"/>
              </w:rPr>
              <w:t>4</w:t>
            </w:r>
            <w:r w:rsidR="008F1FC0" w:rsidRPr="000A5DBC">
              <w:rPr>
                <w:lang w:val="en-GB"/>
              </w:rPr>
              <w:t xml:space="preserve"> </w:t>
            </w:r>
            <w:r w:rsidR="00F93F2C" w:rsidRPr="000A5DBC">
              <w:rPr>
                <w:lang w:val="en-GB"/>
              </w:rPr>
              <w:t>a</w:t>
            </w:r>
            <w:r w:rsidR="002A00CD" w:rsidRPr="000A5DBC">
              <w:rPr>
                <w:lang w:val="en-GB"/>
              </w:rPr>
              <w:t xml:space="preserve">nd the quarter-on-quarter addition was only </w:t>
            </w:r>
            <w:r w:rsidR="00F93F2C" w:rsidRPr="000A5DBC">
              <w:rPr>
                <w:lang w:val="en-GB"/>
              </w:rPr>
              <w:t>0</w:t>
            </w:r>
            <w:r w:rsidR="002A00CD" w:rsidRPr="000A5DBC">
              <w:rPr>
                <w:lang w:val="en-GB"/>
              </w:rPr>
              <w:t>.</w:t>
            </w:r>
            <w:r w:rsidR="00F93F2C" w:rsidRPr="000A5DBC">
              <w:rPr>
                <w:lang w:val="en-GB"/>
              </w:rPr>
              <w:t>1%.</w:t>
            </w:r>
            <w:r w:rsidR="002A00CD" w:rsidRPr="000A5DBC">
              <w:rPr>
                <w:lang w:val="en-GB"/>
              </w:rPr>
              <w:t xml:space="preserve"> </w:t>
            </w:r>
            <w:r w:rsidR="00F93F2C" w:rsidRPr="000A5DBC">
              <w:rPr>
                <w:lang w:val="en-GB"/>
              </w:rPr>
              <w:t xml:space="preserve"> </w:t>
            </w:r>
            <w:r w:rsidR="008F1FC0" w:rsidRPr="000A5DBC">
              <w:rPr>
                <w:lang w:val="en-GB"/>
              </w:rPr>
              <w:t>All EU countries attained an addition in Q4 in the end</w:t>
            </w:r>
            <w:r w:rsidR="00F93F2C" w:rsidRPr="000A5DBC">
              <w:rPr>
                <w:lang w:val="en-GB"/>
              </w:rPr>
              <w:t>, I</w:t>
            </w:r>
            <w:r w:rsidR="002A00CD" w:rsidRPr="000A5DBC">
              <w:rPr>
                <w:lang w:val="en-GB"/>
              </w:rPr>
              <w:t xml:space="preserve">reland </w:t>
            </w:r>
            <w:r w:rsidR="00F93F2C" w:rsidRPr="000A5DBC">
              <w:rPr>
                <w:lang w:val="en-GB"/>
              </w:rPr>
              <w:t>(6</w:t>
            </w:r>
            <w:r w:rsidR="002A00CD" w:rsidRPr="000A5DBC">
              <w:rPr>
                <w:lang w:val="en-GB"/>
              </w:rPr>
              <w:t>.</w:t>
            </w:r>
            <w:r w:rsidR="00F93F2C" w:rsidRPr="000A5DBC">
              <w:rPr>
                <w:lang w:val="en-GB"/>
              </w:rPr>
              <w:t>3%),</w:t>
            </w:r>
            <w:r w:rsidR="002A00CD" w:rsidRPr="000A5DBC">
              <w:rPr>
                <w:lang w:val="en-GB"/>
              </w:rPr>
              <w:t xml:space="preserve"> Hungary </w:t>
            </w:r>
            <w:r w:rsidR="00F93F2C" w:rsidRPr="000A5DBC">
              <w:rPr>
                <w:lang w:val="en-GB"/>
              </w:rPr>
              <w:t>(4</w:t>
            </w:r>
            <w:r w:rsidR="002A00CD" w:rsidRPr="000A5DBC">
              <w:rPr>
                <w:lang w:val="en-GB"/>
              </w:rPr>
              <w:t>.</w:t>
            </w:r>
            <w:r w:rsidR="00F93F2C" w:rsidRPr="000A5DBC">
              <w:rPr>
                <w:lang w:val="en-GB"/>
              </w:rPr>
              <w:t>6%) a</w:t>
            </w:r>
            <w:r w:rsidR="002A00CD" w:rsidRPr="000A5DBC">
              <w:rPr>
                <w:lang w:val="en-GB"/>
              </w:rPr>
              <w:t>nd</w:t>
            </w:r>
            <w:r w:rsidR="00F93F2C" w:rsidRPr="000A5DBC">
              <w:rPr>
                <w:lang w:val="en-GB"/>
              </w:rPr>
              <w:t> Malta (4</w:t>
            </w:r>
            <w:r w:rsidR="002A00CD" w:rsidRPr="000A5DBC">
              <w:rPr>
                <w:lang w:val="en-GB"/>
              </w:rPr>
              <w:t>.</w:t>
            </w:r>
            <w:r w:rsidR="00F93F2C" w:rsidRPr="000A5DBC">
              <w:rPr>
                <w:lang w:val="en-GB"/>
              </w:rPr>
              <w:t>3%)</w:t>
            </w:r>
            <w:r w:rsidR="002A00CD" w:rsidRPr="000A5DBC">
              <w:rPr>
                <w:lang w:val="en-GB"/>
              </w:rPr>
              <w:t xml:space="preserve"> the most</w:t>
            </w:r>
            <w:r w:rsidR="00F93F2C" w:rsidRPr="000A5DBC">
              <w:rPr>
                <w:lang w:val="en-GB"/>
              </w:rPr>
              <w:t xml:space="preserve">. </w:t>
            </w:r>
            <w:r w:rsidR="008F1FC0" w:rsidRPr="000A5DBC">
              <w:rPr>
                <w:lang w:val="en-GB"/>
              </w:rPr>
              <w:t xml:space="preserve">Italy narrowly avoided the slump </w:t>
            </w:r>
            <w:r w:rsidR="00F93F2C" w:rsidRPr="000A5DBC">
              <w:rPr>
                <w:lang w:val="en-GB"/>
              </w:rPr>
              <w:t>(0</w:t>
            </w:r>
            <w:r w:rsidR="008F1FC0" w:rsidRPr="000A5DBC">
              <w:rPr>
                <w:lang w:val="en-GB"/>
              </w:rPr>
              <w:t>.</w:t>
            </w:r>
            <w:r w:rsidR="00F93F2C" w:rsidRPr="000A5DBC">
              <w:rPr>
                <w:lang w:val="en-GB"/>
              </w:rPr>
              <w:t xml:space="preserve">1%), </w:t>
            </w:r>
            <w:r w:rsidR="008F1FC0" w:rsidRPr="000A5DBC">
              <w:rPr>
                <w:lang w:val="en-GB"/>
              </w:rPr>
              <w:t xml:space="preserve">year-on-year addition fell below </w:t>
            </w:r>
            <w:r w:rsidR="00F93F2C" w:rsidRPr="000A5DBC">
              <w:rPr>
                <w:lang w:val="en-GB"/>
              </w:rPr>
              <w:t>1%</w:t>
            </w:r>
            <w:r w:rsidR="008F1FC0" w:rsidRPr="000A5DBC">
              <w:rPr>
                <w:lang w:val="en-GB"/>
              </w:rPr>
              <w:t xml:space="preserve"> in Germany </w:t>
            </w:r>
            <w:r w:rsidR="00F93F2C" w:rsidRPr="000A5DBC">
              <w:rPr>
                <w:lang w:val="en-GB"/>
              </w:rPr>
              <w:t>(0</w:t>
            </w:r>
            <w:r w:rsidR="008F1FC0" w:rsidRPr="000A5DBC">
              <w:rPr>
                <w:lang w:val="en-GB"/>
              </w:rPr>
              <w:t>.</w:t>
            </w:r>
            <w:r w:rsidR="00F93F2C" w:rsidRPr="000A5DBC">
              <w:rPr>
                <w:lang w:val="en-GB"/>
              </w:rPr>
              <w:t>5%),</w:t>
            </w:r>
            <w:r w:rsidR="008F1FC0" w:rsidRPr="000A5DBC">
              <w:rPr>
                <w:lang w:val="en-GB"/>
              </w:rPr>
              <w:t xml:space="preserve"> Finland </w:t>
            </w:r>
            <w:r w:rsidR="00F93F2C" w:rsidRPr="000A5DBC">
              <w:rPr>
                <w:lang w:val="en-GB"/>
              </w:rPr>
              <w:t>(0</w:t>
            </w:r>
            <w:r w:rsidR="008F1FC0" w:rsidRPr="000A5DBC">
              <w:rPr>
                <w:lang w:val="en-GB"/>
              </w:rPr>
              <w:t>.</w:t>
            </w:r>
            <w:r w:rsidR="00F93F2C" w:rsidRPr="000A5DBC">
              <w:rPr>
                <w:lang w:val="en-GB"/>
              </w:rPr>
              <w:t>6%),</w:t>
            </w:r>
            <w:r w:rsidR="008F1FC0" w:rsidRPr="000A5DBC">
              <w:rPr>
                <w:lang w:val="en-GB"/>
              </w:rPr>
              <w:t xml:space="preserve"> </w:t>
            </w:r>
            <w:r w:rsidR="008F1FC0" w:rsidRPr="000A5DBC">
              <w:rPr>
                <w:lang w:val="en-GB"/>
              </w:rPr>
              <w:lastRenderedPageBreak/>
              <w:t xml:space="preserve">Sweden </w:t>
            </w:r>
            <w:r w:rsidR="00F93F2C" w:rsidRPr="000A5DBC">
              <w:rPr>
                <w:lang w:val="en-GB"/>
              </w:rPr>
              <w:t>(0</w:t>
            </w:r>
            <w:r w:rsidR="008F1FC0" w:rsidRPr="000A5DBC">
              <w:rPr>
                <w:lang w:val="en-GB"/>
              </w:rPr>
              <w:t>.</w:t>
            </w:r>
            <w:r w:rsidR="00F93F2C" w:rsidRPr="000A5DBC">
              <w:rPr>
                <w:lang w:val="en-GB"/>
              </w:rPr>
              <w:t>8%),</w:t>
            </w:r>
            <w:r w:rsidR="008F1FC0" w:rsidRPr="000A5DBC">
              <w:rPr>
                <w:lang w:val="en-GB"/>
              </w:rPr>
              <w:t xml:space="preserve"> Austria and France </w:t>
            </w:r>
            <w:r w:rsidR="00F93F2C" w:rsidRPr="000A5DBC">
              <w:rPr>
                <w:lang w:val="en-GB"/>
              </w:rPr>
              <w:t>(</w:t>
            </w:r>
            <w:r w:rsidR="00754551" w:rsidRPr="000A5DBC">
              <w:rPr>
                <w:lang w:val="en-GB"/>
              </w:rPr>
              <w:t xml:space="preserve">identically </w:t>
            </w:r>
            <w:r w:rsidR="00F93F2C" w:rsidRPr="000A5DBC">
              <w:rPr>
                <w:lang w:val="en-GB"/>
              </w:rPr>
              <w:t>0</w:t>
            </w:r>
            <w:r w:rsidR="008F1FC0" w:rsidRPr="000A5DBC">
              <w:rPr>
                <w:lang w:val="en-GB"/>
              </w:rPr>
              <w:t>.</w:t>
            </w:r>
            <w:r w:rsidR="00F93F2C" w:rsidRPr="000A5DBC">
              <w:rPr>
                <w:lang w:val="en-GB"/>
              </w:rPr>
              <w:t>9%).</w:t>
            </w:r>
            <w:r w:rsidR="008F1FC0" w:rsidRPr="000A5DBC">
              <w:rPr>
                <w:lang w:val="en-GB"/>
              </w:rPr>
              <w:t xml:space="preserve"> </w:t>
            </w:r>
            <w:r w:rsidR="009A329E" w:rsidRPr="000A5DBC">
              <w:rPr>
                <w:lang w:val="en-GB"/>
              </w:rPr>
              <w:t xml:space="preserve">GDP declined in four countries quarter-on-quarter towards the end of the year </w:t>
            </w:r>
            <w:r w:rsidR="00F93F2C" w:rsidRPr="000A5DBC">
              <w:rPr>
                <w:lang w:val="en-GB"/>
              </w:rPr>
              <w:t xml:space="preserve">– </w:t>
            </w:r>
            <w:r w:rsidR="009A329E" w:rsidRPr="000A5DBC">
              <w:rPr>
                <w:lang w:val="en-GB"/>
              </w:rPr>
              <w:t xml:space="preserve">in Greece </w:t>
            </w:r>
            <w:r w:rsidR="00C75752" w:rsidRPr="000A5DBC">
              <w:rPr>
                <w:lang w:val="en-GB"/>
              </w:rPr>
              <w:t>(-0</w:t>
            </w:r>
            <w:r w:rsidR="009A329E" w:rsidRPr="000A5DBC">
              <w:rPr>
                <w:lang w:val="en-GB"/>
              </w:rPr>
              <w:t>.</w:t>
            </w:r>
            <w:r w:rsidR="00C75752" w:rsidRPr="000A5DBC">
              <w:rPr>
                <w:lang w:val="en-GB"/>
              </w:rPr>
              <w:t>7%),</w:t>
            </w:r>
            <w:r w:rsidR="009A329E" w:rsidRPr="000A5DBC">
              <w:rPr>
                <w:lang w:val="en-GB"/>
              </w:rPr>
              <w:t xml:space="preserve"> in Finland </w:t>
            </w:r>
            <w:r w:rsidR="00C75752" w:rsidRPr="000A5DBC">
              <w:rPr>
                <w:lang w:val="en-GB"/>
              </w:rPr>
              <w:t>(</w:t>
            </w:r>
            <w:r w:rsidR="00C75752" w:rsidRPr="000A5DBC">
              <w:rPr>
                <w:lang w:val="en-GB"/>
              </w:rPr>
              <w:noBreakHyphen/>
              <w:t>0</w:t>
            </w:r>
            <w:r w:rsidR="009A329E" w:rsidRPr="000A5DBC">
              <w:rPr>
                <w:lang w:val="en-GB"/>
              </w:rPr>
              <w:t>.</w:t>
            </w:r>
            <w:r w:rsidR="00C75752" w:rsidRPr="000A5DBC">
              <w:rPr>
                <w:lang w:val="en-GB"/>
              </w:rPr>
              <w:t>6%),</w:t>
            </w:r>
            <w:r w:rsidR="009A329E" w:rsidRPr="000A5DBC">
              <w:rPr>
                <w:lang w:val="en-GB"/>
              </w:rPr>
              <w:t xml:space="preserve"> in Italy </w:t>
            </w:r>
            <w:r w:rsidR="00F93F2C" w:rsidRPr="000A5DBC">
              <w:rPr>
                <w:lang w:val="en-GB"/>
              </w:rPr>
              <w:t>(</w:t>
            </w:r>
            <w:r w:rsidR="00244F4E">
              <w:rPr>
                <w:lang w:val="en-GB"/>
              </w:rPr>
              <w:t>-</w:t>
            </w:r>
            <w:r w:rsidR="00F93F2C" w:rsidRPr="000A5DBC">
              <w:rPr>
                <w:lang w:val="en-GB"/>
              </w:rPr>
              <w:t>0</w:t>
            </w:r>
            <w:r w:rsidR="009A329E" w:rsidRPr="000A5DBC">
              <w:rPr>
                <w:lang w:val="en-GB"/>
              </w:rPr>
              <w:t>.</w:t>
            </w:r>
            <w:r w:rsidR="00F93F2C" w:rsidRPr="000A5DBC">
              <w:rPr>
                <w:lang w:val="en-GB"/>
              </w:rPr>
              <w:t>3%) a</w:t>
            </w:r>
            <w:r w:rsidR="009A329E" w:rsidRPr="000A5DBC">
              <w:rPr>
                <w:lang w:val="en-GB"/>
              </w:rPr>
              <w:t xml:space="preserve">nd France </w:t>
            </w:r>
            <w:r w:rsidR="00F93F2C" w:rsidRPr="000A5DBC">
              <w:rPr>
                <w:lang w:val="en-GB"/>
              </w:rPr>
              <w:t>(</w:t>
            </w:r>
            <w:r w:rsidR="00244F4E">
              <w:rPr>
                <w:lang w:val="en-GB"/>
              </w:rPr>
              <w:t>-</w:t>
            </w:r>
            <w:r w:rsidR="00F93F2C" w:rsidRPr="000A5DBC">
              <w:rPr>
                <w:lang w:val="en-GB"/>
              </w:rPr>
              <w:t>0</w:t>
            </w:r>
            <w:r w:rsidR="009A329E" w:rsidRPr="000A5DBC">
              <w:rPr>
                <w:lang w:val="en-GB"/>
              </w:rPr>
              <w:t>.</w:t>
            </w:r>
            <w:r w:rsidR="00F93F2C" w:rsidRPr="000A5DBC">
              <w:rPr>
                <w:lang w:val="en-GB"/>
              </w:rPr>
              <w:t>1%).</w:t>
            </w:r>
            <w:r w:rsidR="009A329E" w:rsidRPr="000A5DBC">
              <w:rPr>
                <w:lang w:val="en-GB"/>
              </w:rPr>
              <w:t xml:space="preserve"> GDP did not change quarter-on-quarter in Germany and Great Britain. </w:t>
            </w:r>
          </w:p>
        </w:tc>
      </w:tr>
      <w:tr w:rsidR="00F93F2C" w:rsidRPr="000A5DBC" w14:paraId="06A6AB4E" w14:textId="77777777" w:rsidTr="002F3893">
        <w:trPr>
          <w:trHeight w:val="145"/>
        </w:trPr>
        <w:tc>
          <w:tcPr>
            <w:tcW w:w="1806" w:type="dxa"/>
            <w:shd w:val="clear" w:color="auto" w:fill="auto"/>
            <w:tcMar>
              <w:left w:w="0" w:type="dxa"/>
            </w:tcMar>
          </w:tcPr>
          <w:p w14:paraId="076757F9" w14:textId="77777777" w:rsidR="00F93F2C" w:rsidRPr="000A5DBC" w:rsidRDefault="0025392C" w:rsidP="000E37EB">
            <w:pPr>
              <w:pStyle w:val="Marginlie"/>
              <w:rPr>
                <w:lang w:val="en-GB"/>
              </w:rPr>
            </w:pPr>
            <w:r w:rsidRPr="000A5DBC">
              <w:rPr>
                <w:lang w:val="en-GB"/>
              </w:rPr>
              <w:lastRenderedPageBreak/>
              <w:t>Slowdown</w:t>
            </w:r>
            <w:r w:rsidR="000E37EB" w:rsidRPr="000A5DBC">
              <w:rPr>
                <w:lang w:val="en-GB"/>
              </w:rPr>
              <w:t xml:space="preserve"> of pace of growth of volume of paid out wages and salaries continued. </w:t>
            </w:r>
          </w:p>
        </w:tc>
        <w:tc>
          <w:tcPr>
            <w:tcW w:w="223" w:type="dxa"/>
            <w:shd w:val="clear" w:color="auto" w:fill="auto"/>
            <w:tcMar>
              <w:left w:w="0" w:type="dxa"/>
            </w:tcMar>
          </w:tcPr>
          <w:p w14:paraId="22A6957E"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6BC1D8CA" w14:textId="77777777" w:rsidR="00F93F2C" w:rsidRPr="000A5DBC" w:rsidRDefault="000E37EB" w:rsidP="001C19AE">
            <w:pPr>
              <w:rPr>
                <w:lang w:val="en-GB"/>
              </w:rPr>
            </w:pPr>
            <w:r w:rsidRPr="000A5DBC">
              <w:rPr>
                <w:lang w:val="en-GB"/>
              </w:rPr>
              <w:t xml:space="preserve">The volume of paid out wages and salaries expanded by </w:t>
            </w:r>
            <w:r w:rsidR="00F93F2C" w:rsidRPr="000A5DBC">
              <w:rPr>
                <w:lang w:val="en-GB"/>
              </w:rPr>
              <w:t>7</w:t>
            </w:r>
            <w:r w:rsidRPr="000A5DBC">
              <w:rPr>
                <w:lang w:val="en-GB"/>
              </w:rPr>
              <w:t>.</w:t>
            </w:r>
            <w:r w:rsidR="00F93F2C" w:rsidRPr="000A5DBC">
              <w:rPr>
                <w:lang w:val="en-GB"/>
              </w:rPr>
              <w:t>1%</w:t>
            </w:r>
            <w:r w:rsidRPr="000A5DBC">
              <w:rPr>
                <w:lang w:val="en-GB"/>
              </w:rPr>
              <w:t xml:space="preserve"> last year</w:t>
            </w:r>
            <w:r w:rsidR="00F93F2C" w:rsidRPr="000A5DBC">
              <w:rPr>
                <w:lang w:val="en-GB"/>
              </w:rPr>
              <w:t>.</w:t>
            </w:r>
            <w:r w:rsidRPr="000A5DBC">
              <w:rPr>
                <w:lang w:val="en-GB"/>
              </w:rPr>
              <w:t xml:space="preserve"> </w:t>
            </w:r>
            <w:r w:rsidR="009A329E" w:rsidRPr="000A5DBC">
              <w:rPr>
                <w:lang w:val="en-GB"/>
              </w:rPr>
              <w:t xml:space="preserve">It is a lower addition than in years </w:t>
            </w:r>
            <w:r w:rsidR="00F93F2C" w:rsidRPr="000A5DBC">
              <w:rPr>
                <w:lang w:val="en-GB"/>
              </w:rPr>
              <w:t>2017</w:t>
            </w:r>
            <w:r w:rsidR="009A329E" w:rsidRPr="000A5DBC">
              <w:rPr>
                <w:lang w:val="en-GB"/>
              </w:rPr>
              <w:t xml:space="preserve"> and </w:t>
            </w:r>
            <w:r w:rsidR="00F93F2C" w:rsidRPr="000A5DBC">
              <w:rPr>
                <w:lang w:val="en-GB"/>
              </w:rPr>
              <w:t>2018,</w:t>
            </w:r>
            <w:r w:rsidR="009A329E" w:rsidRPr="000A5DBC">
              <w:rPr>
                <w:lang w:val="en-GB"/>
              </w:rPr>
              <w:t xml:space="preserve"> but it still comprises a very strong growth </w:t>
            </w:r>
            <w:r w:rsidR="00F93F2C" w:rsidRPr="000A5DBC">
              <w:rPr>
                <w:lang w:val="en-GB"/>
              </w:rPr>
              <w:t>(</w:t>
            </w:r>
            <w:r w:rsidR="009A329E" w:rsidRPr="000A5DBC">
              <w:rPr>
                <w:lang w:val="en-GB"/>
              </w:rPr>
              <w:t xml:space="preserve">it is the third largest growth in the period </w:t>
            </w:r>
            <w:r w:rsidR="00F93F2C" w:rsidRPr="000A5DBC">
              <w:rPr>
                <w:lang w:val="en-GB"/>
              </w:rPr>
              <w:t>2009</w:t>
            </w:r>
            <w:r w:rsidR="009A329E" w:rsidRPr="000A5DBC">
              <w:rPr>
                <w:lang w:val="en-GB"/>
              </w:rPr>
              <w:t xml:space="preserve"> till 2</w:t>
            </w:r>
            <w:r w:rsidR="00F93F2C" w:rsidRPr="000A5DBC">
              <w:rPr>
                <w:lang w:val="en-GB"/>
              </w:rPr>
              <w:t>019).</w:t>
            </w:r>
            <w:r w:rsidRPr="000A5DBC">
              <w:rPr>
                <w:lang w:val="en-GB"/>
              </w:rPr>
              <w:t xml:space="preserve"> Total employment</w:t>
            </w:r>
            <w:r w:rsidR="00F93F2C" w:rsidRPr="000A5DBC">
              <w:rPr>
                <w:rStyle w:val="Znakapoznpodarou"/>
                <w:spacing w:val="-2"/>
                <w:lang w:val="en-GB"/>
              </w:rPr>
              <w:footnoteReference w:id="3"/>
            </w:r>
            <w:r w:rsidRPr="000A5DBC">
              <w:rPr>
                <w:lang w:val="en-GB"/>
              </w:rPr>
              <w:t xml:space="preserve"> went up by </w:t>
            </w:r>
            <w:r w:rsidR="00F93F2C" w:rsidRPr="000A5DBC">
              <w:rPr>
                <w:lang w:val="en-GB"/>
              </w:rPr>
              <w:t>0</w:t>
            </w:r>
            <w:r w:rsidRPr="000A5DBC">
              <w:rPr>
                <w:lang w:val="en-GB"/>
              </w:rPr>
              <w:t>.</w:t>
            </w:r>
            <w:r w:rsidR="00F93F2C" w:rsidRPr="000A5DBC">
              <w:rPr>
                <w:lang w:val="en-GB"/>
              </w:rPr>
              <w:t>7%</w:t>
            </w:r>
            <w:r w:rsidRPr="000A5DBC">
              <w:rPr>
                <w:lang w:val="en-GB"/>
              </w:rPr>
              <w:t xml:space="preserve"> last year</w:t>
            </w:r>
            <w:r w:rsidR="00F93F2C" w:rsidRPr="000A5DBC">
              <w:rPr>
                <w:lang w:val="en-GB"/>
              </w:rPr>
              <w:t>,</w:t>
            </w:r>
            <w:r w:rsidRPr="000A5DBC">
              <w:rPr>
                <w:lang w:val="en-GB"/>
              </w:rPr>
              <w:t xml:space="preserve"> the least since year </w:t>
            </w:r>
            <w:r w:rsidR="00F93F2C" w:rsidRPr="000A5DBC">
              <w:rPr>
                <w:lang w:val="en-GB"/>
              </w:rPr>
              <w:t>2014,</w:t>
            </w:r>
            <w:r w:rsidRPr="000A5DBC">
              <w:rPr>
                <w:lang w:val="en-GB"/>
              </w:rPr>
              <w:t xml:space="preserve"> so the growth of wages and salaries was in the</w:t>
            </w:r>
            <w:r w:rsidR="00144675" w:rsidRPr="000A5DBC">
              <w:rPr>
                <w:lang w:val="en-GB"/>
              </w:rPr>
              <w:t xml:space="preserve"> absolute</w:t>
            </w:r>
            <w:r w:rsidR="001C19AE" w:rsidRPr="000A5DBC">
              <w:rPr>
                <w:lang w:val="en-GB"/>
              </w:rPr>
              <w:t xml:space="preserve"> majority of cases manifested </w:t>
            </w:r>
            <w:r w:rsidRPr="000A5DBC">
              <w:rPr>
                <w:lang w:val="en-GB"/>
              </w:rPr>
              <w:t>in the raised level of earnings.</w:t>
            </w:r>
            <w:r w:rsidR="009A329E" w:rsidRPr="000A5DBC">
              <w:rPr>
                <w:lang w:val="en-GB"/>
              </w:rPr>
              <w:t xml:space="preserve"> Growth of the total price level however had a stronger impact than before. Thus, in real terms, the wages and salaries grew by </w:t>
            </w:r>
            <w:r w:rsidR="00F93F2C" w:rsidRPr="000A5DBC">
              <w:rPr>
                <w:lang w:val="en-GB"/>
              </w:rPr>
              <w:t>4</w:t>
            </w:r>
            <w:r w:rsidR="009A329E" w:rsidRPr="000A5DBC">
              <w:rPr>
                <w:lang w:val="en-GB"/>
              </w:rPr>
              <w:t>.</w:t>
            </w:r>
            <w:r w:rsidR="00F93F2C" w:rsidRPr="000A5DBC">
              <w:rPr>
                <w:lang w:val="en-GB"/>
              </w:rPr>
              <w:t>1%</w:t>
            </w:r>
            <w:r w:rsidR="00F93F2C" w:rsidRPr="000A5DBC">
              <w:rPr>
                <w:rStyle w:val="Znakapoznpodarou"/>
                <w:spacing w:val="-2"/>
                <w:lang w:val="en-GB"/>
              </w:rPr>
              <w:footnoteReference w:id="4"/>
            </w:r>
            <w:r w:rsidR="009A329E" w:rsidRPr="000A5DBC">
              <w:rPr>
                <w:lang w:val="en-GB"/>
              </w:rPr>
              <w:t xml:space="preserve"> last year</w:t>
            </w:r>
            <w:r w:rsidR="00F93F2C" w:rsidRPr="000A5DBC">
              <w:rPr>
                <w:lang w:val="en-GB"/>
              </w:rPr>
              <w:t xml:space="preserve">. </w:t>
            </w:r>
            <w:r w:rsidR="002C15DD" w:rsidRPr="000A5DBC">
              <w:rPr>
                <w:lang w:val="en-GB"/>
              </w:rPr>
              <w:t xml:space="preserve">The fast pace of growth of the volume of paid out compensations to employees is reflected in the falling profit rate of the non-financial </w:t>
            </w:r>
            <w:r w:rsidR="0025392C" w:rsidRPr="000A5DBC">
              <w:rPr>
                <w:lang w:val="en-GB"/>
              </w:rPr>
              <w:t>corporations</w:t>
            </w:r>
            <w:r w:rsidR="00F93F2C" w:rsidRPr="000A5DBC">
              <w:rPr>
                <w:rStyle w:val="Znakapoznpodarou"/>
                <w:lang w:val="en-GB"/>
              </w:rPr>
              <w:footnoteReference w:id="5"/>
            </w:r>
            <w:r w:rsidR="002C15DD" w:rsidRPr="000A5DBC">
              <w:rPr>
                <w:lang w:val="en-GB"/>
              </w:rPr>
              <w:t xml:space="preserve"> already several years</w:t>
            </w:r>
            <w:r w:rsidR="00F93F2C" w:rsidRPr="000A5DBC">
              <w:rPr>
                <w:lang w:val="en-GB"/>
              </w:rPr>
              <w:t xml:space="preserve">. </w:t>
            </w:r>
            <w:r w:rsidR="009A329E" w:rsidRPr="000A5DBC">
              <w:rPr>
                <w:lang w:val="en-GB"/>
              </w:rPr>
              <w:t xml:space="preserve">This indicator fell slightly further to </w:t>
            </w:r>
            <w:r w:rsidR="00F93F2C" w:rsidRPr="000A5DBC">
              <w:rPr>
                <w:lang w:val="en-GB"/>
              </w:rPr>
              <w:t>46</w:t>
            </w:r>
            <w:r w:rsidR="009A329E" w:rsidRPr="000A5DBC">
              <w:rPr>
                <w:lang w:val="en-GB"/>
              </w:rPr>
              <w:t>.</w:t>
            </w:r>
            <w:r w:rsidR="00F93F2C" w:rsidRPr="000A5DBC">
              <w:rPr>
                <w:lang w:val="en-GB"/>
              </w:rPr>
              <w:t>5%</w:t>
            </w:r>
            <w:r w:rsidR="009A329E" w:rsidRPr="000A5DBC">
              <w:rPr>
                <w:lang w:val="en-GB"/>
              </w:rPr>
              <w:t xml:space="preserve"> last year</w:t>
            </w:r>
            <w:r w:rsidR="00F93F2C" w:rsidRPr="000A5DBC">
              <w:rPr>
                <w:lang w:val="en-GB"/>
              </w:rPr>
              <w:t>.</w:t>
            </w:r>
            <w:r w:rsidR="002C15DD" w:rsidRPr="000A5DBC">
              <w:rPr>
                <w:lang w:val="en-GB"/>
              </w:rPr>
              <w:t xml:space="preserve"> From the view of the</w:t>
            </w:r>
            <w:r w:rsidR="001C19AE" w:rsidRPr="000A5DBC">
              <w:rPr>
                <w:lang w:val="en-GB"/>
              </w:rPr>
              <w:t xml:space="preserve"> rate of profit </w:t>
            </w:r>
            <w:r w:rsidR="002C15DD" w:rsidRPr="000A5DBC">
              <w:rPr>
                <w:lang w:val="en-GB"/>
              </w:rPr>
              <w:t>the CR thus still</w:t>
            </w:r>
            <w:r w:rsidR="00144675" w:rsidRPr="000A5DBC">
              <w:rPr>
                <w:lang w:val="en-GB"/>
              </w:rPr>
              <w:t xml:space="preserve"> stays </w:t>
            </w:r>
            <w:r w:rsidR="002C15DD" w:rsidRPr="000A5DBC">
              <w:rPr>
                <w:lang w:val="en-GB"/>
              </w:rPr>
              <w:t xml:space="preserve">above the European average. </w:t>
            </w:r>
            <w:r w:rsidR="00DA7A5E" w:rsidRPr="000A5DBC">
              <w:rPr>
                <w:lang w:val="en-GB"/>
              </w:rPr>
              <w:t xml:space="preserve">Year-on-year increase of the volume of wages and salaries reached </w:t>
            </w:r>
            <w:r w:rsidR="00F93F2C" w:rsidRPr="000A5DBC">
              <w:rPr>
                <w:lang w:val="en-GB"/>
              </w:rPr>
              <w:t>6</w:t>
            </w:r>
            <w:r w:rsidR="00DA7A5E" w:rsidRPr="000A5DBC">
              <w:rPr>
                <w:lang w:val="en-GB"/>
              </w:rPr>
              <w:t>.</w:t>
            </w:r>
            <w:r w:rsidR="00F93F2C" w:rsidRPr="000A5DBC">
              <w:rPr>
                <w:lang w:val="en-GB"/>
              </w:rPr>
              <w:t>5%</w:t>
            </w:r>
            <w:r w:rsidR="00DA7A5E" w:rsidRPr="000A5DBC">
              <w:rPr>
                <w:lang w:val="en-GB"/>
              </w:rPr>
              <w:t xml:space="preserve"> in Q4 itself</w:t>
            </w:r>
            <w:r w:rsidR="00F93F2C" w:rsidRPr="000A5DBC">
              <w:rPr>
                <w:lang w:val="en-GB"/>
              </w:rPr>
              <w:t xml:space="preserve"> a</w:t>
            </w:r>
            <w:r w:rsidR="00DA7A5E" w:rsidRPr="000A5DBC">
              <w:rPr>
                <w:lang w:val="en-GB"/>
              </w:rPr>
              <w:t>nd the gradual deceleration apparent in the course of the whole year continued</w:t>
            </w:r>
            <w:r w:rsidR="00F93F2C" w:rsidRPr="000A5DBC">
              <w:rPr>
                <w:lang w:val="en-GB"/>
              </w:rPr>
              <w:t xml:space="preserve">. </w:t>
            </w:r>
            <w:r w:rsidR="00DA7A5E" w:rsidRPr="000A5DBC">
              <w:rPr>
                <w:lang w:val="en-GB"/>
              </w:rPr>
              <w:t xml:space="preserve">Simultaneously, the total employment did not increase year-on-year towards the end of the year. </w:t>
            </w:r>
            <w:r w:rsidR="00F93F2C" w:rsidRPr="000A5DBC">
              <w:rPr>
                <w:lang w:val="en-GB"/>
              </w:rPr>
              <w:t>S</w:t>
            </w:r>
            <w:r w:rsidR="00564996" w:rsidRPr="000A5DBC">
              <w:rPr>
                <w:lang w:val="en-GB"/>
              </w:rPr>
              <w:t xml:space="preserve">trong growth of the price level however led to significant reduction of the real earning dynamics </w:t>
            </w:r>
            <w:r w:rsidR="00F93F2C" w:rsidRPr="000A5DBC">
              <w:rPr>
                <w:lang w:val="en-GB"/>
              </w:rPr>
              <w:t>(3</w:t>
            </w:r>
            <w:r w:rsidR="00564996" w:rsidRPr="000A5DBC">
              <w:rPr>
                <w:lang w:val="en-GB"/>
              </w:rPr>
              <w:t>.</w:t>
            </w:r>
            <w:r w:rsidR="00F93F2C" w:rsidRPr="000A5DBC">
              <w:rPr>
                <w:lang w:val="en-GB"/>
              </w:rPr>
              <w:t>4%,</w:t>
            </w:r>
            <w:r w:rsidR="00564996" w:rsidRPr="000A5DBC">
              <w:rPr>
                <w:lang w:val="en-GB"/>
              </w:rPr>
              <w:t xml:space="preserve"> the least since Q</w:t>
            </w:r>
            <w:r w:rsidR="00F93F2C" w:rsidRPr="000A5DBC">
              <w:rPr>
                <w:lang w:val="en-GB"/>
              </w:rPr>
              <w:t>3</w:t>
            </w:r>
            <w:r w:rsidR="00564996" w:rsidRPr="000A5DBC">
              <w:rPr>
                <w:lang w:val="en-GB"/>
              </w:rPr>
              <w:t xml:space="preserve"> </w:t>
            </w:r>
            <w:r w:rsidR="00F93F2C" w:rsidRPr="000A5DBC">
              <w:rPr>
                <w:lang w:val="en-GB"/>
              </w:rPr>
              <w:t>2014).</w:t>
            </w:r>
          </w:p>
        </w:tc>
      </w:tr>
      <w:tr w:rsidR="00F93F2C" w:rsidRPr="000A5DBC" w14:paraId="647B7A66" w14:textId="77777777" w:rsidTr="002F3893">
        <w:trPr>
          <w:trHeight w:val="145"/>
        </w:trPr>
        <w:tc>
          <w:tcPr>
            <w:tcW w:w="1806" w:type="dxa"/>
            <w:shd w:val="clear" w:color="auto" w:fill="auto"/>
            <w:tcMar>
              <w:left w:w="0" w:type="dxa"/>
            </w:tcMar>
          </w:tcPr>
          <w:p w14:paraId="430694CB" w14:textId="77777777" w:rsidR="00F93F2C" w:rsidRPr="000A5DBC" w:rsidRDefault="002C15DD" w:rsidP="002C15DD">
            <w:pPr>
              <w:pStyle w:val="Marginlie"/>
              <w:rPr>
                <w:lang w:val="en-GB"/>
              </w:rPr>
            </w:pPr>
            <w:r w:rsidRPr="000A5DBC">
              <w:rPr>
                <w:lang w:val="en-GB"/>
              </w:rPr>
              <w:t xml:space="preserve">Branches of </w:t>
            </w:r>
            <w:r w:rsidR="00662606" w:rsidRPr="000A5DBC">
              <w:rPr>
                <w:lang w:val="en-GB"/>
              </w:rPr>
              <w:t>t</w:t>
            </w:r>
            <w:r w:rsidRPr="000A5DBC">
              <w:rPr>
                <w:lang w:val="en-GB"/>
              </w:rPr>
              <w:t xml:space="preserve">he services sector more dominated the growth of wages and salaries. </w:t>
            </w:r>
          </w:p>
        </w:tc>
        <w:tc>
          <w:tcPr>
            <w:tcW w:w="223" w:type="dxa"/>
            <w:shd w:val="clear" w:color="auto" w:fill="auto"/>
            <w:tcMar>
              <w:left w:w="0" w:type="dxa"/>
            </w:tcMar>
          </w:tcPr>
          <w:p w14:paraId="6E871832"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4FB817F2" w14:textId="77777777" w:rsidR="00F93F2C" w:rsidRPr="000A5DBC" w:rsidRDefault="00662606" w:rsidP="00BE251B">
            <w:pPr>
              <w:rPr>
                <w:lang w:val="en-GB"/>
              </w:rPr>
            </w:pPr>
            <w:r w:rsidRPr="000A5DBC">
              <w:rPr>
                <w:lang w:val="en-GB"/>
              </w:rPr>
              <w:t>The volume of paid out wages and salaries grew the most for real estate activit</w:t>
            </w:r>
            <w:r w:rsidR="00860386" w:rsidRPr="000A5DBC">
              <w:rPr>
                <w:lang w:val="en-GB"/>
              </w:rPr>
              <w:t>i</w:t>
            </w:r>
            <w:r w:rsidRPr="000A5DBC">
              <w:rPr>
                <w:lang w:val="en-GB"/>
              </w:rPr>
              <w:t xml:space="preserve">es </w:t>
            </w:r>
            <w:r w:rsidR="00F93F2C" w:rsidRPr="000A5DBC">
              <w:rPr>
                <w:lang w:val="en-GB"/>
              </w:rPr>
              <w:t>(11</w:t>
            </w:r>
            <w:r w:rsidRPr="000A5DBC">
              <w:rPr>
                <w:lang w:val="en-GB"/>
              </w:rPr>
              <w:t>.</w:t>
            </w:r>
            <w:r w:rsidR="00F93F2C" w:rsidRPr="000A5DBC">
              <w:rPr>
                <w:lang w:val="en-GB"/>
              </w:rPr>
              <w:t>0%),</w:t>
            </w:r>
            <w:r w:rsidR="00860386" w:rsidRPr="000A5DBC">
              <w:rPr>
                <w:lang w:val="en-GB"/>
              </w:rPr>
              <w:t xml:space="preserve"> </w:t>
            </w:r>
            <w:r w:rsidRPr="000A5DBC">
              <w:rPr>
                <w:lang w:val="en-GB"/>
              </w:rPr>
              <w:t>in branches with the predominant government sector</w:t>
            </w:r>
            <w:r w:rsidR="00F93F2C" w:rsidRPr="000A5DBC">
              <w:rPr>
                <w:rStyle w:val="Znakapoznpodarou"/>
                <w:spacing w:val="-2"/>
                <w:lang w:val="en-GB"/>
              </w:rPr>
              <w:footnoteReference w:id="6"/>
            </w:r>
            <w:r w:rsidR="00F93F2C" w:rsidRPr="000A5DBC">
              <w:rPr>
                <w:lang w:val="en-GB"/>
              </w:rPr>
              <w:t xml:space="preserve"> (10</w:t>
            </w:r>
            <w:r w:rsidRPr="000A5DBC">
              <w:rPr>
                <w:lang w:val="en-GB"/>
              </w:rPr>
              <w:t>.</w:t>
            </w:r>
            <w:r w:rsidR="00F93F2C" w:rsidRPr="000A5DBC">
              <w:rPr>
                <w:lang w:val="en-GB"/>
              </w:rPr>
              <w:t>3%) a</w:t>
            </w:r>
            <w:r w:rsidR="002C15DD" w:rsidRPr="000A5DBC">
              <w:rPr>
                <w:lang w:val="en-GB"/>
              </w:rPr>
              <w:t xml:space="preserve">nd in information and communication </w:t>
            </w:r>
            <w:r w:rsidR="00F93F2C" w:rsidRPr="000A5DBC">
              <w:rPr>
                <w:lang w:val="en-GB"/>
              </w:rPr>
              <w:t>(8</w:t>
            </w:r>
            <w:r w:rsidR="002C15DD" w:rsidRPr="000A5DBC">
              <w:rPr>
                <w:lang w:val="en-GB"/>
              </w:rPr>
              <w:t>.</w:t>
            </w:r>
            <w:r w:rsidR="00F93F2C" w:rsidRPr="000A5DBC">
              <w:rPr>
                <w:lang w:val="en-GB"/>
              </w:rPr>
              <w:t>3%,</w:t>
            </w:r>
            <w:r w:rsidRPr="000A5DBC">
              <w:rPr>
                <w:lang w:val="en-GB"/>
              </w:rPr>
              <w:t xml:space="preserve"> here the volume of wages and salaries supported the growth of total employment of </w:t>
            </w:r>
            <w:r w:rsidR="00F93F2C" w:rsidRPr="000A5DBC">
              <w:rPr>
                <w:lang w:val="en-GB"/>
              </w:rPr>
              <w:t>4</w:t>
            </w:r>
            <w:r w:rsidRPr="000A5DBC">
              <w:rPr>
                <w:lang w:val="en-GB"/>
              </w:rPr>
              <w:t>.</w:t>
            </w:r>
            <w:r w:rsidR="00F93F2C" w:rsidRPr="000A5DBC">
              <w:rPr>
                <w:lang w:val="en-GB"/>
              </w:rPr>
              <w:t xml:space="preserve">5%). </w:t>
            </w:r>
            <w:r w:rsidRPr="000A5DBC">
              <w:rPr>
                <w:lang w:val="en-GB"/>
              </w:rPr>
              <w:t xml:space="preserve">Real estate activities achieved the highest year-on-year growth of the </w:t>
            </w:r>
            <w:r w:rsidR="0025392C" w:rsidRPr="000A5DBC">
              <w:rPr>
                <w:lang w:val="en-GB"/>
              </w:rPr>
              <w:t>paid-out</w:t>
            </w:r>
            <w:r w:rsidRPr="000A5DBC">
              <w:rPr>
                <w:lang w:val="en-GB"/>
              </w:rPr>
              <w:t xml:space="preserve"> wages and salaries </w:t>
            </w:r>
            <w:r w:rsidR="00F93F2C" w:rsidRPr="000A5DBC">
              <w:rPr>
                <w:lang w:val="en-GB"/>
              </w:rPr>
              <w:t>(11</w:t>
            </w:r>
            <w:r w:rsidRPr="000A5DBC">
              <w:rPr>
                <w:lang w:val="en-GB"/>
              </w:rPr>
              <w:t>.</w:t>
            </w:r>
            <w:r w:rsidR="00F93F2C" w:rsidRPr="000A5DBC">
              <w:rPr>
                <w:lang w:val="en-GB"/>
              </w:rPr>
              <w:t>3%)</w:t>
            </w:r>
            <w:r w:rsidRPr="000A5DBC">
              <w:rPr>
                <w:lang w:val="en-GB"/>
              </w:rPr>
              <w:t xml:space="preserve"> in Q4, </w:t>
            </w:r>
            <w:r w:rsidR="002D7F73" w:rsidRPr="000A5DBC">
              <w:rPr>
                <w:lang w:val="en-GB"/>
              </w:rPr>
              <w:t xml:space="preserve">the branch also enjoyed a significant growth of employment </w:t>
            </w:r>
            <w:r w:rsidR="00F93F2C" w:rsidRPr="000A5DBC">
              <w:rPr>
                <w:lang w:val="en-GB"/>
              </w:rPr>
              <w:t>(4</w:t>
            </w:r>
            <w:r w:rsidR="00E819B1" w:rsidRPr="000A5DBC">
              <w:rPr>
                <w:lang w:val="en-GB"/>
              </w:rPr>
              <w:t>.</w:t>
            </w:r>
            <w:r w:rsidR="00F93F2C" w:rsidRPr="000A5DBC">
              <w:rPr>
                <w:lang w:val="en-GB"/>
              </w:rPr>
              <w:t>7%).</w:t>
            </w:r>
            <w:r w:rsidR="002D7F73" w:rsidRPr="000A5DBC">
              <w:rPr>
                <w:lang w:val="en-GB"/>
              </w:rPr>
              <w:t xml:space="preserve"> Branches with predominant business sector also recorded high dynamics </w:t>
            </w:r>
            <w:r w:rsidR="00F93F2C" w:rsidRPr="000A5DBC">
              <w:rPr>
                <w:lang w:val="en-GB"/>
              </w:rPr>
              <w:t>(10</w:t>
            </w:r>
            <w:r w:rsidR="002D7F73" w:rsidRPr="000A5DBC">
              <w:rPr>
                <w:lang w:val="en-GB"/>
              </w:rPr>
              <w:t>.</w:t>
            </w:r>
            <w:r w:rsidR="00F93F2C" w:rsidRPr="000A5DBC">
              <w:rPr>
                <w:lang w:val="en-GB"/>
              </w:rPr>
              <w:t>7%,</w:t>
            </w:r>
            <w:r w:rsidR="002D7F73" w:rsidRPr="000A5DBC">
              <w:rPr>
                <w:lang w:val="en-GB"/>
              </w:rPr>
              <w:t xml:space="preserve"> employment growth 2.</w:t>
            </w:r>
            <w:r w:rsidR="00F93F2C" w:rsidRPr="000A5DBC">
              <w:rPr>
                <w:lang w:val="en-GB"/>
              </w:rPr>
              <w:t xml:space="preserve">4%). </w:t>
            </w:r>
            <w:r w:rsidR="002D7F73" w:rsidRPr="000A5DBC">
              <w:rPr>
                <w:lang w:val="en-GB"/>
              </w:rPr>
              <w:t xml:space="preserve">Addition to wages and salaries paid out in information and communication accelerated </w:t>
            </w:r>
            <w:r w:rsidR="00F93F2C" w:rsidRPr="000A5DBC">
              <w:rPr>
                <w:lang w:val="en-GB"/>
              </w:rPr>
              <w:t>(9</w:t>
            </w:r>
            <w:r w:rsidR="002D7F73" w:rsidRPr="000A5DBC">
              <w:rPr>
                <w:lang w:val="en-GB"/>
              </w:rPr>
              <w:t>.</w:t>
            </w:r>
            <w:r w:rsidR="00F93F2C" w:rsidRPr="000A5DBC">
              <w:rPr>
                <w:lang w:val="en-GB"/>
              </w:rPr>
              <w:t>4%,</w:t>
            </w:r>
            <w:r w:rsidR="002D7F73" w:rsidRPr="000A5DBC">
              <w:rPr>
                <w:lang w:val="en-GB"/>
              </w:rPr>
              <w:t xml:space="preserve"> partially influenced by faster growth of employment to </w:t>
            </w:r>
            <w:r w:rsidR="00F93F2C" w:rsidRPr="000A5DBC">
              <w:rPr>
                <w:lang w:val="en-GB"/>
              </w:rPr>
              <w:t>5</w:t>
            </w:r>
            <w:r w:rsidR="002D7F73" w:rsidRPr="000A5DBC">
              <w:rPr>
                <w:lang w:val="en-GB"/>
              </w:rPr>
              <w:t>.</w:t>
            </w:r>
            <w:r w:rsidR="00F93F2C" w:rsidRPr="000A5DBC">
              <w:rPr>
                <w:lang w:val="en-GB"/>
              </w:rPr>
              <w:t xml:space="preserve">2%). </w:t>
            </w:r>
            <w:r w:rsidR="002D469C" w:rsidRPr="000A5DBC">
              <w:rPr>
                <w:lang w:val="en-GB"/>
              </w:rPr>
              <w:t xml:space="preserve">Growth of wages and salaries was below the total average in trade, transportation, accommodation and food service </w:t>
            </w:r>
            <w:r w:rsidR="00F93F2C" w:rsidRPr="000A5DBC">
              <w:rPr>
                <w:lang w:val="en-GB"/>
              </w:rPr>
              <w:t>(6</w:t>
            </w:r>
            <w:r w:rsidR="00DF4E3C" w:rsidRPr="000A5DBC">
              <w:rPr>
                <w:lang w:val="en-GB"/>
              </w:rPr>
              <w:t>.</w:t>
            </w:r>
            <w:r w:rsidR="00F93F2C" w:rsidRPr="000A5DBC">
              <w:rPr>
                <w:lang w:val="en-GB"/>
              </w:rPr>
              <w:t xml:space="preserve">1%), </w:t>
            </w:r>
            <w:r w:rsidR="00DF4E3C" w:rsidRPr="000A5DBC">
              <w:rPr>
                <w:lang w:val="en-GB"/>
              </w:rPr>
              <w:t xml:space="preserve">where the employment also decreased by </w:t>
            </w:r>
            <w:r w:rsidR="00F93F2C" w:rsidRPr="000A5DBC">
              <w:rPr>
                <w:lang w:val="en-GB"/>
              </w:rPr>
              <w:t>0</w:t>
            </w:r>
            <w:r w:rsidR="00DF4E3C" w:rsidRPr="000A5DBC">
              <w:rPr>
                <w:lang w:val="en-GB"/>
              </w:rPr>
              <w:t>.</w:t>
            </w:r>
            <w:r w:rsidR="00F93F2C" w:rsidRPr="000A5DBC">
              <w:rPr>
                <w:lang w:val="en-GB"/>
              </w:rPr>
              <w:t>6%</w:t>
            </w:r>
            <w:r w:rsidR="00DF4E3C" w:rsidRPr="000A5DBC">
              <w:rPr>
                <w:lang w:val="en-GB"/>
              </w:rPr>
              <w:t xml:space="preserve"> and further in construction </w:t>
            </w:r>
            <w:r w:rsidR="00F93F2C" w:rsidRPr="000A5DBC">
              <w:rPr>
                <w:lang w:val="en-GB"/>
              </w:rPr>
              <w:t>(5</w:t>
            </w:r>
            <w:r w:rsidR="00DF4E3C" w:rsidRPr="000A5DBC">
              <w:rPr>
                <w:lang w:val="en-GB"/>
              </w:rPr>
              <w:t>.</w:t>
            </w:r>
            <w:r w:rsidR="00F93F2C" w:rsidRPr="000A5DBC">
              <w:rPr>
                <w:lang w:val="en-GB"/>
              </w:rPr>
              <w:t xml:space="preserve">8% </w:t>
            </w:r>
            <w:r w:rsidR="00DF4E3C" w:rsidRPr="000A5DBC">
              <w:rPr>
                <w:lang w:val="en-GB"/>
              </w:rPr>
              <w:t xml:space="preserve">given the employment growth of </w:t>
            </w:r>
            <w:r w:rsidR="00F93F2C" w:rsidRPr="000A5DBC">
              <w:rPr>
                <w:lang w:val="en-GB"/>
              </w:rPr>
              <w:t>2</w:t>
            </w:r>
            <w:r w:rsidR="00DF4E3C" w:rsidRPr="000A5DBC">
              <w:rPr>
                <w:lang w:val="en-GB"/>
              </w:rPr>
              <w:t>.</w:t>
            </w:r>
            <w:r w:rsidR="00F93F2C" w:rsidRPr="000A5DBC">
              <w:rPr>
                <w:lang w:val="en-GB"/>
              </w:rPr>
              <w:t xml:space="preserve">4%). </w:t>
            </w:r>
            <w:r w:rsidR="00DF4E3C" w:rsidRPr="000A5DBC">
              <w:rPr>
                <w:lang w:val="en-GB"/>
              </w:rPr>
              <w:t xml:space="preserve">Year-on-year employment decrease occurred in agriculture, forestry and fishing </w:t>
            </w:r>
            <w:r w:rsidR="00F93F2C" w:rsidRPr="000A5DBC">
              <w:rPr>
                <w:lang w:val="en-GB"/>
              </w:rPr>
              <w:t>(</w:t>
            </w:r>
            <w:r w:rsidR="00DF4E3C" w:rsidRPr="000A5DBC">
              <w:rPr>
                <w:lang w:val="en-GB"/>
              </w:rPr>
              <w:t xml:space="preserve">employment shrank year-on-year by </w:t>
            </w:r>
            <w:r w:rsidR="00F93F2C" w:rsidRPr="000A5DBC">
              <w:rPr>
                <w:lang w:val="en-GB"/>
              </w:rPr>
              <w:t>3</w:t>
            </w:r>
            <w:r w:rsidR="00DF4E3C" w:rsidRPr="000A5DBC">
              <w:rPr>
                <w:lang w:val="en-GB"/>
              </w:rPr>
              <w:t>.</w:t>
            </w:r>
            <w:r w:rsidR="00F93F2C" w:rsidRPr="000A5DBC">
              <w:rPr>
                <w:lang w:val="en-GB"/>
              </w:rPr>
              <w:t>2%,</w:t>
            </w:r>
            <w:r w:rsidR="00DF4E3C" w:rsidRPr="000A5DBC">
              <w:rPr>
                <w:lang w:val="en-GB"/>
              </w:rPr>
              <w:t xml:space="preserve"> wage growth reached </w:t>
            </w:r>
            <w:r w:rsidR="00F93F2C" w:rsidRPr="000A5DBC">
              <w:rPr>
                <w:lang w:val="en-GB"/>
              </w:rPr>
              <w:t>5</w:t>
            </w:r>
            <w:r w:rsidR="00DF4E3C" w:rsidRPr="000A5DBC">
              <w:rPr>
                <w:lang w:val="en-GB"/>
              </w:rPr>
              <w:t>.</w:t>
            </w:r>
            <w:r w:rsidR="00F93F2C" w:rsidRPr="000A5DBC">
              <w:rPr>
                <w:lang w:val="en-GB"/>
              </w:rPr>
              <w:t>4%)</w:t>
            </w:r>
            <w:r w:rsidR="00DF4E3C" w:rsidRPr="000A5DBC">
              <w:rPr>
                <w:lang w:val="en-GB"/>
              </w:rPr>
              <w:t xml:space="preserve"> in Q4</w:t>
            </w:r>
            <w:r w:rsidR="00F93F2C" w:rsidRPr="000A5DBC">
              <w:rPr>
                <w:lang w:val="en-GB"/>
              </w:rPr>
              <w:t xml:space="preserve">, </w:t>
            </w:r>
            <w:r w:rsidR="00BE251B" w:rsidRPr="000A5DBC">
              <w:rPr>
                <w:lang w:val="en-GB"/>
              </w:rPr>
              <w:t xml:space="preserve">in professional, scientific, technical and administrative activities </w:t>
            </w:r>
            <w:r w:rsidR="00F93F2C" w:rsidRPr="000A5DBC">
              <w:rPr>
                <w:lang w:val="en-GB"/>
              </w:rPr>
              <w:t>(</w:t>
            </w:r>
            <w:r w:rsidR="00BE251B" w:rsidRPr="000A5DBC">
              <w:rPr>
                <w:lang w:val="en-GB"/>
              </w:rPr>
              <w:t xml:space="preserve">employment drop of </w:t>
            </w:r>
            <w:r w:rsidR="00F93F2C" w:rsidRPr="000A5DBC">
              <w:rPr>
                <w:lang w:val="en-GB"/>
              </w:rPr>
              <w:t>1</w:t>
            </w:r>
            <w:r w:rsidR="00BE251B" w:rsidRPr="000A5DBC">
              <w:rPr>
                <w:lang w:val="en-GB"/>
              </w:rPr>
              <w:t>.</w:t>
            </w:r>
            <w:r w:rsidR="00F93F2C" w:rsidRPr="000A5DBC">
              <w:rPr>
                <w:lang w:val="en-GB"/>
              </w:rPr>
              <w:t>9%,</w:t>
            </w:r>
            <w:r w:rsidR="00BE251B" w:rsidRPr="000A5DBC">
              <w:rPr>
                <w:lang w:val="en-GB"/>
              </w:rPr>
              <w:t xml:space="preserve"> increase of paid out wages and salaries by </w:t>
            </w:r>
            <w:r w:rsidR="00F93F2C" w:rsidRPr="000A5DBC">
              <w:rPr>
                <w:lang w:val="en-GB"/>
              </w:rPr>
              <w:t>5</w:t>
            </w:r>
            <w:r w:rsidR="00BE251B" w:rsidRPr="000A5DBC">
              <w:rPr>
                <w:lang w:val="en-GB"/>
              </w:rPr>
              <w:t>.</w:t>
            </w:r>
            <w:r w:rsidR="00F93F2C" w:rsidRPr="000A5DBC">
              <w:rPr>
                <w:lang w:val="en-GB"/>
              </w:rPr>
              <w:t>5%)</w:t>
            </w:r>
            <w:r w:rsidR="00BE251B" w:rsidRPr="000A5DBC">
              <w:rPr>
                <w:lang w:val="en-GB"/>
              </w:rPr>
              <w:t xml:space="preserve"> and in finance and insurance activities </w:t>
            </w:r>
            <w:r w:rsidR="00F93F2C" w:rsidRPr="000A5DBC">
              <w:rPr>
                <w:lang w:val="en-GB"/>
              </w:rPr>
              <w:t>(</w:t>
            </w:r>
            <w:r w:rsidR="00244F4E">
              <w:rPr>
                <w:lang w:val="en-GB"/>
              </w:rPr>
              <w:t>-</w:t>
            </w:r>
            <w:r w:rsidR="00F93F2C" w:rsidRPr="000A5DBC">
              <w:rPr>
                <w:lang w:val="en-GB"/>
              </w:rPr>
              <w:t>0</w:t>
            </w:r>
            <w:r w:rsidR="00BE251B" w:rsidRPr="000A5DBC">
              <w:rPr>
                <w:lang w:val="en-GB"/>
              </w:rPr>
              <w:t>.</w:t>
            </w:r>
            <w:r w:rsidR="00F93F2C" w:rsidRPr="000A5DBC">
              <w:rPr>
                <w:lang w:val="en-GB"/>
              </w:rPr>
              <w:t>2%,</w:t>
            </w:r>
            <w:r w:rsidR="00BE251B" w:rsidRPr="000A5DBC">
              <w:rPr>
                <w:lang w:val="en-GB"/>
              </w:rPr>
              <w:t xml:space="preserve"> wage and salary increase of </w:t>
            </w:r>
            <w:r w:rsidR="00F93F2C" w:rsidRPr="000A5DBC">
              <w:rPr>
                <w:lang w:val="en-GB"/>
              </w:rPr>
              <w:t>5</w:t>
            </w:r>
            <w:r w:rsidR="00BE251B" w:rsidRPr="000A5DBC">
              <w:rPr>
                <w:lang w:val="en-GB"/>
              </w:rPr>
              <w:t>.</w:t>
            </w:r>
            <w:r w:rsidR="00F93F2C" w:rsidRPr="000A5DBC">
              <w:rPr>
                <w:lang w:val="en-GB"/>
              </w:rPr>
              <w:t>2%).</w:t>
            </w:r>
            <w:r w:rsidR="00BE251B" w:rsidRPr="000A5DBC">
              <w:rPr>
                <w:lang w:val="en-GB"/>
              </w:rPr>
              <w:t xml:space="preserve"> Development of the volume of wages and salaries in manufacturing mirrored the slowdown, which the branch experienced in Q4. </w:t>
            </w:r>
            <w:r w:rsidR="002D469C" w:rsidRPr="000A5DBC">
              <w:rPr>
                <w:lang w:val="en-GB"/>
              </w:rPr>
              <w:t xml:space="preserve">Employment fell by </w:t>
            </w:r>
            <w:r w:rsidR="00F93F2C" w:rsidRPr="000A5DBC">
              <w:rPr>
                <w:lang w:val="en-GB"/>
              </w:rPr>
              <w:t>1</w:t>
            </w:r>
            <w:r w:rsidR="002D469C" w:rsidRPr="000A5DBC">
              <w:rPr>
                <w:lang w:val="en-GB"/>
              </w:rPr>
              <w:t>.</w:t>
            </w:r>
            <w:r w:rsidR="00F93F2C" w:rsidRPr="000A5DBC">
              <w:rPr>
                <w:lang w:val="en-GB"/>
              </w:rPr>
              <w:t>8%</w:t>
            </w:r>
            <w:r w:rsidR="002D469C" w:rsidRPr="000A5DBC">
              <w:rPr>
                <w:lang w:val="en-GB"/>
              </w:rPr>
              <w:t xml:space="preserve"> and the volume of paid out wages and salaries grew the least in the whole economy </w:t>
            </w:r>
            <w:r w:rsidR="00F93F2C" w:rsidRPr="000A5DBC">
              <w:rPr>
                <w:lang w:val="en-GB"/>
              </w:rPr>
              <w:t>(3</w:t>
            </w:r>
            <w:r w:rsidR="002D469C" w:rsidRPr="000A5DBC">
              <w:rPr>
                <w:lang w:val="en-GB"/>
              </w:rPr>
              <w:t>.</w:t>
            </w:r>
            <w:r w:rsidR="00F93F2C" w:rsidRPr="000A5DBC">
              <w:rPr>
                <w:lang w:val="en-GB"/>
              </w:rPr>
              <w:t>2%).</w:t>
            </w:r>
          </w:p>
        </w:tc>
      </w:tr>
      <w:tr w:rsidR="00F93F2C" w:rsidRPr="000A5DBC" w14:paraId="792CED40" w14:textId="77777777" w:rsidTr="002F3893">
        <w:trPr>
          <w:trHeight w:val="145"/>
        </w:trPr>
        <w:tc>
          <w:tcPr>
            <w:tcW w:w="1806" w:type="dxa"/>
            <w:shd w:val="clear" w:color="auto" w:fill="auto"/>
            <w:tcMar>
              <w:left w:w="0" w:type="dxa"/>
            </w:tcMar>
          </w:tcPr>
          <w:p w14:paraId="701392F0" w14:textId="77777777" w:rsidR="00F93F2C" w:rsidRPr="000A5DBC" w:rsidRDefault="002C641B" w:rsidP="002C641B">
            <w:pPr>
              <w:pStyle w:val="Marginlie"/>
              <w:rPr>
                <w:lang w:val="en-GB"/>
              </w:rPr>
            </w:pPr>
            <w:r w:rsidRPr="000A5DBC">
              <w:rPr>
                <w:lang w:val="en-GB"/>
              </w:rPr>
              <w:t xml:space="preserve">Households raised their final consumption expenditures more markedly in Q4. </w:t>
            </w:r>
          </w:p>
        </w:tc>
        <w:tc>
          <w:tcPr>
            <w:tcW w:w="223" w:type="dxa"/>
            <w:shd w:val="clear" w:color="auto" w:fill="auto"/>
            <w:tcMar>
              <w:left w:w="0" w:type="dxa"/>
            </w:tcMar>
          </w:tcPr>
          <w:p w14:paraId="39F8F301"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1E8F43E8" w14:textId="77777777" w:rsidR="00F93F2C" w:rsidRPr="000A5DBC" w:rsidRDefault="002C641B" w:rsidP="00BE5F1A">
            <w:pPr>
              <w:rPr>
                <w:lang w:val="en-GB"/>
              </w:rPr>
            </w:pPr>
            <w:r w:rsidRPr="000A5DBC">
              <w:rPr>
                <w:lang w:val="en-GB"/>
              </w:rPr>
              <w:t xml:space="preserve">Domestic consumption expenditures increased by </w:t>
            </w:r>
            <w:r w:rsidR="00F93F2C" w:rsidRPr="000A5DBC">
              <w:rPr>
                <w:lang w:val="en-GB"/>
              </w:rPr>
              <w:t>2</w:t>
            </w:r>
            <w:r w:rsidRPr="000A5DBC">
              <w:rPr>
                <w:lang w:val="en-GB"/>
              </w:rPr>
              <w:t>.</w:t>
            </w:r>
            <w:r w:rsidR="00F93F2C" w:rsidRPr="000A5DBC">
              <w:rPr>
                <w:lang w:val="en-GB"/>
              </w:rPr>
              <w:t>9%</w:t>
            </w:r>
            <w:r w:rsidRPr="000A5DBC">
              <w:rPr>
                <w:lang w:val="en-GB"/>
              </w:rPr>
              <w:t xml:space="preserve"> last year and despite a slight slowdown compared to the preceding year, remained a key component contributing to the GDP growth. </w:t>
            </w:r>
            <w:r w:rsidR="00CA07BD" w:rsidRPr="000A5DBC">
              <w:rPr>
                <w:lang w:val="en-GB"/>
              </w:rPr>
              <w:t xml:space="preserve">The annual increases in domestic consumption dropped below the </w:t>
            </w:r>
            <w:r w:rsidR="00F93F2C" w:rsidRPr="000A5DBC">
              <w:rPr>
                <w:lang w:val="en-GB"/>
              </w:rPr>
              <w:t>3%</w:t>
            </w:r>
            <w:r w:rsidR="00CA07BD" w:rsidRPr="000A5DBC">
              <w:rPr>
                <w:lang w:val="en-GB"/>
              </w:rPr>
              <w:t xml:space="preserve"> boundary after four years. Dynamics of household consumption </w:t>
            </w:r>
            <w:r w:rsidR="00F93F2C" w:rsidRPr="000A5DBC">
              <w:rPr>
                <w:lang w:val="en-GB"/>
              </w:rPr>
              <w:t>(3</w:t>
            </w:r>
            <w:r w:rsidR="00CA07BD" w:rsidRPr="000A5DBC">
              <w:rPr>
                <w:lang w:val="en-GB"/>
              </w:rPr>
              <w:t>.</w:t>
            </w:r>
            <w:r w:rsidR="00F93F2C" w:rsidRPr="000A5DBC">
              <w:rPr>
                <w:lang w:val="en-GB"/>
              </w:rPr>
              <w:t>0%)</w:t>
            </w:r>
            <w:r w:rsidR="00CA07BD" w:rsidRPr="000A5DBC">
              <w:rPr>
                <w:lang w:val="en-GB"/>
              </w:rPr>
              <w:t xml:space="preserve"> was moderately higher compared to government institutions </w:t>
            </w:r>
            <w:r w:rsidR="00F93F2C" w:rsidRPr="000A5DBC">
              <w:rPr>
                <w:lang w:val="en-GB"/>
              </w:rPr>
              <w:t>(2</w:t>
            </w:r>
            <w:r w:rsidR="00CA07BD" w:rsidRPr="000A5DBC">
              <w:rPr>
                <w:lang w:val="en-GB"/>
              </w:rPr>
              <w:t>.</w:t>
            </w:r>
            <w:r w:rsidR="00F93F2C" w:rsidRPr="000A5DBC">
              <w:rPr>
                <w:lang w:val="en-GB"/>
              </w:rPr>
              <w:t xml:space="preserve">6%). </w:t>
            </w:r>
            <w:r w:rsidR="00CA07BD" w:rsidRPr="000A5DBC">
              <w:rPr>
                <w:lang w:val="en-GB"/>
              </w:rPr>
              <w:t xml:space="preserve">Total consumption rose year-on-year by </w:t>
            </w:r>
            <w:r w:rsidR="00F93F2C" w:rsidRPr="000A5DBC">
              <w:rPr>
                <w:lang w:val="en-GB"/>
              </w:rPr>
              <w:t>2</w:t>
            </w:r>
            <w:r w:rsidR="00CA07BD" w:rsidRPr="000A5DBC">
              <w:rPr>
                <w:lang w:val="en-GB"/>
              </w:rPr>
              <w:t>.</w:t>
            </w:r>
            <w:r w:rsidR="00F93F2C" w:rsidRPr="000A5DBC">
              <w:rPr>
                <w:lang w:val="en-GB"/>
              </w:rPr>
              <w:t>8%</w:t>
            </w:r>
            <w:r w:rsidR="00CA07BD" w:rsidRPr="000A5DBC">
              <w:rPr>
                <w:lang w:val="en-GB"/>
              </w:rPr>
              <w:t xml:space="preserve"> in Q4</w:t>
            </w:r>
            <w:r w:rsidR="00F93F2C" w:rsidRPr="000A5DBC">
              <w:rPr>
                <w:lang w:val="en-GB"/>
              </w:rPr>
              <w:t xml:space="preserve">. </w:t>
            </w:r>
            <w:r w:rsidR="00CA07BD" w:rsidRPr="000A5DBC">
              <w:rPr>
                <w:lang w:val="en-GB"/>
              </w:rPr>
              <w:t xml:space="preserve">Small deceleration compared to the preceding quarter resulted from the </w:t>
            </w:r>
            <w:r w:rsidR="0099584D" w:rsidRPr="000A5DBC">
              <w:rPr>
                <w:lang w:val="en-GB"/>
              </w:rPr>
              <w:t xml:space="preserve">slump of the year-on-year rate of consumption of government </w:t>
            </w:r>
            <w:r w:rsidR="0099584D" w:rsidRPr="000A5DBC">
              <w:rPr>
                <w:lang w:val="en-GB"/>
              </w:rPr>
              <w:lastRenderedPageBreak/>
              <w:t xml:space="preserve">institutions </w:t>
            </w:r>
            <w:r w:rsidR="00F93F2C" w:rsidRPr="000A5DBC">
              <w:rPr>
                <w:lang w:val="en-GB"/>
              </w:rPr>
              <w:t>(1</w:t>
            </w:r>
            <w:r w:rsidR="0099584D" w:rsidRPr="000A5DBC">
              <w:rPr>
                <w:lang w:val="en-GB"/>
              </w:rPr>
              <w:t>.</w:t>
            </w:r>
            <w:r w:rsidR="00F93F2C" w:rsidRPr="000A5DBC">
              <w:rPr>
                <w:lang w:val="en-GB"/>
              </w:rPr>
              <w:t xml:space="preserve">7%). </w:t>
            </w:r>
            <w:r w:rsidR="00697310" w:rsidRPr="000A5DBC">
              <w:rPr>
                <w:lang w:val="en-GB"/>
              </w:rPr>
              <w:t>In contrast, the household</w:t>
            </w:r>
            <w:r w:rsidR="00707599" w:rsidRPr="000A5DBC">
              <w:rPr>
                <w:lang w:val="en-GB"/>
              </w:rPr>
              <w:t>s</w:t>
            </w:r>
            <w:r w:rsidR="00697310" w:rsidRPr="000A5DBC">
              <w:rPr>
                <w:lang w:val="en-GB"/>
              </w:rPr>
              <w:t xml:space="preserve"> did not completely follow the concerns expressed in the business cycle surveys and the year-on-year increase of their consumption accelerated to 3.</w:t>
            </w:r>
            <w:r w:rsidR="00F93F2C" w:rsidRPr="000A5DBC">
              <w:rPr>
                <w:lang w:val="en-GB"/>
              </w:rPr>
              <w:t>2%,</w:t>
            </w:r>
            <w:r w:rsidR="00697310" w:rsidRPr="000A5DBC">
              <w:rPr>
                <w:lang w:val="en-GB"/>
              </w:rPr>
              <w:t xml:space="preserve"> the most since Q</w:t>
            </w:r>
            <w:r w:rsidR="00F93F2C" w:rsidRPr="000A5DBC">
              <w:rPr>
                <w:lang w:val="en-GB"/>
              </w:rPr>
              <w:t>2</w:t>
            </w:r>
            <w:r w:rsidR="00697310" w:rsidRPr="000A5DBC">
              <w:rPr>
                <w:lang w:val="en-GB"/>
              </w:rPr>
              <w:t xml:space="preserve"> </w:t>
            </w:r>
            <w:r w:rsidR="00F93F2C" w:rsidRPr="000A5DBC">
              <w:rPr>
                <w:lang w:val="en-GB"/>
              </w:rPr>
              <w:t>2018.</w:t>
            </w:r>
            <w:r w:rsidR="00697310" w:rsidRPr="000A5DBC">
              <w:rPr>
                <w:lang w:val="en-GB"/>
              </w:rPr>
              <w:t xml:space="preserve"> Quarter-on-quarter increase of consumption was the weakest since the end of year </w:t>
            </w:r>
            <w:r w:rsidR="00F93F2C" w:rsidRPr="000A5DBC">
              <w:rPr>
                <w:lang w:val="en-GB"/>
              </w:rPr>
              <w:t>2013 (0</w:t>
            </w:r>
            <w:r w:rsidR="00697310" w:rsidRPr="000A5DBC">
              <w:rPr>
                <w:lang w:val="en-GB"/>
              </w:rPr>
              <w:t>.</w:t>
            </w:r>
            <w:r w:rsidR="00F93F2C" w:rsidRPr="000A5DBC">
              <w:rPr>
                <w:lang w:val="en-GB"/>
              </w:rPr>
              <w:t>3%)</w:t>
            </w:r>
            <w:r w:rsidR="00697310" w:rsidRPr="000A5DBC">
              <w:rPr>
                <w:lang w:val="en-GB"/>
              </w:rPr>
              <w:t xml:space="preserve"> in Q4</w:t>
            </w:r>
            <w:r w:rsidR="00F93F2C" w:rsidRPr="000A5DBC">
              <w:rPr>
                <w:lang w:val="en-GB"/>
              </w:rPr>
              <w:t xml:space="preserve">. </w:t>
            </w:r>
            <w:r w:rsidR="00BE5F1A" w:rsidRPr="000A5DBC">
              <w:rPr>
                <w:lang w:val="en-GB"/>
              </w:rPr>
              <w:t xml:space="preserve">While the household expenditures strengthened by </w:t>
            </w:r>
            <w:r w:rsidR="00F93F2C" w:rsidRPr="000A5DBC">
              <w:rPr>
                <w:lang w:val="en-GB"/>
              </w:rPr>
              <w:t>1</w:t>
            </w:r>
            <w:r w:rsidR="00BE5F1A" w:rsidRPr="000A5DBC">
              <w:rPr>
                <w:lang w:val="en-GB"/>
              </w:rPr>
              <w:t>.</w:t>
            </w:r>
            <w:r w:rsidR="00F93F2C" w:rsidRPr="000A5DBC">
              <w:rPr>
                <w:lang w:val="en-GB"/>
              </w:rPr>
              <w:t>0%,</w:t>
            </w:r>
            <w:r w:rsidR="00BE5F1A" w:rsidRPr="000A5DBC">
              <w:rPr>
                <w:lang w:val="en-GB"/>
              </w:rPr>
              <w:t xml:space="preserve"> government institutions decreased their consumption quarter-on-quarter by 1.3% following two quarters of massive increases. More detailed view of the consumption composition shows</w:t>
            </w:r>
            <w:r w:rsidR="00F93F2C" w:rsidRPr="000A5DBC">
              <w:rPr>
                <w:lang w:val="en-GB"/>
              </w:rPr>
              <w:t xml:space="preserve">, </w:t>
            </w:r>
            <w:r w:rsidR="00BE5F1A" w:rsidRPr="000A5DBC">
              <w:rPr>
                <w:lang w:val="en-GB"/>
              </w:rPr>
              <w:t xml:space="preserve">that the year-on-year dynamics strengthened in case of services </w:t>
            </w:r>
            <w:r w:rsidR="00F93F2C" w:rsidRPr="000A5DBC">
              <w:rPr>
                <w:lang w:val="en-GB"/>
              </w:rPr>
              <w:t>(3</w:t>
            </w:r>
            <w:r w:rsidR="00BE5F1A" w:rsidRPr="000A5DBC">
              <w:rPr>
                <w:lang w:val="en-GB"/>
              </w:rPr>
              <w:t>.</w:t>
            </w:r>
            <w:r w:rsidR="00F93F2C" w:rsidRPr="000A5DBC">
              <w:rPr>
                <w:lang w:val="en-GB"/>
              </w:rPr>
              <w:t>6%)</w:t>
            </w:r>
            <w:r w:rsidR="00F93F2C" w:rsidRPr="000A5DBC">
              <w:rPr>
                <w:rStyle w:val="Znakapoznpodarou"/>
                <w:lang w:val="en-GB"/>
              </w:rPr>
              <w:footnoteReference w:id="7"/>
            </w:r>
            <w:r w:rsidR="00BE5F1A" w:rsidRPr="000A5DBC">
              <w:rPr>
                <w:lang w:val="en-GB"/>
              </w:rPr>
              <w:t xml:space="preserve"> at the end of the year</w:t>
            </w:r>
            <w:r w:rsidR="00F93F2C" w:rsidRPr="000A5DBC">
              <w:rPr>
                <w:lang w:val="en-GB"/>
              </w:rPr>
              <w:t xml:space="preserve">. </w:t>
            </w:r>
            <w:r w:rsidR="00DB2F57" w:rsidRPr="000A5DBC">
              <w:rPr>
                <w:lang w:val="en-GB"/>
              </w:rPr>
              <w:t>Growth of consumption of durable goods weaken</w:t>
            </w:r>
            <w:r w:rsidR="00BE5F1A" w:rsidRPr="000A5DBC">
              <w:rPr>
                <w:lang w:val="en-GB"/>
              </w:rPr>
              <w:t>e</w:t>
            </w:r>
            <w:r w:rsidR="00DB2F57" w:rsidRPr="000A5DBC">
              <w:rPr>
                <w:lang w:val="en-GB"/>
              </w:rPr>
              <w:t xml:space="preserve">d, even though the pace </w:t>
            </w:r>
            <w:r w:rsidR="00697310" w:rsidRPr="000A5DBC">
              <w:rPr>
                <w:lang w:val="en-GB"/>
              </w:rPr>
              <w:t>for long-term consumption goods (</w:t>
            </w:r>
            <w:r w:rsidR="00F93F2C" w:rsidRPr="000A5DBC">
              <w:rPr>
                <w:lang w:val="en-GB"/>
              </w:rPr>
              <w:t>2</w:t>
            </w:r>
            <w:r w:rsidR="00697310" w:rsidRPr="000A5DBC">
              <w:rPr>
                <w:lang w:val="en-GB"/>
              </w:rPr>
              <w:t>.</w:t>
            </w:r>
            <w:r w:rsidR="00F93F2C" w:rsidRPr="000A5DBC">
              <w:rPr>
                <w:lang w:val="en-GB"/>
              </w:rPr>
              <w:t>9%)</w:t>
            </w:r>
            <w:r w:rsidR="00697310" w:rsidRPr="000A5DBC">
              <w:rPr>
                <w:lang w:val="en-GB"/>
              </w:rPr>
              <w:t xml:space="preserve"> as well as medium-term consumption goods </w:t>
            </w:r>
            <w:r w:rsidR="00F93F2C" w:rsidRPr="000A5DBC">
              <w:rPr>
                <w:lang w:val="en-GB"/>
              </w:rPr>
              <w:t>(3</w:t>
            </w:r>
            <w:r w:rsidR="00697310" w:rsidRPr="000A5DBC">
              <w:rPr>
                <w:lang w:val="en-GB"/>
              </w:rPr>
              <w:t>.</w:t>
            </w:r>
            <w:r w:rsidR="00F93F2C" w:rsidRPr="000A5DBC">
              <w:rPr>
                <w:lang w:val="en-GB"/>
              </w:rPr>
              <w:t>8%)</w:t>
            </w:r>
            <w:r w:rsidR="00697310" w:rsidRPr="000A5DBC">
              <w:rPr>
                <w:lang w:val="en-GB"/>
              </w:rPr>
              <w:t xml:space="preserve"> remained relatively solid. </w:t>
            </w:r>
          </w:p>
        </w:tc>
      </w:tr>
      <w:tr w:rsidR="00F93F2C" w:rsidRPr="000A5DBC" w14:paraId="7655FA26" w14:textId="77777777" w:rsidTr="002F3893">
        <w:trPr>
          <w:trHeight w:val="170"/>
        </w:trPr>
        <w:tc>
          <w:tcPr>
            <w:tcW w:w="1806" w:type="dxa"/>
            <w:vMerge w:val="restart"/>
            <w:shd w:val="clear" w:color="auto" w:fill="auto"/>
            <w:tcMar>
              <w:left w:w="0" w:type="dxa"/>
            </w:tcMar>
          </w:tcPr>
          <w:p w14:paraId="4B96A583" w14:textId="77777777" w:rsidR="00F93F2C" w:rsidRPr="000A5DBC" w:rsidRDefault="0092617A" w:rsidP="00F93F2C">
            <w:pPr>
              <w:pStyle w:val="Marginlie"/>
              <w:rPr>
                <w:lang w:val="en-GB"/>
              </w:rPr>
            </w:pPr>
            <w:r w:rsidRPr="000A5DBC">
              <w:rPr>
                <w:lang w:val="en-GB"/>
              </w:rPr>
              <w:lastRenderedPageBreak/>
              <w:t xml:space="preserve"> </w:t>
            </w:r>
          </w:p>
        </w:tc>
        <w:tc>
          <w:tcPr>
            <w:tcW w:w="223" w:type="dxa"/>
            <w:vMerge w:val="restart"/>
            <w:shd w:val="clear" w:color="auto" w:fill="auto"/>
            <w:tcMar>
              <w:left w:w="0" w:type="dxa"/>
            </w:tcMar>
          </w:tcPr>
          <w:p w14:paraId="6D5876C4"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75D137C8" w14:textId="77777777" w:rsidR="00F93F2C" w:rsidRPr="000A5DBC" w:rsidRDefault="00E459A2" w:rsidP="0092617A">
            <w:pPr>
              <w:spacing w:after="0"/>
              <w:rPr>
                <w:lang w:val="en-GB"/>
              </w:rPr>
            </w:pPr>
            <w:r w:rsidRPr="000A5DBC">
              <w:rPr>
                <w:b/>
                <w:sz w:val="18"/>
                <w:szCs w:val="18"/>
                <w:lang w:val="en-GB"/>
              </w:rPr>
              <w:t xml:space="preserve">Chart </w:t>
            </w:r>
            <w:proofErr w:type="gramStart"/>
            <w:r w:rsidR="00F93F2C" w:rsidRPr="000A5DBC">
              <w:rPr>
                <w:b/>
                <w:sz w:val="18"/>
                <w:szCs w:val="18"/>
                <w:lang w:val="en-GB"/>
              </w:rPr>
              <w:t xml:space="preserve">2  </w:t>
            </w:r>
            <w:r w:rsidR="0092617A" w:rsidRPr="000A5DBC">
              <w:rPr>
                <w:b/>
                <w:szCs w:val="20"/>
                <w:lang w:val="en-GB"/>
              </w:rPr>
              <w:t>Contribution</w:t>
            </w:r>
            <w:proofErr w:type="gramEnd"/>
            <w:r w:rsidR="0092617A" w:rsidRPr="000A5DBC">
              <w:rPr>
                <w:b/>
                <w:szCs w:val="20"/>
                <w:lang w:val="en-GB"/>
              </w:rPr>
              <w:t xml:space="preserve"> of expenditure items to real GDP change</w:t>
            </w:r>
            <w:r w:rsidR="0092617A" w:rsidRPr="000A5DBC">
              <w:rPr>
                <w:rFonts w:cs="Arial"/>
                <w:b/>
                <w:szCs w:val="20"/>
                <w:lang w:val="en-GB" w:eastAsia="en-US"/>
              </w:rPr>
              <w:t>* (volume indices, year-on-year growth, contributions in p.p., GDP in %)</w:t>
            </w:r>
          </w:p>
        </w:tc>
      </w:tr>
      <w:tr w:rsidR="00F93F2C" w:rsidRPr="000A5DBC" w14:paraId="79774E65" w14:textId="77777777" w:rsidTr="002F3893">
        <w:tblPrEx>
          <w:tblCellMar>
            <w:left w:w="70" w:type="dxa"/>
            <w:right w:w="70" w:type="dxa"/>
          </w:tblCellMar>
        </w:tblPrEx>
        <w:trPr>
          <w:trHeight w:val="170"/>
        </w:trPr>
        <w:tc>
          <w:tcPr>
            <w:tcW w:w="1806" w:type="dxa"/>
            <w:vMerge/>
            <w:shd w:val="clear" w:color="auto" w:fill="auto"/>
          </w:tcPr>
          <w:p w14:paraId="5B6A85CE" w14:textId="77777777" w:rsidR="00F93F2C" w:rsidRPr="000A5DBC" w:rsidRDefault="00F93F2C" w:rsidP="00F93F2C">
            <w:pPr>
              <w:pStyle w:val="Marginlie"/>
              <w:rPr>
                <w:lang w:val="en-GB"/>
              </w:rPr>
            </w:pPr>
          </w:p>
        </w:tc>
        <w:tc>
          <w:tcPr>
            <w:tcW w:w="223" w:type="dxa"/>
            <w:vMerge/>
            <w:shd w:val="clear" w:color="auto" w:fill="auto"/>
          </w:tcPr>
          <w:p w14:paraId="209C0F5F" w14:textId="77777777" w:rsidR="00F93F2C" w:rsidRPr="000A5DBC" w:rsidRDefault="00F93F2C" w:rsidP="00F93F2C">
            <w:pPr>
              <w:pStyle w:val="Textpoznpodarou"/>
              <w:jc w:val="both"/>
              <w:rPr>
                <w:spacing w:val="-4"/>
                <w:lang w:val="en-GB"/>
              </w:rPr>
            </w:pPr>
          </w:p>
        </w:tc>
        <w:tc>
          <w:tcPr>
            <w:tcW w:w="7610" w:type="dxa"/>
            <w:shd w:val="clear" w:color="auto" w:fill="auto"/>
          </w:tcPr>
          <w:p w14:paraId="1E0679B1" w14:textId="77777777" w:rsidR="00F93F2C" w:rsidRPr="000A5DBC" w:rsidRDefault="0032159E" w:rsidP="00F93F2C">
            <w:pPr>
              <w:spacing w:after="0"/>
              <w:rPr>
                <w:lang w:val="en-GB"/>
              </w:rPr>
            </w:pPr>
            <w:r>
              <w:rPr>
                <w:noProof/>
              </w:rPr>
              <w:drawing>
                <wp:inline distT="0" distB="0" distL="0" distR="0" wp14:anchorId="5A986CF0" wp14:editId="24981618">
                  <wp:extent cx="4737600" cy="3330950"/>
                  <wp:effectExtent l="0" t="0" r="6350" b="3175"/>
                  <wp:docPr id="3" name="Graf 3">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F93F2C" w:rsidRPr="000A5DBC" w14:paraId="70271BA4" w14:textId="77777777" w:rsidTr="002F3893">
        <w:trPr>
          <w:trHeight w:val="170"/>
        </w:trPr>
        <w:tc>
          <w:tcPr>
            <w:tcW w:w="1806" w:type="dxa"/>
            <w:vMerge/>
            <w:shd w:val="clear" w:color="auto" w:fill="auto"/>
            <w:tcMar>
              <w:left w:w="0" w:type="dxa"/>
            </w:tcMar>
          </w:tcPr>
          <w:p w14:paraId="71076363" w14:textId="77777777" w:rsidR="00F93F2C" w:rsidRPr="000A5DBC" w:rsidRDefault="00F93F2C" w:rsidP="00F93F2C">
            <w:pPr>
              <w:pStyle w:val="Marginlie"/>
              <w:rPr>
                <w:lang w:val="en-GB"/>
              </w:rPr>
            </w:pPr>
          </w:p>
        </w:tc>
        <w:tc>
          <w:tcPr>
            <w:tcW w:w="223" w:type="dxa"/>
            <w:vMerge/>
            <w:shd w:val="clear" w:color="auto" w:fill="auto"/>
            <w:tcMar>
              <w:left w:w="0" w:type="dxa"/>
            </w:tcMar>
          </w:tcPr>
          <w:p w14:paraId="437CBFFB" w14:textId="77777777" w:rsidR="00F93F2C" w:rsidRPr="000A5DBC" w:rsidRDefault="00F93F2C" w:rsidP="00F93F2C">
            <w:pPr>
              <w:pStyle w:val="Textpoznpodarou"/>
              <w:jc w:val="both"/>
              <w:rPr>
                <w:spacing w:val="-4"/>
                <w:lang w:val="en-GB"/>
              </w:rPr>
            </w:pPr>
          </w:p>
        </w:tc>
        <w:tc>
          <w:tcPr>
            <w:tcW w:w="7610" w:type="dxa"/>
            <w:shd w:val="clear" w:color="auto" w:fill="auto"/>
            <w:tcMar>
              <w:left w:w="0" w:type="dxa"/>
            </w:tcMar>
          </w:tcPr>
          <w:p w14:paraId="23DDD322" w14:textId="77777777" w:rsidR="00F93F2C" w:rsidRPr="000A5DBC" w:rsidRDefault="0092617A" w:rsidP="00F93F2C">
            <w:pPr>
              <w:spacing w:after="0"/>
              <w:rPr>
                <w:sz w:val="14"/>
                <w:szCs w:val="14"/>
                <w:lang w:val="en-GB"/>
              </w:rPr>
            </w:pPr>
            <w:r w:rsidRPr="000A5DBC">
              <w:rPr>
                <w:sz w:val="14"/>
                <w:szCs w:val="14"/>
                <w:lang w:val="en-GB"/>
              </w:rPr>
              <w:t>Source</w:t>
            </w:r>
            <w:r w:rsidR="00F93F2C" w:rsidRPr="000A5DBC">
              <w:rPr>
                <w:sz w:val="14"/>
                <w:szCs w:val="14"/>
                <w:lang w:val="en-GB"/>
              </w:rPr>
              <w:t>:</w:t>
            </w:r>
            <w:r w:rsidRPr="000A5DBC">
              <w:rPr>
                <w:sz w:val="14"/>
                <w:szCs w:val="14"/>
                <w:lang w:val="en-GB"/>
              </w:rPr>
              <w:t xml:space="preserve"> CZSO</w:t>
            </w:r>
          </w:p>
          <w:p w14:paraId="0FF975C1" w14:textId="77777777" w:rsidR="0092617A" w:rsidRPr="000A5DBC" w:rsidRDefault="00F93F2C" w:rsidP="0032159E">
            <w:pPr>
              <w:rPr>
                <w:lang w:val="en-GB"/>
              </w:rPr>
            </w:pPr>
            <w:r w:rsidRPr="000A5DBC">
              <w:rPr>
                <w:sz w:val="14"/>
                <w:szCs w:val="14"/>
                <w:lang w:val="en-GB"/>
              </w:rPr>
              <w:t>*</w:t>
            </w:r>
            <w:r w:rsidR="0092617A" w:rsidRPr="000A5DBC">
              <w:rPr>
                <w:sz w:val="14"/>
                <w:szCs w:val="14"/>
                <w:lang w:val="en-GB"/>
              </w:rPr>
              <w:t xml:space="preserve">after exclusion of exports for final use </w:t>
            </w:r>
          </w:p>
        </w:tc>
      </w:tr>
      <w:tr w:rsidR="00182F98" w:rsidRPr="000A5DBC" w14:paraId="3F4B249F" w14:textId="77777777" w:rsidTr="002F3893">
        <w:trPr>
          <w:trHeight w:val="145"/>
        </w:trPr>
        <w:tc>
          <w:tcPr>
            <w:tcW w:w="1806" w:type="dxa"/>
            <w:shd w:val="clear" w:color="auto" w:fill="auto"/>
            <w:tcMar>
              <w:left w:w="0" w:type="dxa"/>
            </w:tcMar>
          </w:tcPr>
          <w:p w14:paraId="275C5B11" w14:textId="77777777" w:rsidR="00182F98" w:rsidRPr="000A5DBC" w:rsidRDefault="00182F98" w:rsidP="00182F98">
            <w:pPr>
              <w:pStyle w:val="Marginlie"/>
              <w:rPr>
                <w:lang w:val="en-GB"/>
              </w:rPr>
            </w:pPr>
            <w:r w:rsidRPr="000A5DBC">
              <w:rPr>
                <w:lang w:val="en-GB"/>
              </w:rPr>
              <w:t xml:space="preserve">Household saving rate significantly increased last year. </w:t>
            </w:r>
          </w:p>
        </w:tc>
        <w:tc>
          <w:tcPr>
            <w:tcW w:w="223" w:type="dxa"/>
            <w:shd w:val="clear" w:color="auto" w:fill="auto"/>
            <w:tcMar>
              <w:left w:w="0" w:type="dxa"/>
            </w:tcMar>
          </w:tcPr>
          <w:p w14:paraId="1D1E51A7"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2F2F292B" w14:textId="77777777" w:rsidR="00182F98" w:rsidRPr="000A5DBC" w:rsidRDefault="00182F98" w:rsidP="00182F98">
            <w:pPr>
              <w:rPr>
                <w:lang w:val="en-GB"/>
              </w:rPr>
            </w:pPr>
            <w:r w:rsidRPr="000A5DBC">
              <w:rPr>
                <w:lang w:val="en-GB"/>
              </w:rPr>
              <w:t>Gross disposable income of households expanded by 244.7 CZK bn in nominal terms last year, considerably more than in the previous year, consequently the saving rate increased</w:t>
            </w:r>
            <w:r w:rsidRPr="000A5DBC">
              <w:rPr>
                <w:rStyle w:val="Znakapoznpodarou"/>
                <w:lang w:val="en-GB"/>
              </w:rPr>
              <w:footnoteReference w:id="8"/>
            </w:r>
            <w:r w:rsidRPr="000A5DBC">
              <w:rPr>
                <w:lang w:val="en-GB"/>
              </w:rPr>
              <w:t xml:space="preserve"> to 13.2% (+2.3 p.p.), the most since year 2009, accompanied by a relatively stable rate of growth of consumption expenditures. The average monthly household income per person</w:t>
            </w:r>
            <w:r w:rsidRPr="000A5DBC">
              <w:rPr>
                <w:rStyle w:val="Znakapoznpodarou"/>
                <w:lang w:val="en-GB"/>
              </w:rPr>
              <w:footnoteReference w:id="9"/>
            </w:r>
            <w:r w:rsidRPr="000A5DBC">
              <w:rPr>
                <w:lang w:val="en-GB"/>
              </w:rPr>
              <w:t xml:space="preserve"> </w:t>
            </w:r>
            <w:proofErr w:type="spellStart"/>
            <w:r w:rsidRPr="000A5DBC">
              <w:rPr>
                <w:lang w:val="en-GB"/>
              </w:rPr>
              <w:t>totaled</w:t>
            </w:r>
            <w:proofErr w:type="spellEnd"/>
            <w:r w:rsidRPr="000A5DBC">
              <w:rPr>
                <w:lang w:val="en-GB"/>
              </w:rPr>
              <w:t xml:space="preserve"> 28 648 CZK last year and it grew by 2 292 CZK year-on-year, which is the most striking nominal increase in the whole available time series. It is the result of the already mentioned strong growth of disposable income, but also the increase of social benefits in kind</w:t>
            </w:r>
            <w:r w:rsidRPr="000A5DBC">
              <w:rPr>
                <w:rStyle w:val="Znakapoznpodarou"/>
                <w:lang w:val="en-GB"/>
              </w:rPr>
              <w:footnoteReference w:id="10"/>
            </w:r>
            <w:r w:rsidRPr="000A5DBC">
              <w:rPr>
                <w:lang w:val="en-GB"/>
              </w:rPr>
              <w:t xml:space="preserve">, which are part of the households´ incomes. Their </w:t>
            </w:r>
            <w:r w:rsidRPr="000A5DBC">
              <w:rPr>
                <w:lang w:val="en-GB"/>
              </w:rPr>
              <w:lastRenderedPageBreak/>
              <w:t>average monthly value per capita achieved 5 171 CZK last year and it shared 18.1% in total household incomes last year. Growth of the social benefits in kind can be besides other things explained by a substantial wage growth in included services. Household income per capita in real terms reached 5.6%</w:t>
            </w:r>
            <w:r w:rsidRPr="000A5DBC">
              <w:rPr>
                <w:rStyle w:val="Znakapoznpodarou"/>
                <w:lang w:val="en-GB"/>
              </w:rPr>
              <w:footnoteReference w:id="11"/>
            </w:r>
            <w:r w:rsidRPr="000A5DBC">
              <w:rPr>
                <w:lang w:val="en-GB"/>
              </w:rPr>
              <w:t xml:space="preserve"> last year.</w:t>
            </w:r>
          </w:p>
        </w:tc>
      </w:tr>
      <w:tr w:rsidR="00182F98" w:rsidRPr="000A5DBC" w14:paraId="4FB16CE2" w14:textId="77777777" w:rsidTr="002F3893">
        <w:trPr>
          <w:trHeight w:val="145"/>
        </w:trPr>
        <w:tc>
          <w:tcPr>
            <w:tcW w:w="1806" w:type="dxa"/>
            <w:shd w:val="clear" w:color="auto" w:fill="auto"/>
            <w:tcMar>
              <w:left w:w="0" w:type="dxa"/>
            </w:tcMar>
          </w:tcPr>
          <w:p w14:paraId="40C8C4F9" w14:textId="77777777" w:rsidR="00182F98" w:rsidRPr="000A5DBC" w:rsidRDefault="00182F98" w:rsidP="00182F98">
            <w:pPr>
              <w:pStyle w:val="Marginlie"/>
              <w:rPr>
                <w:lang w:val="en-GB"/>
              </w:rPr>
            </w:pPr>
            <w:r w:rsidRPr="000A5DBC">
              <w:rPr>
                <w:lang w:val="en-GB"/>
              </w:rPr>
              <w:lastRenderedPageBreak/>
              <w:t>Investment activity markedly boosted both quarter-on-quarter and year-on-year in Q4.</w:t>
            </w:r>
          </w:p>
        </w:tc>
        <w:tc>
          <w:tcPr>
            <w:tcW w:w="223" w:type="dxa"/>
            <w:shd w:val="clear" w:color="auto" w:fill="auto"/>
            <w:tcMar>
              <w:left w:w="0" w:type="dxa"/>
            </w:tcMar>
          </w:tcPr>
          <w:p w14:paraId="71395CCB"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40A9DDDE" w14:textId="77777777" w:rsidR="00182F98" w:rsidRPr="000A5DBC" w:rsidRDefault="00182F98" w:rsidP="00182F98">
            <w:pPr>
              <w:rPr>
                <w:lang w:val="en-GB"/>
              </w:rPr>
            </w:pPr>
            <w:r w:rsidRPr="000A5DBC">
              <w:rPr>
                <w:lang w:val="en-GB"/>
              </w:rPr>
              <w:t>Expenditures on gross capital formation went up by 3.3% in year 2019. It is less than in the preceding two years. Expenditures on gross fixed capital formation increased by 2.7%. In Q4 2019, the gross fixed capital formation went up by 9.2% year-on-year, the most since Q1 2018. The substantial increases partially resulted from the increase in stocks</w:t>
            </w:r>
            <w:r w:rsidRPr="000A5DBC">
              <w:rPr>
                <w:rStyle w:val="Znakapoznpodarou"/>
                <w:lang w:val="en-GB"/>
              </w:rPr>
              <w:footnoteReference w:id="12"/>
            </w:r>
            <w:r w:rsidRPr="000A5DBC">
              <w:rPr>
                <w:lang w:val="en-GB"/>
              </w:rPr>
              <w:t>. Expenditures on the gross fixed capital formation also increased year-on-year, specifically by 4.6%. Investment activity thus after weak Q2 and Q3 again supported the GDP (gross capital formation 2.3 p.p., in that gross fixed capital 1.0 p.p.). Quarter-on-quarter increases corresponded to the considerable acceleration of the year-on-year dynamics in Q4. Expenditures on gross capital formation grew by 8.6% and on gross fixed capital formation by 4.1% compared to Q3. Last year´s nominal increase of expenditures on gross fixed capital formation (76.0 CZK bn) from nearly one half pertained to the sector of the non-financial businesses (36.6 bn, 4.3%). The investment activity of non-financial businesses intensified less last year than in year 2018, their savings rate</w:t>
            </w:r>
            <w:r w:rsidRPr="000A5DBC">
              <w:rPr>
                <w:rStyle w:val="Znakapoznpodarou"/>
                <w:lang w:val="en-GB"/>
              </w:rPr>
              <w:footnoteReference w:id="13"/>
            </w:r>
            <w:r w:rsidRPr="000A5DBC">
              <w:rPr>
                <w:lang w:val="en-GB"/>
              </w:rPr>
              <w:t xml:space="preserve"> mildly fell also for this reason. It was 28.5% and declined by 0.5 p.p. Government institutions sector heightened the investment activity by 24.2 CZK bn (10.8%), which was also less than in the previous year, which was affected by the cycle of drawing on European subsidies. In the case of households, a significant increase of investments was also observed, specifically by 18.5 bn (7.7%). Investment rate of households still slightly decreased to 8.5%</w:t>
            </w:r>
            <w:r w:rsidRPr="000A5DBC">
              <w:rPr>
                <w:rStyle w:val="Znakapoznpodarou"/>
                <w:lang w:val="en-GB"/>
              </w:rPr>
              <w:footnoteReference w:id="14"/>
            </w:r>
            <w:r w:rsidRPr="000A5DBC">
              <w:rPr>
                <w:lang w:val="en-GB"/>
              </w:rPr>
              <w:t xml:space="preserve"> last year. Expenditures on gross fixed capital formation of the financial institutions sank by 3.5 CZK bn (9.5%), for the second year in a row. </w:t>
            </w:r>
          </w:p>
        </w:tc>
      </w:tr>
      <w:tr w:rsidR="00182F98" w:rsidRPr="000A5DBC" w14:paraId="5429A951" w14:textId="77777777" w:rsidTr="002F3893">
        <w:trPr>
          <w:trHeight w:val="145"/>
        </w:trPr>
        <w:tc>
          <w:tcPr>
            <w:tcW w:w="1806" w:type="dxa"/>
            <w:shd w:val="clear" w:color="auto" w:fill="auto"/>
            <w:tcMar>
              <w:left w:w="0" w:type="dxa"/>
            </w:tcMar>
          </w:tcPr>
          <w:p w14:paraId="64AAEEC5" w14:textId="77777777" w:rsidR="00182F98" w:rsidRPr="000A5DBC" w:rsidRDefault="00182F98" w:rsidP="00182F98">
            <w:pPr>
              <w:pStyle w:val="Marginlie"/>
              <w:rPr>
                <w:lang w:val="en-GB"/>
              </w:rPr>
            </w:pPr>
            <w:r w:rsidRPr="000A5DBC">
              <w:rPr>
                <w:lang w:val="en-GB"/>
              </w:rPr>
              <w:t xml:space="preserve">Investments into housing maintained stable year-on-year growth. </w:t>
            </w:r>
          </w:p>
        </w:tc>
        <w:tc>
          <w:tcPr>
            <w:tcW w:w="223" w:type="dxa"/>
            <w:shd w:val="clear" w:color="auto" w:fill="auto"/>
            <w:tcMar>
              <w:left w:w="0" w:type="dxa"/>
            </w:tcMar>
          </w:tcPr>
          <w:p w14:paraId="0C96DF26"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12FB77A5" w14:textId="77777777" w:rsidR="00182F98" w:rsidRPr="000A5DBC" w:rsidRDefault="00182F98" w:rsidP="00182F98">
            <w:pPr>
              <w:rPr>
                <w:rStyle w:val="Znakapoznpodarou"/>
                <w:lang w:val="en-GB"/>
              </w:rPr>
            </w:pPr>
            <w:r w:rsidRPr="000A5DBC">
              <w:rPr>
                <w:lang w:val="en-GB"/>
              </w:rPr>
              <w:t xml:space="preserve">Based on the </w:t>
            </w:r>
            <w:r w:rsidRPr="000A5DBC">
              <w:rPr>
                <w:rFonts w:cs="Arial"/>
                <w:szCs w:val="20"/>
                <w:lang w:val="en-GB"/>
              </w:rPr>
              <w:t>type classification of gross fixed capital formation, the year-on-year rate of growth weakened in all important investment categories</w:t>
            </w:r>
            <w:r w:rsidRPr="000A5DBC">
              <w:rPr>
                <w:rStyle w:val="Znakapoznpodarou"/>
                <w:lang w:val="en-GB"/>
              </w:rPr>
              <w:footnoteReference w:id="15"/>
            </w:r>
            <w:r w:rsidRPr="000A5DBC">
              <w:rPr>
                <w:rFonts w:cs="Arial"/>
                <w:szCs w:val="20"/>
                <w:lang w:val="en-GB"/>
              </w:rPr>
              <w:t xml:space="preserve"> last year</w:t>
            </w:r>
            <w:r w:rsidRPr="000A5DBC">
              <w:rPr>
                <w:lang w:val="en-GB"/>
              </w:rPr>
              <w:t>. Despite slower pace compared to year 2018, investment into housing (5.5%) recorded the strongest increase. Increase of expenditures on products of intellectual property was also significant (5.4%), the dynamics has remained strong here already six years (the category contains apart from research and development also expenditures on software and databases, which grew in importance in the latest years). After the strong year 2018 the dynamics of expenditures on other buildings and structures did not persist, however the increase still arrived at 4.0% last year. Investments into ICT and other machinery and equipment (1.0%) grew only slightly. Expenditures on transport equipment decreased last year (</w:t>
            </w:r>
            <w:r>
              <w:rPr>
                <w:lang w:val="en-GB"/>
              </w:rPr>
              <w:t>-</w:t>
            </w:r>
            <w:r w:rsidRPr="000A5DBC">
              <w:rPr>
                <w:lang w:val="en-GB"/>
              </w:rPr>
              <w:t>1.9%, the high basis of the previous year also partially had an effect). Expenditures on both housing (8.6%) and other buildings and structures (8.2%) grew relatively high year-on-year in Q4. Growth gained pace in case of products of the intellectual property (5.2%) and investment into ICT and other machinery and equipment also increased by 2.7% following two quarters of declines. Investment into transport equipment notably fell year-on-year in Q4 (</w:t>
            </w:r>
            <w:r>
              <w:rPr>
                <w:lang w:val="en-GB"/>
              </w:rPr>
              <w:t>-</w:t>
            </w:r>
            <w:r w:rsidRPr="000A5DBC">
              <w:rPr>
                <w:lang w:val="en-GB"/>
              </w:rPr>
              <w:t>7.1%).</w:t>
            </w:r>
          </w:p>
        </w:tc>
      </w:tr>
      <w:tr w:rsidR="00182F98" w:rsidRPr="000A5DBC" w14:paraId="3383F37B" w14:textId="77777777" w:rsidTr="002F3893">
        <w:trPr>
          <w:trHeight w:val="145"/>
        </w:trPr>
        <w:tc>
          <w:tcPr>
            <w:tcW w:w="1806" w:type="dxa"/>
            <w:shd w:val="clear" w:color="auto" w:fill="auto"/>
            <w:tcMar>
              <w:left w:w="0" w:type="dxa"/>
            </w:tcMar>
          </w:tcPr>
          <w:p w14:paraId="5D5160FD" w14:textId="77777777" w:rsidR="00182F98" w:rsidRPr="000A5DBC" w:rsidRDefault="00182F98" w:rsidP="00182F98">
            <w:pPr>
              <w:pStyle w:val="Marginlie"/>
              <w:rPr>
                <w:lang w:val="en-GB"/>
              </w:rPr>
            </w:pPr>
            <w:r w:rsidRPr="000A5DBC">
              <w:rPr>
                <w:lang w:val="en-GB"/>
              </w:rPr>
              <w:lastRenderedPageBreak/>
              <w:t xml:space="preserve">The foreign trade surplus plunged in Q4 following strong Q2 and Q3. </w:t>
            </w:r>
          </w:p>
        </w:tc>
        <w:tc>
          <w:tcPr>
            <w:tcW w:w="223" w:type="dxa"/>
            <w:shd w:val="clear" w:color="auto" w:fill="auto"/>
            <w:tcMar>
              <w:left w:w="0" w:type="dxa"/>
            </w:tcMar>
          </w:tcPr>
          <w:p w14:paraId="1602BE94"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0255E021" w14:textId="77777777" w:rsidR="00182F98" w:rsidRPr="000A5DBC" w:rsidRDefault="00182F98" w:rsidP="00182F98">
            <w:pPr>
              <w:rPr>
                <w:lang w:val="en-GB"/>
              </w:rPr>
            </w:pPr>
            <w:r w:rsidRPr="000A5DBC">
              <w:rPr>
                <w:lang w:val="en-GB"/>
              </w:rPr>
              <w:t>Foreign trade balance with goods and services surplus amounted to 345.7 bn last year</w:t>
            </w:r>
            <w:r w:rsidRPr="000A5DBC">
              <w:rPr>
                <w:rStyle w:val="Znakapoznpodarou"/>
                <w:lang w:val="en-GB"/>
              </w:rPr>
              <w:footnoteReference w:id="16"/>
            </w:r>
            <w:r w:rsidRPr="000A5DBC">
              <w:rPr>
                <w:lang w:val="en-GB"/>
              </w:rPr>
              <w:t>. Positive balance increased by 3.7 bn compared to year 2018. Balance of trade with goods recorded a surplus increase by 15.0 CZK bn, but in case of services a decline of 11.4 bn occurred. Foreign trade balance substantially contributed to the year-on-year growth of GDP in Q2 and Q3 (1.3 and 1.0 p.p. in Q2 and Q3). The surplus totalled however 70.8 CZK bn in Q4 (the worst result for Q4 since year 2014) and it shrank by 22.8 bn year-on-year (the largest slump since Q3 2010). The balance thus put a brake on the year-on-year GDP growth by 1.9 p.p. While in the preceding quarters the surplus growth was caused by a mild growth of import, which did not overtake export, imports fell by 1.5% in real terms year-on-year in Q4 (import maintained a mild growth of 1.4%). The surplus of trade with goods thus decreased (by 7.7 CZK bn), but especially the positive balance of trade with services (by 15.0 bn, the largest decrease since the beginning of year 2005).</w:t>
            </w:r>
          </w:p>
        </w:tc>
      </w:tr>
      <w:tr w:rsidR="00182F98" w:rsidRPr="000A5DBC" w14:paraId="6756B9B9" w14:textId="77777777" w:rsidTr="002F3893">
        <w:trPr>
          <w:trHeight w:val="145"/>
        </w:trPr>
        <w:tc>
          <w:tcPr>
            <w:tcW w:w="1806" w:type="dxa"/>
            <w:shd w:val="clear" w:color="auto" w:fill="auto"/>
            <w:tcMar>
              <w:left w:w="0" w:type="dxa"/>
            </w:tcMar>
          </w:tcPr>
          <w:p w14:paraId="682096F1" w14:textId="77777777" w:rsidR="00182F98" w:rsidRPr="000A5DBC" w:rsidRDefault="00182F98" w:rsidP="00182F98">
            <w:pPr>
              <w:pStyle w:val="Marginlie"/>
              <w:rPr>
                <w:lang w:val="en-GB"/>
              </w:rPr>
            </w:pPr>
            <w:r w:rsidRPr="000A5DBC">
              <w:rPr>
                <w:lang w:val="en-GB"/>
              </w:rPr>
              <w:t xml:space="preserve">Services the most supported the growth of the gross value added last year. </w:t>
            </w:r>
          </w:p>
        </w:tc>
        <w:tc>
          <w:tcPr>
            <w:tcW w:w="223" w:type="dxa"/>
            <w:shd w:val="clear" w:color="auto" w:fill="auto"/>
            <w:tcMar>
              <w:left w:w="0" w:type="dxa"/>
            </w:tcMar>
          </w:tcPr>
          <w:p w14:paraId="454B838D"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7D02968E" w14:textId="77777777" w:rsidR="00182F98" w:rsidRPr="000A5DBC" w:rsidRDefault="00182F98" w:rsidP="00182F98">
            <w:pPr>
              <w:rPr>
                <w:lang w:val="en-GB"/>
              </w:rPr>
            </w:pPr>
            <w:r w:rsidRPr="000A5DBC">
              <w:rPr>
                <w:lang w:val="en-GB"/>
              </w:rPr>
              <w:t>Gross value added (GVA) increased by 1.8% year-on-year in Q4 2019, less than the GDP. The increase of dynamics for the whole year 2019 was also slightly lower (2.4%). Quarter-on-quarter addition was 0.4% in Q4 and it thus slightly gained pace compared to the preceding quarter. Majority of the year-on-year GVA growth was thanks to the services sector in the course of the whole year (contribution of 1.9 p.p. to the increase in year 2019). Among services, the contribution of weight-significant group trade, transportation, accommodation and food service (contribution 0.5 p.p., GVA increase 2.6%) and especially information and communication (0.4 p.p., 7.6%), whose dynamic development considerably strengthened their significance for the domestic economy in the last seven years, stood out last year. Construction and manufacturing than played a smaller role last year (identically 0.2 p.p.).</w:t>
            </w:r>
          </w:p>
        </w:tc>
      </w:tr>
      <w:tr w:rsidR="00182F98" w:rsidRPr="000A5DBC" w14:paraId="51713C9C" w14:textId="77777777" w:rsidTr="00182F98">
        <w:trPr>
          <w:trHeight w:val="168"/>
        </w:trPr>
        <w:tc>
          <w:tcPr>
            <w:tcW w:w="1806" w:type="dxa"/>
            <w:vMerge w:val="restart"/>
            <w:shd w:val="clear" w:color="auto" w:fill="auto"/>
            <w:tcMar>
              <w:left w:w="0" w:type="dxa"/>
            </w:tcMar>
          </w:tcPr>
          <w:p w14:paraId="051FDD08" w14:textId="77777777" w:rsidR="00182F98" w:rsidRPr="000A5DBC" w:rsidRDefault="00182F98" w:rsidP="00182F98">
            <w:pPr>
              <w:pStyle w:val="Marginlie"/>
              <w:rPr>
                <w:lang w:val="en-GB"/>
              </w:rPr>
            </w:pPr>
          </w:p>
        </w:tc>
        <w:tc>
          <w:tcPr>
            <w:tcW w:w="223" w:type="dxa"/>
            <w:vMerge w:val="restart"/>
            <w:shd w:val="clear" w:color="auto" w:fill="auto"/>
            <w:tcMar>
              <w:left w:w="0" w:type="dxa"/>
            </w:tcMar>
          </w:tcPr>
          <w:p w14:paraId="326F21D2"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6C714BAE" w14:textId="77777777" w:rsidR="00182F98" w:rsidRPr="000A5DBC" w:rsidRDefault="00182F98" w:rsidP="00182F98">
            <w:pPr>
              <w:spacing w:after="0"/>
              <w:rPr>
                <w:szCs w:val="20"/>
                <w:lang w:val="en-GB"/>
              </w:rPr>
            </w:pPr>
            <w:r w:rsidRPr="000A5DBC">
              <w:rPr>
                <w:b/>
                <w:sz w:val="18"/>
                <w:szCs w:val="18"/>
                <w:lang w:val="en-GB"/>
              </w:rPr>
              <w:t xml:space="preserve">Chart 3 </w:t>
            </w:r>
            <w:r w:rsidRPr="000A5DBC">
              <w:rPr>
                <w:b/>
                <w:szCs w:val="20"/>
                <w:lang w:val="en-GB"/>
              </w:rPr>
              <w:t>Contributions</w:t>
            </w:r>
            <w:r w:rsidRPr="000A5DBC">
              <w:rPr>
                <w:b/>
                <w:szCs w:val="20"/>
                <w:lang w:val="en-GB" w:eastAsia="en-US"/>
              </w:rPr>
              <w:t xml:space="preserve"> of branches to real change in GVA</w:t>
            </w:r>
            <w:r w:rsidRPr="000A5DBC">
              <w:rPr>
                <w:rFonts w:cs="Arial"/>
                <w:b/>
                <w:szCs w:val="20"/>
                <w:lang w:val="en-GB" w:eastAsia="en-US"/>
              </w:rPr>
              <w:t xml:space="preserve"> (volume indices, year-on-year contributions in p.p., GVA in %)</w:t>
            </w:r>
            <w:r w:rsidRPr="000A5DBC">
              <w:rPr>
                <w:rFonts w:cs="Arial"/>
                <w:szCs w:val="20"/>
                <w:lang w:val="en-GB" w:eastAsia="en-US"/>
              </w:rPr>
              <w:t xml:space="preserve"> </w:t>
            </w:r>
          </w:p>
        </w:tc>
      </w:tr>
      <w:tr w:rsidR="00182F98" w:rsidRPr="000A5DBC" w14:paraId="1F6C7B3F" w14:textId="77777777" w:rsidTr="002F3893">
        <w:trPr>
          <w:trHeight w:val="166"/>
        </w:trPr>
        <w:tc>
          <w:tcPr>
            <w:tcW w:w="1806" w:type="dxa"/>
            <w:vMerge/>
            <w:shd w:val="clear" w:color="auto" w:fill="auto"/>
            <w:tcMar>
              <w:left w:w="0" w:type="dxa"/>
            </w:tcMar>
          </w:tcPr>
          <w:p w14:paraId="002F03D1" w14:textId="77777777" w:rsidR="00182F98" w:rsidRPr="000A5DBC" w:rsidRDefault="00182F98" w:rsidP="00182F98">
            <w:pPr>
              <w:pStyle w:val="Marginlie"/>
              <w:rPr>
                <w:lang w:val="en-GB"/>
              </w:rPr>
            </w:pPr>
          </w:p>
        </w:tc>
        <w:tc>
          <w:tcPr>
            <w:tcW w:w="223" w:type="dxa"/>
            <w:vMerge/>
            <w:shd w:val="clear" w:color="auto" w:fill="auto"/>
            <w:tcMar>
              <w:left w:w="0" w:type="dxa"/>
            </w:tcMar>
          </w:tcPr>
          <w:p w14:paraId="26B225EB"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1B657CAB" w14:textId="77777777" w:rsidR="00182F98" w:rsidRPr="000A5DBC" w:rsidRDefault="00182F98" w:rsidP="00182F98">
            <w:pPr>
              <w:spacing w:after="0"/>
              <w:rPr>
                <w:lang w:val="en-GB"/>
              </w:rPr>
            </w:pPr>
            <w:r>
              <w:rPr>
                <w:noProof/>
              </w:rPr>
              <w:drawing>
                <wp:inline distT="0" distB="0" distL="0" distR="0" wp14:anchorId="25345B4C" wp14:editId="649F3ED0">
                  <wp:extent cx="4737600" cy="3365875"/>
                  <wp:effectExtent l="0" t="0" r="6350" b="6350"/>
                  <wp:docPr id="24" name="Graf 2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182F98" w:rsidRPr="000A5DBC" w14:paraId="07BB58C5" w14:textId="77777777" w:rsidTr="002F3893">
        <w:trPr>
          <w:trHeight w:val="166"/>
        </w:trPr>
        <w:tc>
          <w:tcPr>
            <w:tcW w:w="1806" w:type="dxa"/>
            <w:vMerge/>
            <w:shd w:val="clear" w:color="auto" w:fill="auto"/>
            <w:tcMar>
              <w:left w:w="0" w:type="dxa"/>
            </w:tcMar>
          </w:tcPr>
          <w:p w14:paraId="1FC0F289" w14:textId="77777777" w:rsidR="00182F98" w:rsidRPr="000A5DBC" w:rsidRDefault="00182F98" w:rsidP="00182F98">
            <w:pPr>
              <w:pStyle w:val="Marginlie"/>
              <w:rPr>
                <w:lang w:val="en-GB"/>
              </w:rPr>
            </w:pPr>
          </w:p>
        </w:tc>
        <w:tc>
          <w:tcPr>
            <w:tcW w:w="223" w:type="dxa"/>
            <w:vMerge/>
            <w:shd w:val="clear" w:color="auto" w:fill="auto"/>
            <w:tcMar>
              <w:left w:w="0" w:type="dxa"/>
            </w:tcMar>
          </w:tcPr>
          <w:p w14:paraId="482532A8"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6153C69" w14:textId="77777777" w:rsidR="00182F98" w:rsidRPr="000A5DBC" w:rsidRDefault="00182F98" w:rsidP="00182F98">
            <w:pPr>
              <w:rPr>
                <w:sz w:val="16"/>
                <w:szCs w:val="16"/>
                <w:lang w:val="en-GB"/>
              </w:rPr>
            </w:pPr>
            <w:r w:rsidRPr="000A5DBC">
              <w:rPr>
                <w:sz w:val="14"/>
                <w:szCs w:val="14"/>
                <w:lang w:val="en-GB"/>
              </w:rPr>
              <w:t>Source: CZSO</w:t>
            </w:r>
          </w:p>
        </w:tc>
      </w:tr>
      <w:tr w:rsidR="00182F98" w:rsidRPr="000A5DBC" w14:paraId="02F4370D" w14:textId="77777777" w:rsidTr="002F3893">
        <w:trPr>
          <w:trHeight w:val="145"/>
        </w:trPr>
        <w:tc>
          <w:tcPr>
            <w:tcW w:w="1806" w:type="dxa"/>
            <w:shd w:val="clear" w:color="auto" w:fill="auto"/>
            <w:tcMar>
              <w:left w:w="0" w:type="dxa"/>
            </w:tcMar>
          </w:tcPr>
          <w:p w14:paraId="39494220" w14:textId="77777777" w:rsidR="00182F98" w:rsidRPr="000A5DBC" w:rsidRDefault="00182F98" w:rsidP="00182F98">
            <w:pPr>
              <w:pStyle w:val="Marginlie"/>
              <w:rPr>
                <w:lang w:val="en-GB"/>
              </w:rPr>
            </w:pPr>
            <w:r w:rsidRPr="000A5DBC">
              <w:rPr>
                <w:lang w:val="en-GB"/>
              </w:rPr>
              <w:t xml:space="preserve">Dynamic development of information and </w:t>
            </w:r>
            <w:r w:rsidRPr="000A5DBC">
              <w:rPr>
                <w:lang w:val="en-GB"/>
              </w:rPr>
              <w:lastRenderedPageBreak/>
              <w:t xml:space="preserve">communication continued. </w:t>
            </w:r>
          </w:p>
        </w:tc>
        <w:tc>
          <w:tcPr>
            <w:tcW w:w="223" w:type="dxa"/>
            <w:shd w:val="clear" w:color="auto" w:fill="auto"/>
            <w:tcMar>
              <w:left w:w="0" w:type="dxa"/>
            </w:tcMar>
          </w:tcPr>
          <w:p w14:paraId="4A7AA72E" w14:textId="77777777" w:rsidR="00182F98" w:rsidRPr="000A5DBC" w:rsidRDefault="00182F98" w:rsidP="00182F98">
            <w:pPr>
              <w:pStyle w:val="Textpoznpodarou"/>
              <w:jc w:val="both"/>
              <w:rPr>
                <w:spacing w:val="-4"/>
                <w:lang w:val="en-GB"/>
              </w:rPr>
            </w:pPr>
          </w:p>
        </w:tc>
        <w:tc>
          <w:tcPr>
            <w:tcW w:w="7610" w:type="dxa"/>
            <w:shd w:val="clear" w:color="auto" w:fill="auto"/>
            <w:tcMar>
              <w:left w:w="0" w:type="dxa"/>
            </w:tcMar>
          </w:tcPr>
          <w:p w14:paraId="5E6C7C95" w14:textId="77777777" w:rsidR="00182F98" w:rsidRPr="000A5DBC" w:rsidRDefault="00182F98" w:rsidP="00182F98">
            <w:pPr>
              <w:rPr>
                <w:lang w:val="en-GB"/>
              </w:rPr>
            </w:pPr>
            <w:r w:rsidRPr="000A5DBC">
              <w:rPr>
                <w:lang w:val="en-GB"/>
              </w:rPr>
              <w:t xml:space="preserve">In Q4 itself, services almost exclusively contributed to the year-on-year growth (1.6 p.p.). </w:t>
            </w:r>
            <w:r w:rsidRPr="000A5DBC">
              <w:rPr>
                <w:rFonts w:cs="Arial"/>
                <w:szCs w:val="20"/>
                <w:lang w:val="en-GB"/>
              </w:rPr>
              <w:t>Public administration, education, health and social work</w:t>
            </w:r>
            <w:r w:rsidRPr="000A5DBC">
              <w:rPr>
                <w:lang w:val="en-GB"/>
              </w:rPr>
              <w:t xml:space="preserve"> the most (0.4 p.p.), </w:t>
            </w:r>
            <w:r w:rsidRPr="000A5DBC">
              <w:rPr>
                <w:lang w:val="en-GB"/>
              </w:rPr>
              <w:lastRenderedPageBreak/>
              <w:t>when the year-on-year dynamics accelerated to 2.3% towards the end of the year. Information and communication (year-on-year GVA addition 6.1%), real estate activities (3.6%) and professional, scientific, technical and administrative activities (3.7%) identically contributed 0.3 p.p. to the growth. Contribution of trade, transportation, accommodation and food service (0.2 p.p., GVA increase 1.1%) on the contrary weakened. In the last two years, the year-on-year GVA growth in construction was relatively solid (3.1% in Q4 2019), however preceding slumps caused the weight to shrink and consequently also to lower the contribution of the branch to the total growth (0.2 p.p.). GVA in manufacturing dropped by 0.3% year-on-year in Q4 and it thus hindered the total growth by 0.1 p.p.</w:t>
            </w:r>
          </w:p>
        </w:tc>
      </w:tr>
    </w:tbl>
    <w:p w14:paraId="09F2EFF0" w14:textId="67EC0F29" w:rsidR="00965797" w:rsidRPr="000A5DBC" w:rsidRDefault="00965797" w:rsidP="00C97121">
      <w:pPr>
        <w:spacing w:after="0" w:line="240" w:lineRule="auto"/>
        <w:jc w:val="left"/>
        <w:rPr>
          <w:b/>
          <w:sz w:val="2"/>
          <w:szCs w:val="2"/>
          <w:highlight w:val="yellow"/>
          <w:lang w:val="en-GB"/>
        </w:rPr>
      </w:pPr>
    </w:p>
    <w:sectPr w:rsidR="00965797" w:rsidRPr="000A5DBC" w:rsidSect="00C97121">
      <w:headerReference w:type="even" r:id="rId12"/>
      <w:headerReference w:type="default" r:id="rId13"/>
      <w:footerReference w:type="even" r:id="rId14"/>
      <w:footerReference w:type="default" r:id="rId15"/>
      <w:pgSz w:w="11906" w:h="16838" w:code="9"/>
      <w:pgMar w:top="1134" w:right="1134" w:bottom="1418" w:left="1134" w:header="680" w:footer="73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E3F86" w14:textId="77777777" w:rsidR="000F13F8" w:rsidRDefault="000F13F8" w:rsidP="00E71A58">
      <w:r>
        <w:separator/>
      </w:r>
    </w:p>
  </w:endnote>
  <w:endnote w:type="continuationSeparator" w:id="0">
    <w:p w14:paraId="50BA106C" w14:textId="77777777" w:rsidR="000F13F8" w:rsidRDefault="000F13F8"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84D79" w14:textId="22D2CA09" w:rsidR="00E71422" w:rsidRPr="00932443" w:rsidRDefault="00E71422" w:rsidP="00A418BC">
    <w:pPr>
      <w:pStyle w:val="Zpat"/>
      <w:rPr>
        <w:szCs w:val="16"/>
      </w:rPr>
    </w:pPr>
    <w:r>
      <w:rPr>
        <w:szCs w:val="16"/>
        <w:lang w:eastAsia="cs-CZ"/>
      </w:rPr>
      <w:drawing>
        <wp:anchor distT="0" distB="0" distL="114300" distR="114300" simplePos="0" relativeHeight="251667968" behindDoc="0" locked="0" layoutInCell="1" allowOverlap="1" wp14:anchorId="62B4BAC6" wp14:editId="4A6E1F69">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7B66F8">
      <w:rPr>
        <w:szCs w:val="16"/>
      </w:rPr>
      <w:t>20</w:t>
    </w:r>
    <w:r w:rsidRPr="00932443">
      <w:rPr>
        <w:szCs w:val="16"/>
      </w:rPr>
      <w:fldChar w:fldCharType="end"/>
    </w:r>
    <w:r w:rsidRPr="00932443">
      <w:rPr>
        <w:szCs w:val="16"/>
      </w:rPr>
      <w:tab/>
    </w:r>
    <w:r>
      <w:rPr>
        <w:szCs w:val="16"/>
      </w:rPr>
      <w:t>Year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BC6B5" w14:textId="5DA60D38" w:rsidR="00E71422" w:rsidRPr="00932443" w:rsidRDefault="00E71422" w:rsidP="00FA6CB6">
    <w:pPr>
      <w:pStyle w:val="Zpat"/>
      <w:rPr>
        <w:szCs w:val="16"/>
      </w:rPr>
    </w:pPr>
    <w:r w:rsidRPr="00FA6CB6">
      <w:rPr>
        <w:szCs w:val="16"/>
      </w:rPr>
      <w:tab/>
    </w:r>
    <w:r>
      <w:rPr>
        <w:szCs w:val="16"/>
      </w:rPr>
      <w:t xml:space="preserve">Year </w:t>
    </w:r>
    <w:r>
      <w:rPr>
        <w:szCs w:val="16"/>
        <w:lang w:eastAsia="cs-CZ"/>
      </w:rPr>
      <w:drawing>
        <wp:anchor distT="0" distB="0" distL="114300" distR="114300" simplePos="0" relativeHeight="251658752" behindDoc="0" locked="0" layoutInCell="1" allowOverlap="1" wp14:anchorId="7DB7E50B" wp14:editId="12DAD866">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7B66F8">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5C7C6" w14:textId="77777777" w:rsidR="000F13F8" w:rsidRDefault="000F13F8" w:rsidP="00A21B4D">
      <w:pPr>
        <w:spacing w:after="0"/>
      </w:pPr>
      <w:r>
        <w:separator/>
      </w:r>
    </w:p>
  </w:footnote>
  <w:footnote w:type="continuationSeparator" w:id="0">
    <w:p w14:paraId="693BB67F" w14:textId="77777777" w:rsidR="000F13F8" w:rsidRDefault="000F13F8" w:rsidP="00E71A58">
      <w:r>
        <w:continuationSeparator/>
      </w:r>
    </w:p>
  </w:footnote>
  <w:footnote w:id="1">
    <w:p w14:paraId="46D30A2F" w14:textId="77777777" w:rsidR="00E71422" w:rsidRPr="00CE719A" w:rsidRDefault="00E71422" w:rsidP="00CE719A">
      <w:pPr>
        <w:pStyle w:val="Textpoznpodarou"/>
        <w:jc w:val="both"/>
        <w:rPr>
          <w:sz w:val="16"/>
          <w:szCs w:val="16"/>
          <w:lang w:val="en-GB"/>
        </w:rPr>
      </w:pPr>
      <w:r w:rsidRPr="00EF1EE3">
        <w:rPr>
          <w:rStyle w:val="Znakapoznpodarou"/>
          <w:sz w:val="16"/>
          <w:szCs w:val="16"/>
        </w:rPr>
        <w:footnoteRef/>
      </w:r>
      <w:r w:rsidRPr="00EF1EE3">
        <w:rPr>
          <w:sz w:val="16"/>
          <w:szCs w:val="16"/>
        </w:rPr>
        <w:t xml:space="preserve"> </w:t>
      </w:r>
      <w:r w:rsidRPr="00CE719A">
        <w:rPr>
          <w:sz w:val="16"/>
          <w:szCs w:val="16"/>
          <w:lang w:val="en-GB"/>
        </w:rPr>
        <w:t>The development of the GDP, gross value added and their components is expressed with the help of the volume indices (i.e. adjusted for changes in prices) and adjusted for seasonal and calendar effects. Data are valid as of 31st March 2020.</w:t>
      </w:r>
    </w:p>
  </w:footnote>
  <w:footnote w:id="2">
    <w:p w14:paraId="293A7CE0" w14:textId="77777777" w:rsidR="00E71422" w:rsidRPr="00CE719A" w:rsidRDefault="00E71422" w:rsidP="00CE719A">
      <w:pPr>
        <w:pStyle w:val="Textpoznpodarou"/>
        <w:jc w:val="both"/>
        <w:rPr>
          <w:sz w:val="16"/>
          <w:szCs w:val="16"/>
          <w:lang w:val="en-GB"/>
        </w:rPr>
      </w:pPr>
      <w:r w:rsidRPr="00CE719A">
        <w:rPr>
          <w:rStyle w:val="Znakapoznpodarou"/>
          <w:sz w:val="16"/>
          <w:szCs w:val="16"/>
          <w:lang w:val="en-GB"/>
        </w:rPr>
        <w:footnoteRef/>
      </w:r>
      <w:r>
        <w:rPr>
          <w:sz w:val="16"/>
          <w:szCs w:val="16"/>
          <w:lang w:val="en-GB"/>
        </w:rPr>
        <w:t xml:space="preserve"> </w:t>
      </w:r>
      <w:r w:rsidRPr="003E68E3">
        <w:rPr>
          <w:sz w:val="16"/>
          <w:szCs w:val="16"/>
          <w:lang w:val="en-GB"/>
        </w:rPr>
        <w:t>Additions to the GDP change after exclusion of imports for final use.</w:t>
      </w:r>
    </w:p>
  </w:footnote>
  <w:footnote w:id="3">
    <w:p w14:paraId="43D56202" w14:textId="77777777" w:rsidR="00E71422" w:rsidRPr="00DF4E3C" w:rsidRDefault="00E71422" w:rsidP="004F4E00">
      <w:pPr>
        <w:pStyle w:val="Textpoznpodarou"/>
        <w:jc w:val="both"/>
        <w:rPr>
          <w:lang w:val="en-GB"/>
        </w:rPr>
      </w:pPr>
      <w:r w:rsidRPr="009C6EA8">
        <w:rPr>
          <w:rStyle w:val="Znakapoznpodarou"/>
          <w:sz w:val="16"/>
          <w:szCs w:val="16"/>
        </w:rPr>
        <w:footnoteRef/>
      </w:r>
      <w:r w:rsidRPr="009C6EA8">
        <w:rPr>
          <w:sz w:val="16"/>
          <w:szCs w:val="16"/>
        </w:rPr>
        <w:t xml:space="preserve"> </w:t>
      </w:r>
      <w:r w:rsidRPr="00DF4E3C">
        <w:rPr>
          <w:sz w:val="16"/>
          <w:szCs w:val="16"/>
          <w:lang w:val="en-GB"/>
        </w:rPr>
        <w:t xml:space="preserve">Employment in the national accounts conception, data adjusted for seasonal effects. </w:t>
      </w:r>
    </w:p>
  </w:footnote>
  <w:footnote w:id="4">
    <w:p w14:paraId="6C1DCF40" w14:textId="77777777" w:rsidR="00E71422" w:rsidRPr="00DF4E3C" w:rsidRDefault="00E71422" w:rsidP="004F4E00">
      <w:pPr>
        <w:pStyle w:val="Textpoznpodarou"/>
        <w:jc w:val="both"/>
        <w:rPr>
          <w:sz w:val="16"/>
          <w:szCs w:val="16"/>
          <w:lang w:val="en-GB"/>
        </w:rPr>
      </w:pPr>
      <w:r w:rsidRPr="00DF4E3C">
        <w:rPr>
          <w:rStyle w:val="Znakapoznpodarou"/>
          <w:sz w:val="16"/>
          <w:szCs w:val="16"/>
          <w:lang w:val="en-GB"/>
        </w:rPr>
        <w:footnoteRef/>
      </w:r>
      <w:r w:rsidRPr="00DF4E3C">
        <w:rPr>
          <w:sz w:val="16"/>
          <w:szCs w:val="16"/>
          <w:lang w:val="en-GB"/>
        </w:rPr>
        <w:t xml:space="preserve"> Converted into the real expression using the deflator of final consumption expenditure of households. </w:t>
      </w:r>
    </w:p>
  </w:footnote>
  <w:footnote w:id="5">
    <w:p w14:paraId="4EA4B300" w14:textId="77777777" w:rsidR="00E71422" w:rsidRPr="00DF4E3C" w:rsidRDefault="00E71422" w:rsidP="004F4E00">
      <w:pPr>
        <w:autoSpaceDE w:val="0"/>
        <w:autoSpaceDN w:val="0"/>
        <w:adjustRightInd w:val="0"/>
        <w:spacing w:after="0" w:line="240" w:lineRule="auto"/>
        <w:rPr>
          <w:rFonts w:cs="Arial"/>
          <w:sz w:val="16"/>
          <w:szCs w:val="16"/>
          <w:lang w:val="en-GB"/>
        </w:rPr>
      </w:pPr>
      <w:r w:rsidRPr="00DF4E3C">
        <w:rPr>
          <w:rStyle w:val="Znakapoznpodarou"/>
          <w:rFonts w:cs="Arial"/>
          <w:sz w:val="16"/>
          <w:szCs w:val="16"/>
          <w:lang w:val="en-GB"/>
        </w:rPr>
        <w:footnoteRef/>
      </w:r>
      <w:r w:rsidRPr="00DF4E3C">
        <w:rPr>
          <w:rFonts w:cs="Arial"/>
          <w:sz w:val="16"/>
          <w:szCs w:val="16"/>
          <w:lang w:val="en-GB"/>
        </w:rPr>
        <w:t xml:space="preserve"> </w:t>
      </w:r>
      <w:r w:rsidRPr="004F4E00">
        <w:rPr>
          <w:rFonts w:cs="Arial"/>
          <w:sz w:val="16"/>
          <w:szCs w:val="16"/>
          <w:lang w:val="en-GB"/>
        </w:rPr>
        <w:t>The profit rate of non-financial corporations is defined as the gross operating surplus divided by the gross value added (B.2g/B.1g). The indicator refers to profitability of production factors from the production process.</w:t>
      </w:r>
    </w:p>
  </w:footnote>
  <w:footnote w:id="6">
    <w:p w14:paraId="1F73DE72" w14:textId="77777777" w:rsidR="00E71422" w:rsidRPr="00DF4E3C" w:rsidRDefault="00E71422" w:rsidP="004F4E00">
      <w:pPr>
        <w:pStyle w:val="Textpoznpodarou"/>
        <w:jc w:val="both"/>
        <w:rPr>
          <w:sz w:val="16"/>
          <w:szCs w:val="16"/>
          <w:lang w:val="en-GB"/>
        </w:rPr>
      </w:pPr>
      <w:r w:rsidRPr="00DF4E3C">
        <w:rPr>
          <w:rStyle w:val="Znakapoznpodarou"/>
          <w:sz w:val="16"/>
          <w:szCs w:val="16"/>
          <w:lang w:val="en-GB"/>
        </w:rPr>
        <w:footnoteRef/>
      </w:r>
      <w:r w:rsidRPr="00DF4E3C">
        <w:rPr>
          <w:sz w:val="16"/>
          <w:szCs w:val="16"/>
          <w:lang w:val="en-GB"/>
        </w:rPr>
        <w:t xml:space="preserve"> Public administration, education, health and social work. </w:t>
      </w:r>
    </w:p>
  </w:footnote>
  <w:footnote w:id="7">
    <w:p w14:paraId="3B296DEB" w14:textId="77777777" w:rsidR="00E71422" w:rsidRPr="004816C8" w:rsidRDefault="00E71422" w:rsidP="004816C8">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4816C8">
        <w:rPr>
          <w:sz w:val="16"/>
          <w:szCs w:val="16"/>
          <w:lang w:val="en-GB"/>
        </w:rPr>
        <w:t xml:space="preserve">Data regarding consumption based on durability are in domestic conception and not seasonally adjusted. </w:t>
      </w:r>
    </w:p>
  </w:footnote>
  <w:footnote w:id="8">
    <w:p w14:paraId="3F6A942E" w14:textId="77777777" w:rsidR="00E71422" w:rsidRPr="003D6F54" w:rsidRDefault="00E71422" w:rsidP="004816C8">
      <w:pPr>
        <w:autoSpaceDE w:val="0"/>
        <w:autoSpaceDN w:val="0"/>
        <w:adjustRightInd w:val="0"/>
        <w:spacing w:after="0" w:line="240" w:lineRule="auto"/>
        <w:rPr>
          <w:rFonts w:cs="Arial"/>
          <w:sz w:val="16"/>
          <w:szCs w:val="16"/>
        </w:rPr>
      </w:pPr>
      <w:r w:rsidRPr="003D6F54">
        <w:rPr>
          <w:rStyle w:val="Znakapoznpodarou"/>
          <w:rFonts w:cs="Arial"/>
          <w:sz w:val="16"/>
          <w:szCs w:val="16"/>
        </w:rPr>
        <w:footnoteRef/>
      </w:r>
      <w:r w:rsidRPr="003D6F54">
        <w:rPr>
          <w:rFonts w:cs="Arial"/>
          <w:sz w:val="16"/>
          <w:szCs w:val="16"/>
        </w:rPr>
        <w:t xml:space="preserve"> </w:t>
      </w:r>
      <w:r w:rsidRPr="001A2A11">
        <w:rPr>
          <w:rFonts w:cs="Arial"/>
          <w:sz w:val="16"/>
          <w:szCs w:val="16"/>
          <w:lang w:val="en-GB"/>
        </w:rPr>
        <w:t>The household saving rate is defined as gross saving divided by gross disposable income, with the latter including the change in the net equity of households in pension funds reserves (B.8g/(B.6g+D.8)). Gross saving is the part of the gross disposable income that has not been spent as final consumption expenditure.</w:t>
      </w:r>
    </w:p>
  </w:footnote>
  <w:footnote w:id="9">
    <w:p w14:paraId="76C3914F" w14:textId="77777777" w:rsidR="00E71422" w:rsidRPr="001003BB" w:rsidRDefault="00E71422" w:rsidP="004816C8">
      <w:pPr>
        <w:autoSpaceDE w:val="0"/>
        <w:autoSpaceDN w:val="0"/>
        <w:adjustRightInd w:val="0"/>
        <w:spacing w:after="0" w:line="240" w:lineRule="auto"/>
        <w:rPr>
          <w:rFonts w:cs="Arial"/>
          <w:sz w:val="16"/>
          <w:szCs w:val="16"/>
        </w:rPr>
      </w:pPr>
      <w:r w:rsidRPr="001003BB">
        <w:rPr>
          <w:rStyle w:val="Znakapoznpodarou"/>
          <w:rFonts w:cs="Arial"/>
          <w:sz w:val="16"/>
          <w:szCs w:val="16"/>
        </w:rPr>
        <w:footnoteRef/>
      </w:r>
      <w:r w:rsidRPr="001003BB">
        <w:rPr>
          <w:rFonts w:cs="Arial"/>
          <w:sz w:val="16"/>
          <w:szCs w:val="16"/>
        </w:rPr>
        <w:t xml:space="preserve"> </w:t>
      </w:r>
      <w:r w:rsidRPr="004816C8">
        <w:rPr>
          <w:rFonts w:cs="Arial"/>
          <w:sz w:val="16"/>
          <w:szCs w:val="16"/>
          <w:lang w:val="en-GB"/>
        </w:rPr>
        <w:t>Average monthly income of households per person in nominal terms</w:t>
      </w:r>
      <w:r>
        <w:rPr>
          <w:rFonts w:cs="Arial"/>
          <w:sz w:val="16"/>
          <w:szCs w:val="16"/>
          <w:lang w:val="en-GB"/>
        </w:rPr>
        <w:t xml:space="preserve"> </w:t>
      </w:r>
      <w:r w:rsidRPr="004816C8">
        <w:rPr>
          <w:rFonts w:cs="Arial"/>
          <w:sz w:val="16"/>
          <w:szCs w:val="16"/>
          <w:lang w:val="en-GB"/>
        </w:rPr>
        <w:t>is defined as a ratio of adjusted household disposable income and</w:t>
      </w:r>
      <w:r>
        <w:rPr>
          <w:rFonts w:cs="Arial"/>
          <w:sz w:val="16"/>
          <w:szCs w:val="16"/>
          <w:lang w:val="en-GB"/>
        </w:rPr>
        <w:t xml:space="preserve"> median value </w:t>
      </w:r>
      <w:r w:rsidRPr="004816C8">
        <w:rPr>
          <w:rFonts w:cs="Arial"/>
          <w:sz w:val="16"/>
          <w:szCs w:val="16"/>
          <w:lang w:val="en-GB"/>
        </w:rPr>
        <w:t>of population.</w:t>
      </w:r>
      <w:r>
        <w:rPr>
          <w:rFonts w:cs="Arial"/>
          <w:sz w:val="16"/>
          <w:szCs w:val="16"/>
        </w:rPr>
        <w:t xml:space="preserve"> </w:t>
      </w:r>
    </w:p>
  </w:footnote>
  <w:footnote w:id="10">
    <w:p w14:paraId="47AA736B" w14:textId="77777777" w:rsidR="00E71422" w:rsidRPr="00871D46" w:rsidRDefault="00E71422" w:rsidP="004816C8">
      <w:pPr>
        <w:autoSpaceDE w:val="0"/>
        <w:autoSpaceDN w:val="0"/>
        <w:adjustRightInd w:val="0"/>
        <w:spacing w:after="0" w:line="240" w:lineRule="auto"/>
        <w:rPr>
          <w:rFonts w:cs="Arial"/>
          <w:sz w:val="16"/>
          <w:szCs w:val="16"/>
          <w:lang w:val="en-GB"/>
        </w:rPr>
      </w:pPr>
      <w:r w:rsidRPr="001003BB">
        <w:rPr>
          <w:rStyle w:val="Znakapoznpodarou"/>
          <w:rFonts w:cs="Arial"/>
          <w:sz w:val="16"/>
          <w:szCs w:val="16"/>
        </w:rPr>
        <w:footnoteRef/>
      </w:r>
      <w:r w:rsidRPr="001003BB">
        <w:rPr>
          <w:rFonts w:cs="Arial"/>
          <w:sz w:val="16"/>
          <w:szCs w:val="16"/>
        </w:rPr>
        <w:t xml:space="preserve"> </w:t>
      </w:r>
      <w:r w:rsidRPr="00871D46">
        <w:rPr>
          <w:rFonts w:cs="Arial"/>
          <w:sz w:val="16"/>
          <w:szCs w:val="16"/>
          <w:lang w:val="en-GB"/>
        </w:rPr>
        <w:t xml:space="preserve">Social benefits in kind </w:t>
      </w:r>
      <w:r w:rsidRPr="00871D46">
        <w:rPr>
          <w:rFonts w:eastAsia="Calibri" w:cs="Arial"/>
          <w:iCs/>
          <w:sz w:val="16"/>
          <w:szCs w:val="16"/>
          <w:lang w:val="en-GB" w:eastAsia="en-US"/>
        </w:rPr>
        <w:t>(D.63) include the value of individual services and goods provided by government institutions and non-profit institutions serving households (NISH) and also</w:t>
      </w:r>
      <w:r>
        <w:rPr>
          <w:rFonts w:eastAsia="Calibri" w:cs="Arial"/>
          <w:iCs/>
          <w:sz w:val="16"/>
          <w:szCs w:val="16"/>
          <w:lang w:val="en-GB" w:eastAsia="en-US"/>
        </w:rPr>
        <w:t xml:space="preserve"> material benefits provided by municipalities</w:t>
      </w:r>
      <w:r w:rsidRPr="00871D46">
        <w:rPr>
          <w:rFonts w:eastAsia="Calibri" w:cs="Arial"/>
          <w:iCs/>
          <w:sz w:val="16"/>
          <w:szCs w:val="16"/>
          <w:lang w:val="en-GB" w:eastAsia="en-US"/>
        </w:rPr>
        <w:t xml:space="preserve"> (including refunds of approved household expenditures for various types of products and services) and all values of non-market services of government institutions and NISH provided for individual consumption. </w:t>
      </w:r>
      <w:r w:rsidRPr="00871D46">
        <w:rPr>
          <w:rFonts w:eastAsia="Calibri" w:cs="Arial"/>
          <w:bCs/>
          <w:iCs/>
          <w:sz w:val="16"/>
          <w:szCs w:val="16"/>
          <w:lang w:val="en-GB" w:eastAsia="en-US"/>
        </w:rPr>
        <w:t>Individ</w:t>
      </w:r>
      <w:r>
        <w:rPr>
          <w:rFonts w:eastAsia="Calibri" w:cs="Arial"/>
          <w:bCs/>
          <w:iCs/>
          <w:sz w:val="16"/>
          <w:szCs w:val="16"/>
          <w:lang w:val="en-GB" w:eastAsia="en-US"/>
        </w:rPr>
        <w:t xml:space="preserve">ual services and goods granted to households by government institutions and non-profit institutions serving households represent a value of goods and services provided in the form of health and social care, education, housing etc. These are mainly in-kind benefits associated with the health insurance </w:t>
      </w:r>
      <w:r w:rsidRPr="00871D46">
        <w:rPr>
          <w:rFonts w:eastAsia="Calibri" w:cs="Arial"/>
          <w:iCs/>
          <w:sz w:val="16"/>
          <w:szCs w:val="16"/>
          <w:lang w:val="en-GB" w:eastAsia="en-US"/>
        </w:rPr>
        <w:t>(p</w:t>
      </w:r>
      <w:r>
        <w:rPr>
          <w:rFonts w:eastAsia="Calibri" w:cs="Arial"/>
          <w:iCs/>
          <w:sz w:val="16"/>
          <w:szCs w:val="16"/>
          <w:lang w:val="en-GB" w:eastAsia="en-US"/>
        </w:rPr>
        <w:t>ayments for health aids, medical, dental treatment, surgeries and the like</w:t>
      </w:r>
      <w:r w:rsidRPr="00871D46">
        <w:rPr>
          <w:rFonts w:eastAsia="Calibri" w:cs="Arial"/>
          <w:iCs/>
          <w:sz w:val="16"/>
          <w:szCs w:val="16"/>
          <w:lang w:val="en-GB" w:eastAsia="en-US"/>
        </w:rPr>
        <w:t>)</w:t>
      </w:r>
      <w:r>
        <w:rPr>
          <w:rFonts w:eastAsia="Calibri" w:cs="Arial"/>
          <w:iCs/>
          <w:sz w:val="16"/>
          <w:szCs w:val="16"/>
          <w:lang w:val="en-GB" w:eastAsia="en-US"/>
        </w:rPr>
        <w:t xml:space="preserve"> paid by the health insurance companies to those, who provide these goods and services. </w:t>
      </w:r>
    </w:p>
  </w:footnote>
  <w:footnote w:id="11">
    <w:p w14:paraId="711AA31D" w14:textId="77777777" w:rsidR="00E71422" w:rsidRPr="00871D46" w:rsidRDefault="00E71422" w:rsidP="004816C8">
      <w:pPr>
        <w:pStyle w:val="Textpoznpodarou"/>
        <w:jc w:val="both"/>
        <w:rPr>
          <w:sz w:val="16"/>
          <w:szCs w:val="16"/>
          <w:lang w:val="en-GB"/>
        </w:rPr>
      </w:pPr>
      <w:r w:rsidRPr="00871D46">
        <w:rPr>
          <w:rStyle w:val="Znakapoznpodarou"/>
          <w:sz w:val="16"/>
          <w:szCs w:val="16"/>
          <w:lang w:val="en-GB"/>
        </w:rPr>
        <w:footnoteRef/>
      </w:r>
      <w:r w:rsidRPr="00871D46">
        <w:rPr>
          <w:sz w:val="16"/>
          <w:szCs w:val="16"/>
          <w:lang w:val="en-GB"/>
        </w:rPr>
        <w:t xml:space="preserve"> </w:t>
      </w:r>
      <w:r>
        <w:rPr>
          <w:sz w:val="16"/>
          <w:szCs w:val="16"/>
          <w:lang w:val="en-GB"/>
        </w:rPr>
        <w:t xml:space="preserve">Adjusted by the deflator of final household consumption expenditure of households for year </w:t>
      </w:r>
      <w:r w:rsidRPr="00871D46">
        <w:rPr>
          <w:sz w:val="16"/>
          <w:szCs w:val="16"/>
          <w:lang w:val="en-GB"/>
        </w:rPr>
        <w:t>2019.</w:t>
      </w:r>
    </w:p>
  </w:footnote>
  <w:footnote w:id="12">
    <w:p w14:paraId="25F0882C" w14:textId="77777777" w:rsidR="00E71422" w:rsidRPr="004E4C02" w:rsidRDefault="00E71422" w:rsidP="004E4C02">
      <w:pPr>
        <w:pStyle w:val="Textpoznpodarou"/>
        <w:jc w:val="both"/>
        <w:rPr>
          <w:sz w:val="16"/>
          <w:szCs w:val="16"/>
          <w:lang w:val="en-GB"/>
        </w:rPr>
      </w:pPr>
      <w:r w:rsidRPr="00457568">
        <w:rPr>
          <w:rStyle w:val="Znakapoznpodarou"/>
          <w:sz w:val="16"/>
          <w:szCs w:val="16"/>
        </w:rPr>
        <w:footnoteRef/>
      </w:r>
      <w:r w:rsidRPr="00457568">
        <w:rPr>
          <w:sz w:val="16"/>
          <w:szCs w:val="16"/>
        </w:rPr>
        <w:t xml:space="preserve"> </w:t>
      </w:r>
      <w:r w:rsidRPr="004E4C02">
        <w:rPr>
          <w:sz w:val="16"/>
          <w:szCs w:val="16"/>
          <w:lang w:val="en-GB"/>
        </w:rPr>
        <w:t xml:space="preserve">The change in the inventory stock amounted to +19.9 CZK bn, which is by 16.2 bn more than in the same period of the preceding year. Quarter-on-quarter comparison also reveals, that the </w:t>
      </w:r>
      <w:r>
        <w:rPr>
          <w:sz w:val="16"/>
          <w:szCs w:val="16"/>
          <w:lang w:val="en-GB"/>
        </w:rPr>
        <w:t>c</w:t>
      </w:r>
      <w:r w:rsidRPr="004E4C02">
        <w:rPr>
          <w:sz w:val="16"/>
          <w:szCs w:val="16"/>
          <w:lang w:val="en-GB"/>
        </w:rPr>
        <w:t>hange in the</w:t>
      </w:r>
      <w:r>
        <w:rPr>
          <w:sz w:val="16"/>
          <w:szCs w:val="16"/>
          <w:lang w:val="en-GB"/>
        </w:rPr>
        <w:t xml:space="preserve"> </w:t>
      </w:r>
      <w:r w:rsidRPr="004E4C02">
        <w:rPr>
          <w:sz w:val="16"/>
          <w:szCs w:val="16"/>
          <w:lang w:val="en-GB"/>
        </w:rPr>
        <w:t>inventory stock</w:t>
      </w:r>
      <w:r>
        <w:rPr>
          <w:sz w:val="16"/>
          <w:szCs w:val="16"/>
          <w:lang w:val="en-GB"/>
        </w:rPr>
        <w:t xml:space="preserve"> substantially supported the growth of expenditures on gross capital formation. </w:t>
      </w:r>
      <w:r w:rsidRPr="004E4C02">
        <w:rPr>
          <w:sz w:val="16"/>
          <w:szCs w:val="16"/>
          <w:lang w:val="en-GB"/>
        </w:rPr>
        <w:t xml:space="preserve">  </w:t>
      </w:r>
    </w:p>
  </w:footnote>
  <w:footnote w:id="13">
    <w:p w14:paraId="17A4C48C" w14:textId="77777777" w:rsidR="00E71422" w:rsidRPr="004E4C02" w:rsidRDefault="00E71422" w:rsidP="004E4C02">
      <w:pPr>
        <w:autoSpaceDE w:val="0"/>
        <w:autoSpaceDN w:val="0"/>
        <w:adjustRightInd w:val="0"/>
        <w:spacing w:after="0" w:line="240" w:lineRule="auto"/>
        <w:rPr>
          <w:rFonts w:cs="Arial"/>
          <w:sz w:val="16"/>
          <w:szCs w:val="16"/>
          <w:lang w:val="en-GB"/>
        </w:rPr>
      </w:pPr>
      <w:r w:rsidRPr="004E4C02">
        <w:rPr>
          <w:rStyle w:val="Znakapoznpodarou"/>
          <w:rFonts w:cs="Arial"/>
          <w:sz w:val="16"/>
          <w:szCs w:val="16"/>
          <w:lang w:val="en-GB"/>
        </w:rPr>
        <w:footnoteRef/>
      </w:r>
      <w:r w:rsidRPr="004E4C02">
        <w:rPr>
          <w:rFonts w:cs="Arial"/>
          <w:sz w:val="16"/>
          <w:szCs w:val="16"/>
          <w:lang w:val="en-GB"/>
        </w:rPr>
        <w:t xml:space="preserve"> </w:t>
      </w:r>
      <w:r w:rsidRPr="00B661EB">
        <w:rPr>
          <w:rFonts w:cs="Arial"/>
          <w:sz w:val="16"/>
          <w:szCs w:val="16"/>
          <w:lang w:val="en-GB"/>
        </w:rPr>
        <w:t>The investment rate of non-financial corporations is defined as the gross fixed capital formation divided by the gross value added (P.51g/B.1g). The indicator refers to the investments in non-financial assets (buildings, machinery etc.) divided by the value created during the production process.</w:t>
      </w:r>
    </w:p>
  </w:footnote>
  <w:footnote w:id="14">
    <w:p w14:paraId="2714EA0E" w14:textId="77777777" w:rsidR="00E71422" w:rsidRPr="00715E3C" w:rsidRDefault="00E71422" w:rsidP="00715E3C">
      <w:pPr>
        <w:autoSpaceDE w:val="0"/>
        <w:autoSpaceDN w:val="0"/>
        <w:adjustRightInd w:val="0"/>
        <w:spacing w:after="0" w:line="240" w:lineRule="auto"/>
        <w:rPr>
          <w:rFonts w:cs="Arial"/>
          <w:sz w:val="16"/>
          <w:szCs w:val="16"/>
          <w:lang w:val="en-GB"/>
        </w:rPr>
      </w:pPr>
      <w:r w:rsidRPr="00715E3C">
        <w:rPr>
          <w:rStyle w:val="Znakapoznpodarou"/>
          <w:rFonts w:cs="Arial"/>
          <w:sz w:val="16"/>
          <w:szCs w:val="16"/>
          <w:lang w:val="en-GB"/>
        </w:rPr>
        <w:footnoteRef/>
      </w:r>
      <w:r w:rsidRPr="00715E3C">
        <w:rPr>
          <w:rFonts w:cs="Arial"/>
          <w:sz w:val="16"/>
          <w:szCs w:val="16"/>
          <w:lang w:val="en-GB"/>
        </w:rPr>
        <w:t xml:space="preserve"> The investment rate of households is defined as the gross fixed capital formation divided</w:t>
      </w:r>
      <w:r>
        <w:rPr>
          <w:rFonts w:cs="Arial"/>
          <w:sz w:val="16"/>
          <w:szCs w:val="16"/>
          <w:lang w:val="en-GB"/>
        </w:rPr>
        <w:t xml:space="preserve"> by </w:t>
      </w:r>
      <w:r w:rsidRPr="00715E3C">
        <w:rPr>
          <w:rFonts w:cs="Arial"/>
          <w:sz w:val="16"/>
          <w:szCs w:val="16"/>
          <w:lang w:val="en-GB"/>
        </w:rPr>
        <w:t xml:space="preserve">the gross disposable income including the adjustment for net share of households in pension funds reserves </w:t>
      </w:r>
      <w:r w:rsidRPr="00715E3C">
        <w:rPr>
          <w:rFonts w:eastAsia="Calibri" w:cs="Arial"/>
          <w:iCs/>
          <w:sz w:val="16"/>
          <w:szCs w:val="16"/>
          <w:lang w:val="en-GB" w:eastAsia="en-US"/>
        </w:rPr>
        <w:t>(P.51g/(B.6g+D.8)).</w:t>
      </w:r>
    </w:p>
  </w:footnote>
  <w:footnote w:id="15">
    <w:p w14:paraId="6863E197" w14:textId="77777777" w:rsidR="00E71422" w:rsidRPr="00715E3C" w:rsidRDefault="00E71422" w:rsidP="00715E3C">
      <w:pPr>
        <w:pStyle w:val="Textpoznpodarou"/>
        <w:jc w:val="both"/>
        <w:rPr>
          <w:sz w:val="16"/>
          <w:szCs w:val="16"/>
          <w:lang w:val="en-GB"/>
        </w:rPr>
      </w:pPr>
      <w:r w:rsidRPr="00715E3C">
        <w:rPr>
          <w:rStyle w:val="Znakapoznpodarou"/>
          <w:sz w:val="16"/>
          <w:szCs w:val="16"/>
          <w:lang w:val="en-GB"/>
        </w:rPr>
        <w:footnoteRef/>
      </w:r>
      <w:r w:rsidRPr="00715E3C">
        <w:rPr>
          <w:rFonts w:cs="Arial"/>
          <w:sz w:val="16"/>
          <w:szCs w:val="16"/>
          <w:lang w:val="en-GB"/>
        </w:rPr>
        <w:t xml:space="preserve"> Data regarding the type classification of gross fixed capital formation are not seasonally adjusted.</w:t>
      </w:r>
    </w:p>
  </w:footnote>
  <w:footnote w:id="16">
    <w:p w14:paraId="5AD25B22" w14:textId="77777777" w:rsidR="00E71422" w:rsidRPr="00167B30" w:rsidRDefault="00E71422" w:rsidP="00715E3C">
      <w:pPr>
        <w:pStyle w:val="Textpoznpodarou"/>
        <w:jc w:val="both"/>
        <w:rPr>
          <w:sz w:val="16"/>
          <w:szCs w:val="16"/>
        </w:rPr>
      </w:pPr>
      <w:r w:rsidRPr="00715E3C">
        <w:rPr>
          <w:rStyle w:val="Znakapoznpodarou"/>
          <w:sz w:val="16"/>
          <w:szCs w:val="16"/>
          <w:lang w:val="en-GB"/>
        </w:rPr>
        <w:footnoteRef/>
      </w:r>
      <w:r w:rsidRPr="00715E3C">
        <w:rPr>
          <w:sz w:val="16"/>
          <w:szCs w:val="16"/>
          <w:lang w:val="en-GB"/>
        </w:rPr>
        <w:t xml:space="preserve"> According to the methodology of quarterly national accounts (export and import in FOB/FOB prices).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3B45C" w14:textId="77777777" w:rsidR="00E71422" w:rsidRPr="00A12F0E" w:rsidRDefault="00E71422" w:rsidP="00937AE2">
    <w:pPr>
      <w:pStyle w:val="Zhlav"/>
      <w:rPr>
        <w:lang w:val="en-GB"/>
      </w:rPr>
    </w:pPr>
    <w:r w:rsidRPr="00A12F0E">
      <w:rPr>
        <w:lang w:val="en-GB"/>
      </w:rPr>
      <w:t xml:space="preserve">The Czech Economy Development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582F2" w14:textId="77777777" w:rsidR="00E71422" w:rsidRPr="000F79D5" w:rsidRDefault="00E71422" w:rsidP="00937AE2">
    <w:pPr>
      <w:pStyle w:val="Zhlav"/>
      <w:rPr>
        <w:lang w:val="en-GB"/>
      </w:rPr>
    </w:pPr>
    <w:r w:rsidRPr="000F79D5">
      <w:rPr>
        <w:lang w:val="en-GB"/>
      </w:rPr>
      <w:t>The Czech Economy Development</w:t>
    </w:r>
  </w:p>
  <w:p w14:paraId="0DDD5F40" w14:textId="77777777" w:rsidR="00E71422" w:rsidRPr="006F5416" w:rsidRDefault="00E71422"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5pt;height:11.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B55"/>
    <w:rsid w:val="00001487"/>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560"/>
    <w:rsid w:val="0001387D"/>
    <w:rsid w:val="00016420"/>
    <w:rsid w:val="00017775"/>
    <w:rsid w:val="00017B01"/>
    <w:rsid w:val="000205D1"/>
    <w:rsid w:val="00020F22"/>
    <w:rsid w:val="0002195D"/>
    <w:rsid w:val="000228AE"/>
    <w:rsid w:val="000233D1"/>
    <w:rsid w:val="000234D6"/>
    <w:rsid w:val="00023D29"/>
    <w:rsid w:val="00024348"/>
    <w:rsid w:val="00026389"/>
    <w:rsid w:val="000279E5"/>
    <w:rsid w:val="00031AE0"/>
    <w:rsid w:val="00031BB2"/>
    <w:rsid w:val="000322EF"/>
    <w:rsid w:val="00033A2D"/>
    <w:rsid w:val="00033FCD"/>
    <w:rsid w:val="00034DF7"/>
    <w:rsid w:val="00034E68"/>
    <w:rsid w:val="000350C8"/>
    <w:rsid w:val="00036195"/>
    <w:rsid w:val="000366B2"/>
    <w:rsid w:val="000374B2"/>
    <w:rsid w:val="000376C0"/>
    <w:rsid w:val="000403A7"/>
    <w:rsid w:val="00040453"/>
    <w:rsid w:val="00040632"/>
    <w:rsid w:val="00041AFC"/>
    <w:rsid w:val="00041BB2"/>
    <w:rsid w:val="00041CEC"/>
    <w:rsid w:val="00044183"/>
    <w:rsid w:val="0004431D"/>
    <w:rsid w:val="00044FD1"/>
    <w:rsid w:val="0004694F"/>
    <w:rsid w:val="00046F2F"/>
    <w:rsid w:val="00047AD4"/>
    <w:rsid w:val="00047D54"/>
    <w:rsid w:val="00047E68"/>
    <w:rsid w:val="00050477"/>
    <w:rsid w:val="00050981"/>
    <w:rsid w:val="00051506"/>
    <w:rsid w:val="000522E4"/>
    <w:rsid w:val="00053713"/>
    <w:rsid w:val="0005434E"/>
    <w:rsid w:val="0005510F"/>
    <w:rsid w:val="00055CB6"/>
    <w:rsid w:val="000572DD"/>
    <w:rsid w:val="00057B1E"/>
    <w:rsid w:val="000610E1"/>
    <w:rsid w:val="000616AD"/>
    <w:rsid w:val="000622A6"/>
    <w:rsid w:val="00062BF9"/>
    <w:rsid w:val="00062EC5"/>
    <w:rsid w:val="00062F22"/>
    <w:rsid w:val="00063975"/>
    <w:rsid w:val="00063CEA"/>
    <w:rsid w:val="0006444D"/>
    <w:rsid w:val="000645FC"/>
    <w:rsid w:val="0006533F"/>
    <w:rsid w:val="00065348"/>
    <w:rsid w:val="00065662"/>
    <w:rsid w:val="00065A75"/>
    <w:rsid w:val="00066558"/>
    <w:rsid w:val="00070A87"/>
    <w:rsid w:val="000712B3"/>
    <w:rsid w:val="00072FF5"/>
    <w:rsid w:val="00073FB1"/>
    <w:rsid w:val="0007474E"/>
    <w:rsid w:val="00074988"/>
    <w:rsid w:val="0007512B"/>
    <w:rsid w:val="00075551"/>
    <w:rsid w:val="000767F5"/>
    <w:rsid w:val="00076D90"/>
    <w:rsid w:val="0007767F"/>
    <w:rsid w:val="00077A4E"/>
    <w:rsid w:val="00077BA9"/>
    <w:rsid w:val="00077FF0"/>
    <w:rsid w:val="00081A55"/>
    <w:rsid w:val="0008263E"/>
    <w:rsid w:val="00082C19"/>
    <w:rsid w:val="00082F89"/>
    <w:rsid w:val="000837CD"/>
    <w:rsid w:val="00083BEC"/>
    <w:rsid w:val="000847FF"/>
    <w:rsid w:val="00084BFF"/>
    <w:rsid w:val="00085395"/>
    <w:rsid w:val="00086896"/>
    <w:rsid w:val="00086AC1"/>
    <w:rsid w:val="00086D19"/>
    <w:rsid w:val="0008724C"/>
    <w:rsid w:val="00087634"/>
    <w:rsid w:val="00087F2B"/>
    <w:rsid w:val="00090694"/>
    <w:rsid w:val="00090FC6"/>
    <w:rsid w:val="0009111A"/>
    <w:rsid w:val="000913B1"/>
    <w:rsid w:val="0009239C"/>
    <w:rsid w:val="00093241"/>
    <w:rsid w:val="00094A84"/>
    <w:rsid w:val="00095025"/>
    <w:rsid w:val="00095135"/>
    <w:rsid w:val="00095C9F"/>
    <w:rsid w:val="0009626E"/>
    <w:rsid w:val="0009689A"/>
    <w:rsid w:val="00097191"/>
    <w:rsid w:val="000974D1"/>
    <w:rsid w:val="0009799E"/>
    <w:rsid w:val="000A07CB"/>
    <w:rsid w:val="000A0BC0"/>
    <w:rsid w:val="000A1183"/>
    <w:rsid w:val="000A212B"/>
    <w:rsid w:val="000A242D"/>
    <w:rsid w:val="000A256D"/>
    <w:rsid w:val="000A2D80"/>
    <w:rsid w:val="000A3361"/>
    <w:rsid w:val="000A3A2C"/>
    <w:rsid w:val="000A3D9E"/>
    <w:rsid w:val="000A4A54"/>
    <w:rsid w:val="000A4ED9"/>
    <w:rsid w:val="000A5DB7"/>
    <w:rsid w:val="000A5DBC"/>
    <w:rsid w:val="000A62F6"/>
    <w:rsid w:val="000A6AFE"/>
    <w:rsid w:val="000A6D94"/>
    <w:rsid w:val="000A7377"/>
    <w:rsid w:val="000A7FF4"/>
    <w:rsid w:val="000B03CC"/>
    <w:rsid w:val="000B095B"/>
    <w:rsid w:val="000B4212"/>
    <w:rsid w:val="000B4999"/>
    <w:rsid w:val="000B624C"/>
    <w:rsid w:val="000B73B6"/>
    <w:rsid w:val="000C0EA8"/>
    <w:rsid w:val="000C13A2"/>
    <w:rsid w:val="000C21E7"/>
    <w:rsid w:val="000C23EC"/>
    <w:rsid w:val="000C272A"/>
    <w:rsid w:val="000C30C3"/>
    <w:rsid w:val="000C3408"/>
    <w:rsid w:val="000C35AB"/>
    <w:rsid w:val="000C3F7B"/>
    <w:rsid w:val="000C4769"/>
    <w:rsid w:val="000C4D56"/>
    <w:rsid w:val="000C57C9"/>
    <w:rsid w:val="000C5DFA"/>
    <w:rsid w:val="000C632E"/>
    <w:rsid w:val="000C6AFD"/>
    <w:rsid w:val="000C6C90"/>
    <w:rsid w:val="000D0A26"/>
    <w:rsid w:val="000D0D6B"/>
    <w:rsid w:val="000D29A2"/>
    <w:rsid w:val="000D3058"/>
    <w:rsid w:val="000D310A"/>
    <w:rsid w:val="000D3EF4"/>
    <w:rsid w:val="000D41D5"/>
    <w:rsid w:val="000D4E3C"/>
    <w:rsid w:val="000D5637"/>
    <w:rsid w:val="000D581B"/>
    <w:rsid w:val="000D6F4E"/>
    <w:rsid w:val="000E0E96"/>
    <w:rsid w:val="000E298B"/>
    <w:rsid w:val="000E2C7D"/>
    <w:rsid w:val="000E37DB"/>
    <w:rsid w:val="000E37EB"/>
    <w:rsid w:val="000E440D"/>
    <w:rsid w:val="000E4655"/>
    <w:rsid w:val="000E4AC5"/>
    <w:rsid w:val="000E5A47"/>
    <w:rsid w:val="000E6253"/>
    <w:rsid w:val="000E6E4D"/>
    <w:rsid w:val="000E6FBD"/>
    <w:rsid w:val="000E6FCB"/>
    <w:rsid w:val="000E7033"/>
    <w:rsid w:val="000F090B"/>
    <w:rsid w:val="000F13F8"/>
    <w:rsid w:val="000F3F3B"/>
    <w:rsid w:val="000F47E8"/>
    <w:rsid w:val="000F70E4"/>
    <w:rsid w:val="000F76EA"/>
    <w:rsid w:val="000F79D5"/>
    <w:rsid w:val="00100F5C"/>
    <w:rsid w:val="00101CDA"/>
    <w:rsid w:val="00102037"/>
    <w:rsid w:val="00103DCB"/>
    <w:rsid w:val="00104C4C"/>
    <w:rsid w:val="00105015"/>
    <w:rsid w:val="001055D2"/>
    <w:rsid w:val="001057C2"/>
    <w:rsid w:val="00107996"/>
    <w:rsid w:val="0011038E"/>
    <w:rsid w:val="00110DB1"/>
    <w:rsid w:val="001125EF"/>
    <w:rsid w:val="00112CAB"/>
    <w:rsid w:val="00116D3F"/>
    <w:rsid w:val="00117474"/>
    <w:rsid w:val="0011758C"/>
    <w:rsid w:val="00117623"/>
    <w:rsid w:val="00117E24"/>
    <w:rsid w:val="00117FEA"/>
    <w:rsid w:val="001200CF"/>
    <w:rsid w:val="001205FF"/>
    <w:rsid w:val="001208E3"/>
    <w:rsid w:val="00121170"/>
    <w:rsid w:val="0012192F"/>
    <w:rsid w:val="00122994"/>
    <w:rsid w:val="00122D11"/>
    <w:rsid w:val="00123841"/>
    <w:rsid w:val="00123AD0"/>
    <w:rsid w:val="00123AD2"/>
    <w:rsid w:val="00124B46"/>
    <w:rsid w:val="001257E0"/>
    <w:rsid w:val="00125D69"/>
    <w:rsid w:val="001260F8"/>
    <w:rsid w:val="0012799C"/>
    <w:rsid w:val="00127BC2"/>
    <w:rsid w:val="00127E15"/>
    <w:rsid w:val="001302F1"/>
    <w:rsid w:val="00130ADC"/>
    <w:rsid w:val="00130D9F"/>
    <w:rsid w:val="00132C4D"/>
    <w:rsid w:val="00133FC1"/>
    <w:rsid w:val="00134429"/>
    <w:rsid w:val="00134659"/>
    <w:rsid w:val="001405FA"/>
    <w:rsid w:val="00140698"/>
    <w:rsid w:val="00140D1A"/>
    <w:rsid w:val="00141184"/>
    <w:rsid w:val="00141315"/>
    <w:rsid w:val="00141AA0"/>
    <w:rsid w:val="001425C3"/>
    <w:rsid w:val="0014262D"/>
    <w:rsid w:val="00142C54"/>
    <w:rsid w:val="00144588"/>
    <w:rsid w:val="00144675"/>
    <w:rsid w:val="001447DD"/>
    <w:rsid w:val="001459BC"/>
    <w:rsid w:val="00147F6B"/>
    <w:rsid w:val="00151F11"/>
    <w:rsid w:val="00152F4F"/>
    <w:rsid w:val="00153482"/>
    <w:rsid w:val="001544A1"/>
    <w:rsid w:val="00154ECB"/>
    <w:rsid w:val="001553B8"/>
    <w:rsid w:val="001554C2"/>
    <w:rsid w:val="00156342"/>
    <w:rsid w:val="00156AF7"/>
    <w:rsid w:val="001571C0"/>
    <w:rsid w:val="0015753D"/>
    <w:rsid w:val="00157CC9"/>
    <w:rsid w:val="00160C21"/>
    <w:rsid w:val="00160C29"/>
    <w:rsid w:val="001612F4"/>
    <w:rsid w:val="00161553"/>
    <w:rsid w:val="0016256B"/>
    <w:rsid w:val="00162F81"/>
    <w:rsid w:val="00163793"/>
    <w:rsid w:val="00165313"/>
    <w:rsid w:val="00167485"/>
    <w:rsid w:val="00167CB9"/>
    <w:rsid w:val="00167DD8"/>
    <w:rsid w:val="001704D0"/>
    <w:rsid w:val="001705AD"/>
    <w:rsid w:val="001706D6"/>
    <w:rsid w:val="001714F2"/>
    <w:rsid w:val="00171FEA"/>
    <w:rsid w:val="001735E8"/>
    <w:rsid w:val="00175B9F"/>
    <w:rsid w:val="001762F4"/>
    <w:rsid w:val="00181BBC"/>
    <w:rsid w:val="00182D9D"/>
    <w:rsid w:val="00182F98"/>
    <w:rsid w:val="0018385F"/>
    <w:rsid w:val="00184017"/>
    <w:rsid w:val="001847BB"/>
    <w:rsid w:val="00184B08"/>
    <w:rsid w:val="00185010"/>
    <w:rsid w:val="00185C22"/>
    <w:rsid w:val="00186BA9"/>
    <w:rsid w:val="0019196C"/>
    <w:rsid w:val="00191F62"/>
    <w:rsid w:val="00191FBF"/>
    <w:rsid w:val="001922FA"/>
    <w:rsid w:val="00192E20"/>
    <w:rsid w:val="00192F05"/>
    <w:rsid w:val="00194729"/>
    <w:rsid w:val="00194850"/>
    <w:rsid w:val="00194B0C"/>
    <w:rsid w:val="00195234"/>
    <w:rsid w:val="00196016"/>
    <w:rsid w:val="00196046"/>
    <w:rsid w:val="00196117"/>
    <w:rsid w:val="001979A2"/>
    <w:rsid w:val="00197A70"/>
    <w:rsid w:val="00197C0F"/>
    <w:rsid w:val="001A0487"/>
    <w:rsid w:val="001A16D4"/>
    <w:rsid w:val="001A1F68"/>
    <w:rsid w:val="001A21FA"/>
    <w:rsid w:val="001A2A11"/>
    <w:rsid w:val="001A3720"/>
    <w:rsid w:val="001A4EF0"/>
    <w:rsid w:val="001A52E2"/>
    <w:rsid w:val="001A552F"/>
    <w:rsid w:val="001A7B75"/>
    <w:rsid w:val="001B1168"/>
    <w:rsid w:val="001B1334"/>
    <w:rsid w:val="001B2A2C"/>
    <w:rsid w:val="001B2CA9"/>
    <w:rsid w:val="001B3110"/>
    <w:rsid w:val="001B3E38"/>
    <w:rsid w:val="001B40F5"/>
    <w:rsid w:val="001B4729"/>
    <w:rsid w:val="001B4799"/>
    <w:rsid w:val="001B4F0E"/>
    <w:rsid w:val="001B54D9"/>
    <w:rsid w:val="001B6310"/>
    <w:rsid w:val="001B6564"/>
    <w:rsid w:val="001B689D"/>
    <w:rsid w:val="001B6C09"/>
    <w:rsid w:val="001B6E12"/>
    <w:rsid w:val="001C0204"/>
    <w:rsid w:val="001C05CD"/>
    <w:rsid w:val="001C0F17"/>
    <w:rsid w:val="001C19AE"/>
    <w:rsid w:val="001C1B24"/>
    <w:rsid w:val="001C1B66"/>
    <w:rsid w:val="001C31A2"/>
    <w:rsid w:val="001C4BB8"/>
    <w:rsid w:val="001C4FD0"/>
    <w:rsid w:val="001C5E46"/>
    <w:rsid w:val="001C66DE"/>
    <w:rsid w:val="001C6B3B"/>
    <w:rsid w:val="001C7626"/>
    <w:rsid w:val="001C7E3F"/>
    <w:rsid w:val="001D0EF1"/>
    <w:rsid w:val="001D15CD"/>
    <w:rsid w:val="001D1BE6"/>
    <w:rsid w:val="001D1C26"/>
    <w:rsid w:val="001D1C47"/>
    <w:rsid w:val="001D22C2"/>
    <w:rsid w:val="001D2C99"/>
    <w:rsid w:val="001D452E"/>
    <w:rsid w:val="001D54C1"/>
    <w:rsid w:val="001D556E"/>
    <w:rsid w:val="001D5DF2"/>
    <w:rsid w:val="001D68B2"/>
    <w:rsid w:val="001D7EFD"/>
    <w:rsid w:val="001D7F60"/>
    <w:rsid w:val="001E13B1"/>
    <w:rsid w:val="001E3306"/>
    <w:rsid w:val="001E4D8B"/>
    <w:rsid w:val="001E504C"/>
    <w:rsid w:val="001E5A17"/>
    <w:rsid w:val="001E640B"/>
    <w:rsid w:val="001E74C5"/>
    <w:rsid w:val="001F0163"/>
    <w:rsid w:val="001F0C39"/>
    <w:rsid w:val="001F1236"/>
    <w:rsid w:val="001F1C11"/>
    <w:rsid w:val="001F290E"/>
    <w:rsid w:val="001F2F90"/>
    <w:rsid w:val="001F4597"/>
    <w:rsid w:val="001F4826"/>
    <w:rsid w:val="001F5479"/>
    <w:rsid w:val="001F6718"/>
    <w:rsid w:val="001F7CE0"/>
    <w:rsid w:val="00200085"/>
    <w:rsid w:val="00203332"/>
    <w:rsid w:val="002033C8"/>
    <w:rsid w:val="00203CD5"/>
    <w:rsid w:val="00203D8F"/>
    <w:rsid w:val="00203DA4"/>
    <w:rsid w:val="00205186"/>
    <w:rsid w:val="00206516"/>
    <w:rsid w:val="002071D5"/>
    <w:rsid w:val="00210E80"/>
    <w:rsid w:val="002111E5"/>
    <w:rsid w:val="002118B9"/>
    <w:rsid w:val="00213AC6"/>
    <w:rsid w:val="002142C0"/>
    <w:rsid w:val="00217C5B"/>
    <w:rsid w:val="00220A43"/>
    <w:rsid w:val="00220DC7"/>
    <w:rsid w:val="0022139E"/>
    <w:rsid w:val="00222729"/>
    <w:rsid w:val="00223185"/>
    <w:rsid w:val="002233D6"/>
    <w:rsid w:val="0022441D"/>
    <w:rsid w:val="00224574"/>
    <w:rsid w:val="00224E3F"/>
    <w:rsid w:val="002252E0"/>
    <w:rsid w:val="002255F6"/>
    <w:rsid w:val="00225F84"/>
    <w:rsid w:val="00226032"/>
    <w:rsid w:val="0022738D"/>
    <w:rsid w:val="00227605"/>
    <w:rsid w:val="00227850"/>
    <w:rsid w:val="00227A53"/>
    <w:rsid w:val="00227E2E"/>
    <w:rsid w:val="00227F53"/>
    <w:rsid w:val="00230C6E"/>
    <w:rsid w:val="00230E21"/>
    <w:rsid w:val="002316A8"/>
    <w:rsid w:val="002320C9"/>
    <w:rsid w:val="00232300"/>
    <w:rsid w:val="0023288F"/>
    <w:rsid w:val="00232A13"/>
    <w:rsid w:val="00233603"/>
    <w:rsid w:val="002340EF"/>
    <w:rsid w:val="00234110"/>
    <w:rsid w:val="00234B82"/>
    <w:rsid w:val="00236443"/>
    <w:rsid w:val="00236700"/>
    <w:rsid w:val="00240391"/>
    <w:rsid w:val="00240AF3"/>
    <w:rsid w:val="002418D5"/>
    <w:rsid w:val="00241B06"/>
    <w:rsid w:val="00242A56"/>
    <w:rsid w:val="002436BA"/>
    <w:rsid w:val="00244652"/>
    <w:rsid w:val="00244A15"/>
    <w:rsid w:val="00244F4E"/>
    <w:rsid w:val="002452D9"/>
    <w:rsid w:val="00247319"/>
    <w:rsid w:val="0024799E"/>
    <w:rsid w:val="00247E60"/>
    <w:rsid w:val="00251C53"/>
    <w:rsid w:val="00251E41"/>
    <w:rsid w:val="00252AB9"/>
    <w:rsid w:val="0025338B"/>
    <w:rsid w:val="0025392C"/>
    <w:rsid w:val="00253C0F"/>
    <w:rsid w:val="002558C1"/>
    <w:rsid w:val="00256207"/>
    <w:rsid w:val="002575F3"/>
    <w:rsid w:val="00257F29"/>
    <w:rsid w:val="002603E1"/>
    <w:rsid w:val="0026120E"/>
    <w:rsid w:val="00262582"/>
    <w:rsid w:val="0026291D"/>
    <w:rsid w:val="00263DC8"/>
    <w:rsid w:val="00264309"/>
    <w:rsid w:val="00264570"/>
    <w:rsid w:val="002647DF"/>
    <w:rsid w:val="00264905"/>
    <w:rsid w:val="0026564B"/>
    <w:rsid w:val="00265C83"/>
    <w:rsid w:val="00265E85"/>
    <w:rsid w:val="00266F94"/>
    <w:rsid w:val="00267B49"/>
    <w:rsid w:val="002700D9"/>
    <w:rsid w:val="0027025F"/>
    <w:rsid w:val="00270363"/>
    <w:rsid w:val="002709CC"/>
    <w:rsid w:val="00270D25"/>
    <w:rsid w:val="00270E1C"/>
    <w:rsid w:val="00271022"/>
    <w:rsid w:val="00271465"/>
    <w:rsid w:val="00271545"/>
    <w:rsid w:val="00271E47"/>
    <w:rsid w:val="002721F5"/>
    <w:rsid w:val="00272DF4"/>
    <w:rsid w:val="0027583D"/>
    <w:rsid w:val="00275DEF"/>
    <w:rsid w:val="002763A2"/>
    <w:rsid w:val="00276B33"/>
    <w:rsid w:val="002812E3"/>
    <w:rsid w:val="00282082"/>
    <w:rsid w:val="0028341F"/>
    <w:rsid w:val="002837AE"/>
    <w:rsid w:val="00283C13"/>
    <w:rsid w:val="00283F7B"/>
    <w:rsid w:val="0028431A"/>
    <w:rsid w:val="0028460B"/>
    <w:rsid w:val="002853FA"/>
    <w:rsid w:val="00285412"/>
    <w:rsid w:val="00286169"/>
    <w:rsid w:val="00286220"/>
    <w:rsid w:val="0028728F"/>
    <w:rsid w:val="00291640"/>
    <w:rsid w:val="0029237E"/>
    <w:rsid w:val="00292997"/>
    <w:rsid w:val="00293048"/>
    <w:rsid w:val="00293D24"/>
    <w:rsid w:val="00294450"/>
    <w:rsid w:val="00294B5C"/>
    <w:rsid w:val="0029509B"/>
    <w:rsid w:val="0029588F"/>
    <w:rsid w:val="002964C9"/>
    <w:rsid w:val="00297256"/>
    <w:rsid w:val="00297A5C"/>
    <w:rsid w:val="00297D51"/>
    <w:rsid w:val="00297DC4"/>
    <w:rsid w:val="002A00CD"/>
    <w:rsid w:val="002A0122"/>
    <w:rsid w:val="002A016B"/>
    <w:rsid w:val="002A15F8"/>
    <w:rsid w:val="002A16D4"/>
    <w:rsid w:val="002A1E4F"/>
    <w:rsid w:val="002A1F75"/>
    <w:rsid w:val="002A230C"/>
    <w:rsid w:val="002A2AF7"/>
    <w:rsid w:val="002A3209"/>
    <w:rsid w:val="002A3EA2"/>
    <w:rsid w:val="002A51AC"/>
    <w:rsid w:val="002A532A"/>
    <w:rsid w:val="002A55E9"/>
    <w:rsid w:val="002A5846"/>
    <w:rsid w:val="002A5D97"/>
    <w:rsid w:val="002A603E"/>
    <w:rsid w:val="002A63B9"/>
    <w:rsid w:val="002A7089"/>
    <w:rsid w:val="002B1619"/>
    <w:rsid w:val="002B3EF4"/>
    <w:rsid w:val="002B4845"/>
    <w:rsid w:val="002B500B"/>
    <w:rsid w:val="002B5368"/>
    <w:rsid w:val="002B5567"/>
    <w:rsid w:val="002B5812"/>
    <w:rsid w:val="002B61AC"/>
    <w:rsid w:val="002B72AA"/>
    <w:rsid w:val="002C048C"/>
    <w:rsid w:val="002C0B3A"/>
    <w:rsid w:val="002C1110"/>
    <w:rsid w:val="002C15DD"/>
    <w:rsid w:val="002C16EA"/>
    <w:rsid w:val="002C1F09"/>
    <w:rsid w:val="002C22A4"/>
    <w:rsid w:val="002C260B"/>
    <w:rsid w:val="002C27A6"/>
    <w:rsid w:val="002C2C88"/>
    <w:rsid w:val="002C398D"/>
    <w:rsid w:val="002C3F1F"/>
    <w:rsid w:val="002C40D2"/>
    <w:rsid w:val="002C43BD"/>
    <w:rsid w:val="002C5245"/>
    <w:rsid w:val="002C59D8"/>
    <w:rsid w:val="002C641B"/>
    <w:rsid w:val="002D05CB"/>
    <w:rsid w:val="002D0E59"/>
    <w:rsid w:val="002D2C4F"/>
    <w:rsid w:val="002D379D"/>
    <w:rsid w:val="002D3EBB"/>
    <w:rsid w:val="002D455C"/>
    <w:rsid w:val="002D469C"/>
    <w:rsid w:val="002D6066"/>
    <w:rsid w:val="002D7496"/>
    <w:rsid w:val="002D7F73"/>
    <w:rsid w:val="002E02A1"/>
    <w:rsid w:val="002E05E7"/>
    <w:rsid w:val="002E196A"/>
    <w:rsid w:val="002E20C7"/>
    <w:rsid w:val="002E20CD"/>
    <w:rsid w:val="002E222E"/>
    <w:rsid w:val="002E28D8"/>
    <w:rsid w:val="002E3320"/>
    <w:rsid w:val="002E37D1"/>
    <w:rsid w:val="002E3BEE"/>
    <w:rsid w:val="002E4E4C"/>
    <w:rsid w:val="002E4EA7"/>
    <w:rsid w:val="002E534D"/>
    <w:rsid w:val="002E5846"/>
    <w:rsid w:val="002E603D"/>
    <w:rsid w:val="002E740F"/>
    <w:rsid w:val="002E792B"/>
    <w:rsid w:val="002F1B09"/>
    <w:rsid w:val="002F1D56"/>
    <w:rsid w:val="002F1DCB"/>
    <w:rsid w:val="002F1DE4"/>
    <w:rsid w:val="002F333D"/>
    <w:rsid w:val="002F351A"/>
    <w:rsid w:val="002F3893"/>
    <w:rsid w:val="002F46D6"/>
    <w:rsid w:val="002F498A"/>
    <w:rsid w:val="002F4AD8"/>
    <w:rsid w:val="002F5231"/>
    <w:rsid w:val="002F5285"/>
    <w:rsid w:val="002F5820"/>
    <w:rsid w:val="002F64BB"/>
    <w:rsid w:val="00300030"/>
    <w:rsid w:val="00300C31"/>
    <w:rsid w:val="003017EC"/>
    <w:rsid w:val="00301AEC"/>
    <w:rsid w:val="00301F5A"/>
    <w:rsid w:val="00302165"/>
    <w:rsid w:val="003026B5"/>
    <w:rsid w:val="003029F1"/>
    <w:rsid w:val="00304771"/>
    <w:rsid w:val="003052D4"/>
    <w:rsid w:val="00305FCE"/>
    <w:rsid w:val="003060E9"/>
    <w:rsid w:val="00306C5B"/>
    <w:rsid w:val="00307529"/>
    <w:rsid w:val="003076DC"/>
    <w:rsid w:val="00307DB3"/>
    <w:rsid w:val="00307ED2"/>
    <w:rsid w:val="0031076D"/>
    <w:rsid w:val="00311AA6"/>
    <w:rsid w:val="00311C4D"/>
    <w:rsid w:val="003121AB"/>
    <w:rsid w:val="00312663"/>
    <w:rsid w:val="003127B0"/>
    <w:rsid w:val="00315169"/>
    <w:rsid w:val="003153C8"/>
    <w:rsid w:val="00315524"/>
    <w:rsid w:val="0032058C"/>
    <w:rsid w:val="003208D0"/>
    <w:rsid w:val="003209B1"/>
    <w:rsid w:val="003209D6"/>
    <w:rsid w:val="0032159E"/>
    <w:rsid w:val="003217B9"/>
    <w:rsid w:val="00321924"/>
    <w:rsid w:val="00321EB6"/>
    <w:rsid w:val="003220A5"/>
    <w:rsid w:val="00323A1C"/>
    <w:rsid w:val="00324936"/>
    <w:rsid w:val="00324B59"/>
    <w:rsid w:val="0032656E"/>
    <w:rsid w:val="00326B83"/>
    <w:rsid w:val="0032788F"/>
    <w:rsid w:val="00327C3C"/>
    <w:rsid w:val="00331E1C"/>
    <w:rsid w:val="00332190"/>
    <w:rsid w:val="00332A98"/>
    <w:rsid w:val="00333973"/>
    <w:rsid w:val="00333CD0"/>
    <w:rsid w:val="0033448D"/>
    <w:rsid w:val="00334AD2"/>
    <w:rsid w:val="00336FFF"/>
    <w:rsid w:val="0033709C"/>
    <w:rsid w:val="003370C5"/>
    <w:rsid w:val="0033712B"/>
    <w:rsid w:val="003373C6"/>
    <w:rsid w:val="00340BF3"/>
    <w:rsid w:val="00341D26"/>
    <w:rsid w:val="00341DCD"/>
    <w:rsid w:val="00341F05"/>
    <w:rsid w:val="0034335E"/>
    <w:rsid w:val="00344668"/>
    <w:rsid w:val="003449C8"/>
    <w:rsid w:val="00346234"/>
    <w:rsid w:val="003462D9"/>
    <w:rsid w:val="003470CC"/>
    <w:rsid w:val="0034723F"/>
    <w:rsid w:val="00347247"/>
    <w:rsid w:val="003474B6"/>
    <w:rsid w:val="00347DD4"/>
    <w:rsid w:val="00352B43"/>
    <w:rsid w:val="00352C28"/>
    <w:rsid w:val="003543C0"/>
    <w:rsid w:val="0036077F"/>
    <w:rsid w:val="00360C86"/>
    <w:rsid w:val="00360E3F"/>
    <w:rsid w:val="00360F7A"/>
    <w:rsid w:val="00360FBC"/>
    <w:rsid w:val="00361537"/>
    <w:rsid w:val="003615FA"/>
    <w:rsid w:val="0036242A"/>
    <w:rsid w:val="00362C23"/>
    <w:rsid w:val="00362E90"/>
    <w:rsid w:val="0036369D"/>
    <w:rsid w:val="00364FA0"/>
    <w:rsid w:val="003657F3"/>
    <w:rsid w:val="00365844"/>
    <w:rsid w:val="00367F84"/>
    <w:rsid w:val="003712BC"/>
    <w:rsid w:val="0037136E"/>
    <w:rsid w:val="00371F30"/>
    <w:rsid w:val="00372164"/>
    <w:rsid w:val="003738BD"/>
    <w:rsid w:val="00374263"/>
    <w:rsid w:val="003746F0"/>
    <w:rsid w:val="00374A20"/>
    <w:rsid w:val="00374E21"/>
    <w:rsid w:val="0037518A"/>
    <w:rsid w:val="00377B2E"/>
    <w:rsid w:val="00377B84"/>
    <w:rsid w:val="0038084E"/>
    <w:rsid w:val="003810F0"/>
    <w:rsid w:val="003816E0"/>
    <w:rsid w:val="003818DC"/>
    <w:rsid w:val="00381B67"/>
    <w:rsid w:val="0038248F"/>
    <w:rsid w:val="00382513"/>
    <w:rsid w:val="00383388"/>
    <w:rsid w:val="003834F8"/>
    <w:rsid w:val="003838D0"/>
    <w:rsid w:val="003840C2"/>
    <w:rsid w:val="0038418F"/>
    <w:rsid w:val="00384327"/>
    <w:rsid w:val="00384A89"/>
    <w:rsid w:val="00385086"/>
    <w:rsid w:val="00385D98"/>
    <w:rsid w:val="00387299"/>
    <w:rsid w:val="00387E97"/>
    <w:rsid w:val="00390306"/>
    <w:rsid w:val="003908A6"/>
    <w:rsid w:val="00390C94"/>
    <w:rsid w:val="0039109D"/>
    <w:rsid w:val="00391989"/>
    <w:rsid w:val="00391A6C"/>
    <w:rsid w:val="003927F6"/>
    <w:rsid w:val="00394F35"/>
    <w:rsid w:val="00396739"/>
    <w:rsid w:val="00396CB7"/>
    <w:rsid w:val="00397225"/>
    <w:rsid w:val="003A04F6"/>
    <w:rsid w:val="003A0837"/>
    <w:rsid w:val="003A2864"/>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4EB"/>
    <w:rsid w:val="003B0DF4"/>
    <w:rsid w:val="003B12EC"/>
    <w:rsid w:val="003B1562"/>
    <w:rsid w:val="003B1F9D"/>
    <w:rsid w:val="003B2A8D"/>
    <w:rsid w:val="003B2AD1"/>
    <w:rsid w:val="003B2D2E"/>
    <w:rsid w:val="003B461F"/>
    <w:rsid w:val="003B483F"/>
    <w:rsid w:val="003B4998"/>
    <w:rsid w:val="003B5A32"/>
    <w:rsid w:val="003B7133"/>
    <w:rsid w:val="003B7B50"/>
    <w:rsid w:val="003C057D"/>
    <w:rsid w:val="003C0B07"/>
    <w:rsid w:val="003C2CE7"/>
    <w:rsid w:val="003C3490"/>
    <w:rsid w:val="003C3608"/>
    <w:rsid w:val="003C3AE8"/>
    <w:rsid w:val="003C3D2C"/>
    <w:rsid w:val="003C4E13"/>
    <w:rsid w:val="003C6221"/>
    <w:rsid w:val="003C63D7"/>
    <w:rsid w:val="003C68CC"/>
    <w:rsid w:val="003C7E62"/>
    <w:rsid w:val="003D07AC"/>
    <w:rsid w:val="003D12B9"/>
    <w:rsid w:val="003D1D23"/>
    <w:rsid w:val="003D1E7A"/>
    <w:rsid w:val="003D242B"/>
    <w:rsid w:val="003D2492"/>
    <w:rsid w:val="003D29AA"/>
    <w:rsid w:val="003D2A99"/>
    <w:rsid w:val="003D40B0"/>
    <w:rsid w:val="003D6920"/>
    <w:rsid w:val="003E1EF8"/>
    <w:rsid w:val="003E2DFB"/>
    <w:rsid w:val="003E44C7"/>
    <w:rsid w:val="003E4C91"/>
    <w:rsid w:val="003E52D8"/>
    <w:rsid w:val="003E62F1"/>
    <w:rsid w:val="003F1F99"/>
    <w:rsid w:val="003F313C"/>
    <w:rsid w:val="003F37FC"/>
    <w:rsid w:val="003F3CB8"/>
    <w:rsid w:val="003F4318"/>
    <w:rsid w:val="003F4B2C"/>
    <w:rsid w:val="003F551C"/>
    <w:rsid w:val="003F5543"/>
    <w:rsid w:val="003F626D"/>
    <w:rsid w:val="003F694D"/>
    <w:rsid w:val="003F7093"/>
    <w:rsid w:val="003F72ED"/>
    <w:rsid w:val="003F7D23"/>
    <w:rsid w:val="003F7F77"/>
    <w:rsid w:val="00400050"/>
    <w:rsid w:val="004001F4"/>
    <w:rsid w:val="004002C8"/>
    <w:rsid w:val="00400468"/>
    <w:rsid w:val="0040099D"/>
    <w:rsid w:val="00400DF3"/>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54D"/>
    <w:rsid w:val="00416DAC"/>
    <w:rsid w:val="00417E17"/>
    <w:rsid w:val="004205DC"/>
    <w:rsid w:val="00420880"/>
    <w:rsid w:val="00421179"/>
    <w:rsid w:val="004246E7"/>
    <w:rsid w:val="00424CF6"/>
    <w:rsid w:val="00425B35"/>
    <w:rsid w:val="00430020"/>
    <w:rsid w:val="00430C96"/>
    <w:rsid w:val="0043178A"/>
    <w:rsid w:val="00431BFF"/>
    <w:rsid w:val="00432199"/>
    <w:rsid w:val="00432A58"/>
    <w:rsid w:val="004330C8"/>
    <w:rsid w:val="004331C3"/>
    <w:rsid w:val="00433C17"/>
    <w:rsid w:val="00434617"/>
    <w:rsid w:val="00435051"/>
    <w:rsid w:val="004354A3"/>
    <w:rsid w:val="0043568E"/>
    <w:rsid w:val="00435C69"/>
    <w:rsid w:val="004360FB"/>
    <w:rsid w:val="00437CED"/>
    <w:rsid w:val="004407BF"/>
    <w:rsid w:val="00440900"/>
    <w:rsid w:val="0044121D"/>
    <w:rsid w:val="00441BF6"/>
    <w:rsid w:val="00441D2B"/>
    <w:rsid w:val="0044279E"/>
    <w:rsid w:val="004441A0"/>
    <w:rsid w:val="00445861"/>
    <w:rsid w:val="00445A8E"/>
    <w:rsid w:val="00446D44"/>
    <w:rsid w:val="0045078A"/>
    <w:rsid w:val="0045086D"/>
    <w:rsid w:val="00450DAB"/>
    <w:rsid w:val="00450DAF"/>
    <w:rsid w:val="00451EF1"/>
    <w:rsid w:val="00452E60"/>
    <w:rsid w:val="0045321B"/>
    <w:rsid w:val="00453E3D"/>
    <w:rsid w:val="00454E1D"/>
    <w:rsid w:val="00455B79"/>
    <w:rsid w:val="00456FE5"/>
    <w:rsid w:val="00457490"/>
    <w:rsid w:val="00457953"/>
    <w:rsid w:val="004604D8"/>
    <w:rsid w:val="00460656"/>
    <w:rsid w:val="00460AAD"/>
    <w:rsid w:val="00460FB3"/>
    <w:rsid w:val="00461221"/>
    <w:rsid w:val="00462F09"/>
    <w:rsid w:val="00463169"/>
    <w:rsid w:val="00463D3C"/>
    <w:rsid w:val="00464851"/>
    <w:rsid w:val="00467248"/>
    <w:rsid w:val="0046746A"/>
    <w:rsid w:val="00467B14"/>
    <w:rsid w:val="004707FE"/>
    <w:rsid w:val="00470EDC"/>
    <w:rsid w:val="00472118"/>
    <w:rsid w:val="004722B9"/>
    <w:rsid w:val="0047276D"/>
    <w:rsid w:val="00472AF6"/>
    <w:rsid w:val="00473482"/>
    <w:rsid w:val="00474A04"/>
    <w:rsid w:val="00474FC6"/>
    <w:rsid w:val="00476240"/>
    <w:rsid w:val="00476439"/>
    <w:rsid w:val="004769E1"/>
    <w:rsid w:val="0047735C"/>
    <w:rsid w:val="004776BC"/>
    <w:rsid w:val="00477820"/>
    <w:rsid w:val="004779F3"/>
    <w:rsid w:val="00477B96"/>
    <w:rsid w:val="00477ED0"/>
    <w:rsid w:val="00480BAE"/>
    <w:rsid w:val="0048139F"/>
    <w:rsid w:val="004816C8"/>
    <w:rsid w:val="00481E40"/>
    <w:rsid w:val="00482405"/>
    <w:rsid w:val="004826A7"/>
    <w:rsid w:val="0048368C"/>
    <w:rsid w:val="0048372F"/>
    <w:rsid w:val="00484ECE"/>
    <w:rsid w:val="00485987"/>
    <w:rsid w:val="00485E82"/>
    <w:rsid w:val="00486132"/>
    <w:rsid w:val="0048686D"/>
    <w:rsid w:val="00486A4D"/>
    <w:rsid w:val="004915CB"/>
    <w:rsid w:val="004924DC"/>
    <w:rsid w:val="00492879"/>
    <w:rsid w:val="00493E85"/>
    <w:rsid w:val="00495145"/>
    <w:rsid w:val="004979A5"/>
    <w:rsid w:val="004A0144"/>
    <w:rsid w:val="004A036E"/>
    <w:rsid w:val="004A14E4"/>
    <w:rsid w:val="004A204E"/>
    <w:rsid w:val="004A26A5"/>
    <w:rsid w:val="004A27F0"/>
    <w:rsid w:val="004A2BCF"/>
    <w:rsid w:val="004A2CC7"/>
    <w:rsid w:val="004A3212"/>
    <w:rsid w:val="004A37CD"/>
    <w:rsid w:val="004A40D9"/>
    <w:rsid w:val="004A43F4"/>
    <w:rsid w:val="004A49A5"/>
    <w:rsid w:val="004A4CB1"/>
    <w:rsid w:val="004A4F8A"/>
    <w:rsid w:val="004A5494"/>
    <w:rsid w:val="004A5D4E"/>
    <w:rsid w:val="004A61C5"/>
    <w:rsid w:val="004A62A0"/>
    <w:rsid w:val="004A7039"/>
    <w:rsid w:val="004A77DF"/>
    <w:rsid w:val="004B1417"/>
    <w:rsid w:val="004B305C"/>
    <w:rsid w:val="004B339A"/>
    <w:rsid w:val="004B3614"/>
    <w:rsid w:val="004B460C"/>
    <w:rsid w:val="004B4C83"/>
    <w:rsid w:val="004B55B7"/>
    <w:rsid w:val="004B5BFA"/>
    <w:rsid w:val="004B6468"/>
    <w:rsid w:val="004B6EF8"/>
    <w:rsid w:val="004B7125"/>
    <w:rsid w:val="004B756A"/>
    <w:rsid w:val="004B7BFC"/>
    <w:rsid w:val="004B7FB1"/>
    <w:rsid w:val="004C0A61"/>
    <w:rsid w:val="004C0B3F"/>
    <w:rsid w:val="004C2224"/>
    <w:rsid w:val="004C2794"/>
    <w:rsid w:val="004C2A3B"/>
    <w:rsid w:val="004C2BB6"/>
    <w:rsid w:val="004C2C2D"/>
    <w:rsid w:val="004C3027"/>
    <w:rsid w:val="004C384C"/>
    <w:rsid w:val="004C3867"/>
    <w:rsid w:val="004C3DB0"/>
    <w:rsid w:val="004C439A"/>
    <w:rsid w:val="004C4720"/>
    <w:rsid w:val="004C4CD0"/>
    <w:rsid w:val="004C5060"/>
    <w:rsid w:val="004C5165"/>
    <w:rsid w:val="004C589C"/>
    <w:rsid w:val="004C5AE8"/>
    <w:rsid w:val="004C667D"/>
    <w:rsid w:val="004C6959"/>
    <w:rsid w:val="004C6E0E"/>
    <w:rsid w:val="004C7044"/>
    <w:rsid w:val="004C70DC"/>
    <w:rsid w:val="004D0211"/>
    <w:rsid w:val="004D0794"/>
    <w:rsid w:val="004D1B6B"/>
    <w:rsid w:val="004D26B6"/>
    <w:rsid w:val="004D2E03"/>
    <w:rsid w:val="004D3296"/>
    <w:rsid w:val="004D4056"/>
    <w:rsid w:val="004D4CB0"/>
    <w:rsid w:val="004D5B0F"/>
    <w:rsid w:val="004D6D28"/>
    <w:rsid w:val="004D75C4"/>
    <w:rsid w:val="004D7626"/>
    <w:rsid w:val="004D7B7C"/>
    <w:rsid w:val="004E186A"/>
    <w:rsid w:val="004E1A40"/>
    <w:rsid w:val="004E200A"/>
    <w:rsid w:val="004E23FC"/>
    <w:rsid w:val="004E2409"/>
    <w:rsid w:val="004E261D"/>
    <w:rsid w:val="004E2D26"/>
    <w:rsid w:val="004E4C02"/>
    <w:rsid w:val="004E57BF"/>
    <w:rsid w:val="004E5F41"/>
    <w:rsid w:val="004E6DE6"/>
    <w:rsid w:val="004E765E"/>
    <w:rsid w:val="004E7815"/>
    <w:rsid w:val="004F064A"/>
    <w:rsid w:val="004F06F5"/>
    <w:rsid w:val="004F0980"/>
    <w:rsid w:val="004F12A4"/>
    <w:rsid w:val="004F253F"/>
    <w:rsid w:val="004F33A0"/>
    <w:rsid w:val="004F3586"/>
    <w:rsid w:val="004F3BD2"/>
    <w:rsid w:val="004F46ED"/>
    <w:rsid w:val="004F4C99"/>
    <w:rsid w:val="004F4E00"/>
    <w:rsid w:val="004F6539"/>
    <w:rsid w:val="004F7964"/>
    <w:rsid w:val="00500E6F"/>
    <w:rsid w:val="00503D54"/>
    <w:rsid w:val="005048E2"/>
    <w:rsid w:val="00505FC8"/>
    <w:rsid w:val="00506603"/>
    <w:rsid w:val="0050689D"/>
    <w:rsid w:val="005077F5"/>
    <w:rsid w:val="005108C0"/>
    <w:rsid w:val="0051094F"/>
    <w:rsid w:val="005114E1"/>
    <w:rsid w:val="00511873"/>
    <w:rsid w:val="00512461"/>
    <w:rsid w:val="00512585"/>
    <w:rsid w:val="005128AC"/>
    <w:rsid w:val="00512A2F"/>
    <w:rsid w:val="00513B7E"/>
    <w:rsid w:val="00513E9D"/>
    <w:rsid w:val="0051475D"/>
    <w:rsid w:val="00514B11"/>
    <w:rsid w:val="00515485"/>
    <w:rsid w:val="00515BE9"/>
    <w:rsid w:val="00515C74"/>
    <w:rsid w:val="0051630F"/>
    <w:rsid w:val="00516516"/>
    <w:rsid w:val="00517113"/>
    <w:rsid w:val="0052007E"/>
    <w:rsid w:val="00521CAD"/>
    <w:rsid w:val="0052200D"/>
    <w:rsid w:val="00522E01"/>
    <w:rsid w:val="0052337A"/>
    <w:rsid w:val="00523A67"/>
    <w:rsid w:val="00524385"/>
    <w:rsid w:val="005246BE"/>
    <w:rsid w:val="00525137"/>
    <w:rsid w:val="005251DD"/>
    <w:rsid w:val="0053012B"/>
    <w:rsid w:val="005301A6"/>
    <w:rsid w:val="00530258"/>
    <w:rsid w:val="00530A68"/>
    <w:rsid w:val="00530AD4"/>
    <w:rsid w:val="00531854"/>
    <w:rsid w:val="00531C5A"/>
    <w:rsid w:val="00532CE7"/>
    <w:rsid w:val="00532D8B"/>
    <w:rsid w:val="0053324C"/>
    <w:rsid w:val="00534A28"/>
    <w:rsid w:val="00535018"/>
    <w:rsid w:val="005354E2"/>
    <w:rsid w:val="0053595E"/>
    <w:rsid w:val="00537203"/>
    <w:rsid w:val="00537571"/>
    <w:rsid w:val="00540056"/>
    <w:rsid w:val="005410E2"/>
    <w:rsid w:val="00541508"/>
    <w:rsid w:val="00541AE3"/>
    <w:rsid w:val="00543498"/>
    <w:rsid w:val="00544011"/>
    <w:rsid w:val="00544BE5"/>
    <w:rsid w:val="005452FC"/>
    <w:rsid w:val="005455F6"/>
    <w:rsid w:val="0054582F"/>
    <w:rsid w:val="00547FBF"/>
    <w:rsid w:val="005500F9"/>
    <w:rsid w:val="00550160"/>
    <w:rsid w:val="005523A8"/>
    <w:rsid w:val="00552CA4"/>
    <w:rsid w:val="00552F2C"/>
    <w:rsid w:val="00553A25"/>
    <w:rsid w:val="005547EB"/>
    <w:rsid w:val="005555E0"/>
    <w:rsid w:val="0055599F"/>
    <w:rsid w:val="0055602D"/>
    <w:rsid w:val="00556D68"/>
    <w:rsid w:val="005570D6"/>
    <w:rsid w:val="00557150"/>
    <w:rsid w:val="00557E45"/>
    <w:rsid w:val="0056017F"/>
    <w:rsid w:val="00560AB8"/>
    <w:rsid w:val="005619F2"/>
    <w:rsid w:val="00561F44"/>
    <w:rsid w:val="00562B4D"/>
    <w:rsid w:val="005636D8"/>
    <w:rsid w:val="00563EB8"/>
    <w:rsid w:val="005647BF"/>
    <w:rsid w:val="00564996"/>
    <w:rsid w:val="00564AF1"/>
    <w:rsid w:val="005655DB"/>
    <w:rsid w:val="005658AB"/>
    <w:rsid w:val="00565E88"/>
    <w:rsid w:val="00567F62"/>
    <w:rsid w:val="00570270"/>
    <w:rsid w:val="00570464"/>
    <w:rsid w:val="00570BC3"/>
    <w:rsid w:val="0057182A"/>
    <w:rsid w:val="00571E59"/>
    <w:rsid w:val="00572079"/>
    <w:rsid w:val="00572900"/>
    <w:rsid w:val="00573602"/>
    <w:rsid w:val="0057364B"/>
    <w:rsid w:val="00574773"/>
    <w:rsid w:val="005757F3"/>
    <w:rsid w:val="005761EC"/>
    <w:rsid w:val="00577C07"/>
    <w:rsid w:val="00577DB1"/>
    <w:rsid w:val="00580AD3"/>
    <w:rsid w:val="00580DE7"/>
    <w:rsid w:val="005810E1"/>
    <w:rsid w:val="00581C4F"/>
    <w:rsid w:val="00583011"/>
    <w:rsid w:val="0058382A"/>
    <w:rsid w:val="00583E52"/>
    <w:rsid w:val="00583FFD"/>
    <w:rsid w:val="0058519A"/>
    <w:rsid w:val="005856BD"/>
    <w:rsid w:val="0058665D"/>
    <w:rsid w:val="005866B7"/>
    <w:rsid w:val="00586BCA"/>
    <w:rsid w:val="00587038"/>
    <w:rsid w:val="00590B28"/>
    <w:rsid w:val="00590E75"/>
    <w:rsid w:val="005911BE"/>
    <w:rsid w:val="00591273"/>
    <w:rsid w:val="00591E9E"/>
    <w:rsid w:val="0059221F"/>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49E5"/>
    <w:rsid w:val="005A4C80"/>
    <w:rsid w:val="005A4F65"/>
    <w:rsid w:val="005A5549"/>
    <w:rsid w:val="005A7CF8"/>
    <w:rsid w:val="005B0EDA"/>
    <w:rsid w:val="005B121D"/>
    <w:rsid w:val="005B26B0"/>
    <w:rsid w:val="005B41C9"/>
    <w:rsid w:val="005B44E6"/>
    <w:rsid w:val="005B4853"/>
    <w:rsid w:val="005B6CA1"/>
    <w:rsid w:val="005B770C"/>
    <w:rsid w:val="005B7CFB"/>
    <w:rsid w:val="005B7E29"/>
    <w:rsid w:val="005C06ED"/>
    <w:rsid w:val="005C11B8"/>
    <w:rsid w:val="005C216C"/>
    <w:rsid w:val="005C2609"/>
    <w:rsid w:val="005C2B30"/>
    <w:rsid w:val="005C412B"/>
    <w:rsid w:val="005C43EC"/>
    <w:rsid w:val="005C45DD"/>
    <w:rsid w:val="005C4CB1"/>
    <w:rsid w:val="005C757B"/>
    <w:rsid w:val="005D04B1"/>
    <w:rsid w:val="005D0A3B"/>
    <w:rsid w:val="005D1179"/>
    <w:rsid w:val="005D3F06"/>
    <w:rsid w:val="005D45A5"/>
    <w:rsid w:val="005D4B73"/>
    <w:rsid w:val="005D5645"/>
    <w:rsid w:val="005D5802"/>
    <w:rsid w:val="005D5AA9"/>
    <w:rsid w:val="005D66E6"/>
    <w:rsid w:val="005D6971"/>
    <w:rsid w:val="005D7119"/>
    <w:rsid w:val="005D7521"/>
    <w:rsid w:val="005D76C8"/>
    <w:rsid w:val="005D7890"/>
    <w:rsid w:val="005E126D"/>
    <w:rsid w:val="005E19C1"/>
    <w:rsid w:val="005E2194"/>
    <w:rsid w:val="005E24F0"/>
    <w:rsid w:val="005E2A3F"/>
    <w:rsid w:val="005E2BF1"/>
    <w:rsid w:val="005E32C7"/>
    <w:rsid w:val="005E36FE"/>
    <w:rsid w:val="005E3F66"/>
    <w:rsid w:val="005E490F"/>
    <w:rsid w:val="005E4BC9"/>
    <w:rsid w:val="005E5314"/>
    <w:rsid w:val="005E6930"/>
    <w:rsid w:val="005E7C78"/>
    <w:rsid w:val="005F04A7"/>
    <w:rsid w:val="005F055A"/>
    <w:rsid w:val="005F114F"/>
    <w:rsid w:val="005F18C5"/>
    <w:rsid w:val="005F2A08"/>
    <w:rsid w:val="005F36CC"/>
    <w:rsid w:val="005F3EB1"/>
    <w:rsid w:val="005F413E"/>
    <w:rsid w:val="005F466B"/>
    <w:rsid w:val="005F46D8"/>
    <w:rsid w:val="005F480F"/>
    <w:rsid w:val="005F5469"/>
    <w:rsid w:val="005F611A"/>
    <w:rsid w:val="005F6307"/>
    <w:rsid w:val="005F63F3"/>
    <w:rsid w:val="005F68E8"/>
    <w:rsid w:val="005F6D7F"/>
    <w:rsid w:val="005F7174"/>
    <w:rsid w:val="005F7E10"/>
    <w:rsid w:val="00601ADE"/>
    <w:rsid w:val="00601D3B"/>
    <w:rsid w:val="00601EEF"/>
    <w:rsid w:val="0060255A"/>
    <w:rsid w:val="00604307"/>
    <w:rsid w:val="0060453C"/>
    <w:rsid w:val="0060487F"/>
    <w:rsid w:val="00604EAD"/>
    <w:rsid w:val="0060513F"/>
    <w:rsid w:val="0060694B"/>
    <w:rsid w:val="00606EF7"/>
    <w:rsid w:val="0060753D"/>
    <w:rsid w:val="00607C82"/>
    <w:rsid w:val="006104FB"/>
    <w:rsid w:val="0061176D"/>
    <w:rsid w:val="006118F6"/>
    <w:rsid w:val="0061200F"/>
    <w:rsid w:val="00612756"/>
    <w:rsid w:val="00612A2F"/>
    <w:rsid w:val="00612AAE"/>
    <w:rsid w:val="00612FD9"/>
    <w:rsid w:val="006139E0"/>
    <w:rsid w:val="0061471F"/>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274EE"/>
    <w:rsid w:val="00631698"/>
    <w:rsid w:val="00631E44"/>
    <w:rsid w:val="006349CD"/>
    <w:rsid w:val="00634C57"/>
    <w:rsid w:val="00634CE7"/>
    <w:rsid w:val="00635019"/>
    <w:rsid w:val="006350D5"/>
    <w:rsid w:val="00635D41"/>
    <w:rsid w:val="00636240"/>
    <w:rsid w:val="0063642C"/>
    <w:rsid w:val="00636A40"/>
    <w:rsid w:val="00637858"/>
    <w:rsid w:val="006404A7"/>
    <w:rsid w:val="00640A38"/>
    <w:rsid w:val="00641787"/>
    <w:rsid w:val="0064179B"/>
    <w:rsid w:val="00642489"/>
    <w:rsid w:val="00644055"/>
    <w:rsid w:val="00644137"/>
    <w:rsid w:val="0064478C"/>
    <w:rsid w:val="006449E8"/>
    <w:rsid w:val="00645160"/>
    <w:rsid w:val="006451E4"/>
    <w:rsid w:val="00645B33"/>
    <w:rsid w:val="006471D5"/>
    <w:rsid w:val="0065030B"/>
    <w:rsid w:val="00650E10"/>
    <w:rsid w:val="006516CB"/>
    <w:rsid w:val="00653BD0"/>
    <w:rsid w:val="00654110"/>
    <w:rsid w:val="00654FD1"/>
    <w:rsid w:val="006557C0"/>
    <w:rsid w:val="00656C5D"/>
    <w:rsid w:val="00656CFB"/>
    <w:rsid w:val="00657E87"/>
    <w:rsid w:val="00660D2D"/>
    <w:rsid w:val="00661C41"/>
    <w:rsid w:val="00661EC9"/>
    <w:rsid w:val="00662469"/>
    <w:rsid w:val="00662606"/>
    <w:rsid w:val="00663609"/>
    <w:rsid w:val="0066411C"/>
    <w:rsid w:val="00664205"/>
    <w:rsid w:val="00664647"/>
    <w:rsid w:val="00664803"/>
    <w:rsid w:val="006653CC"/>
    <w:rsid w:val="006658EB"/>
    <w:rsid w:val="00665982"/>
    <w:rsid w:val="00665BA4"/>
    <w:rsid w:val="006666E4"/>
    <w:rsid w:val="00666BF3"/>
    <w:rsid w:val="00667856"/>
    <w:rsid w:val="00667AF2"/>
    <w:rsid w:val="00670307"/>
    <w:rsid w:val="00670489"/>
    <w:rsid w:val="006710C9"/>
    <w:rsid w:val="0067194C"/>
    <w:rsid w:val="00672586"/>
    <w:rsid w:val="006741CD"/>
    <w:rsid w:val="00674D89"/>
    <w:rsid w:val="00674FA7"/>
    <w:rsid w:val="0067514E"/>
    <w:rsid w:val="00675E37"/>
    <w:rsid w:val="00676736"/>
    <w:rsid w:val="006769A4"/>
    <w:rsid w:val="00676D76"/>
    <w:rsid w:val="00676F9F"/>
    <w:rsid w:val="0067711E"/>
    <w:rsid w:val="00677591"/>
    <w:rsid w:val="00677594"/>
    <w:rsid w:val="0068032F"/>
    <w:rsid w:val="00680D37"/>
    <w:rsid w:val="0068174E"/>
    <w:rsid w:val="00681DCE"/>
    <w:rsid w:val="0068260E"/>
    <w:rsid w:val="006838E4"/>
    <w:rsid w:val="006846B3"/>
    <w:rsid w:val="00684D59"/>
    <w:rsid w:val="00684E25"/>
    <w:rsid w:val="006858A4"/>
    <w:rsid w:val="00685A20"/>
    <w:rsid w:val="00685CA6"/>
    <w:rsid w:val="00686718"/>
    <w:rsid w:val="00686BFA"/>
    <w:rsid w:val="00686C41"/>
    <w:rsid w:val="00686DED"/>
    <w:rsid w:val="006875A0"/>
    <w:rsid w:val="00687D27"/>
    <w:rsid w:val="00690FEF"/>
    <w:rsid w:val="00691943"/>
    <w:rsid w:val="00693550"/>
    <w:rsid w:val="00695065"/>
    <w:rsid w:val="00695AF1"/>
    <w:rsid w:val="00695BEF"/>
    <w:rsid w:val="00696251"/>
    <w:rsid w:val="006966C7"/>
    <w:rsid w:val="006968C1"/>
    <w:rsid w:val="00697310"/>
    <w:rsid w:val="006977F6"/>
    <w:rsid w:val="00697A13"/>
    <w:rsid w:val="006A109C"/>
    <w:rsid w:val="006A5F4B"/>
    <w:rsid w:val="006A6565"/>
    <w:rsid w:val="006A7691"/>
    <w:rsid w:val="006A7EE2"/>
    <w:rsid w:val="006B0514"/>
    <w:rsid w:val="006B0F92"/>
    <w:rsid w:val="006B2785"/>
    <w:rsid w:val="006B27C7"/>
    <w:rsid w:val="006B344A"/>
    <w:rsid w:val="006B57DE"/>
    <w:rsid w:val="006B58C9"/>
    <w:rsid w:val="006B60ED"/>
    <w:rsid w:val="006B67F2"/>
    <w:rsid w:val="006B6CC5"/>
    <w:rsid w:val="006B714E"/>
    <w:rsid w:val="006B74AC"/>
    <w:rsid w:val="006B78D8"/>
    <w:rsid w:val="006B79EA"/>
    <w:rsid w:val="006C05CA"/>
    <w:rsid w:val="006C0C5D"/>
    <w:rsid w:val="006C113F"/>
    <w:rsid w:val="006C123E"/>
    <w:rsid w:val="006C15A1"/>
    <w:rsid w:val="006C1752"/>
    <w:rsid w:val="006C1C05"/>
    <w:rsid w:val="006C28CA"/>
    <w:rsid w:val="006C2BBF"/>
    <w:rsid w:val="006C2FBD"/>
    <w:rsid w:val="006C4355"/>
    <w:rsid w:val="006C469D"/>
    <w:rsid w:val="006C46B5"/>
    <w:rsid w:val="006C484F"/>
    <w:rsid w:val="006C4D7C"/>
    <w:rsid w:val="006C52EC"/>
    <w:rsid w:val="006C56D4"/>
    <w:rsid w:val="006C6681"/>
    <w:rsid w:val="006C683C"/>
    <w:rsid w:val="006C6924"/>
    <w:rsid w:val="006C69D3"/>
    <w:rsid w:val="006C6C1E"/>
    <w:rsid w:val="006C6EB2"/>
    <w:rsid w:val="006C7076"/>
    <w:rsid w:val="006C70FA"/>
    <w:rsid w:val="006C7AEC"/>
    <w:rsid w:val="006C7CA6"/>
    <w:rsid w:val="006D18B3"/>
    <w:rsid w:val="006D1E89"/>
    <w:rsid w:val="006D24AE"/>
    <w:rsid w:val="006D317E"/>
    <w:rsid w:val="006D3E8A"/>
    <w:rsid w:val="006D41E1"/>
    <w:rsid w:val="006D61F6"/>
    <w:rsid w:val="006D6823"/>
    <w:rsid w:val="006E0ED0"/>
    <w:rsid w:val="006E1332"/>
    <w:rsid w:val="006E279A"/>
    <w:rsid w:val="006E313B"/>
    <w:rsid w:val="006E3A45"/>
    <w:rsid w:val="006E4078"/>
    <w:rsid w:val="006E53AD"/>
    <w:rsid w:val="006E58CB"/>
    <w:rsid w:val="006E7227"/>
    <w:rsid w:val="006E761A"/>
    <w:rsid w:val="006F0741"/>
    <w:rsid w:val="006F0D05"/>
    <w:rsid w:val="006F1C27"/>
    <w:rsid w:val="006F2A65"/>
    <w:rsid w:val="006F3DD6"/>
    <w:rsid w:val="006F40DF"/>
    <w:rsid w:val="006F42BB"/>
    <w:rsid w:val="006F438E"/>
    <w:rsid w:val="006F440B"/>
    <w:rsid w:val="006F48A3"/>
    <w:rsid w:val="006F5416"/>
    <w:rsid w:val="006F5CBC"/>
    <w:rsid w:val="006F624B"/>
    <w:rsid w:val="006F6D87"/>
    <w:rsid w:val="0070398A"/>
    <w:rsid w:val="00705242"/>
    <w:rsid w:val="007052F4"/>
    <w:rsid w:val="007055E0"/>
    <w:rsid w:val="007056ED"/>
    <w:rsid w:val="00705F4E"/>
    <w:rsid w:val="00706497"/>
    <w:rsid w:val="007065C5"/>
    <w:rsid w:val="007068E1"/>
    <w:rsid w:val="00706AA0"/>
    <w:rsid w:val="00706AD4"/>
    <w:rsid w:val="00707150"/>
    <w:rsid w:val="00707599"/>
    <w:rsid w:val="0071103F"/>
    <w:rsid w:val="007114D1"/>
    <w:rsid w:val="0071179D"/>
    <w:rsid w:val="007124D7"/>
    <w:rsid w:val="00712C20"/>
    <w:rsid w:val="00712EF8"/>
    <w:rsid w:val="00713549"/>
    <w:rsid w:val="007140BE"/>
    <w:rsid w:val="007147AB"/>
    <w:rsid w:val="00715502"/>
    <w:rsid w:val="00715CBB"/>
    <w:rsid w:val="00715E3C"/>
    <w:rsid w:val="00715E4D"/>
    <w:rsid w:val="0071677A"/>
    <w:rsid w:val="00716F48"/>
    <w:rsid w:val="00717114"/>
    <w:rsid w:val="0071779F"/>
    <w:rsid w:val="007211F5"/>
    <w:rsid w:val="00721601"/>
    <w:rsid w:val="00722777"/>
    <w:rsid w:val="00723435"/>
    <w:rsid w:val="00723436"/>
    <w:rsid w:val="00723A5A"/>
    <w:rsid w:val="007240E2"/>
    <w:rsid w:val="0072454C"/>
    <w:rsid w:val="0072583E"/>
    <w:rsid w:val="00725BB5"/>
    <w:rsid w:val="00725C87"/>
    <w:rsid w:val="00727C02"/>
    <w:rsid w:val="0073008E"/>
    <w:rsid w:val="00730AE8"/>
    <w:rsid w:val="00730F1B"/>
    <w:rsid w:val="0073186D"/>
    <w:rsid w:val="007319FC"/>
    <w:rsid w:val="007331B5"/>
    <w:rsid w:val="0073333D"/>
    <w:rsid w:val="00733998"/>
    <w:rsid w:val="007343D9"/>
    <w:rsid w:val="00734F71"/>
    <w:rsid w:val="00735448"/>
    <w:rsid w:val="0073734F"/>
    <w:rsid w:val="007377BD"/>
    <w:rsid w:val="00737DEC"/>
    <w:rsid w:val="00737F2D"/>
    <w:rsid w:val="0074004D"/>
    <w:rsid w:val="00741493"/>
    <w:rsid w:val="007434E5"/>
    <w:rsid w:val="0074499B"/>
    <w:rsid w:val="007450BF"/>
    <w:rsid w:val="007453C2"/>
    <w:rsid w:val="007471A1"/>
    <w:rsid w:val="007477BD"/>
    <w:rsid w:val="00747ACF"/>
    <w:rsid w:val="00747EE9"/>
    <w:rsid w:val="00752180"/>
    <w:rsid w:val="00752323"/>
    <w:rsid w:val="007532B7"/>
    <w:rsid w:val="00753CAB"/>
    <w:rsid w:val="00754551"/>
    <w:rsid w:val="00754A70"/>
    <w:rsid w:val="00754BC9"/>
    <w:rsid w:val="00755202"/>
    <w:rsid w:val="00755D3A"/>
    <w:rsid w:val="0075751D"/>
    <w:rsid w:val="0075763E"/>
    <w:rsid w:val="007578D3"/>
    <w:rsid w:val="007602CF"/>
    <w:rsid w:val="00760391"/>
    <w:rsid w:val="0076050B"/>
    <w:rsid w:val="007609C6"/>
    <w:rsid w:val="007615F3"/>
    <w:rsid w:val="0076175D"/>
    <w:rsid w:val="00761CB5"/>
    <w:rsid w:val="007629D5"/>
    <w:rsid w:val="00763146"/>
    <w:rsid w:val="007635CA"/>
    <w:rsid w:val="007635F8"/>
    <w:rsid w:val="00763B85"/>
    <w:rsid w:val="00763C1A"/>
    <w:rsid w:val="00764974"/>
    <w:rsid w:val="00764D18"/>
    <w:rsid w:val="0076521E"/>
    <w:rsid w:val="00765BCC"/>
    <w:rsid w:val="0076600D"/>
    <w:rsid w:val="007661E9"/>
    <w:rsid w:val="0076625E"/>
    <w:rsid w:val="00766460"/>
    <w:rsid w:val="00767062"/>
    <w:rsid w:val="00767777"/>
    <w:rsid w:val="007707B9"/>
    <w:rsid w:val="0077130E"/>
    <w:rsid w:val="007715EE"/>
    <w:rsid w:val="00771972"/>
    <w:rsid w:val="00772279"/>
    <w:rsid w:val="00772DAB"/>
    <w:rsid w:val="00772FF9"/>
    <w:rsid w:val="007734B8"/>
    <w:rsid w:val="00774D28"/>
    <w:rsid w:val="00774D2C"/>
    <w:rsid w:val="0077605B"/>
    <w:rsid w:val="00776169"/>
    <w:rsid w:val="00776527"/>
    <w:rsid w:val="00777040"/>
    <w:rsid w:val="00777587"/>
    <w:rsid w:val="00777CE6"/>
    <w:rsid w:val="00780EF1"/>
    <w:rsid w:val="00781A91"/>
    <w:rsid w:val="00781F36"/>
    <w:rsid w:val="00783408"/>
    <w:rsid w:val="00783696"/>
    <w:rsid w:val="00784E28"/>
    <w:rsid w:val="00785778"/>
    <w:rsid w:val="00786C87"/>
    <w:rsid w:val="0078755E"/>
    <w:rsid w:val="007877C9"/>
    <w:rsid w:val="00790764"/>
    <w:rsid w:val="0079085F"/>
    <w:rsid w:val="00790A4E"/>
    <w:rsid w:val="00790E96"/>
    <w:rsid w:val="00791005"/>
    <w:rsid w:val="00793D78"/>
    <w:rsid w:val="0079453C"/>
    <w:rsid w:val="00794677"/>
    <w:rsid w:val="00795759"/>
    <w:rsid w:val="007A170B"/>
    <w:rsid w:val="007A1A21"/>
    <w:rsid w:val="007A20EB"/>
    <w:rsid w:val="007A282C"/>
    <w:rsid w:val="007A293C"/>
    <w:rsid w:val="007A2A3A"/>
    <w:rsid w:val="007A33E2"/>
    <w:rsid w:val="007A3CAF"/>
    <w:rsid w:val="007A4782"/>
    <w:rsid w:val="007A4C04"/>
    <w:rsid w:val="007A516D"/>
    <w:rsid w:val="007A5E65"/>
    <w:rsid w:val="007A65E1"/>
    <w:rsid w:val="007A698A"/>
    <w:rsid w:val="007A6AAA"/>
    <w:rsid w:val="007A6B63"/>
    <w:rsid w:val="007A7033"/>
    <w:rsid w:val="007A775D"/>
    <w:rsid w:val="007B0834"/>
    <w:rsid w:val="007B0E83"/>
    <w:rsid w:val="007B11FA"/>
    <w:rsid w:val="007B1396"/>
    <w:rsid w:val="007B16D6"/>
    <w:rsid w:val="007B2011"/>
    <w:rsid w:val="007B2CFE"/>
    <w:rsid w:val="007B309B"/>
    <w:rsid w:val="007B3D5E"/>
    <w:rsid w:val="007B3DCB"/>
    <w:rsid w:val="007B456E"/>
    <w:rsid w:val="007B4CCD"/>
    <w:rsid w:val="007B5725"/>
    <w:rsid w:val="007B5C1F"/>
    <w:rsid w:val="007B629D"/>
    <w:rsid w:val="007B6689"/>
    <w:rsid w:val="007B66F8"/>
    <w:rsid w:val="007B6747"/>
    <w:rsid w:val="007B6F72"/>
    <w:rsid w:val="007C10BD"/>
    <w:rsid w:val="007C1F0C"/>
    <w:rsid w:val="007C1FFB"/>
    <w:rsid w:val="007C2D94"/>
    <w:rsid w:val="007C5007"/>
    <w:rsid w:val="007C5B08"/>
    <w:rsid w:val="007C5F92"/>
    <w:rsid w:val="007C6227"/>
    <w:rsid w:val="007C6BBD"/>
    <w:rsid w:val="007C6C3E"/>
    <w:rsid w:val="007C6D89"/>
    <w:rsid w:val="007C6F5E"/>
    <w:rsid w:val="007D0382"/>
    <w:rsid w:val="007D0A2B"/>
    <w:rsid w:val="007D10FA"/>
    <w:rsid w:val="007D1A1F"/>
    <w:rsid w:val="007D2E18"/>
    <w:rsid w:val="007D35D8"/>
    <w:rsid w:val="007D40DF"/>
    <w:rsid w:val="007D42E5"/>
    <w:rsid w:val="007D4458"/>
    <w:rsid w:val="007D559F"/>
    <w:rsid w:val="007D5E0B"/>
    <w:rsid w:val="007D6AF9"/>
    <w:rsid w:val="007D7DDD"/>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2003"/>
    <w:rsid w:val="007F20F3"/>
    <w:rsid w:val="007F20F5"/>
    <w:rsid w:val="007F2353"/>
    <w:rsid w:val="007F2390"/>
    <w:rsid w:val="007F2CAC"/>
    <w:rsid w:val="007F4740"/>
    <w:rsid w:val="007F595A"/>
    <w:rsid w:val="007F708D"/>
    <w:rsid w:val="008006B3"/>
    <w:rsid w:val="0080158A"/>
    <w:rsid w:val="00801E13"/>
    <w:rsid w:val="00803008"/>
    <w:rsid w:val="00803069"/>
    <w:rsid w:val="0080346B"/>
    <w:rsid w:val="00804155"/>
    <w:rsid w:val="0080559E"/>
    <w:rsid w:val="00805AF3"/>
    <w:rsid w:val="0080618A"/>
    <w:rsid w:val="0080700A"/>
    <w:rsid w:val="0080734C"/>
    <w:rsid w:val="00807C82"/>
    <w:rsid w:val="008117CC"/>
    <w:rsid w:val="00813D58"/>
    <w:rsid w:val="00813DCA"/>
    <w:rsid w:val="00813F00"/>
    <w:rsid w:val="008161A6"/>
    <w:rsid w:val="008165B8"/>
    <w:rsid w:val="00816905"/>
    <w:rsid w:val="00816D98"/>
    <w:rsid w:val="00816E42"/>
    <w:rsid w:val="00817040"/>
    <w:rsid w:val="00817A17"/>
    <w:rsid w:val="00817EC1"/>
    <w:rsid w:val="00820830"/>
    <w:rsid w:val="0082112D"/>
    <w:rsid w:val="00821FF6"/>
    <w:rsid w:val="00822313"/>
    <w:rsid w:val="00822574"/>
    <w:rsid w:val="00822980"/>
    <w:rsid w:val="00822F08"/>
    <w:rsid w:val="0082321B"/>
    <w:rsid w:val="00825C4D"/>
    <w:rsid w:val="00826A08"/>
    <w:rsid w:val="00826AC0"/>
    <w:rsid w:val="00827186"/>
    <w:rsid w:val="008275B5"/>
    <w:rsid w:val="00827C8E"/>
    <w:rsid w:val="00830569"/>
    <w:rsid w:val="00830AEA"/>
    <w:rsid w:val="00830E86"/>
    <w:rsid w:val="00831219"/>
    <w:rsid w:val="0083143E"/>
    <w:rsid w:val="008315B8"/>
    <w:rsid w:val="008315D5"/>
    <w:rsid w:val="00831CDE"/>
    <w:rsid w:val="00832F77"/>
    <w:rsid w:val="00834304"/>
    <w:rsid w:val="00834FAA"/>
    <w:rsid w:val="008354FB"/>
    <w:rsid w:val="00836086"/>
    <w:rsid w:val="0083630F"/>
    <w:rsid w:val="00836A06"/>
    <w:rsid w:val="008374BC"/>
    <w:rsid w:val="008379D6"/>
    <w:rsid w:val="00837E48"/>
    <w:rsid w:val="00840293"/>
    <w:rsid w:val="008402AD"/>
    <w:rsid w:val="00840317"/>
    <w:rsid w:val="008408D4"/>
    <w:rsid w:val="008417B5"/>
    <w:rsid w:val="00841901"/>
    <w:rsid w:val="00845314"/>
    <w:rsid w:val="008458BD"/>
    <w:rsid w:val="00846121"/>
    <w:rsid w:val="008461C2"/>
    <w:rsid w:val="008466C6"/>
    <w:rsid w:val="00846BAE"/>
    <w:rsid w:val="0084708F"/>
    <w:rsid w:val="008477C8"/>
    <w:rsid w:val="008478A6"/>
    <w:rsid w:val="008502F6"/>
    <w:rsid w:val="0085114D"/>
    <w:rsid w:val="00851802"/>
    <w:rsid w:val="008520A8"/>
    <w:rsid w:val="00852217"/>
    <w:rsid w:val="0085285C"/>
    <w:rsid w:val="00853282"/>
    <w:rsid w:val="00855408"/>
    <w:rsid w:val="00855BCD"/>
    <w:rsid w:val="00855D03"/>
    <w:rsid w:val="008567C1"/>
    <w:rsid w:val="00856D65"/>
    <w:rsid w:val="00860386"/>
    <w:rsid w:val="00861B41"/>
    <w:rsid w:val="00861B9F"/>
    <w:rsid w:val="00861BE3"/>
    <w:rsid w:val="008625D3"/>
    <w:rsid w:val="00863434"/>
    <w:rsid w:val="0086344F"/>
    <w:rsid w:val="008640BA"/>
    <w:rsid w:val="008641AC"/>
    <w:rsid w:val="008642CD"/>
    <w:rsid w:val="008650AD"/>
    <w:rsid w:val="00865E4C"/>
    <w:rsid w:val="0086796D"/>
    <w:rsid w:val="00867DAB"/>
    <w:rsid w:val="0087000B"/>
    <w:rsid w:val="008701E4"/>
    <w:rsid w:val="008704E9"/>
    <w:rsid w:val="00870ECD"/>
    <w:rsid w:val="00871D46"/>
    <w:rsid w:val="0087347C"/>
    <w:rsid w:val="008734E7"/>
    <w:rsid w:val="0087368D"/>
    <w:rsid w:val="008740CC"/>
    <w:rsid w:val="008740F5"/>
    <w:rsid w:val="008745B5"/>
    <w:rsid w:val="00874775"/>
    <w:rsid w:val="00874FE8"/>
    <w:rsid w:val="00875A32"/>
    <w:rsid w:val="00876086"/>
    <w:rsid w:val="00876E83"/>
    <w:rsid w:val="008772BC"/>
    <w:rsid w:val="00880A0E"/>
    <w:rsid w:val="00881CD7"/>
    <w:rsid w:val="00882911"/>
    <w:rsid w:val="00882F6E"/>
    <w:rsid w:val="00884E02"/>
    <w:rsid w:val="00885D40"/>
    <w:rsid w:val="008873D4"/>
    <w:rsid w:val="00887509"/>
    <w:rsid w:val="00891CDC"/>
    <w:rsid w:val="00891EDF"/>
    <w:rsid w:val="00892872"/>
    <w:rsid w:val="0089296D"/>
    <w:rsid w:val="00893E85"/>
    <w:rsid w:val="00893EBE"/>
    <w:rsid w:val="00894031"/>
    <w:rsid w:val="00894C5D"/>
    <w:rsid w:val="00895508"/>
    <w:rsid w:val="0089655A"/>
    <w:rsid w:val="008967E9"/>
    <w:rsid w:val="00896A5C"/>
    <w:rsid w:val="008972D2"/>
    <w:rsid w:val="008973F0"/>
    <w:rsid w:val="0089754C"/>
    <w:rsid w:val="008A0ADD"/>
    <w:rsid w:val="008A0D27"/>
    <w:rsid w:val="008A1C59"/>
    <w:rsid w:val="008A3185"/>
    <w:rsid w:val="008A37E2"/>
    <w:rsid w:val="008A388E"/>
    <w:rsid w:val="008A394E"/>
    <w:rsid w:val="008A3CBA"/>
    <w:rsid w:val="008A4521"/>
    <w:rsid w:val="008A4B59"/>
    <w:rsid w:val="008A5F8A"/>
    <w:rsid w:val="008A63E1"/>
    <w:rsid w:val="008A66B7"/>
    <w:rsid w:val="008A68BB"/>
    <w:rsid w:val="008A6AA5"/>
    <w:rsid w:val="008A7127"/>
    <w:rsid w:val="008B03EA"/>
    <w:rsid w:val="008B1121"/>
    <w:rsid w:val="008B3347"/>
    <w:rsid w:val="008B3537"/>
    <w:rsid w:val="008B3690"/>
    <w:rsid w:val="008B3A80"/>
    <w:rsid w:val="008B3AEC"/>
    <w:rsid w:val="008B3C07"/>
    <w:rsid w:val="008B3F7B"/>
    <w:rsid w:val="008B5324"/>
    <w:rsid w:val="008B6106"/>
    <w:rsid w:val="008B6324"/>
    <w:rsid w:val="008B7C02"/>
    <w:rsid w:val="008B7D2B"/>
    <w:rsid w:val="008B7D7E"/>
    <w:rsid w:val="008B7EF9"/>
    <w:rsid w:val="008C0049"/>
    <w:rsid w:val="008C0E88"/>
    <w:rsid w:val="008C1138"/>
    <w:rsid w:val="008C13EA"/>
    <w:rsid w:val="008C1717"/>
    <w:rsid w:val="008C235A"/>
    <w:rsid w:val="008C4B50"/>
    <w:rsid w:val="008C5A37"/>
    <w:rsid w:val="008C6824"/>
    <w:rsid w:val="008C7569"/>
    <w:rsid w:val="008D033D"/>
    <w:rsid w:val="008D0DBD"/>
    <w:rsid w:val="008D117E"/>
    <w:rsid w:val="008D127E"/>
    <w:rsid w:val="008D1CA8"/>
    <w:rsid w:val="008D1E0A"/>
    <w:rsid w:val="008D1E6A"/>
    <w:rsid w:val="008D2A16"/>
    <w:rsid w:val="008D33F5"/>
    <w:rsid w:val="008D35E4"/>
    <w:rsid w:val="008D4903"/>
    <w:rsid w:val="008D5EC2"/>
    <w:rsid w:val="008D6189"/>
    <w:rsid w:val="008D637E"/>
    <w:rsid w:val="008D6884"/>
    <w:rsid w:val="008D6C3A"/>
    <w:rsid w:val="008D7A97"/>
    <w:rsid w:val="008E0001"/>
    <w:rsid w:val="008E059C"/>
    <w:rsid w:val="008E106B"/>
    <w:rsid w:val="008E292B"/>
    <w:rsid w:val="008E2C57"/>
    <w:rsid w:val="008E31FF"/>
    <w:rsid w:val="008E3287"/>
    <w:rsid w:val="008E5BFC"/>
    <w:rsid w:val="008E6DCB"/>
    <w:rsid w:val="008E6F06"/>
    <w:rsid w:val="008E7B8E"/>
    <w:rsid w:val="008E7FC9"/>
    <w:rsid w:val="008F0107"/>
    <w:rsid w:val="008F0126"/>
    <w:rsid w:val="008F029B"/>
    <w:rsid w:val="008F0589"/>
    <w:rsid w:val="008F1954"/>
    <w:rsid w:val="008F1FC0"/>
    <w:rsid w:val="008F2A5D"/>
    <w:rsid w:val="008F3636"/>
    <w:rsid w:val="008F3FC9"/>
    <w:rsid w:val="008F5383"/>
    <w:rsid w:val="008F585B"/>
    <w:rsid w:val="008F7339"/>
    <w:rsid w:val="009003A8"/>
    <w:rsid w:val="009005E4"/>
    <w:rsid w:val="00900977"/>
    <w:rsid w:val="009021DA"/>
    <w:rsid w:val="00902500"/>
    <w:rsid w:val="00902757"/>
    <w:rsid w:val="00902EFF"/>
    <w:rsid w:val="00903A8E"/>
    <w:rsid w:val="0090432C"/>
    <w:rsid w:val="00904F96"/>
    <w:rsid w:val="009052A3"/>
    <w:rsid w:val="00905314"/>
    <w:rsid w:val="009056D7"/>
    <w:rsid w:val="00905B8D"/>
    <w:rsid w:val="00905C41"/>
    <w:rsid w:val="00906401"/>
    <w:rsid w:val="009065CB"/>
    <w:rsid w:val="009067EA"/>
    <w:rsid w:val="00906B79"/>
    <w:rsid w:val="0090786F"/>
    <w:rsid w:val="0091001E"/>
    <w:rsid w:val="009100B0"/>
    <w:rsid w:val="009104A9"/>
    <w:rsid w:val="00910C18"/>
    <w:rsid w:val="009110F7"/>
    <w:rsid w:val="0091155E"/>
    <w:rsid w:val="00912437"/>
    <w:rsid w:val="00912A92"/>
    <w:rsid w:val="00915D07"/>
    <w:rsid w:val="009162AE"/>
    <w:rsid w:val="0091703C"/>
    <w:rsid w:val="00917251"/>
    <w:rsid w:val="0091728D"/>
    <w:rsid w:val="009203CC"/>
    <w:rsid w:val="00920C24"/>
    <w:rsid w:val="00920EC4"/>
    <w:rsid w:val="0092180B"/>
    <w:rsid w:val="00921F14"/>
    <w:rsid w:val="00923CB0"/>
    <w:rsid w:val="00923D8C"/>
    <w:rsid w:val="00924871"/>
    <w:rsid w:val="00924AC8"/>
    <w:rsid w:val="00925429"/>
    <w:rsid w:val="00925615"/>
    <w:rsid w:val="0092597A"/>
    <w:rsid w:val="0092617A"/>
    <w:rsid w:val="00926520"/>
    <w:rsid w:val="00926CF0"/>
    <w:rsid w:val="00926E41"/>
    <w:rsid w:val="009273A9"/>
    <w:rsid w:val="0092799E"/>
    <w:rsid w:val="00930251"/>
    <w:rsid w:val="0093033E"/>
    <w:rsid w:val="009305FC"/>
    <w:rsid w:val="00930FB1"/>
    <w:rsid w:val="0093139F"/>
    <w:rsid w:val="00932443"/>
    <w:rsid w:val="00932B32"/>
    <w:rsid w:val="00933F4A"/>
    <w:rsid w:val="009341F1"/>
    <w:rsid w:val="00934CA1"/>
    <w:rsid w:val="00934D84"/>
    <w:rsid w:val="00934FF2"/>
    <w:rsid w:val="009358D7"/>
    <w:rsid w:val="00935BD4"/>
    <w:rsid w:val="00935DFE"/>
    <w:rsid w:val="00935F70"/>
    <w:rsid w:val="00937185"/>
    <w:rsid w:val="009373B2"/>
    <w:rsid w:val="00937A02"/>
    <w:rsid w:val="00937AE2"/>
    <w:rsid w:val="0094061F"/>
    <w:rsid w:val="00940F0F"/>
    <w:rsid w:val="0094416B"/>
    <w:rsid w:val="0094427A"/>
    <w:rsid w:val="00944C7C"/>
    <w:rsid w:val="00945245"/>
    <w:rsid w:val="00945523"/>
    <w:rsid w:val="00946780"/>
    <w:rsid w:val="009477E1"/>
    <w:rsid w:val="00950921"/>
    <w:rsid w:val="00951D68"/>
    <w:rsid w:val="00951E5B"/>
    <w:rsid w:val="00952B7B"/>
    <w:rsid w:val="009539D4"/>
    <w:rsid w:val="009542F2"/>
    <w:rsid w:val="00954F39"/>
    <w:rsid w:val="00955080"/>
    <w:rsid w:val="00955289"/>
    <w:rsid w:val="00955301"/>
    <w:rsid w:val="009555FD"/>
    <w:rsid w:val="00955B18"/>
    <w:rsid w:val="0095664B"/>
    <w:rsid w:val="009568DC"/>
    <w:rsid w:val="00957445"/>
    <w:rsid w:val="0095759C"/>
    <w:rsid w:val="0096017F"/>
    <w:rsid w:val="00960BE8"/>
    <w:rsid w:val="009618EE"/>
    <w:rsid w:val="009624D2"/>
    <w:rsid w:val="009628D9"/>
    <w:rsid w:val="009637AE"/>
    <w:rsid w:val="00963A06"/>
    <w:rsid w:val="00964068"/>
    <w:rsid w:val="009640F6"/>
    <w:rsid w:val="0096469D"/>
    <w:rsid w:val="00964776"/>
    <w:rsid w:val="009648C1"/>
    <w:rsid w:val="00964A4E"/>
    <w:rsid w:val="00964B35"/>
    <w:rsid w:val="009651C7"/>
    <w:rsid w:val="00965797"/>
    <w:rsid w:val="00965A10"/>
    <w:rsid w:val="009670A3"/>
    <w:rsid w:val="009674BE"/>
    <w:rsid w:val="00970E49"/>
    <w:rsid w:val="00970E93"/>
    <w:rsid w:val="00970FB5"/>
    <w:rsid w:val="00971537"/>
    <w:rsid w:val="00971710"/>
    <w:rsid w:val="00971AF3"/>
    <w:rsid w:val="00971B87"/>
    <w:rsid w:val="00971C77"/>
    <w:rsid w:val="00971F0B"/>
    <w:rsid w:val="00972FCD"/>
    <w:rsid w:val="00973324"/>
    <w:rsid w:val="00973752"/>
    <w:rsid w:val="009741AE"/>
    <w:rsid w:val="009741FC"/>
    <w:rsid w:val="00974782"/>
    <w:rsid w:val="00974923"/>
    <w:rsid w:val="00975909"/>
    <w:rsid w:val="00977C3D"/>
    <w:rsid w:val="00980D3D"/>
    <w:rsid w:val="0098103E"/>
    <w:rsid w:val="0098157D"/>
    <w:rsid w:val="00983101"/>
    <w:rsid w:val="00983E41"/>
    <w:rsid w:val="009845E1"/>
    <w:rsid w:val="00986246"/>
    <w:rsid w:val="00987A30"/>
    <w:rsid w:val="00990312"/>
    <w:rsid w:val="0099182E"/>
    <w:rsid w:val="00992689"/>
    <w:rsid w:val="00992CF3"/>
    <w:rsid w:val="00993194"/>
    <w:rsid w:val="0099321E"/>
    <w:rsid w:val="0099399E"/>
    <w:rsid w:val="00993A46"/>
    <w:rsid w:val="00994868"/>
    <w:rsid w:val="00994D28"/>
    <w:rsid w:val="00994F2C"/>
    <w:rsid w:val="009957CC"/>
    <w:rsid w:val="0099584D"/>
    <w:rsid w:val="00995B68"/>
    <w:rsid w:val="009968D6"/>
    <w:rsid w:val="00997953"/>
    <w:rsid w:val="009A0BFF"/>
    <w:rsid w:val="009A10A0"/>
    <w:rsid w:val="009A1CAB"/>
    <w:rsid w:val="009A2359"/>
    <w:rsid w:val="009A24F1"/>
    <w:rsid w:val="009A27E0"/>
    <w:rsid w:val="009A2FEC"/>
    <w:rsid w:val="009A329E"/>
    <w:rsid w:val="009A4D57"/>
    <w:rsid w:val="009A5091"/>
    <w:rsid w:val="009A51A5"/>
    <w:rsid w:val="009A5D8C"/>
    <w:rsid w:val="009A60D1"/>
    <w:rsid w:val="009A6225"/>
    <w:rsid w:val="009A64F5"/>
    <w:rsid w:val="009B00D2"/>
    <w:rsid w:val="009B05B3"/>
    <w:rsid w:val="009B2843"/>
    <w:rsid w:val="009B284F"/>
    <w:rsid w:val="009B291E"/>
    <w:rsid w:val="009B360B"/>
    <w:rsid w:val="009B3764"/>
    <w:rsid w:val="009B52AC"/>
    <w:rsid w:val="009B59EA"/>
    <w:rsid w:val="009B66CE"/>
    <w:rsid w:val="009B6FD3"/>
    <w:rsid w:val="009B72A7"/>
    <w:rsid w:val="009B72BE"/>
    <w:rsid w:val="009B78A4"/>
    <w:rsid w:val="009B7DB2"/>
    <w:rsid w:val="009C0334"/>
    <w:rsid w:val="009C03DB"/>
    <w:rsid w:val="009C1750"/>
    <w:rsid w:val="009C25E6"/>
    <w:rsid w:val="009C2E29"/>
    <w:rsid w:val="009C3E8F"/>
    <w:rsid w:val="009C554B"/>
    <w:rsid w:val="009C5E83"/>
    <w:rsid w:val="009C7126"/>
    <w:rsid w:val="009C719E"/>
    <w:rsid w:val="009C7799"/>
    <w:rsid w:val="009D0603"/>
    <w:rsid w:val="009D07A9"/>
    <w:rsid w:val="009D0AE2"/>
    <w:rsid w:val="009D0D9F"/>
    <w:rsid w:val="009D0EBB"/>
    <w:rsid w:val="009D1955"/>
    <w:rsid w:val="009D2FAC"/>
    <w:rsid w:val="009D3079"/>
    <w:rsid w:val="009D35E9"/>
    <w:rsid w:val="009D3ACD"/>
    <w:rsid w:val="009D4F21"/>
    <w:rsid w:val="009D587D"/>
    <w:rsid w:val="009D5947"/>
    <w:rsid w:val="009D7731"/>
    <w:rsid w:val="009E1120"/>
    <w:rsid w:val="009E1393"/>
    <w:rsid w:val="009E1922"/>
    <w:rsid w:val="009E1A3D"/>
    <w:rsid w:val="009E4715"/>
    <w:rsid w:val="009E4A58"/>
    <w:rsid w:val="009E5273"/>
    <w:rsid w:val="009E540A"/>
    <w:rsid w:val="009E57A8"/>
    <w:rsid w:val="009E5B85"/>
    <w:rsid w:val="009E5CFF"/>
    <w:rsid w:val="009E5DDB"/>
    <w:rsid w:val="009F06F8"/>
    <w:rsid w:val="009F111B"/>
    <w:rsid w:val="009F2620"/>
    <w:rsid w:val="009F2921"/>
    <w:rsid w:val="009F2E2A"/>
    <w:rsid w:val="009F351D"/>
    <w:rsid w:val="009F4982"/>
    <w:rsid w:val="009F4CA7"/>
    <w:rsid w:val="009F4F6A"/>
    <w:rsid w:val="009F55BA"/>
    <w:rsid w:val="009F6143"/>
    <w:rsid w:val="009F7D36"/>
    <w:rsid w:val="00A00E71"/>
    <w:rsid w:val="00A0306F"/>
    <w:rsid w:val="00A03B10"/>
    <w:rsid w:val="00A03E2E"/>
    <w:rsid w:val="00A04616"/>
    <w:rsid w:val="00A04717"/>
    <w:rsid w:val="00A0476E"/>
    <w:rsid w:val="00A05D8F"/>
    <w:rsid w:val="00A05EE4"/>
    <w:rsid w:val="00A0675F"/>
    <w:rsid w:val="00A06F99"/>
    <w:rsid w:val="00A1053B"/>
    <w:rsid w:val="00A10D66"/>
    <w:rsid w:val="00A113A4"/>
    <w:rsid w:val="00A12F0E"/>
    <w:rsid w:val="00A14114"/>
    <w:rsid w:val="00A16098"/>
    <w:rsid w:val="00A16413"/>
    <w:rsid w:val="00A16545"/>
    <w:rsid w:val="00A1694A"/>
    <w:rsid w:val="00A16AED"/>
    <w:rsid w:val="00A16C37"/>
    <w:rsid w:val="00A16E1D"/>
    <w:rsid w:val="00A171D5"/>
    <w:rsid w:val="00A173D1"/>
    <w:rsid w:val="00A17A15"/>
    <w:rsid w:val="00A17D5B"/>
    <w:rsid w:val="00A201E1"/>
    <w:rsid w:val="00A20FE1"/>
    <w:rsid w:val="00A21B4D"/>
    <w:rsid w:val="00A22073"/>
    <w:rsid w:val="00A223E0"/>
    <w:rsid w:val="00A23606"/>
    <w:rsid w:val="00A23E43"/>
    <w:rsid w:val="00A24726"/>
    <w:rsid w:val="00A24DEB"/>
    <w:rsid w:val="00A24ED9"/>
    <w:rsid w:val="00A25216"/>
    <w:rsid w:val="00A2597D"/>
    <w:rsid w:val="00A2628E"/>
    <w:rsid w:val="00A266BF"/>
    <w:rsid w:val="00A2731E"/>
    <w:rsid w:val="00A309AC"/>
    <w:rsid w:val="00A30F65"/>
    <w:rsid w:val="00A31875"/>
    <w:rsid w:val="00A32184"/>
    <w:rsid w:val="00A3279E"/>
    <w:rsid w:val="00A32A33"/>
    <w:rsid w:val="00A32C96"/>
    <w:rsid w:val="00A333A9"/>
    <w:rsid w:val="00A35900"/>
    <w:rsid w:val="00A363D3"/>
    <w:rsid w:val="00A40469"/>
    <w:rsid w:val="00A40EAC"/>
    <w:rsid w:val="00A418BC"/>
    <w:rsid w:val="00A41FCF"/>
    <w:rsid w:val="00A4269D"/>
    <w:rsid w:val="00A42936"/>
    <w:rsid w:val="00A43CF8"/>
    <w:rsid w:val="00A43DF2"/>
    <w:rsid w:val="00A445A8"/>
    <w:rsid w:val="00A44B0D"/>
    <w:rsid w:val="00A44D21"/>
    <w:rsid w:val="00A44DF1"/>
    <w:rsid w:val="00A45087"/>
    <w:rsid w:val="00A45489"/>
    <w:rsid w:val="00A45CED"/>
    <w:rsid w:val="00A465E9"/>
    <w:rsid w:val="00A467ED"/>
    <w:rsid w:val="00A468E7"/>
    <w:rsid w:val="00A46DE0"/>
    <w:rsid w:val="00A478BA"/>
    <w:rsid w:val="00A50D73"/>
    <w:rsid w:val="00A50EB5"/>
    <w:rsid w:val="00A51B76"/>
    <w:rsid w:val="00A51C5D"/>
    <w:rsid w:val="00A52A88"/>
    <w:rsid w:val="00A52CAD"/>
    <w:rsid w:val="00A53FC7"/>
    <w:rsid w:val="00A5499A"/>
    <w:rsid w:val="00A5526C"/>
    <w:rsid w:val="00A55569"/>
    <w:rsid w:val="00A5631D"/>
    <w:rsid w:val="00A566A0"/>
    <w:rsid w:val="00A5761C"/>
    <w:rsid w:val="00A601E7"/>
    <w:rsid w:val="00A60AC1"/>
    <w:rsid w:val="00A61108"/>
    <w:rsid w:val="00A626FF"/>
    <w:rsid w:val="00A62CE1"/>
    <w:rsid w:val="00A65469"/>
    <w:rsid w:val="00A65528"/>
    <w:rsid w:val="00A655D3"/>
    <w:rsid w:val="00A662D9"/>
    <w:rsid w:val="00A6741E"/>
    <w:rsid w:val="00A67D26"/>
    <w:rsid w:val="00A67E29"/>
    <w:rsid w:val="00A7016A"/>
    <w:rsid w:val="00A7018D"/>
    <w:rsid w:val="00A70540"/>
    <w:rsid w:val="00A7191D"/>
    <w:rsid w:val="00A722F9"/>
    <w:rsid w:val="00A72D42"/>
    <w:rsid w:val="00A746C9"/>
    <w:rsid w:val="00A74C2A"/>
    <w:rsid w:val="00A74D0A"/>
    <w:rsid w:val="00A75945"/>
    <w:rsid w:val="00A75E40"/>
    <w:rsid w:val="00A77D1D"/>
    <w:rsid w:val="00A8135E"/>
    <w:rsid w:val="00A815E4"/>
    <w:rsid w:val="00A81652"/>
    <w:rsid w:val="00A818DC"/>
    <w:rsid w:val="00A81A6B"/>
    <w:rsid w:val="00A82C8D"/>
    <w:rsid w:val="00A83150"/>
    <w:rsid w:val="00A83398"/>
    <w:rsid w:val="00A83D6E"/>
    <w:rsid w:val="00A84408"/>
    <w:rsid w:val="00A848FA"/>
    <w:rsid w:val="00A8521A"/>
    <w:rsid w:val="00A857C0"/>
    <w:rsid w:val="00A85ACB"/>
    <w:rsid w:val="00A87AEC"/>
    <w:rsid w:val="00A90F2C"/>
    <w:rsid w:val="00A90FED"/>
    <w:rsid w:val="00A91482"/>
    <w:rsid w:val="00A9189D"/>
    <w:rsid w:val="00A91E71"/>
    <w:rsid w:val="00A925B1"/>
    <w:rsid w:val="00A929CC"/>
    <w:rsid w:val="00A92A3E"/>
    <w:rsid w:val="00A934C5"/>
    <w:rsid w:val="00A934F9"/>
    <w:rsid w:val="00A940E3"/>
    <w:rsid w:val="00A95F1A"/>
    <w:rsid w:val="00A96116"/>
    <w:rsid w:val="00A9614E"/>
    <w:rsid w:val="00A96C0F"/>
    <w:rsid w:val="00AA0A42"/>
    <w:rsid w:val="00AA0E80"/>
    <w:rsid w:val="00AA17CD"/>
    <w:rsid w:val="00AA1D85"/>
    <w:rsid w:val="00AA212F"/>
    <w:rsid w:val="00AA2996"/>
    <w:rsid w:val="00AA2AF4"/>
    <w:rsid w:val="00AA2FD0"/>
    <w:rsid w:val="00AA342C"/>
    <w:rsid w:val="00AA4282"/>
    <w:rsid w:val="00AA4790"/>
    <w:rsid w:val="00AA52BF"/>
    <w:rsid w:val="00AA559A"/>
    <w:rsid w:val="00AA6C31"/>
    <w:rsid w:val="00AA7752"/>
    <w:rsid w:val="00AA7871"/>
    <w:rsid w:val="00AA7CE8"/>
    <w:rsid w:val="00AB0502"/>
    <w:rsid w:val="00AB1457"/>
    <w:rsid w:val="00AB146C"/>
    <w:rsid w:val="00AB2300"/>
    <w:rsid w:val="00AB2AF1"/>
    <w:rsid w:val="00AB2B45"/>
    <w:rsid w:val="00AB3EC7"/>
    <w:rsid w:val="00AB46FD"/>
    <w:rsid w:val="00AB5A64"/>
    <w:rsid w:val="00AB5CA1"/>
    <w:rsid w:val="00AB6154"/>
    <w:rsid w:val="00AB6456"/>
    <w:rsid w:val="00AC044E"/>
    <w:rsid w:val="00AC2118"/>
    <w:rsid w:val="00AC2395"/>
    <w:rsid w:val="00AC2960"/>
    <w:rsid w:val="00AC2AC4"/>
    <w:rsid w:val="00AC4136"/>
    <w:rsid w:val="00AC4284"/>
    <w:rsid w:val="00AC45BD"/>
    <w:rsid w:val="00AC50BB"/>
    <w:rsid w:val="00AC6C6D"/>
    <w:rsid w:val="00AC746D"/>
    <w:rsid w:val="00AD0517"/>
    <w:rsid w:val="00AD0B22"/>
    <w:rsid w:val="00AD0EE7"/>
    <w:rsid w:val="00AD168E"/>
    <w:rsid w:val="00AD1C50"/>
    <w:rsid w:val="00AD306C"/>
    <w:rsid w:val="00AD44CD"/>
    <w:rsid w:val="00AD5AD2"/>
    <w:rsid w:val="00AD6462"/>
    <w:rsid w:val="00AD66C5"/>
    <w:rsid w:val="00AD675A"/>
    <w:rsid w:val="00AD68C4"/>
    <w:rsid w:val="00AD71F9"/>
    <w:rsid w:val="00AE05EC"/>
    <w:rsid w:val="00AE09B3"/>
    <w:rsid w:val="00AE1A83"/>
    <w:rsid w:val="00AE1D83"/>
    <w:rsid w:val="00AE29AA"/>
    <w:rsid w:val="00AE29D4"/>
    <w:rsid w:val="00AE30BE"/>
    <w:rsid w:val="00AE3E6A"/>
    <w:rsid w:val="00AE4E7F"/>
    <w:rsid w:val="00AE5F14"/>
    <w:rsid w:val="00AE6414"/>
    <w:rsid w:val="00AE67EE"/>
    <w:rsid w:val="00AE6A39"/>
    <w:rsid w:val="00AE7269"/>
    <w:rsid w:val="00AE7490"/>
    <w:rsid w:val="00AE797C"/>
    <w:rsid w:val="00AE7CE7"/>
    <w:rsid w:val="00AE7FAB"/>
    <w:rsid w:val="00AF03B9"/>
    <w:rsid w:val="00AF0DE4"/>
    <w:rsid w:val="00AF1BA1"/>
    <w:rsid w:val="00AF1E70"/>
    <w:rsid w:val="00AF1E87"/>
    <w:rsid w:val="00AF2F58"/>
    <w:rsid w:val="00AF436B"/>
    <w:rsid w:val="00AF4C25"/>
    <w:rsid w:val="00AF5179"/>
    <w:rsid w:val="00AF5CC2"/>
    <w:rsid w:val="00AF6776"/>
    <w:rsid w:val="00AF6F98"/>
    <w:rsid w:val="00B00913"/>
    <w:rsid w:val="00B00C96"/>
    <w:rsid w:val="00B01593"/>
    <w:rsid w:val="00B01FF9"/>
    <w:rsid w:val="00B023F2"/>
    <w:rsid w:val="00B038CA"/>
    <w:rsid w:val="00B04EC5"/>
    <w:rsid w:val="00B05025"/>
    <w:rsid w:val="00B06DB4"/>
    <w:rsid w:val="00B0799C"/>
    <w:rsid w:val="00B102CE"/>
    <w:rsid w:val="00B10A4D"/>
    <w:rsid w:val="00B10C90"/>
    <w:rsid w:val="00B11002"/>
    <w:rsid w:val="00B116E1"/>
    <w:rsid w:val="00B11AB4"/>
    <w:rsid w:val="00B121B2"/>
    <w:rsid w:val="00B1259F"/>
    <w:rsid w:val="00B141B6"/>
    <w:rsid w:val="00B14BC1"/>
    <w:rsid w:val="00B16DD1"/>
    <w:rsid w:val="00B16EB8"/>
    <w:rsid w:val="00B17E71"/>
    <w:rsid w:val="00B17FDE"/>
    <w:rsid w:val="00B20632"/>
    <w:rsid w:val="00B22BB0"/>
    <w:rsid w:val="00B2379C"/>
    <w:rsid w:val="00B23D5D"/>
    <w:rsid w:val="00B23EE4"/>
    <w:rsid w:val="00B241C9"/>
    <w:rsid w:val="00B26044"/>
    <w:rsid w:val="00B2687D"/>
    <w:rsid w:val="00B300EF"/>
    <w:rsid w:val="00B3108D"/>
    <w:rsid w:val="00B325B3"/>
    <w:rsid w:val="00B32DDB"/>
    <w:rsid w:val="00B32F57"/>
    <w:rsid w:val="00B3345C"/>
    <w:rsid w:val="00B34528"/>
    <w:rsid w:val="00B34CC9"/>
    <w:rsid w:val="00B3563B"/>
    <w:rsid w:val="00B36BDC"/>
    <w:rsid w:val="00B36E2B"/>
    <w:rsid w:val="00B37D3A"/>
    <w:rsid w:val="00B37D96"/>
    <w:rsid w:val="00B402FC"/>
    <w:rsid w:val="00B422E2"/>
    <w:rsid w:val="00B42D5F"/>
    <w:rsid w:val="00B43216"/>
    <w:rsid w:val="00B439DA"/>
    <w:rsid w:val="00B4411A"/>
    <w:rsid w:val="00B45A93"/>
    <w:rsid w:val="00B45FE8"/>
    <w:rsid w:val="00B46604"/>
    <w:rsid w:val="00B47089"/>
    <w:rsid w:val="00B4720E"/>
    <w:rsid w:val="00B47587"/>
    <w:rsid w:val="00B52151"/>
    <w:rsid w:val="00B528B0"/>
    <w:rsid w:val="00B528F3"/>
    <w:rsid w:val="00B530CD"/>
    <w:rsid w:val="00B53C7D"/>
    <w:rsid w:val="00B53E56"/>
    <w:rsid w:val="00B54528"/>
    <w:rsid w:val="00B55A97"/>
    <w:rsid w:val="00B55F5E"/>
    <w:rsid w:val="00B560B7"/>
    <w:rsid w:val="00B5642C"/>
    <w:rsid w:val="00B56B6F"/>
    <w:rsid w:val="00B5752E"/>
    <w:rsid w:val="00B57D58"/>
    <w:rsid w:val="00B60AC1"/>
    <w:rsid w:val="00B61FF6"/>
    <w:rsid w:val="00B62316"/>
    <w:rsid w:val="00B63A11"/>
    <w:rsid w:val="00B64425"/>
    <w:rsid w:val="00B64A26"/>
    <w:rsid w:val="00B64C24"/>
    <w:rsid w:val="00B65CEF"/>
    <w:rsid w:val="00B6608F"/>
    <w:rsid w:val="00B661EB"/>
    <w:rsid w:val="00B67749"/>
    <w:rsid w:val="00B679FB"/>
    <w:rsid w:val="00B71FBF"/>
    <w:rsid w:val="00B734A0"/>
    <w:rsid w:val="00B73A14"/>
    <w:rsid w:val="00B748BD"/>
    <w:rsid w:val="00B7680F"/>
    <w:rsid w:val="00B76B48"/>
    <w:rsid w:val="00B76D1E"/>
    <w:rsid w:val="00B77543"/>
    <w:rsid w:val="00B77584"/>
    <w:rsid w:val="00B80E64"/>
    <w:rsid w:val="00B80EC6"/>
    <w:rsid w:val="00B81288"/>
    <w:rsid w:val="00B81D70"/>
    <w:rsid w:val="00B833B9"/>
    <w:rsid w:val="00B83E07"/>
    <w:rsid w:val="00B84CF6"/>
    <w:rsid w:val="00B85016"/>
    <w:rsid w:val="00B8561A"/>
    <w:rsid w:val="00B865F0"/>
    <w:rsid w:val="00B86643"/>
    <w:rsid w:val="00B868F7"/>
    <w:rsid w:val="00B90131"/>
    <w:rsid w:val="00B92951"/>
    <w:rsid w:val="00B92D1D"/>
    <w:rsid w:val="00B92D7E"/>
    <w:rsid w:val="00B930CE"/>
    <w:rsid w:val="00B938C5"/>
    <w:rsid w:val="00B93E65"/>
    <w:rsid w:val="00B940A8"/>
    <w:rsid w:val="00B9554A"/>
    <w:rsid w:val="00B95940"/>
    <w:rsid w:val="00B95ACA"/>
    <w:rsid w:val="00B96072"/>
    <w:rsid w:val="00B96486"/>
    <w:rsid w:val="00B96A5E"/>
    <w:rsid w:val="00B96CA4"/>
    <w:rsid w:val="00B97ACC"/>
    <w:rsid w:val="00B97FE2"/>
    <w:rsid w:val="00BA0324"/>
    <w:rsid w:val="00BA0E0B"/>
    <w:rsid w:val="00BA201A"/>
    <w:rsid w:val="00BA3787"/>
    <w:rsid w:val="00BA46E8"/>
    <w:rsid w:val="00BA4E19"/>
    <w:rsid w:val="00BA6134"/>
    <w:rsid w:val="00BA6436"/>
    <w:rsid w:val="00BA64F2"/>
    <w:rsid w:val="00BA684E"/>
    <w:rsid w:val="00BA6C2B"/>
    <w:rsid w:val="00BA7B64"/>
    <w:rsid w:val="00BB02A3"/>
    <w:rsid w:val="00BB0351"/>
    <w:rsid w:val="00BB15C3"/>
    <w:rsid w:val="00BB1AF4"/>
    <w:rsid w:val="00BB1EA2"/>
    <w:rsid w:val="00BB2202"/>
    <w:rsid w:val="00BB3C6B"/>
    <w:rsid w:val="00BB3FD6"/>
    <w:rsid w:val="00BB453F"/>
    <w:rsid w:val="00BB46F3"/>
    <w:rsid w:val="00BB4A71"/>
    <w:rsid w:val="00BB4CB1"/>
    <w:rsid w:val="00BB4F98"/>
    <w:rsid w:val="00BB5AB2"/>
    <w:rsid w:val="00BB5ABF"/>
    <w:rsid w:val="00BB622E"/>
    <w:rsid w:val="00BB6EA2"/>
    <w:rsid w:val="00BB7B5B"/>
    <w:rsid w:val="00BB7EB1"/>
    <w:rsid w:val="00BC003F"/>
    <w:rsid w:val="00BC327F"/>
    <w:rsid w:val="00BC3512"/>
    <w:rsid w:val="00BC50BE"/>
    <w:rsid w:val="00BC5332"/>
    <w:rsid w:val="00BC5715"/>
    <w:rsid w:val="00BC5C12"/>
    <w:rsid w:val="00BC7154"/>
    <w:rsid w:val="00BC731E"/>
    <w:rsid w:val="00BC7614"/>
    <w:rsid w:val="00BD08FA"/>
    <w:rsid w:val="00BD2202"/>
    <w:rsid w:val="00BD25BB"/>
    <w:rsid w:val="00BD2AF8"/>
    <w:rsid w:val="00BD366B"/>
    <w:rsid w:val="00BD3C09"/>
    <w:rsid w:val="00BD410B"/>
    <w:rsid w:val="00BD4A73"/>
    <w:rsid w:val="00BD6C75"/>
    <w:rsid w:val="00BD6D50"/>
    <w:rsid w:val="00BD7232"/>
    <w:rsid w:val="00BD73D2"/>
    <w:rsid w:val="00BD77C8"/>
    <w:rsid w:val="00BE0AD1"/>
    <w:rsid w:val="00BE0EF9"/>
    <w:rsid w:val="00BE10A1"/>
    <w:rsid w:val="00BE18B9"/>
    <w:rsid w:val="00BE190A"/>
    <w:rsid w:val="00BE1D4F"/>
    <w:rsid w:val="00BE2495"/>
    <w:rsid w:val="00BE24DD"/>
    <w:rsid w:val="00BE251B"/>
    <w:rsid w:val="00BE2640"/>
    <w:rsid w:val="00BE386D"/>
    <w:rsid w:val="00BE3EE3"/>
    <w:rsid w:val="00BE4639"/>
    <w:rsid w:val="00BE557B"/>
    <w:rsid w:val="00BE5F1A"/>
    <w:rsid w:val="00BE7AFC"/>
    <w:rsid w:val="00BE7F5F"/>
    <w:rsid w:val="00BF02C8"/>
    <w:rsid w:val="00BF10BF"/>
    <w:rsid w:val="00BF1578"/>
    <w:rsid w:val="00BF15CA"/>
    <w:rsid w:val="00BF1D12"/>
    <w:rsid w:val="00BF1D3A"/>
    <w:rsid w:val="00BF24A6"/>
    <w:rsid w:val="00BF2B5B"/>
    <w:rsid w:val="00BF2D41"/>
    <w:rsid w:val="00BF3274"/>
    <w:rsid w:val="00BF32DC"/>
    <w:rsid w:val="00BF3B69"/>
    <w:rsid w:val="00BF40E0"/>
    <w:rsid w:val="00BF4329"/>
    <w:rsid w:val="00BF4E43"/>
    <w:rsid w:val="00BF5C4C"/>
    <w:rsid w:val="00BF77FC"/>
    <w:rsid w:val="00C006D6"/>
    <w:rsid w:val="00C00BD7"/>
    <w:rsid w:val="00C01410"/>
    <w:rsid w:val="00C03DF1"/>
    <w:rsid w:val="00C04B78"/>
    <w:rsid w:val="00C052AA"/>
    <w:rsid w:val="00C061A9"/>
    <w:rsid w:val="00C068AF"/>
    <w:rsid w:val="00C06EE3"/>
    <w:rsid w:val="00C07749"/>
    <w:rsid w:val="00C11244"/>
    <w:rsid w:val="00C11D48"/>
    <w:rsid w:val="00C1493E"/>
    <w:rsid w:val="00C14B4C"/>
    <w:rsid w:val="00C15DBD"/>
    <w:rsid w:val="00C16F23"/>
    <w:rsid w:val="00C2010D"/>
    <w:rsid w:val="00C20CB5"/>
    <w:rsid w:val="00C21430"/>
    <w:rsid w:val="00C21B5E"/>
    <w:rsid w:val="00C21E61"/>
    <w:rsid w:val="00C21F94"/>
    <w:rsid w:val="00C234DB"/>
    <w:rsid w:val="00C2479A"/>
    <w:rsid w:val="00C24903"/>
    <w:rsid w:val="00C2590D"/>
    <w:rsid w:val="00C25D9C"/>
    <w:rsid w:val="00C27913"/>
    <w:rsid w:val="00C300E2"/>
    <w:rsid w:val="00C31905"/>
    <w:rsid w:val="00C31DBD"/>
    <w:rsid w:val="00C31F21"/>
    <w:rsid w:val="00C32500"/>
    <w:rsid w:val="00C32631"/>
    <w:rsid w:val="00C33301"/>
    <w:rsid w:val="00C33311"/>
    <w:rsid w:val="00C33B68"/>
    <w:rsid w:val="00C3483D"/>
    <w:rsid w:val="00C348A7"/>
    <w:rsid w:val="00C35570"/>
    <w:rsid w:val="00C35A2A"/>
    <w:rsid w:val="00C36A79"/>
    <w:rsid w:val="00C401A9"/>
    <w:rsid w:val="00C401D2"/>
    <w:rsid w:val="00C4031A"/>
    <w:rsid w:val="00C405D4"/>
    <w:rsid w:val="00C419D5"/>
    <w:rsid w:val="00C42156"/>
    <w:rsid w:val="00C42800"/>
    <w:rsid w:val="00C42EBB"/>
    <w:rsid w:val="00C44994"/>
    <w:rsid w:val="00C4513B"/>
    <w:rsid w:val="00C475E8"/>
    <w:rsid w:val="00C47E94"/>
    <w:rsid w:val="00C50E79"/>
    <w:rsid w:val="00C5197D"/>
    <w:rsid w:val="00C51F07"/>
    <w:rsid w:val="00C525FB"/>
    <w:rsid w:val="00C5390B"/>
    <w:rsid w:val="00C54257"/>
    <w:rsid w:val="00C54697"/>
    <w:rsid w:val="00C550CE"/>
    <w:rsid w:val="00C553A5"/>
    <w:rsid w:val="00C55402"/>
    <w:rsid w:val="00C5603B"/>
    <w:rsid w:val="00C61F47"/>
    <w:rsid w:val="00C62828"/>
    <w:rsid w:val="00C62F89"/>
    <w:rsid w:val="00C70756"/>
    <w:rsid w:val="00C715CC"/>
    <w:rsid w:val="00C719A3"/>
    <w:rsid w:val="00C71AA0"/>
    <w:rsid w:val="00C71D2F"/>
    <w:rsid w:val="00C72984"/>
    <w:rsid w:val="00C73885"/>
    <w:rsid w:val="00C73C93"/>
    <w:rsid w:val="00C7435A"/>
    <w:rsid w:val="00C747B1"/>
    <w:rsid w:val="00C74E4E"/>
    <w:rsid w:val="00C75510"/>
    <w:rsid w:val="00C755F9"/>
    <w:rsid w:val="00C75752"/>
    <w:rsid w:val="00C770C9"/>
    <w:rsid w:val="00C81070"/>
    <w:rsid w:val="00C8174E"/>
    <w:rsid w:val="00C82191"/>
    <w:rsid w:val="00C83134"/>
    <w:rsid w:val="00C831E7"/>
    <w:rsid w:val="00C832F3"/>
    <w:rsid w:val="00C83344"/>
    <w:rsid w:val="00C845A4"/>
    <w:rsid w:val="00C85545"/>
    <w:rsid w:val="00C855B5"/>
    <w:rsid w:val="00C85F0E"/>
    <w:rsid w:val="00C8710F"/>
    <w:rsid w:val="00C90CF4"/>
    <w:rsid w:val="00C91C20"/>
    <w:rsid w:val="00C922DE"/>
    <w:rsid w:val="00C92843"/>
    <w:rsid w:val="00C92C96"/>
    <w:rsid w:val="00C92EB6"/>
    <w:rsid w:val="00C93389"/>
    <w:rsid w:val="00C948E6"/>
    <w:rsid w:val="00C94CDD"/>
    <w:rsid w:val="00C96E8B"/>
    <w:rsid w:val="00C97121"/>
    <w:rsid w:val="00CA0346"/>
    <w:rsid w:val="00CA07BD"/>
    <w:rsid w:val="00CA1BD6"/>
    <w:rsid w:val="00CA37FF"/>
    <w:rsid w:val="00CA397D"/>
    <w:rsid w:val="00CA423A"/>
    <w:rsid w:val="00CA47BC"/>
    <w:rsid w:val="00CA5EAD"/>
    <w:rsid w:val="00CA6AB4"/>
    <w:rsid w:val="00CA7255"/>
    <w:rsid w:val="00CB1C3F"/>
    <w:rsid w:val="00CB2351"/>
    <w:rsid w:val="00CB4001"/>
    <w:rsid w:val="00CB4930"/>
    <w:rsid w:val="00CB4BA9"/>
    <w:rsid w:val="00CB4C63"/>
    <w:rsid w:val="00CB5A48"/>
    <w:rsid w:val="00CB5E10"/>
    <w:rsid w:val="00CB5E4A"/>
    <w:rsid w:val="00CB613B"/>
    <w:rsid w:val="00CB6152"/>
    <w:rsid w:val="00CB64E1"/>
    <w:rsid w:val="00CB6E4D"/>
    <w:rsid w:val="00CC0834"/>
    <w:rsid w:val="00CC12CB"/>
    <w:rsid w:val="00CC20FE"/>
    <w:rsid w:val="00CC2E7D"/>
    <w:rsid w:val="00CC3065"/>
    <w:rsid w:val="00CC394A"/>
    <w:rsid w:val="00CC507B"/>
    <w:rsid w:val="00CC612B"/>
    <w:rsid w:val="00CC655F"/>
    <w:rsid w:val="00CC66F9"/>
    <w:rsid w:val="00CC6FE5"/>
    <w:rsid w:val="00CC7458"/>
    <w:rsid w:val="00CC76BD"/>
    <w:rsid w:val="00CC7853"/>
    <w:rsid w:val="00CC7A87"/>
    <w:rsid w:val="00CD10A5"/>
    <w:rsid w:val="00CD1129"/>
    <w:rsid w:val="00CD1A80"/>
    <w:rsid w:val="00CD1CB5"/>
    <w:rsid w:val="00CD2076"/>
    <w:rsid w:val="00CD24CE"/>
    <w:rsid w:val="00CD29B5"/>
    <w:rsid w:val="00CD2B78"/>
    <w:rsid w:val="00CD2ED2"/>
    <w:rsid w:val="00CD3FAB"/>
    <w:rsid w:val="00CD5456"/>
    <w:rsid w:val="00CD5C3E"/>
    <w:rsid w:val="00CD6093"/>
    <w:rsid w:val="00CD6331"/>
    <w:rsid w:val="00CD644C"/>
    <w:rsid w:val="00CE14BE"/>
    <w:rsid w:val="00CE17A4"/>
    <w:rsid w:val="00CE1BA9"/>
    <w:rsid w:val="00CE2D8F"/>
    <w:rsid w:val="00CE340C"/>
    <w:rsid w:val="00CE3E48"/>
    <w:rsid w:val="00CE47B8"/>
    <w:rsid w:val="00CE62FA"/>
    <w:rsid w:val="00CE670B"/>
    <w:rsid w:val="00CE6833"/>
    <w:rsid w:val="00CE719A"/>
    <w:rsid w:val="00CF020B"/>
    <w:rsid w:val="00CF057A"/>
    <w:rsid w:val="00CF0BDA"/>
    <w:rsid w:val="00CF2E4D"/>
    <w:rsid w:val="00CF3578"/>
    <w:rsid w:val="00CF4205"/>
    <w:rsid w:val="00CF4908"/>
    <w:rsid w:val="00CF51EC"/>
    <w:rsid w:val="00CF545D"/>
    <w:rsid w:val="00CF5873"/>
    <w:rsid w:val="00CF73AE"/>
    <w:rsid w:val="00CF7777"/>
    <w:rsid w:val="00D0085A"/>
    <w:rsid w:val="00D014F1"/>
    <w:rsid w:val="00D01505"/>
    <w:rsid w:val="00D0197F"/>
    <w:rsid w:val="00D0242D"/>
    <w:rsid w:val="00D02716"/>
    <w:rsid w:val="00D03A72"/>
    <w:rsid w:val="00D040DD"/>
    <w:rsid w:val="00D04134"/>
    <w:rsid w:val="00D047E1"/>
    <w:rsid w:val="00D04E36"/>
    <w:rsid w:val="00D0521D"/>
    <w:rsid w:val="00D057F0"/>
    <w:rsid w:val="00D05C65"/>
    <w:rsid w:val="00D06B56"/>
    <w:rsid w:val="00D06D68"/>
    <w:rsid w:val="00D075BE"/>
    <w:rsid w:val="00D10C15"/>
    <w:rsid w:val="00D11072"/>
    <w:rsid w:val="00D11476"/>
    <w:rsid w:val="00D115FE"/>
    <w:rsid w:val="00D12C25"/>
    <w:rsid w:val="00D133B4"/>
    <w:rsid w:val="00D13986"/>
    <w:rsid w:val="00D14C5B"/>
    <w:rsid w:val="00D1589C"/>
    <w:rsid w:val="00D15FED"/>
    <w:rsid w:val="00D16712"/>
    <w:rsid w:val="00D214EF"/>
    <w:rsid w:val="00D215B0"/>
    <w:rsid w:val="00D21A75"/>
    <w:rsid w:val="00D21D6D"/>
    <w:rsid w:val="00D21D83"/>
    <w:rsid w:val="00D21E2B"/>
    <w:rsid w:val="00D235B7"/>
    <w:rsid w:val="00D23FAE"/>
    <w:rsid w:val="00D25F28"/>
    <w:rsid w:val="00D26071"/>
    <w:rsid w:val="00D26223"/>
    <w:rsid w:val="00D269B9"/>
    <w:rsid w:val="00D27973"/>
    <w:rsid w:val="00D30400"/>
    <w:rsid w:val="00D31537"/>
    <w:rsid w:val="00D31E1E"/>
    <w:rsid w:val="00D32169"/>
    <w:rsid w:val="00D322A0"/>
    <w:rsid w:val="00D32824"/>
    <w:rsid w:val="00D334E2"/>
    <w:rsid w:val="00D350B1"/>
    <w:rsid w:val="00D35AD6"/>
    <w:rsid w:val="00D35BBB"/>
    <w:rsid w:val="00D35E1A"/>
    <w:rsid w:val="00D36B0A"/>
    <w:rsid w:val="00D36DFB"/>
    <w:rsid w:val="00D36E1C"/>
    <w:rsid w:val="00D373AF"/>
    <w:rsid w:val="00D40556"/>
    <w:rsid w:val="00D41F74"/>
    <w:rsid w:val="00D43034"/>
    <w:rsid w:val="00D432E9"/>
    <w:rsid w:val="00D4341B"/>
    <w:rsid w:val="00D43ED2"/>
    <w:rsid w:val="00D44D5F"/>
    <w:rsid w:val="00D45E7F"/>
    <w:rsid w:val="00D50F46"/>
    <w:rsid w:val="00D51B6F"/>
    <w:rsid w:val="00D52742"/>
    <w:rsid w:val="00D5384E"/>
    <w:rsid w:val="00D544E7"/>
    <w:rsid w:val="00D5499F"/>
    <w:rsid w:val="00D5560A"/>
    <w:rsid w:val="00D56658"/>
    <w:rsid w:val="00D56FBF"/>
    <w:rsid w:val="00D57677"/>
    <w:rsid w:val="00D60415"/>
    <w:rsid w:val="00D60E3C"/>
    <w:rsid w:val="00D61FAB"/>
    <w:rsid w:val="00D63BE5"/>
    <w:rsid w:val="00D6475F"/>
    <w:rsid w:val="00D658DF"/>
    <w:rsid w:val="00D661DF"/>
    <w:rsid w:val="00D66223"/>
    <w:rsid w:val="00D66624"/>
    <w:rsid w:val="00D667B8"/>
    <w:rsid w:val="00D70289"/>
    <w:rsid w:val="00D70822"/>
    <w:rsid w:val="00D72076"/>
    <w:rsid w:val="00D726A9"/>
    <w:rsid w:val="00D72E6E"/>
    <w:rsid w:val="00D73C26"/>
    <w:rsid w:val="00D743E0"/>
    <w:rsid w:val="00D75AC1"/>
    <w:rsid w:val="00D760F7"/>
    <w:rsid w:val="00D77252"/>
    <w:rsid w:val="00D8084C"/>
    <w:rsid w:val="00D81809"/>
    <w:rsid w:val="00D81B5C"/>
    <w:rsid w:val="00D826F6"/>
    <w:rsid w:val="00D82EF1"/>
    <w:rsid w:val="00D84F43"/>
    <w:rsid w:val="00D85114"/>
    <w:rsid w:val="00D85328"/>
    <w:rsid w:val="00D85821"/>
    <w:rsid w:val="00D8598C"/>
    <w:rsid w:val="00D87C06"/>
    <w:rsid w:val="00D90127"/>
    <w:rsid w:val="00D915EA"/>
    <w:rsid w:val="00D91649"/>
    <w:rsid w:val="00D919ED"/>
    <w:rsid w:val="00D922A1"/>
    <w:rsid w:val="00D928BE"/>
    <w:rsid w:val="00D93FB0"/>
    <w:rsid w:val="00D95302"/>
    <w:rsid w:val="00D95A6E"/>
    <w:rsid w:val="00D95C5D"/>
    <w:rsid w:val="00D97D00"/>
    <w:rsid w:val="00DA096C"/>
    <w:rsid w:val="00DA1AB6"/>
    <w:rsid w:val="00DA287B"/>
    <w:rsid w:val="00DA544C"/>
    <w:rsid w:val="00DA5F8E"/>
    <w:rsid w:val="00DA6364"/>
    <w:rsid w:val="00DA7114"/>
    <w:rsid w:val="00DA7A5E"/>
    <w:rsid w:val="00DA7C0C"/>
    <w:rsid w:val="00DB03DD"/>
    <w:rsid w:val="00DB08A9"/>
    <w:rsid w:val="00DB2DFA"/>
    <w:rsid w:val="00DB2EC8"/>
    <w:rsid w:val="00DB2F57"/>
    <w:rsid w:val="00DB321D"/>
    <w:rsid w:val="00DB459B"/>
    <w:rsid w:val="00DB47FD"/>
    <w:rsid w:val="00DB5E3A"/>
    <w:rsid w:val="00DB5E9A"/>
    <w:rsid w:val="00DB613B"/>
    <w:rsid w:val="00DB657E"/>
    <w:rsid w:val="00DB7342"/>
    <w:rsid w:val="00DB7489"/>
    <w:rsid w:val="00DC17D0"/>
    <w:rsid w:val="00DC2710"/>
    <w:rsid w:val="00DC2B41"/>
    <w:rsid w:val="00DC3128"/>
    <w:rsid w:val="00DC435B"/>
    <w:rsid w:val="00DC53D8"/>
    <w:rsid w:val="00DC56FE"/>
    <w:rsid w:val="00DC5B3B"/>
    <w:rsid w:val="00DC6C2D"/>
    <w:rsid w:val="00DC6D2D"/>
    <w:rsid w:val="00DC7B1A"/>
    <w:rsid w:val="00DC7B4F"/>
    <w:rsid w:val="00DD04B0"/>
    <w:rsid w:val="00DD0C3D"/>
    <w:rsid w:val="00DD129F"/>
    <w:rsid w:val="00DD13FC"/>
    <w:rsid w:val="00DD1A3F"/>
    <w:rsid w:val="00DD29B5"/>
    <w:rsid w:val="00DD2D86"/>
    <w:rsid w:val="00DD32DD"/>
    <w:rsid w:val="00DD5287"/>
    <w:rsid w:val="00DD5B36"/>
    <w:rsid w:val="00DD7585"/>
    <w:rsid w:val="00DE0D8B"/>
    <w:rsid w:val="00DE1237"/>
    <w:rsid w:val="00DE140F"/>
    <w:rsid w:val="00DE1B67"/>
    <w:rsid w:val="00DE2491"/>
    <w:rsid w:val="00DE2DD7"/>
    <w:rsid w:val="00DE5CA6"/>
    <w:rsid w:val="00DE6DAA"/>
    <w:rsid w:val="00DE7AC8"/>
    <w:rsid w:val="00DF25E9"/>
    <w:rsid w:val="00DF2C5D"/>
    <w:rsid w:val="00DF3643"/>
    <w:rsid w:val="00DF382A"/>
    <w:rsid w:val="00DF42FF"/>
    <w:rsid w:val="00DF4369"/>
    <w:rsid w:val="00DF4423"/>
    <w:rsid w:val="00DF4ADF"/>
    <w:rsid w:val="00DF4E3C"/>
    <w:rsid w:val="00DF5D1E"/>
    <w:rsid w:val="00DF61AE"/>
    <w:rsid w:val="00DF6AA5"/>
    <w:rsid w:val="00DF76AA"/>
    <w:rsid w:val="00DF77E4"/>
    <w:rsid w:val="00DF7F88"/>
    <w:rsid w:val="00E01C0E"/>
    <w:rsid w:val="00E03503"/>
    <w:rsid w:val="00E035FD"/>
    <w:rsid w:val="00E0368F"/>
    <w:rsid w:val="00E03D73"/>
    <w:rsid w:val="00E03F9A"/>
    <w:rsid w:val="00E04694"/>
    <w:rsid w:val="00E0706A"/>
    <w:rsid w:val="00E0757D"/>
    <w:rsid w:val="00E07A5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1AAF"/>
    <w:rsid w:val="00E32080"/>
    <w:rsid w:val="00E3309D"/>
    <w:rsid w:val="00E34837"/>
    <w:rsid w:val="00E35374"/>
    <w:rsid w:val="00E35A53"/>
    <w:rsid w:val="00E35FB0"/>
    <w:rsid w:val="00E3724A"/>
    <w:rsid w:val="00E378B1"/>
    <w:rsid w:val="00E417BE"/>
    <w:rsid w:val="00E41A55"/>
    <w:rsid w:val="00E41CD5"/>
    <w:rsid w:val="00E42163"/>
    <w:rsid w:val="00E43120"/>
    <w:rsid w:val="00E4372D"/>
    <w:rsid w:val="00E43A9E"/>
    <w:rsid w:val="00E44243"/>
    <w:rsid w:val="00E450FC"/>
    <w:rsid w:val="00E453F9"/>
    <w:rsid w:val="00E459A2"/>
    <w:rsid w:val="00E45D5A"/>
    <w:rsid w:val="00E45D7D"/>
    <w:rsid w:val="00E4623F"/>
    <w:rsid w:val="00E4665D"/>
    <w:rsid w:val="00E47854"/>
    <w:rsid w:val="00E478A7"/>
    <w:rsid w:val="00E47EBA"/>
    <w:rsid w:val="00E50156"/>
    <w:rsid w:val="00E504EB"/>
    <w:rsid w:val="00E5076C"/>
    <w:rsid w:val="00E50D2E"/>
    <w:rsid w:val="00E50D7D"/>
    <w:rsid w:val="00E51083"/>
    <w:rsid w:val="00E514BE"/>
    <w:rsid w:val="00E53470"/>
    <w:rsid w:val="00E539F6"/>
    <w:rsid w:val="00E53A28"/>
    <w:rsid w:val="00E54698"/>
    <w:rsid w:val="00E54FB4"/>
    <w:rsid w:val="00E5539A"/>
    <w:rsid w:val="00E55791"/>
    <w:rsid w:val="00E5591F"/>
    <w:rsid w:val="00E55E1A"/>
    <w:rsid w:val="00E578A2"/>
    <w:rsid w:val="00E60043"/>
    <w:rsid w:val="00E60F06"/>
    <w:rsid w:val="00E611AC"/>
    <w:rsid w:val="00E61740"/>
    <w:rsid w:val="00E61D03"/>
    <w:rsid w:val="00E61EB5"/>
    <w:rsid w:val="00E6324D"/>
    <w:rsid w:val="00E65084"/>
    <w:rsid w:val="00E6519D"/>
    <w:rsid w:val="00E66062"/>
    <w:rsid w:val="00E6660E"/>
    <w:rsid w:val="00E666A2"/>
    <w:rsid w:val="00E67305"/>
    <w:rsid w:val="00E67696"/>
    <w:rsid w:val="00E70C5F"/>
    <w:rsid w:val="00E71422"/>
    <w:rsid w:val="00E71A58"/>
    <w:rsid w:val="00E72A26"/>
    <w:rsid w:val="00E72A7A"/>
    <w:rsid w:val="00E7335A"/>
    <w:rsid w:val="00E747DC"/>
    <w:rsid w:val="00E74A2D"/>
    <w:rsid w:val="00E75C94"/>
    <w:rsid w:val="00E76B9B"/>
    <w:rsid w:val="00E76E61"/>
    <w:rsid w:val="00E770B1"/>
    <w:rsid w:val="00E77CC0"/>
    <w:rsid w:val="00E77DE5"/>
    <w:rsid w:val="00E80B3D"/>
    <w:rsid w:val="00E80CA3"/>
    <w:rsid w:val="00E819B1"/>
    <w:rsid w:val="00E82618"/>
    <w:rsid w:val="00E842DD"/>
    <w:rsid w:val="00E84E09"/>
    <w:rsid w:val="00E86FF9"/>
    <w:rsid w:val="00E90CA8"/>
    <w:rsid w:val="00E914CF"/>
    <w:rsid w:val="00E93063"/>
    <w:rsid w:val="00E930A1"/>
    <w:rsid w:val="00E93820"/>
    <w:rsid w:val="00E94A86"/>
    <w:rsid w:val="00E953F6"/>
    <w:rsid w:val="00E96143"/>
    <w:rsid w:val="00E96833"/>
    <w:rsid w:val="00E97506"/>
    <w:rsid w:val="00EA0C68"/>
    <w:rsid w:val="00EA193A"/>
    <w:rsid w:val="00EA1D0E"/>
    <w:rsid w:val="00EA2841"/>
    <w:rsid w:val="00EA32BC"/>
    <w:rsid w:val="00EA35A7"/>
    <w:rsid w:val="00EA3B32"/>
    <w:rsid w:val="00EA3D05"/>
    <w:rsid w:val="00EA4402"/>
    <w:rsid w:val="00EA4B8D"/>
    <w:rsid w:val="00EA513E"/>
    <w:rsid w:val="00EA7419"/>
    <w:rsid w:val="00EA79FE"/>
    <w:rsid w:val="00EB0C75"/>
    <w:rsid w:val="00EB0E32"/>
    <w:rsid w:val="00EB3042"/>
    <w:rsid w:val="00EB39E6"/>
    <w:rsid w:val="00EB3E60"/>
    <w:rsid w:val="00EB4511"/>
    <w:rsid w:val="00EB48D7"/>
    <w:rsid w:val="00EB4A8E"/>
    <w:rsid w:val="00EB4BC5"/>
    <w:rsid w:val="00EB5BF7"/>
    <w:rsid w:val="00EB5D8C"/>
    <w:rsid w:val="00EB5E79"/>
    <w:rsid w:val="00EB6FAC"/>
    <w:rsid w:val="00EB7BAC"/>
    <w:rsid w:val="00EC03D7"/>
    <w:rsid w:val="00EC1061"/>
    <w:rsid w:val="00EC13A7"/>
    <w:rsid w:val="00EC1543"/>
    <w:rsid w:val="00EC1889"/>
    <w:rsid w:val="00EC2EB6"/>
    <w:rsid w:val="00EC39FC"/>
    <w:rsid w:val="00EC3F67"/>
    <w:rsid w:val="00EC7F4C"/>
    <w:rsid w:val="00ED0EF0"/>
    <w:rsid w:val="00ED12B9"/>
    <w:rsid w:val="00ED16B8"/>
    <w:rsid w:val="00ED1DF0"/>
    <w:rsid w:val="00ED2386"/>
    <w:rsid w:val="00ED2EA1"/>
    <w:rsid w:val="00ED3055"/>
    <w:rsid w:val="00ED38AF"/>
    <w:rsid w:val="00ED3F10"/>
    <w:rsid w:val="00ED44F9"/>
    <w:rsid w:val="00ED4D04"/>
    <w:rsid w:val="00ED4FB0"/>
    <w:rsid w:val="00ED52BB"/>
    <w:rsid w:val="00ED566D"/>
    <w:rsid w:val="00ED5907"/>
    <w:rsid w:val="00ED5AE4"/>
    <w:rsid w:val="00ED5F5B"/>
    <w:rsid w:val="00ED62C6"/>
    <w:rsid w:val="00ED64C1"/>
    <w:rsid w:val="00ED7809"/>
    <w:rsid w:val="00EE1F26"/>
    <w:rsid w:val="00EE2EB4"/>
    <w:rsid w:val="00EE3446"/>
    <w:rsid w:val="00EE3E78"/>
    <w:rsid w:val="00EE41FD"/>
    <w:rsid w:val="00EE460E"/>
    <w:rsid w:val="00EE4B1B"/>
    <w:rsid w:val="00EE5FBA"/>
    <w:rsid w:val="00EE6314"/>
    <w:rsid w:val="00EE6E06"/>
    <w:rsid w:val="00EE7179"/>
    <w:rsid w:val="00EF0D84"/>
    <w:rsid w:val="00EF150D"/>
    <w:rsid w:val="00EF1F5A"/>
    <w:rsid w:val="00EF47BF"/>
    <w:rsid w:val="00EF5598"/>
    <w:rsid w:val="00EF59B1"/>
    <w:rsid w:val="00EF5A13"/>
    <w:rsid w:val="00EF5FF9"/>
    <w:rsid w:val="00EF738C"/>
    <w:rsid w:val="00EF77D4"/>
    <w:rsid w:val="00EF781C"/>
    <w:rsid w:val="00EF7CC7"/>
    <w:rsid w:val="00EF7EFA"/>
    <w:rsid w:val="00F00853"/>
    <w:rsid w:val="00F00866"/>
    <w:rsid w:val="00F0160B"/>
    <w:rsid w:val="00F0193E"/>
    <w:rsid w:val="00F03F8D"/>
    <w:rsid w:val="00F04811"/>
    <w:rsid w:val="00F0488C"/>
    <w:rsid w:val="00F071D8"/>
    <w:rsid w:val="00F073ED"/>
    <w:rsid w:val="00F07C4C"/>
    <w:rsid w:val="00F10F11"/>
    <w:rsid w:val="00F11159"/>
    <w:rsid w:val="00F115E4"/>
    <w:rsid w:val="00F12CFB"/>
    <w:rsid w:val="00F139FF"/>
    <w:rsid w:val="00F13E60"/>
    <w:rsid w:val="00F13FDB"/>
    <w:rsid w:val="00F15AAA"/>
    <w:rsid w:val="00F15BEF"/>
    <w:rsid w:val="00F15F8F"/>
    <w:rsid w:val="00F17898"/>
    <w:rsid w:val="00F207C2"/>
    <w:rsid w:val="00F210F3"/>
    <w:rsid w:val="00F21337"/>
    <w:rsid w:val="00F21878"/>
    <w:rsid w:val="00F219A1"/>
    <w:rsid w:val="00F22894"/>
    <w:rsid w:val="00F23E20"/>
    <w:rsid w:val="00F2429A"/>
    <w:rsid w:val="00F24407"/>
    <w:rsid w:val="00F24F65"/>
    <w:rsid w:val="00F24FAA"/>
    <w:rsid w:val="00F25040"/>
    <w:rsid w:val="00F2510D"/>
    <w:rsid w:val="00F259AC"/>
    <w:rsid w:val="00F269A8"/>
    <w:rsid w:val="00F26D1F"/>
    <w:rsid w:val="00F27071"/>
    <w:rsid w:val="00F27331"/>
    <w:rsid w:val="00F27EE5"/>
    <w:rsid w:val="00F27FD6"/>
    <w:rsid w:val="00F307CB"/>
    <w:rsid w:val="00F30C65"/>
    <w:rsid w:val="00F321D2"/>
    <w:rsid w:val="00F32649"/>
    <w:rsid w:val="00F32DCC"/>
    <w:rsid w:val="00F33523"/>
    <w:rsid w:val="00F3364D"/>
    <w:rsid w:val="00F3371E"/>
    <w:rsid w:val="00F33914"/>
    <w:rsid w:val="00F349BF"/>
    <w:rsid w:val="00F34DDC"/>
    <w:rsid w:val="00F36191"/>
    <w:rsid w:val="00F377FF"/>
    <w:rsid w:val="00F37EDC"/>
    <w:rsid w:val="00F40876"/>
    <w:rsid w:val="00F437CC"/>
    <w:rsid w:val="00F44537"/>
    <w:rsid w:val="00F46185"/>
    <w:rsid w:val="00F46423"/>
    <w:rsid w:val="00F4696A"/>
    <w:rsid w:val="00F47067"/>
    <w:rsid w:val="00F525AB"/>
    <w:rsid w:val="00F525EB"/>
    <w:rsid w:val="00F5265E"/>
    <w:rsid w:val="00F52CB5"/>
    <w:rsid w:val="00F53A68"/>
    <w:rsid w:val="00F54045"/>
    <w:rsid w:val="00F54934"/>
    <w:rsid w:val="00F55A0E"/>
    <w:rsid w:val="00F55A92"/>
    <w:rsid w:val="00F62324"/>
    <w:rsid w:val="00F62988"/>
    <w:rsid w:val="00F62BFF"/>
    <w:rsid w:val="00F63190"/>
    <w:rsid w:val="00F63AAE"/>
    <w:rsid w:val="00F63DDE"/>
    <w:rsid w:val="00F63FB7"/>
    <w:rsid w:val="00F6421B"/>
    <w:rsid w:val="00F645A5"/>
    <w:rsid w:val="00F647F1"/>
    <w:rsid w:val="00F649D2"/>
    <w:rsid w:val="00F64AD9"/>
    <w:rsid w:val="00F6602B"/>
    <w:rsid w:val="00F6674E"/>
    <w:rsid w:val="00F67CEF"/>
    <w:rsid w:val="00F7150B"/>
    <w:rsid w:val="00F717E4"/>
    <w:rsid w:val="00F717EE"/>
    <w:rsid w:val="00F71971"/>
    <w:rsid w:val="00F71DE6"/>
    <w:rsid w:val="00F72D71"/>
    <w:rsid w:val="00F73086"/>
    <w:rsid w:val="00F7381C"/>
    <w:rsid w:val="00F73A0C"/>
    <w:rsid w:val="00F740FB"/>
    <w:rsid w:val="00F7497E"/>
    <w:rsid w:val="00F7549F"/>
    <w:rsid w:val="00F756DB"/>
    <w:rsid w:val="00F75E2B"/>
    <w:rsid w:val="00F767A8"/>
    <w:rsid w:val="00F8001E"/>
    <w:rsid w:val="00F8199D"/>
    <w:rsid w:val="00F8246E"/>
    <w:rsid w:val="00F82CA2"/>
    <w:rsid w:val="00F84E7D"/>
    <w:rsid w:val="00F85066"/>
    <w:rsid w:val="00F87A4D"/>
    <w:rsid w:val="00F87B34"/>
    <w:rsid w:val="00F93688"/>
    <w:rsid w:val="00F939F3"/>
    <w:rsid w:val="00F93C6E"/>
    <w:rsid w:val="00F93F2C"/>
    <w:rsid w:val="00F95594"/>
    <w:rsid w:val="00F9644E"/>
    <w:rsid w:val="00F96665"/>
    <w:rsid w:val="00F97482"/>
    <w:rsid w:val="00FA0105"/>
    <w:rsid w:val="00FA05A0"/>
    <w:rsid w:val="00FA0AEF"/>
    <w:rsid w:val="00FA17CC"/>
    <w:rsid w:val="00FA1F01"/>
    <w:rsid w:val="00FA26DF"/>
    <w:rsid w:val="00FA32BC"/>
    <w:rsid w:val="00FA48A4"/>
    <w:rsid w:val="00FA4CB7"/>
    <w:rsid w:val="00FA5112"/>
    <w:rsid w:val="00FA5526"/>
    <w:rsid w:val="00FA5A6A"/>
    <w:rsid w:val="00FA5D4D"/>
    <w:rsid w:val="00FA6CB6"/>
    <w:rsid w:val="00FA70D3"/>
    <w:rsid w:val="00FA7AEC"/>
    <w:rsid w:val="00FA7FE7"/>
    <w:rsid w:val="00FB0AEA"/>
    <w:rsid w:val="00FB0EE2"/>
    <w:rsid w:val="00FB1A79"/>
    <w:rsid w:val="00FB208B"/>
    <w:rsid w:val="00FB2B2D"/>
    <w:rsid w:val="00FB2E84"/>
    <w:rsid w:val="00FB542E"/>
    <w:rsid w:val="00FB564F"/>
    <w:rsid w:val="00FB7214"/>
    <w:rsid w:val="00FB727E"/>
    <w:rsid w:val="00FB76C3"/>
    <w:rsid w:val="00FB7DBB"/>
    <w:rsid w:val="00FC05F8"/>
    <w:rsid w:val="00FC0E5F"/>
    <w:rsid w:val="00FC1266"/>
    <w:rsid w:val="00FC1A95"/>
    <w:rsid w:val="00FC1CE9"/>
    <w:rsid w:val="00FC1ED4"/>
    <w:rsid w:val="00FC2A6C"/>
    <w:rsid w:val="00FC3BEC"/>
    <w:rsid w:val="00FC42DE"/>
    <w:rsid w:val="00FC440B"/>
    <w:rsid w:val="00FC56DE"/>
    <w:rsid w:val="00FC63D9"/>
    <w:rsid w:val="00FC64DE"/>
    <w:rsid w:val="00FC684B"/>
    <w:rsid w:val="00FC7D98"/>
    <w:rsid w:val="00FD0631"/>
    <w:rsid w:val="00FD1135"/>
    <w:rsid w:val="00FD22EF"/>
    <w:rsid w:val="00FD3265"/>
    <w:rsid w:val="00FD3CF7"/>
    <w:rsid w:val="00FD48C8"/>
    <w:rsid w:val="00FD4916"/>
    <w:rsid w:val="00FD4D12"/>
    <w:rsid w:val="00FD4F73"/>
    <w:rsid w:val="00FD595E"/>
    <w:rsid w:val="00FE27C7"/>
    <w:rsid w:val="00FE2C7E"/>
    <w:rsid w:val="00FE2F78"/>
    <w:rsid w:val="00FE3137"/>
    <w:rsid w:val="00FE346B"/>
    <w:rsid w:val="00FE346F"/>
    <w:rsid w:val="00FE3640"/>
    <w:rsid w:val="00FE48E4"/>
    <w:rsid w:val="00FE634C"/>
    <w:rsid w:val="00FE6E69"/>
    <w:rsid w:val="00FE6F59"/>
    <w:rsid w:val="00FF1136"/>
    <w:rsid w:val="00FF3D76"/>
    <w:rsid w:val="00FF423E"/>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03001DDE"/>
  <w15:docId w15:val="{50AB2D04-831F-48E7-B835-9392FCF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character" w:customStyle="1" w:styleId="tlid-translation">
    <w:name w:val="tlid-translation"/>
    <w:basedOn w:val="Standardnpsmoodstavce"/>
    <w:rsid w:val="0034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c6bece553a4e0ca/Dokumenty/Pr&#225;ce/Anal&#253;za/Q/2019/2019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'[Makroanalýza grafy_eng.xlsx]souhrnná výkonnost 1'!$C$4</c:f>
              <c:strCache>
                <c:ptCount val="1"/>
                <c:pt idx="0">
                  <c:v>CR year-on-year change</c:v>
                </c:pt>
              </c:strCache>
            </c:strRef>
          </c:tx>
          <c:spPr>
            <a:solidFill>
              <a:schemeClr val="bg1">
                <a:lumMod val="65000"/>
              </a:schemeClr>
            </a:solidFill>
            <a:ln>
              <a:noFill/>
            </a:ln>
          </c:spPr>
          <c:invertIfNegative val="0"/>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1'!$C$13:$C$36</c:f>
              <c:numCache>
                <c:formatCode>#\ ##0.0</c:formatCode>
                <c:ptCount val="24"/>
                <c:pt idx="0">
                  <c:v>1.6119594488480402</c:v>
                </c:pt>
                <c:pt idx="1">
                  <c:v>2.4036725914780845</c:v>
                </c:pt>
                <c:pt idx="2">
                  <c:v>3.4025591515868712</c:v>
                </c:pt>
                <c:pt idx="3">
                  <c:v>3.4265917926533689</c:v>
                </c:pt>
                <c:pt idx="4">
                  <c:v>5.2291028386835023</c:v>
                </c:pt>
                <c:pt idx="5">
                  <c:v>5.8032839302925225</c:v>
                </c:pt>
                <c:pt idx="6">
                  <c:v>5.6129957330324913</c:v>
                </c:pt>
                <c:pt idx="7">
                  <c:v>4.9021515966682472</c:v>
                </c:pt>
                <c:pt idx="8">
                  <c:v>3.5397876725335777</c:v>
                </c:pt>
                <c:pt idx="9">
                  <c:v>2.3880974325794</c:v>
                </c:pt>
                <c:pt idx="10">
                  <c:v>1.7456220336081003</c:v>
                </c:pt>
                <c:pt idx="11">
                  <c:v>1.7908390550106787</c:v>
                </c:pt>
                <c:pt idx="12">
                  <c:v>2.9314543599314931</c:v>
                </c:pt>
                <c:pt idx="13">
                  <c:v>5.0765771064926923</c:v>
                </c:pt>
                <c:pt idx="14">
                  <c:v>5.1042926824662658</c:v>
                </c:pt>
                <c:pt idx="15">
                  <c:v>5.0625427043875106</c:v>
                </c:pt>
                <c:pt idx="16">
                  <c:v>4.1134039034848087</c:v>
                </c:pt>
                <c:pt idx="17" formatCode="General">
                  <c:v>2.2285818121587511</c:v>
                </c:pt>
                <c:pt idx="18" formatCode="General">
                  <c:v>2.3691205820336023</c:v>
                </c:pt>
                <c:pt idx="19">
                  <c:v>2.6297732768110222</c:v>
                </c:pt>
                <c:pt idx="20">
                  <c:v>2.7820874256218957</c:v>
                </c:pt>
                <c:pt idx="21" formatCode="General">
                  <c:v>2.6856608272710361</c:v>
                </c:pt>
                <c:pt idx="22" formatCode="General">
                  <c:v>2.4784474877561706</c:v>
                </c:pt>
                <c:pt idx="23" formatCode="General">
                  <c:v>2.0441326449706025</c:v>
                </c:pt>
              </c:numCache>
            </c:numRef>
          </c:val>
          <c:extLst>
            <c:ext xmlns:c16="http://schemas.microsoft.com/office/drawing/2014/chart" uri="{C3380CC4-5D6E-409C-BE32-E72D297353CC}">
              <c16:uniqueId val="{00000000-B45F-4C72-8F7C-7F39F6DCFBA3}"/>
            </c:ext>
          </c:extLst>
        </c:ser>
        <c:ser>
          <c:idx val="1"/>
          <c:order val="1"/>
          <c:tx>
            <c:strRef>
              <c:f>'[Makroanalýza grafy_eng.xlsx]souhrnná výkonnost 1'!$D$4</c:f>
              <c:strCache>
                <c:ptCount val="1"/>
                <c:pt idx="0">
                  <c:v>EU28 year-on-year change</c:v>
                </c:pt>
              </c:strCache>
            </c:strRef>
          </c:tx>
          <c:spPr>
            <a:solidFill>
              <a:schemeClr val="bg1">
                <a:lumMod val="50000"/>
              </a:schemeClr>
            </a:solidFill>
            <a:ln>
              <a:noFill/>
            </a:ln>
          </c:spPr>
          <c:invertIfNegative val="0"/>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1'!$D$13:$D$36</c:f>
              <c:numCache>
                <c:formatCode>#\ ##0.0</c:formatCode>
                <c:ptCount val="24"/>
                <c:pt idx="0">
                  <c:v>1.8</c:v>
                </c:pt>
                <c:pt idx="1">
                  <c:v>1.6</c:v>
                </c:pt>
                <c:pt idx="2">
                  <c:v>1.7</c:v>
                </c:pt>
                <c:pt idx="3">
                  <c:v>1.9</c:v>
                </c:pt>
                <c:pt idx="4">
                  <c:v>2.1</c:v>
                </c:pt>
                <c:pt idx="5">
                  <c:v>2.2999999999999998</c:v>
                </c:pt>
                <c:pt idx="6">
                  <c:v>2.2999999999999998</c:v>
                </c:pt>
                <c:pt idx="7">
                  <c:v>2.2999999999999998</c:v>
                </c:pt>
                <c:pt idx="8">
                  <c:v>2.1</c:v>
                </c:pt>
                <c:pt idx="9">
                  <c:v>2</c:v>
                </c:pt>
                <c:pt idx="10">
                  <c:v>1.9</c:v>
                </c:pt>
                <c:pt idx="11">
                  <c:v>2.1</c:v>
                </c:pt>
                <c:pt idx="12">
                  <c:v>2.2999999999999998</c:v>
                </c:pt>
                <c:pt idx="13">
                  <c:v>2.6</c:v>
                </c:pt>
                <c:pt idx="14">
                  <c:v>2.9</c:v>
                </c:pt>
                <c:pt idx="15">
                  <c:v>2.8</c:v>
                </c:pt>
                <c:pt idx="16">
                  <c:v>2.5</c:v>
                </c:pt>
                <c:pt idx="17">
                  <c:v>2.2000000000000002</c:v>
                </c:pt>
                <c:pt idx="18">
                  <c:v>1.8</c:v>
                </c:pt>
                <c:pt idx="19">
                  <c:v>1.5</c:v>
                </c:pt>
                <c:pt idx="20">
                  <c:v>1.7</c:v>
                </c:pt>
                <c:pt idx="21">
                  <c:v>1.4</c:v>
                </c:pt>
                <c:pt idx="22">
                  <c:v>1.5</c:v>
                </c:pt>
                <c:pt idx="23" formatCode="General">
                  <c:v>1.2</c:v>
                </c:pt>
              </c:numCache>
            </c:numRef>
          </c:val>
          <c:extLst>
            <c:ext xmlns:c16="http://schemas.microsoft.com/office/drawing/2014/chart" uri="{C3380CC4-5D6E-409C-BE32-E72D297353CC}">
              <c16:uniqueId val="{00000001-B45F-4C72-8F7C-7F39F6DCFBA3}"/>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'[Makroanalýza grafy_eng.xlsx]souhrnná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1'!$E$13:$E$36</c:f>
              <c:numCache>
                <c:formatCode>#\ ##0.0</c:formatCode>
                <c:ptCount val="24"/>
                <c:pt idx="0">
                  <c:v>-0.13593182138201598</c:v>
                </c:pt>
                <c:pt idx="1">
                  <c:v>0.93023660386803897</c:v>
                </c:pt>
                <c:pt idx="2">
                  <c:v>1.2827633226979032</c:v>
                </c:pt>
                <c:pt idx="3">
                  <c:v>1.3132218465657672</c:v>
                </c:pt>
                <c:pt idx="4">
                  <c:v>1.6044918247373232</c:v>
                </c:pt>
                <c:pt idx="5">
                  <c:v>1.4809609934735306</c:v>
                </c:pt>
                <c:pt idx="6">
                  <c:v>1.100605324096577</c:v>
                </c:pt>
                <c:pt idx="7">
                  <c:v>0.63131798439482623</c:v>
                </c:pt>
                <c:pt idx="8">
                  <c:v>0.28495459804372558</c:v>
                </c:pt>
                <c:pt idx="9">
                  <c:v>0.35217142431780246</c:v>
                </c:pt>
                <c:pt idx="10">
                  <c:v>0.46620881346103715</c:v>
                </c:pt>
                <c:pt idx="11">
                  <c:v>0.67603979520221458</c:v>
                </c:pt>
                <c:pt idx="12">
                  <c:v>1.4086957434134035</c:v>
                </c:pt>
                <c:pt idx="13">
                  <c:v>2.4435411317384563</c:v>
                </c:pt>
                <c:pt idx="14">
                  <c:v>0.49270833333332575</c:v>
                </c:pt>
                <c:pt idx="15">
                  <c:v>0.63604882673431007</c:v>
                </c:pt>
                <c:pt idx="16">
                  <c:v>0.49256592776798414</c:v>
                </c:pt>
                <c:pt idx="17">
                  <c:v>0.58894948263854019</c:v>
                </c:pt>
                <c:pt idx="18">
                  <c:v>0.63086071068421745</c:v>
                </c:pt>
                <c:pt idx="19">
                  <c:v>0.89228876676017421</c:v>
                </c:pt>
                <c:pt idx="20">
                  <c:v>0.6417082200326405</c:v>
                </c:pt>
                <c:pt idx="21" formatCode="General">
                  <c:v>0.4945804104272753</c:v>
                </c:pt>
                <c:pt idx="22" formatCode="General">
                  <c:v>0.42779383125697734</c:v>
                </c:pt>
                <c:pt idx="23" formatCode="General">
                  <c:v>0.4646962377140369</c:v>
                </c:pt>
              </c:numCache>
            </c:numRef>
          </c:val>
          <c:smooth val="0"/>
          <c:extLst>
            <c:ext xmlns:c16="http://schemas.microsoft.com/office/drawing/2014/chart" uri="{C3380CC4-5D6E-409C-BE32-E72D297353CC}">
              <c16:uniqueId val="{00000002-B45F-4C72-8F7C-7F39F6DCFBA3}"/>
            </c:ext>
          </c:extLst>
        </c:ser>
        <c:ser>
          <c:idx val="3"/>
          <c:order val="3"/>
          <c:tx>
            <c:strRef>
              <c:f>'[Makroanalýza grafy_eng.xlsx]souhrnná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'[Makroanalýza grafy_eng.xlsx]souhrnná výkonnost 1'!$A$13:$B$36</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1'!$F$13:$F$36</c:f>
              <c:numCache>
                <c:formatCode>#\ ##0.0</c:formatCode>
                <c:ptCount val="24"/>
                <c:pt idx="0">
                  <c:v>0.5</c:v>
                </c:pt>
                <c:pt idx="1">
                  <c:v>0.3</c:v>
                </c:pt>
                <c:pt idx="2">
                  <c:v>0.5</c:v>
                </c:pt>
                <c:pt idx="3">
                  <c:v>0.5</c:v>
                </c:pt>
                <c:pt idx="4">
                  <c:v>0.8</c:v>
                </c:pt>
                <c:pt idx="5">
                  <c:v>0.5</c:v>
                </c:pt>
                <c:pt idx="6">
                  <c:v>0.5</c:v>
                </c:pt>
                <c:pt idx="7">
                  <c:v>0.5</c:v>
                </c:pt>
                <c:pt idx="8">
                  <c:v>0.5</c:v>
                </c:pt>
                <c:pt idx="9">
                  <c:v>0.4</c:v>
                </c:pt>
                <c:pt idx="10">
                  <c:v>0.4</c:v>
                </c:pt>
                <c:pt idx="11">
                  <c:v>0.8</c:v>
                </c:pt>
                <c:pt idx="12">
                  <c:v>0.7</c:v>
                </c:pt>
                <c:pt idx="13">
                  <c:v>0.7</c:v>
                </c:pt>
                <c:pt idx="14">
                  <c:v>0.7</c:v>
                </c:pt>
                <c:pt idx="15">
                  <c:v>0.7</c:v>
                </c:pt>
                <c:pt idx="16">
                  <c:v>0.3</c:v>
                </c:pt>
                <c:pt idx="17">
                  <c:v>0.5</c:v>
                </c:pt>
                <c:pt idx="18">
                  <c:v>0.3</c:v>
                </c:pt>
                <c:pt idx="19">
                  <c:v>0.4</c:v>
                </c:pt>
                <c:pt idx="20">
                  <c:v>0.5</c:v>
                </c:pt>
                <c:pt idx="21">
                  <c:v>0.2</c:v>
                </c:pt>
                <c:pt idx="22">
                  <c:v>0.4</c:v>
                </c:pt>
                <c:pt idx="23" formatCode="General">
                  <c:v>0.1</c:v>
                </c:pt>
              </c:numCache>
            </c:numRef>
          </c:val>
          <c:smooth val="0"/>
          <c:extLst>
            <c:ext xmlns:c16="http://schemas.microsoft.com/office/drawing/2014/chart" uri="{C3380CC4-5D6E-409C-BE32-E72D297353CC}">
              <c16:uniqueId val="{00000003-B45F-4C72-8F7C-7F39F6DCFBA3}"/>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valAx>
      <c:spPr>
        <a:ln>
          <a:solidFill>
            <a:schemeClr val="tx1"/>
          </a:solidFill>
        </a:ln>
      </c:spPr>
    </c:plotArea>
    <c:legend>
      <c:legendPos val="b"/>
      <c:layout>
        <c:manualLayout>
          <c:xMode val="edge"/>
          <c:yMode val="edge"/>
          <c:x val="3.9667131036811888E-2"/>
          <c:y val="0.89437255125717996"/>
          <c:w val="0.93714918946301962"/>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'[Makroanalýza grafy_eng.xlsx]souhrnná výkonnost 3'!$D$5</c:f>
              <c:strCache>
                <c:ptCount val="1"/>
                <c:pt idx="0">
                  <c:v>Final consumption expenditure of households (inc. non-profit inst.)</c:v>
                </c:pt>
              </c:strCache>
            </c:strRef>
          </c:tx>
          <c:spPr>
            <a:solidFill>
              <a:srgbClr val="0071BC"/>
            </a:solidFill>
            <a:ln>
              <a:noFill/>
            </a:ln>
          </c:spPr>
          <c:invertIfNegative val="0"/>
          <c:val>
            <c:numRef>
              <c:f>'[Makroanalýza grafy_eng.xlsx]souhrnná výkonnost 3'!$D$14:$D$37</c:f>
              <c:numCache>
                <c:formatCode>#\ ##0.0</c:formatCode>
                <c:ptCount val="24"/>
                <c:pt idx="0">
                  <c:v>-0.34008143098095989</c:v>
                </c:pt>
                <c:pt idx="1">
                  <c:v>2.9026226453930527E-2</c:v>
                </c:pt>
                <c:pt idx="2">
                  <c:v>0.62988981328420746</c:v>
                </c:pt>
                <c:pt idx="3">
                  <c:v>1.1212461596956278</c:v>
                </c:pt>
                <c:pt idx="4">
                  <c:v>0.94195606426351952</c:v>
                </c:pt>
                <c:pt idx="5">
                  <c:v>0.87267234692188866</c:v>
                </c:pt>
                <c:pt idx="6">
                  <c:v>0.96328129540429486</c:v>
                </c:pt>
                <c:pt idx="7">
                  <c:v>1.222915570039836</c:v>
                </c:pt>
                <c:pt idx="8">
                  <c:v>0.95450177579030715</c:v>
                </c:pt>
                <c:pt idx="9">
                  <c:v>0.99768716054784257</c:v>
                </c:pt>
                <c:pt idx="10">
                  <c:v>1.2072935249511725</c:v>
                </c:pt>
                <c:pt idx="11">
                  <c:v>1.1321291783183882</c:v>
                </c:pt>
                <c:pt idx="12">
                  <c:v>1.9306412987223565</c:v>
                </c:pt>
                <c:pt idx="13">
                  <c:v>2.2637400631644424</c:v>
                </c:pt>
                <c:pt idx="14">
                  <c:v>2.0808457010674362</c:v>
                </c:pt>
                <c:pt idx="15">
                  <c:v>1.9303094594010355</c:v>
                </c:pt>
                <c:pt idx="16">
                  <c:v>1.1809328409042479</c:v>
                </c:pt>
                <c:pt idx="17">
                  <c:v>0.97522383325499351</c:v>
                </c:pt>
                <c:pt idx="18">
                  <c:v>0.71494739738076218</c:v>
                </c:pt>
                <c:pt idx="19">
                  <c:v>0.59541814159009543</c:v>
                </c:pt>
                <c:pt idx="20">
                  <c:v>1.2384079231639256</c:v>
                </c:pt>
                <c:pt idx="21">
                  <c:v>1.2322368201608158</c:v>
                </c:pt>
                <c:pt idx="22">
                  <c:v>1.1454946087500353</c:v>
                </c:pt>
                <c:pt idx="23">
                  <c:v>1.3315880650721048</c:v>
                </c:pt>
              </c:numCache>
            </c:numRef>
          </c:val>
          <c:extLst>
            <c:ext xmlns:c16="http://schemas.microsoft.com/office/drawing/2014/chart" uri="{C3380CC4-5D6E-409C-BE32-E72D297353CC}">
              <c16:uniqueId val="{00000000-271D-40B1-ADC0-677CB5335C2A}"/>
            </c:ext>
          </c:extLst>
        </c:ser>
        <c:ser>
          <c:idx val="4"/>
          <c:order val="2"/>
          <c:tx>
            <c:strRef>
              <c:f>'[Makroanalýza grafy_eng.xlsx]souhrnná výkonnost 3'!$E$5</c:f>
              <c:strCache>
                <c:ptCount val="1"/>
                <c:pt idx="0">
                  <c:v>Final consumption expenditure of government institutions</c:v>
                </c:pt>
              </c:strCache>
            </c:strRef>
          </c:tx>
          <c:spPr>
            <a:solidFill>
              <a:srgbClr val="A6CDE8"/>
            </a:solidFill>
            <a:ln>
              <a:noFill/>
            </a:ln>
          </c:spPr>
          <c:invertIfNegative val="0"/>
          <c:val>
            <c:numRef>
              <c:f>'[Makroanalýza grafy_eng.xlsx]souhrnná výkonnost 3'!$E$14:$E$37</c:f>
              <c:numCache>
                <c:formatCode>#\ ##0.0</c:formatCode>
                <c:ptCount val="24"/>
                <c:pt idx="0">
                  <c:v>0.20630020460707293</c:v>
                </c:pt>
                <c:pt idx="1">
                  <c:v>0.33861567484111815</c:v>
                </c:pt>
                <c:pt idx="2">
                  <c:v>1.3981426251282602E-2</c:v>
                </c:pt>
                <c:pt idx="3">
                  <c:v>0.40192141211359078</c:v>
                </c:pt>
                <c:pt idx="4">
                  <c:v>0.39699853206845465</c:v>
                </c:pt>
                <c:pt idx="5">
                  <c:v>0.40872197803912458</c:v>
                </c:pt>
                <c:pt idx="6">
                  <c:v>0.66145512560413866</c:v>
                </c:pt>
                <c:pt idx="7">
                  <c:v>0.47605014025303921</c:v>
                </c:pt>
                <c:pt idx="8">
                  <c:v>0.46151762486829956</c:v>
                </c:pt>
                <c:pt idx="9">
                  <c:v>0.57240355195671144</c:v>
                </c:pt>
                <c:pt idx="10">
                  <c:v>0.46340271694691726</c:v>
                </c:pt>
                <c:pt idx="11">
                  <c:v>0.42895930420689293</c:v>
                </c:pt>
                <c:pt idx="12">
                  <c:v>0.34244893163489387</c:v>
                </c:pt>
                <c:pt idx="13">
                  <c:v>0.223244500567059</c:v>
                </c:pt>
                <c:pt idx="14">
                  <c:v>0.14063749951504498</c:v>
                </c:pt>
                <c:pt idx="15">
                  <c:v>0.27003435806965481</c:v>
                </c:pt>
                <c:pt idx="16">
                  <c:v>0.52119655301101397</c:v>
                </c:pt>
                <c:pt idx="17">
                  <c:v>0.53590023308227619</c:v>
                </c:pt>
                <c:pt idx="18">
                  <c:v>0.75048967270375855</c:v>
                </c:pt>
                <c:pt idx="19">
                  <c:v>0.64706442020280963</c:v>
                </c:pt>
                <c:pt idx="20">
                  <c:v>0.44248975086021647</c:v>
                </c:pt>
                <c:pt idx="21">
                  <c:v>0.54035293556943409</c:v>
                </c:pt>
                <c:pt idx="22">
                  <c:v>0.69799862848490202</c:v>
                </c:pt>
                <c:pt idx="23">
                  <c:v>0.3289306707528134</c:v>
                </c:pt>
              </c:numCache>
            </c:numRef>
          </c:val>
          <c:extLst>
            <c:ext xmlns:c16="http://schemas.microsoft.com/office/drawing/2014/chart" uri="{C3380CC4-5D6E-409C-BE32-E72D297353CC}">
              <c16:uniqueId val="{00000001-271D-40B1-ADC0-677CB5335C2A}"/>
            </c:ext>
          </c:extLst>
        </c:ser>
        <c:ser>
          <c:idx val="3"/>
          <c:order val="3"/>
          <c:tx>
            <c:strRef>
              <c:f>'[Makroanalýza grafy_eng.xlsx]souhrnná výkonnost 3'!$G$5</c:f>
              <c:strCache>
                <c:ptCount val="1"/>
                <c:pt idx="0">
                  <c:v>Gross capital formation</c:v>
                </c:pt>
              </c:strCache>
            </c:strRef>
          </c:tx>
          <c:spPr>
            <a:solidFill>
              <a:srgbClr val="BD1B21"/>
            </a:solidFill>
            <a:ln>
              <a:noFill/>
            </a:ln>
          </c:spPr>
          <c:invertIfNegative val="0"/>
          <c:val>
            <c:numRef>
              <c:f>'[Makroanalýza grafy_eng.xlsx]souhrnná výkonnost 3'!$G$14:$G$37</c:f>
              <c:numCache>
                <c:formatCode>#\ ##0.0</c:formatCode>
                <c:ptCount val="24"/>
                <c:pt idx="0">
                  <c:v>-2.4830732969663347E-2</c:v>
                </c:pt>
                <c:pt idx="1">
                  <c:v>1.7371626087705039</c:v>
                </c:pt>
                <c:pt idx="2">
                  <c:v>1.1821175293349913</c:v>
                </c:pt>
                <c:pt idx="3">
                  <c:v>0.46203512679466735</c:v>
                </c:pt>
                <c:pt idx="4">
                  <c:v>3.0879371652551999</c:v>
                </c:pt>
                <c:pt idx="5">
                  <c:v>3.9987987862631074</c:v>
                </c:pt>
                <c:pt idx="6">
                  <c:v>2.5754146120567754</c:v>
                </c:pt>
                <c:pt idx="7">
                  <c:v>1.0444753655053425</c:v>
                </c:pt>
                <c:pt idx="8">
                  <c:v>0.71387118611405975</c:v>
                </c:pt>
                <c:pt idx="9">
                  <c:v>-1.5854482705709272</c:v>
                </c:pt>
                <c:pt idx="10">
                  <c:v>-0.93062122867821062</c:v>
                </c:pt>
                <c:pt idx="11">
                  <c:v>-0.56122869504757711</c:v>
                </c:pt>
                <c:pt idx="12">
                  <c:v>-1.1403609447470813</c:v>
                </c:pt>
                <c:pt idx="13">
                  <c:v>0.83977617499799451</c:v>
                </c:pt>
                <c:pt idx="14">
                  <c:v>1.6317033595386747</c:v>
                </c:pt>
                <c:pt idx="15">
                  <c:v>2.2014216093427894</c:v>
                </c:pt>
                <c:pt idx="16">
                  <c:v>2.4097867369615757</c:v>
                </c:pt>
                <c:pt idx="17">
                  <c:v>0.5170262523036262</c:v>
                </c:pt>
                <c:pt idx="18">
                  <c:v>0.77040241880421423</c:v>
                </c:pt>
                <c:pt idx="19">
                  <c:v>9.4373662010904788E-2</c:v>
                </c:pt>
                <c:pt idx="20">
                  <c:v>1.0613335745329571</c:v>
                </c:pt>
                <c:pt idx="21">
                  <c:v>-0.36238929231745187</c:v>
                </c:pt>
                <c:pt idx="22">
                  <c:v>-0.41084313126944683</c:v>
                </c:pt>
                <c:pt idx="23">
                  <c:v>2.2623784732541168</c:v>
                </c:pt>
              </c:numCache>
            </c:numRef>
          </c:val>
          <c:extLst>
            <c:ext xmlns:c16="http://schemas.microsoft.com/office/drawing/2014/chart" uri="{C3380CC4-5D6E-409C-BE32-E72D297353CC}">
              <c16:uniqueId val="{00000002-271D-40B1-ADC0-677CB5335C2A}"/>
            </c:ext>
          </c:extLst>
        </c:ser>
        <c:ser>
          <c:idx val="1"/>
          <c:order val="4"/>
          <c:tx>
            <c:strRef>
              <c:f>'[Makroanalýza grafy_eng.xlsx]souhrnná výkonnost 3'!$F$5</c:f>
              <c:strCache>
                <c:ptCount val="1"/>
                <c:pt idx="0">
                  <c:v>Foreign trade balance</c:v>
                </c:pt>
              </c:strCache>
            </c:strRef>
          </c:tx>
          <c:spPr>
            <a:solidFill>
              <a:srgbClr val="7DBB2D"/>
            </a:solidFill>
            <a:ln>
              <a:noFill/>
            </a:ln>
          </c:spPr>
          <c:invertIfNegative val="0"/>
          <c:val>
            <c:numRef>
              <c:f>'[Makroanalýza grafy_eng.xlsx]souhrnná výkonnost 3'!$F$14:$F$37</c:f>
              <c:numCache>
                <c:formatCode>#\ ##0.0</c:formatCode>
                <c:ptCount val="24"/>
                <c:pt idx="0">
                  <c:v>1.7811708989160389</c:v>
                </c:pt>
                <c:pt idx="1">
                  <c:v>0.28060237297014012</c:v>
                </c:pt>
                <c:pt idx="2">
                  <c:v>1.5347733689115</c:v>
                </c:pt>
                <c:pt idx="3">
                  <c:v>1.3943184947840228</c:v>
                </c:pt>
                <c:pt idx="4">
                  <c:v>0.8334594136688902</c:v>
                </c:pt>
                <c:pt idx="5">
                  <c:v>0.55449022657338531</c:v>
                </c:pt>
                <c:pt idx="6">
                  <c:v>1.4429305167076234</c:v>
                </c:pt>
                <c:pt idx="7">
                  <c:v>2.1830803377751762</c:v>
                </c:pt>
                <c:pt idx="8">
                  <c:v>1.3738808387312025</c:v>
                </c:pt>
                <c:pt idx="9">
                  <c:v>2.3568205392256898</c:v>
                </c:pt>
                <c:pt idx="10">
                  <c:v>0.95573888207662083</c:v>
                </c:pt>
                <c:pt idx="11">
                  <c:v>0.73950653042841519</c:v>
                </c:pt>
                <c:pt idx="12">
                  <c:v>1.7564908410868183</c:v>
                </c:pt>
                <c:pt idx="13">
                  <c:v>1.7148679176152966</c:v>
                </c:pt>
                <c:pt idx="14">
                  <c:v>1.2243070658653634</c:v>
                </c:pt>
                <c:pt idx="15">
                  <c:v>0.64430687048366675</c:v>
                </c:pt>
                <c:pt idx="16">
                  <c:v>-1.7752529049995136E-2</c:v>
                </c:pt>
                <c:pt idx="17">
                  <c:v>0.17484982683298256</c:v>
                </c:pt>
                <c:pt idx="18">
                  <c:v>0.10210794575161497</c:v>
                </c:pt>
                <c:pt idx="19">
                  <c:v>1.2503464785579967</c:v>
                </c:pt>
                <c:pt idx="20">
                  <c:v>1.1250091092773973E-2</c:v>
                </c:pt>
                <c:pt idx="21">
                  <c:v>1.2532787641542766</c:v>
                </c:pt>
                <c:pt idx="22">
                  <c:v>1.022544176517203</c:v>
                </c:pt>
                <c:pt idx="23">
                  <c:v>-1.9053435473948666</c:v>
                </c:pt>
              </c:numCache>
            </c:numRef>
          </c:val>
          <c:extLst>
            <c:ext xmlns:c16="http://schemas.microsoft.com/office/drawing/2014/chart" uri="{C3380CC4-5D6E-409C-BE32-E72D297353CC}">
              <c16:uniqueId val="{00000003-271D-40B1-ADC0-677CB5335C2A}"/>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'[Makroanalýza grafy_eng.xlsx]souhrnná výkonnost 3'!$C$5</c:f>
              <c:strCache>
                <c:ptCount val="1"/>
                <c:pt idx="0">
                  <c:v>GDP</c:v>
                </c:pt>
              </c:strCache>
            </c:strRef>
          </c:tx>
          <c:spPr>
            <a:ln>
              <a:solidFill>
                <a:prstClr val="black"/>
              </a:solidFill>
            </a:ln>
          </c:spPr>
          <c:marker>
            <c:symbol val="none"/>
          </c:marker>
          <c:cat>
            <c:multiLvlStrRef>
              <c:f>'[Makroanalýza grafy_eng.xlsx]souhrnná výkonnost 3'!$A$14:$B$37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3'!$C$14:$C$37</c:f>
              <c:numCache>
                <c:formatCode>#\ ##0.0</c:formatCode>
                <c:ptCount val="24"/>
                <c:pt idx="0">
                  <c:v>1.5996926444217838</c:v>
                </c:pt>
                <c:pt idx="1">
                  <c:v>2.4019552100365242</c:v>
                </c:pt>
                <c:pt idx="2">
                  <c:v>3.4030564515715609</c:v>
                </c:pt>
                <c:pt idx="3">
                  <c:v>3.4380052076485548</c:v>
                </c:pt>
                <c:pt idx="4">
                  <c:v>5.2291125501287894</c:v>
                </c:pt>
                <c:pt idx="5">
                  <c:v>5.8032884808543201</c:v>
                </c:pt>
                <c:pt idx="6">
                  <c:v>5.6130021167368085</c:v>
                </c:pt>
                <c:pt idx="7">
                  <c:v>4.9021199420951973</c:v>
                </c:pt>
                <c:pt idx="8">
                  <c:v>3.5397769924422562</c:v>
                </c:pt>
                <c:pt idx="9">
                  <c:v>2.3881436873594453</c:v>
                </c:pt>
                <c:pt idx="10">
                  <c:v>1.7456690011057816</c:v>
                </c:pt>
                <c:pt idx="11">
                  <c:v>1.7908504273152204</c:v>
                </c:pt>
                <c:pt idx="12">
                  <c:v>2.9314357771400381</c:v>
                </c:pt>
                <c:pt idx="13">
                  <c:v>5.0765227202416554</c:v>
                </c:pt>
                <c:pt idx="14">
                  <c:v>5.1042255357996851</c:v>
                </c:pt>
                <c:pt idx="15">
                  <c:v>5.0625760160056359</c:v>
                </c:pt>
                <c:pt idx="16">
                  <c:v>4.113399930983519</c:v>
                </c:pt>
                <c:pt idx="17">
                  <c:v>2.2285878567247295</c:v>
                </c:pt>
                <c:pt idx="18">
                  <c:v>2.3691471449424455</c:v>
                </c:pt>
                <c:pt idx="19">
                  <c:v>2.6297132249435577</c:v>
                </c:pt>
                <c:pt idx="20">
                  <c:v>2.7821232477531339</c:v>
                </c:pt>
                <c:pt idx="21">
                  <c:v>2.6857018943744748</c:v>
                </c:pt>
                <c:pt idx="22">
                  <c:v>2.4784595234327327</c:v>
                </c:pt>
                <c:pt idx="23">
                  <c:v>2.0441416457255031</c:v>
                </c:pt>
              </c:numCache>
            </c:numRef>
          </c:val>
          <c:smooth val="0"/>
          <c:extLst>
            <c:ext xmlns:c16="http://schemas.microsoft.com/office/drawing/2014/chart" uri="{C3380CC4-5D6E-409C-BE32-E72D297353CC}">
              <c16:uniqueId val="{00000004-271D-40B1-ADC0-677CB5335C2A}"/>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6"/>
          <c:min val="-4"/>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1"/>
      </c:valAx>
      <c:spPr>
        <a:ln>
          <a:solidFill>
            <a:schemeClr val="tx1"/>
          </a:solidFill>
        </a:ln>
      </c:spPr>
    </c:plotArea>
    <c:legend>
      <c:legendPos val="b"/>
      <c:layout>
        <c:manualLayout>
          <c:xMode val="edge"/>
          <c:yMode val="edge"/>
          <c:x val="4.4891184424094004E-2"/>
          <c:y val="0.79301446583361457"/>
          <c:w val="0.94049666651103803"/>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'[Makroanalýza grafy_eng.xlsx]souhrnná výkonnost 4'!$C$5</c:f>
              <c:strCache>
                <c:ptCount val="1"/>
                <c:pt idx="0">
                  <c:v>Agriculture, forestry and fishing</c:v>
                </c:pt>
              </c:strCache>
            </c:strRef>
          </c:tx>
          <c:spPr>
            <a:solidFill>
              <a:srgbClr val="0071BC"/>
            </a:solidFill>
            <a:ln>
              <a:noFill/>
            </a:ln>
          </c:spPr>
          <c:invertIfNegative val="0"/>
          <c:val>
            <c:numRef>
              <c:f>'[Makroanalýza grafy_eng.xlsx]souhrnná výkonnost 4'!$C$14:$C$37</c:f>
              <c:numCache>
                <c:formatCode>#\ ##0.0</c:formatCode>
                <c:ptCount val="24"/>
                <c:pt idx="0">
                  <c:v>0.10327092328203805</c:v>
                </c:pt>
                <c:pt idx="1">
                  <c:v>0.23269520427919901</c:v>
                </c:pt>
                <c:pt idx="2">
                  <c:v>0.28194365656542186</c:v>
                </c:pt>
                <c:pt idx="3">
                  <c:v>0.24824540125917496</c:v>
                </c:pt>
                <c:pt idx="4">
                  <c:v>0.26488476717818116</c:v>
                </c:pt>
                <c:pt idx="5">
                  <c:v>0.14937649763464936</c:v>
                </c:pt>
                <c:pt idx="6">
                  <c:v>9.6966417999665405E-2</c:v>
                </c:pt>
                <c:pt idx="7">
                  <c:v>9.4772828520706967E-2</c:v>
                </c:pt>
                <c:pt idx="8">
                  <c:v>3.38185905666414E-3</c:v>
                </c:pt>
                <c:pt idx="9">
                  <c:v>0.12010108099372553</c:v>
                </c:pt>
                <c:pt idx="10">
                  <c:v>0.11928892387646116</c:v>
                </c:pt>
                <c:pt idx="11">
                  <c:v>8.912121122008794E-2</c:v>
                </c:pt>
                <c:pt idx="12">
                  <c:v>2.0661665656224161E-2</c:v>
                </c:pt>
                <c:pt idx="13">
                  <c:v>-9.060397457564992E-2</c:v>
                </c:pt>
                <c:pt idx="14">
                  <c:v>-0.1383708603508515</c:v>
                </c:pt>
                <c:pt idx="15">
                  <c:v>-6.7127512709389422E-2</c:v>
                </c:pt>
                <c:pt idx="16">
                  <c:v>4.3330467804160236E-2</c:v>
                </c:pt>
                <c:pt idx="17">
                  <c:v>0.1226773065485962</c:v>
                </c:pt>
                <c:pt idx="18">
                  <c:v>0.15388197244705223</c:v>
                </c:pt>
                <c:pt idx="19">
                  <c:v>0.12896499083982724</c:v>
                </c:pt>
                <c:pt idx="20">
                  <c:v>2.5313888605371329E-2</c:v>
                </c:pt>
                <c:pt idx="21">
                  <c:v>2.1317900195731328E-2</c:v>
                </c:pt>
                <c:pt idx="22">
                  <c:v>2.8240177277312213E-2</c:v>
                </c:pt>
                <c:pt idx="23">
                  <c:v>5.5680490263702927E-2</c:v>
                </c:pt>
              </c:numCache>
            </c:numRef>
          </c:val>
          <c:extLst>
            <c:ext xmlns:c16="http://schemas.microsoft.com/office/drawing/2014/chart" uri="{C3380CC4-5D6E-409C-BE32-E72D297353CC}">
              <c16:uniqueId val="{00000000-DADD-4122-802E-56BA8B9D0D41}"/>
            </c:ext>
          </c:extLst>
        </c:ser>
        <c:ser>
          <c:idx val="3"/>
          <c:order val="1"/>
          <c:tx>
            <c:strRef>
              <c:f>'[Makroanalýza grafy_eng.xlsx]souhrnná výkonnost 4'!$D$5</c:f>
              <c:strCache>
                <c:ptCount val="1"/>
                <c:pt idx="0">
                  <c:v>Manufacturing (CZ-NACE C)</c:v>
                </c:pt>
              </c:strCache>
            </c:strRef>
          </c:tx>
          <c:spPr>
            <a:solidFill>
              <a:srgbClr val="A6CDE8"/>
            </a:solidFill>
            <a:ln>
              <a:noFill/>
            </a:ln>
          </c:spPr>
          <c:invertIfNegative val="0"/>
          <c:val>
            <c:numRef>
              <c:f>'[Makroanalýza grafy_eng.xlsx]souhrnná výkonnost 4'!$D$14:$D$37</c:f>
              <c:numCache>
                <c:formatCode>#\ ##0.0</c:formatCode>
                <c:ptCount val="24"/>
                <c:pt idx="0">
                  <c:v>0.37772844403727041</c:v>
                </c:pt>
                <c:pt idx="1">
                  <c:v>1.1859630233858338</c:v>
                </c:pt>
                <c:pt idx="2">
                  <c:v>1.9694331350285428</c:v>
                </c:pt>
                <c:pt idx="3">
                  <c:v>2.590547170334732</c:v>
                </c:pt>
                <c:pt idx="4">
                  <c:v>2.0853375744466129</c:v>
                </c:pt>
                <c:pt idx="5">
                  <c:v>1.6547798001460741</c:v>
                </c:pt>
                <c:pt idx="6">
                  <c:v>1.4179941838424874</c:v>
                </c:pt>
                <c:pt idx="7">
                  <c:v>0.68790900072214411</c:v>
                </c:pt>
                <c:pt idx="8">
                  <c:v>1.0587965236381895</c:v>
                </c:pt>
                <c:pt idx="9">
                  <c:v>0.58666698548746488</c:v>
                </c:pt>
                <c:pt idx="10">
                  <c:v>0.78345988868193084</c:v>
                </c:pt>
                <c:pt idx="11">
                  <c:v>1.0287702111104504</c:v>
                </c:pt>
                <c:pt idx="12">
                  <c:v>1.9010392905126703</c:v>
                </c:pt>
                <c:pt idx="13">
                  <c:v>3.4182392747721453</c:v>
                </c:pt>
                <c:pt idx="14">
                  <c:v>3.6661529694016184</c:v>
                </c:pt>
                <c:pt idx="15">
                  <c:v>2.9671701619247015</c:v>
                </c:pt>
                <c:pt idx="16">
                  <c:v>1.5924778102369037</c:v>
                </c:pt>
                <c:pt idx="17">
                  <c:v>0.16147466592295665</c:v>
                </c:pt>
                <c:pt idx="18">
                  <c:v>-0.2265542468745792</c:v>
                </c:pt>
                <c:pt idx="19">
                  <c:v>0.16877028418296994</c:v>
                </c:pt>
                <c:pt idx="20">
                  <c:v>0.23028959568633331</c:v>
                </c:pt>
                <c:pt idx="21">
                  <c:v>0.3005289792159006</c:v>
                </c:pt>
                <c:pt idx="22">
                  <c:v>0.35338158321054997</c:v>
                </c:pt>
                <c:pt idx="23">
                  <c:v>-6.0323223057564677E-2</c:v>
                </c:pt>
              </c:numCache>
            </c:numRef>
          </c:val>
          <c:extLst>
            <c:ext xmlns:c16="http://schemas.microsoft.com/office/drawing/2014/chart" uri="{C3380CC4-5D6E-409C-BE32-E72D297353CC}">
              <c16:uniqueId val="{00000001-DADD-4122-802E-56BA8B9D0D41}"/>
            </c:ext>
          </c:extLst>
        </c:ser>
        <c:ser>
          <c:idx val="2"/>
          <c:order val="2"/>
          <c:tx>
            <c:strRef>
              <c:f>'[Makroanalýza grafy_eng.xlsx]souhrnná výkonnost 4'!$E$5</c:f>
              <c:strCache>
                <c:ptCount val="1"/>
                <c:pt idx="0">
                  <c:v>Other industrial branches (CZ-NACE B,D,E)</c:v>
                </c:pt>
              </c:strCache>
            </c:strRef>
          </c:tx>
          <c:spPr>
            <a:solidFill>
              <a:srgbClr val="BD1B21"/>
            </a:solidFill>
            <a:ln>
              <a:noFill/>
            </a:ln>
          </c:spPr>
          <c:invertIfNegative val="0"/>
          <c:val>
            <c:numRef>
              <c:f>'[Makroanalýza grafy_eng.xlsx]souhrnná výkonnost 4'!$E$14:$E$37</c:f>
              <c:numCache>
                <c:formatCode>#\ ##0.0</c:formatCode>
                <c:ptCount val="24"/>
                <c:pt idx="0">
                  <c:v>0.3608155675574945</c:v>
                </c:pt>
                <c:pt idx="1">
                  <c:v>0.11006534446942351</c:v>
                </c:pt>
                <c:pt idx="2">
                  <c:v>-0.10139412231119316</c:v>
                </c:pt>
                <c:pt idx="3">
                  <c:v>-0.15771568852179829</c:v>
                </c:pt>
                <c:pt idx="4">
                  <c:v>-0.11854975317179695</c:v>
                </c:pt>
                <c:pt idx="5">
                  <c:v>7.3689959050415865E-3</c:v>
                </c:pt>
                <c:pt idx="6">
                  <c:v>1.577259276174181E-2</c:v>
                </c:pt>
                <c:pt idx="7">
                  <c:v>-0.11849296922241881</c:v>
                </c:pt>
                <c:pt idx="8">
                  <c:v>-0.45864825929601738</c:v>
                </c:pt>
                <c:pt idx="9">
                  <c:v>-0.32291108060646145</c:v>
                </c:pt>
                <c:pt idx="10">
                  <c:v>-0.37881944494448766</c:v>
                </c:pt>
                <c:pt idx="11">
                  <c:v>-0.13472107189033511</c:v>
                </c:pt>
                <c:pt idx="12">
                  <c:v>5.6239162616814387E-2</c:v>
                </c:pt>
                <c:pt idx="13">
                  <c:v>4.4230730683970876E-2</c:v>
                </c:pt>
                <c:pt idx="14">
                  <c:v>6.7840541801028387E-2</c:v>
                </c:pt>
                <c:pt idx="15">
                  <c:v>-2.5113128208830382E-2</c:v>
                </c:pt>
                <c:pt idx="16">
                  <c:v>-0.19539558548550606</c:v>
                </c:pt>
                <c:pt idx="17">
                  <c:v>-0.16275648398934928</c:v>
                </c:pt>
                <c:pt idx="18" formatCode="General">
                  <c:v>1.3843354762812204E-2</c:v>
                </c:pt>
                <c:pt idx="19" formatCode="General">
                  <c:v>-0.10594894019695877</c:v>
                </c:pt>
                <c:pt idx="20" formatCode="General">
                  <c:v>9.2374947081174247E-2</c:v>
                </c:pt>
                <c:pt idx="21" formatCode="General">
                  <c:v>7.1201995979468413E-2</c:v>
                </c:pt>
                <c:pt idx="22" formatCode="General">
                  <c:v>-0.14661860351297781</c:v>
                </c:pt>
                <c:pt idx="23" formatCode="General">
                  <c:v>1.6183959188860862E-2</c:v>
                </c:pt>
              </c:numCache>
            </c:numRef>
          </c:val>
          <c:extLst>
            <c:ext xmlns:c16="http://schemas.microsoft.com/office/drawing/2014/chart" uri="{C3380CC4-5D6E-409C-BE32-E72D297353CC}">
              <c16:uniqueId val="{00000002-DADD-4122-802E-56BA8B9D0D41}"/>
            </c:ext>
          </c:extLst>
        </c:ser>
        <c:ser>
          <c:idx val="1"/>
          <c:order val="3"/>
          <c:tx>
            <c:strRef>
              <c:f>'[Makroanalýza grafy_eng.xlsx]souhrnná výkonnost 4'!$F$5</c:f>
              <c:strCache>
                <c:ptCount val="1"/>
                <c:pt idx="0">
                  <c:v>Construction</c:v>
                </c:pt>
              </c:strCache>
            </c:strRef>
          </c:tx>
          <c:spPr>
            <a:solidFill>
              <a:srgbClr val="E8AFB2"/>
            </a:solidFill>
            <a:ln>
              <a:noFill/>
            </a:ln>
          </c:spPr>
          <c:invertIfNegative val="0"/>
          <c:val>
            <c:numRef>
              <c:f>'[Makroanalýza grafy_eng.xlsx]souhrnná výkonnost 4'!$F$14:$F$37</c:f>
              <c:numCache>
                <c:formatCode>#\ ##0.0</c:formatCode>
                <c:ptCount val="24"/>
                <c:pt idx="0">
                  <c:v>0.21797461545334479</c:v>
                </c:pt>
                <c:pt idx="1">
                  <c:v>8.7245853666114953E-2</c:v>
                </c:pt>
                <c:pt idx="2">
                  <c:v>3.407524595211904E-2</c:v>
                </c:pt>
                <c:pt idx="3">
                  <c:v>0.11666973663550313</c:v>
                </c:pt>
                <c:pt idx="4">
                  <c:v>0.10676390935480391</c:v>
                </c:pt>
                <c:pt idx="5">
                  <c:v>0.2619609483036206</c:v>
                </c:pt>
                <c:pt idx="6">
                  <c:v>0.35820100044646264</c:v>
                </c:pt>
                <c:pt idx="7">
                  <c:v>0.16119763626367817</c:v>
                </c:pt>
                <c:pt idx="8">
                  <c:v>-5.3066473746695028E-2</c:v>
                </c:pt>
                <c:pt idx="9">
                  <c:v>-0.24720655881401407</c:v>
                </c:pt>
                <c:pt idx="10">
                  <c:v>-0.2921718454579274</c:v>
                </c:pt>
                <c:pt idx="11">
                  <c:v>-0.26341653342115456</c:v>
                </c:pt>
                <c:pt idx="12">
                  <c:v>-0.20931022274257244</c:v>
                </c:pt>
                <c:pt idx="13">
                  <c:v>-8.9707874424024656E-2</c:v>
                </c:pt>
                <c:pt idx="14">
                  <c:v>-0.16563091980150987</c:v>
                </c:pt>
                <c:pt idx="15">
                  <c:v>-5.4074781328859352E-2</c:v>
                </c:pt>
                <c:pt idx="16">
                  <c:v>2.0317746617857207E-2</c:v>
                </c:pt>
                <c:pt idx="17">
                  <c:v>0.2062735458554408</c:v>
                </c:pt>
                <c:pt idx="18">
                  <c:v>0.2175224952867183</c:v>
                </c:pt>
                <c:pt idx="19">
                  <c:v>0.23376664655650201</c:v>
                </c:pt>
                <c:pt idx="20">
                  <c:v>0.1602327294784904</c:v>
                </c:pt>
                <c:pt idx="21">
                  <c:v>0.19765818760512943</c:v>
                </c:pt>
                <c:pt idx="22">
                  <c:v>0.24247853978936121</c:v>
                </c:pt>
                <c:pt idx="23">
                  <c:v>0.17254502186384324</c:v>
                </c:pt>
              </c:numCache>
            </c:numRef>
          </c:val>
          <c:extLst>
            <c:ext xmlns:c16="http://schemas.microsoft.com/office/drawing/2014/chart" uri="{C3380CC4-5D6E-409C-BE32-E72D297353CC}">
              <c16:uniqueId val="{00000003-DADD-4122-802E-56BA8B9D0D41}"/>
            </c:ext>
          </c:extLst>
        </c:ser>
        <c:ser>
          <c:idx val="0"/>
          <c:order val="4"/>
          <c:tx>
            <c:strRef>
              <c:f>'[Makroanalýza grafy_eng.xlsx]souhrnná výkonnost 4'!$G$5</c:f>
              <c:strCache>
                <c:ptCount val="1"/>
                <c:pt idx="0">
                  <c:v>Services (CZ-NACE G to U)</c:v>
                </c:pt>
              </c:strCache>
            </c:strRef>
          </c:tx>
          <c:spPr>
            <a:solidFill>
              <a:srgbClr val="7DBB2D"/>
            </a:solidFill>
            <a:ln>
              <a:noFill/>
            </a:ln>
          </c:spPr>
          <c:invertIfNegative val="0"/>
          <c:val>
            <c:numRef>
              <c:f>'[Makroanalýza grafy_eng.xlsx]souhrnná výkonnost 4'!$G$14:$G$37</c:f>
              <c:numCache>
                <c:formatCode>#\ ##0.0</c:formatCode>
                <c:ptCount val="24"/>
                <c:pt idx="0">
                  <c:v>1.2434826511850188</c:v>
                </c:pt>
                <c:pt idx="1">
                  <c:v>1.3514601452448771</c:v>
                </c:pt>
                <c:pt idx="2">
                  <c:v>1.6168480473690585</c:v>
                </c:pt>
                <c:pt idx="3">
                  <c:v>1.7199521082386058</c:v>
                </c:pt>
                <c:pt idx="4">
                  <c:v>2.2917081080484563</c:v>
                </c:pt>
                <c:pt idx="5">
                  <c:v>2.9901246400384922</c:v>
                </c:pt>
                <c:pt idx="6">
                  <c:v>3.2954653819015496</c:v>
                </c:pt>
                <c:pt idx="7">
                  <c:v>3.535624529029278</c:v>
                </c:pt>
                <c:pt idx="8">
                  <c:v>2.8063925584667917</c:v>
                </c:pt>
                <c:pt idx="9">
                  <c:v>2.1524889219545367</c:v>
                </c:pt>
                <c:pt idx="10">
                  <c:v>1.3718879230674128</c:v>
                </c:pt>
                <c:pt idx="11">
                  <c:v>1.203389851851862</c:v>
                </c:pt>
                <c:pt idx="12">
                  <c:v>1.1136323344300572</c:v>
                </c:pt>
                <c:pt idx="13">
                  <c:v>1.8109105270381602</c:v>
                </c:pt>
                <c:pt idx="14">
                  <c:v>1.6572436772952481</c:v>
                </c:pt>
                <c:pt idx="15">
                  <c:v>1.9247437651681232</c:v>
                </c:pt>
                <c:pt idx="16">
                  <c:v>2.4851160391223477</c:v>
                </c:pt>
                <c:pt idx="17">
                  <c:v>2.0018619054450886</c:v>
                </c:pt>
                <c:pt idx="18" formatCode="General">
                  <c:v>2.4058888564621159</c:v>
                </c:pt>
                <c:pt idx="19" formatCode="General">
                  <c:v>2.4657729321631248</c:v>
                </c:pt>
                <c:pt idx="20" formatCode="General">
                  <c:v>2.2547277891585673</c:v>
                </c:pt>
                <c:pt idx="21" formatCode="General">
                  <c:v>2.0339348022177353</c:v>
                </c:pt>
                <c:pt idx="22" formatCode="General">
                  <c:v>1.8271354107868274</c:v>
                </c:pt>
                <c:pt idx="23" formatCode="General">
                  <c:v>1.6043250727316809</c:v>
                </c:pt>
              </c:numCache>
            </c:numRef>
          </c:val>
          <c:extLst>
            <c:ext xmlns:c16="http://schemas.microsoft.com/office/drawing/2014/chart" uri="{C3380CC4-5D6E-409C-BE32-E72D297353CC}">
              <c16:uniqueId val="{00000004-DADD-4122-802E-56BA8B9D0D41}"/>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'[Makroanalýza grafy_eng.xlsx]souhrnná výkonnost 4'!$H$5</c:f>
              <c:strCache>
                <c:ptCount val="1"/>
                <c:pt idx="0">
                  <c:v>Total gross value added</c:v>
                </c:pt>
              </c:strCache>
            </c:strRef>
          </c:tx>
          <c:spPr>
            <a:ln w="19050">
              <a:solidFill>
                <a:prstClr val="black"/>
              </a:solidFill>
            </a:ln>
          </c:spPr>
          <c:marker>
            <c:symbol val="none"/>
          </c:marker>
          <c:cat>
            <c:multiLvlStrRef>
              <c:f>'[Makroanalýza grafy_eng.xlsx]souhrnná výkonnost 4'!$A$14:$B$37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2014</c:v>
                  </c:pt>
                  <c:pt idx="4">
                    <c:v>2015</c:v>
                  </c:pt>
                  <c:pt idx="8">
                    <c:v>2016</c:v>
                  </c:pt>
                  <c:pt idx="12">
                    <c:v>2017</c:v>
                  </c:pt>
                  <c:pt idx="16">
                    <c:v>2018</c:v>
                  </c:pt>
                  <c:pt idx="20">
                    <c:v>2019</c:v>
                  </c:pt>
                </c:lvl>
              </c:multiLvlStrCache>
            </c:multiLvlStrRef>
          </c:cat>
          <c:val>
            <c:numRef>
              <c:f>'[Makroanalýza grafy_eng.xlsx]souhrnná výkonnost 4'!$H$14:$H$37</c:f>
              <c:numCache>
                <c:formatCode>#\ ##0.0</c:formatCode>
                <c:ptCount val="24"/>
                <c:pt idx="0">
                  <c:v>2.3242841787100321</c:v>
                </c:pt>
                <c:pt idx="1">
                  <c:v>2.9725274544266607</c:v>
                </c:pt>
                <c:pt idx="2">
                  <c:v>3.7839037019436175</c:v>
                </c:pt>
                <c:pt idx="3">
                  <c:v>4.5087488484021181</c:v>
                </c:pt>
                <c:pt idx="4">
                  <c:v>4.6270602982207683</c:v>
                </c:pt>
                <c:pt idx="5">
                  <c:v>5.0629663100968214</c:v>
                </c:pt>
                <c:pt idx="6">
                  <c:v>5.1769007152332058</c:v>
                </c:pt>
                <c:pt idx="7">
                  <c:v>4.3720275458483702</c:v>
                </c:pt>
                <c:pt idx="8">
                  <c:v>3.3567782921467995</c:v>
                </c:pt>
                <c:pt idx="9">
                  <c:v>2.2893161137021707</c:v>
                </c:pt>
                <c:pt idx="10">
                  <c:v>1.6037323521340028</c:v>
                </c:pt>
                <c:pt idx="11">
                  <c:v>1.922857301673119</c:v>
                </c:pt>
                <c:pt idx="12">
                  <c:v>2.8822306247702869</c:v>
                </c:pt>
                <c:pt idx="13">
                  <c:v>5.0931754403063252</c:v>
                </c:pt>
                <c:pt idx="14">
                  <c:v>5.0870941409032184</c:v>
                </c:pt>
                <c:pt idx="15">
                  <c:v>4.7458033834709425</c:v>
                </c:pt>
                <c:pt idx="16">
                  <c:v>4.1236830875357668</c:v>
                </c:pt>
                <c:pt idx="17">
                  <c:v>2.329334470402415</c:v>
                </c:pt>
                <c:pt idx="18">
                  <c:v>2.5646883885996488</c:v>
                </c:pt>
                <c:pt idx="19">
                  <c:v>2.8916497531126026</c:v>
                </c:pt>
                <c:pt idx="20">
                  <c:v>2.7525755752744914</c:v>
                </c:pt>
                <c:pt idx="21">
                  <c:v>2.6056498568663073</c:v>
                </c:pt>
                <c:pt idx="22">
                  <c:v>2.2784481158344221</c:v>
                </c:pt>
                <c:pt idx="23">
                  <c:v>1.8290584765083793</c:v>
                </c:pt>
              </c:numCache>
            </c:numRef>
          </c:val>
          <c:smooth val="0"/>
          <c:extLst>
            <c:ext xmlns:c16="http://schemas.microsoft.com/office/drawing/2014/chart" uri="{C3380CC4-5D6E-409C-BE32-E72D297353CC}">
              <c16:uniqueId val="{00000005-DADD-4122-802E-56BA8B9D0D41}"/>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6"/>
          <c:min val="-3"/>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1"/>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E03A2-3894-48F9-BFAE-79ED9167A96C}">
  <ds:schemaRefs>
    <ds:schemaRef ds:uri="http://schemas.openxmlformats.org/officeDocument/2006/bibliography"/>
  </ds:schemaRefs>
</ds:datastoreItem>
</file>

<file path=customXml/itemProps2.xml><?xml version="1.0" encoding="utf-8"?>
<ds:datastoreItem xmlns:ds="http://schemas.openxmlformats.org/officeDocument/2006/customXml" ds:itemID="{82463899-B4BE-46F8-9BC7-6A88C8DC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2</TotalTime>
  <Pages>6</Pages>
  <Words>2154</Words>
  <Characters>12713</Characters>
  <Application>Microsoft Office Word</Application>
  <DocSecurity>0</DocSecurity>
  <Lines>105</Lines>
  <Paragraphs>29</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14838</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2020-05-13T09:04:00Z</dcterms:created>
  <dcterms:modified xsi:type="dcterms:W3CDTF">2020-05-13T09:09:00Z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a92781-1fcb-4da3-a1a2-e534c28a25f3_Enabled">
    <vt:lpwstr>true</vt:lpwstr>
  </property>
  <property fmtid="{D5CDD505-2E9C-101B-9397-08002B2CF9AE}" pid="3" name="MSIP_Label_faa92781-1fcb-4da3-a1a2-e534c28a25f3_SetDate">
    <vt:lpwstr>2020-04-16T17:47:48Z</vt:lpwstr>
  </property>
  <property fmtid="{D5CDD505-2E9C-101B-9397-08002B2CF9AE}" pid="4" name="MSIP_Label_faa92781-1fcb-4da3-a1a2-e534c28a25f3_Method">
    <vt:lpwstr>Standard</vt:lpwstr>
  </property>
  <property fmtid="{D5CDD505-2E9C-101B-9397-08002B2CF9AE}" pid="5" name="MSIP_Label_faa92781-1fcb-4da3-a1a2-e534c28a25f3_Name">
    <vt:lpwstr>in UniCredit Group - no visual markings2</vt:lpwstr>
  </property>
  <property fmtid="{D5CDD505-2E9C-101B-9397-08002B2CF9AE}" pid="6" name="MSIP_Label_faa92781-1fcb-4da3-a1a2-e534c28a25f3_SiteId">
    <vt:lpwstr>2cc49ce9-66a1-41ac-a96b-bdc54247696a</vt:lpwstr>
  </property>
  <property fmtid="{D5CDD505-2E9C-101B-9397-08002B2CF9AE}" pid="7" name="MSIP_Label_faa92781-1fcb-4da3-a1a2-e534c28a25f3_ActionId">
    <vt:lpwstr>435c7101-5f7f-4d13-bd4e-00007d3a6b17</vt:lpwstr>
  </property>
  <property fmtid="{D5CDD505-2E9C-101B-9397-08002B2CF9AE}" pid="8" name="MSIP_Label_faa92781-1fcb-4da3-a1a2-e534c28a25f3_ContentBits">
    <vt:lpwstr>0</vt:lpwstr>
  </property>
</Properties>
</file>