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11A" w:rsidRPr="00A17559" w:rsidRDefault="004A5D4E" w:rsidP="000D3058">
      <w:pPr>
        <w:pStyle w:val="Nadpis11"/>
        <w:rPr>
          <w:lang w:val="en-GB"/>
        </w:rPr>
      </w:pPr>
      <w:bookmarkStart w:id="0" w:name="_Toc19179085"/>
      <w:r w:rsidRPr="00A17559">
        <w:rPr>
          <w:lang w:val="en-GB"/>
        </w:rPr>
        <w:t>6. </w:t>
      </w:r>
      <w:r w:rsidR="008179FC" w:rsidRPr="00A17559">
        <w:rPr>
          <w:lang w:val="en-GB"/>
        </w:rPr>
        <w:t>Labour Market</w:t>
      </w:r>
      <w:bookmarkEnd w:id="0"/>
    </w:p>
    <w:tbl>
      <w:tblPr>
        <w:tblW w:w="9654" w:type="dxa"/>
        <w:tblInd w:w="-30" w:type="dxa"/>
        <w:tblCellMar>
          <w:left w:w="0" w:type="dxa"/>
          <w:right w:w="0" w:type="dxa"/>
        </w:tblCellMar>
        <w:tblLook w:val="00A0" w:firstRow="1" w:lastRow="0" w:firstColumn="1" w:lastColumn="0" w:noHBand="0" w:noVBand="0"/>
      </w:tblPr>
      <w:tblGrid>
        <w:gridCol w:w="1790"/>
        <w:gridCol w:w="216"/>
        <w:gridCol w:w="7648"/>
      </w:tblGrid>
      <w:tr w:rsidR="00B43216" w:rsidRPr="00A17559" w:rsidTr="00FB4505">
        <w:trPr>
          <w:trHeight w:val="145"/>
        </w:trPr>
        <w:tc>
          <w:tcPr>
            <w:tcW w:w="1790" w:type="dxa"/>
            <w:shd w:val="clear" w:color="auto" w:fill="auto"/>
            <w:tcMar>
              <w:left w:w="0" w:type="dxa"/>
            </w:tcMar>
          </w:tcPr>
          <w:p w:rsidR="00B43216" w:rsidRPr="00A17559" w:rsidRDefault="00511F3B" w:rsidP="00B43216">
            <w:pPr>
              <w:pStyle w:val="Marginlie"/>
              <w:rPr>
                <w:lang w:val="en-GB"/>
              </w:rPr>
            </w:pPr>
            <w:r w:rsidRPr="00A17559">
              <w:rPr>
                <w:rFonts w:cs="Arial"/>
                <w:lang w:val="en-GB"/>
              </w:rPr>
              <w:t>Strain persisted on the Czech labour market. Shortage of spare capacities steered businesses more and more towards importing labour force from abroad.</w:t>
            </w:r>
          </w:p>
        </w:tc>
        <w:tc>
          <w:tcPr>
            <w:tcW w:w="216" w:type="dxa"/>
            <w:shd w:val="clear" w:color="auto" w:fill="auto"/>
            <w:tcMar>
              <w:left w:w="0" w:type="dxa"/>
            </w:tcMar>
          </w:tcPr>
          <w:p w:rsidR="00B43216" w:rsidRPr="00A17559" w:rsidRDefault="00B43216" w:rsidP="00B43216">
            <w:pPr>
              <w:pStyle w:val="Textpoznpodarou"/>
              <w:jc w:val="both"/>
              <w:rPr>
                <w:spacing w:val="-4"/>
                <w:lang w:val="en-GB"/>
              </w:rPr>
            </w:pPr>
          </w:p>
        </w:tc>
        <w:tc>
          <w:tcPr>
            <w:tcW w:w="7648" w:type="dxa"/>
            <w:shd w:val="clear" w:color="auto" w:fill="auto"/>
            <w:tcMar>
              <w:left w:w="0" w:type="dxa"/>
            </w:tcMar>
          </w:tcPr>
          <w:p w:rsidR="00B43216" w:rsidRPr="00A17559" w:rsidRDefault="00511F3B" w:rsidP="00511F3B">
            <w:pPr>
              <w:spacing w:after="220"/>
              <w:rPr>
                <w:spacing w:val="-2"/>
                <w:lang w:val="en-GB"/>
              </w:rPr>
            </w:pPr>
            <w:r w:rsidRPr="00A17559">
              <w:rPr>
                <w:lang w:val="en-GB"/>
              </w:rPr>
              <w:t xml:space="preserve">Perceptible strain reflecting the imbalance between the supply and </w:t>
            </w:r>
            <w:r w:rsidR="00166875">
              <w:rPr>
                <w:lang w:val="en-GB"/>
              </w:rPr>
              <w:t>demand prevailed on the Czech</w:t>
            </w:r>
            <w:r w:rsidRPr="00A17559">
              <w:rPr>
                <w:lang w:val="en-GB"/>
              </w:rPr>
              <w:t xml:space="preserve"> labour market also during H1 2019. Demand for employees still remained strong despite partial corrections. Their shortage still presented the main growth barrier across the majority of branches, it was the most acute in construction. Supply of new workers has been considerably limited on the domestic market for already several quarters. Businesses thus gradually redirected their recruitment activities towards foreign workers, assisted by the activities of the state, continued in the targeted projects of economic migration</w:t>
            </w:r>
            <w:r w:rsidRPr="00A17559">
              <w:rPr>
                <w:rStyle w:val="Znakapoznpodarou"/>
                <w:color w:val="0D0D0D" w:themeColor="text1" w:themeTint="F2"/>
                <w:spacing w:val="-2"/>
                <w:lang w:val="en-GB"/>
              </w:rPr>
              <w:footnoteReference w:id="1"/>
            </w:r>
            <w:r w:rsidRPr="00A17559">
              <w:rPr>
                <w:lang w:val="en-GB"/>
              </w:rPr>
              <w:t>. The ro</w:t>
            </w:r>
            <w:r w:rsidR="00166875">
              <w:rPr>
                <w:lang w:val="en-GB"/>
              </w:rPr>
              <w:t>le of foreigners on the Czech</w:t>
            </w:r>
            <w:r w:rsidRPr="00A17559">
              <w:rPr>
                <w:lang w:val="en-GB"/>
              </w:rPr>
              <w:t xml:space="preserve"> labour market thus further grew</w:t>
            </w:r>
            <w:r w:rsidRPr="00A17559">
              <w:rPr>
                <w:rStyle w:val="Znakapoznpodarou"/>
                <w:color w:val="0D0D0D" w:themeColor="text1" w:themeTint="F2"/>
                <w:spacing w:val="-2"/>
                <w:lang w:val="en-GB"/>
              </w:rPr>
              <w:footnoteReference w:id="2"/>
            </w:r>
            <w:r w:rsidRPr="00A17559">
              <w:rPr>
                <w:lang w:val="en-GB"/>
              </w:rPr>
              <w:t>. However, businesses still faced considerable obstacles to acquire new more qualified workers. Both new and current employees benefite</w:t>
            </w:r>
            <w:r w:rsidR="00166875">
              <w:rPr>
                <w:lang w:val="en-GB"/>
              </w:rPr>
              <w:t xml:space="preserve">d from this situation – </w:t>
            </w:r>
            <w:r w:rsidR="00166875">
              <w:rPr>
                <w:rStyle w:val="tlid-translation"/>
                <w:rFonts w:eastAsia="MS Gothic"/>
                <w:lang w:val="en"/>
              </w:rPr>
              <w:t>their earnings showed a significant growth</w:t>
            </w:r>
          </w:p>
        </w:tc>
      </w:tr>
      <w:tr w:rsidR="00B43216" w:rsidRPr="00A17559" w:rsidTr="00FB4505">
        <w:trPr>
          <w:trHeight w:val="145"/>
        </w:trPr>
        <w:tc>
          <w:tcPr>
            <w:tcW w:w="1790" w:type="dxa"/>
            <w:shd w:val="clear" w:color="auto" w:fill="auto"/>
            <w:tcMar>
              <w:left w:w="0" w:type="dxa"/>
            </w:tcMar>
          </w:tcPr>
          <w:p w:rsidR="00B43216" w:rsidRPr="00A17559" w:rsidRDefault="00BC10AD" w:rsidP="00E343C7">
            <w:pPr>
              <w:pStyle w:val="Marginlie"/>
              <w:rPr>
                <w:lang w:val="en-GB"/>
              </w:rPr>
            </w:pPr>
            <w:r>
              <w:rPr>
                <w:lang w:val="en-GB"/>
              </w:rPr>
              <w:t>Number of employed in</w:t>
            </w:r>
            <w:r w:rsidR="008179FC" w:rsidRPr="00A17559">
              <w:rPr>
                <w:lang w:val="en-GB"/>
              </w:rPr>
              <w:t xml:space="preserve"> the economy hiked up to the record level at </w:t>
            </w:r>
            <w:r w:rsidR="00072A4A" w:rsidRPr="00A17559">
              <w:rPr>
                <w:lang w:val="en-GB"/>
              </w:rPr>
              <w:t>t</w:t>
            </w:r>
            <w:r w:rsidR="008179FC" w:rsidRPr="00A17559">
              <w:rPr>
                <w:lang w:val="en-GB"/>
              </w:rPr>
              <w:t>h</w:t>
            </w:r>
            <w:r w:rsidR="00072A4A" w:rsidRPr="00A17559">
              <w:rPr>
                <w:lang w:val="en-GB"/>
              </w:rPr>
              <w:t>e</w:t>
            </w:r>
            <w:r w:rsidR="008179FC" w:rsidRPr="00A17559">
              <w:rPr>
                <w:lang w:val="en-GB"/>
              </w:rPr>
              <w:t xml:space="preserve"> beginning of the year, where it already remained in Q</w:t>
            </w:r>
            <w:r w:rsidR="00E343C7">
              <w:rPr>
                <w:lang w:val="en-GB"/>
              </w:rPr>
              <w:t>2.</w:t>
            </w:r>
          </w:p>
        </w:tc>
        <w:tc>
          <w:tcPr>
            <w:tcW w:w="216" w:type="dxa"/>
            <w:shd w:val="clear" w:color="auto" w:fill="auto"/>
            <w:tcMar>
              <w:left w:w="0" w:type="dxa"/>
            </w:tcMar>
          </w:tcPr>
          <w:p w:rsidR="00B43216" w:rsidRPr="00A17559" w:rsidRDefault="00B43216" w:rsidP="00B43216">
            <w:pPr>
              <w:pStyle w:val="Textpoznpodarou"/>
              <w:jc w:val="both"/>
              <w:rPr>
                <w:spacing w:val="-4"/>
                <w:lang w:val="en-GB"/>
              </w:rPr>
            </w:pPr>
          </w:p>
        </w:tc>
        <w:tc>
          <w:tcPr>
            <w:tcW w:w="7648" w:type="dxa"/>
            <w:shd w:val="clear" w:color="auto" w:fill="auto"/>
            <w:tcMar>
              <w:left w:w="0" w:type="dxa"/>
            </w:tcMar>
          </w:tcPr>
          <w:p w:rsidR="00B43216" w:rsidRPr="00A17559" w:rsidRDefault="008179FC" w:rsidP="00422D1A">
            <w:pPr>
              <w:spacing w:after="200"/>
              <w:rPr>
                <w:spacing w:val="-2"/>
                <w:lang w:val="en-GB"/>
              </w:rPr>
            </w:pPr>
            <w:r w:rsidRPr="00A17559">
              <w:rPr>
                <w:spacing w:val="-3"/>
                <w:lang w:val="en-GB"/>
              </w:rPr>
              <w:t>Total employment</w:t>
            </w:r>
            <w:r w:rsidR="00B43216" w:rsidRPr="00A17559">
              <w:rPr>
                <w:rStyle w:val="Znakapoznpodarou"/>
                <w:color w:val="0D0D0D" w:themeColor="text1" w:themeTint="F2"/>
                <w:spacing w:val="-3"/>
                <w:lang w:val="en-GB"/>
              </w:rPr>
              <w:footnoteReference w:id="3"/>
            </w:r>
            <w:r w:rsidR="00B43216" w:rsidRPr="00A17559">
              <w:rPr>
                <w:spacing w:val="-3"/>
                <w:lang w:val="en-GB"/>
              </w:rPr>
              <w:t xml:space="preserve"> </w:t>
            </w:r>
            <w:r w:rsidR="00281155" w:rsidRPr="00A17559">
              <w:rPr>
                <w:spacing w:val="-3"/>
                <w:lang w:val="en-GB"/>
              </w:rPr>
              <w:t>in the economy further boosted this year</w:t>
            </w:r>
            <w:r w:rsidR="00B43216" w:rsidRPr="00A17559">
              <w:rPr>
                <w:spacing w:val="-3"/>
                <w:lang w:val="en-GB"/>
              </w:rPr>
              <w:t xml:space="preserve">, </w:t>
            </w:r>
            <w:r w:rsidR="00360811" w:rsidRPr="00A17559">
              <w:rPr>
                <w:spacing w:val="-3"/>
                <w:lang w:val="en-GB"/>
              </w:rPr>
              <w:t>rate of growth howev</w:t>
            </w:r>
            <w:r w:rsidR="00281155" w:rsidRPr="00A17559">
              <w:rPr>
                <w:spacing w:val="-3"/>
                <w:lang w:val="en-GB"/>
              </w:rPr>
              <w:t>er</w:t>
            </w:r>
            <w:r w:rsidR="00360811" w:rsidRPr="00A17559">
              <w:rPr>
                <w:spacing w:val="-3"/>
                <w:lang w:val="en-GB"/>
              </w:rPr>
              <w:t xml:space="preserve"> </w:t>
            </w:r>
            <w:r w:rsidR="00281155" w:rsidRPr="00A17559">
              <w:rPr>
                <w:spacing w:val="-3"/>
                <w:lang w:val="en-GB"/>
              </w:rPr>
              <w:t>lowered.</w:t>
            </w:r>
            <w:r w:rsidR="00360811" w:rsidRPr="00A17559">
              <w:rPr>
                <w:spacing w:val="-3"/>
                <w:lang w:val="en-GB"/>
              </w:rPr>
              <w:t xml:space="preserve"> While the number of employed increased by 1.4% year-on-year in Q</w:t>
            </w:r>
            <w:r w:rsidR="00B43216" w:rsidRPr="00A17559">
              <w:rPr>
                <w:spacing w:val="-3"/>
                <w:lang w:val="en-GB"/>
              </w:rPr>
              <w:t>1</w:t>
            </w:r>
            <w:r w:rsidR="00360811" w:rsidRPr="00A17559">
              <w:rPr>
                <w:spacing w:val="-3"/>
                <w:lang w:val="en-GB"/>
              </w:rPr>
              <w:t xml:space="preserve"> (</w:t>
            </w:r>
            <w:r w:rsidRPr="00A17559">
              <w:rPr>
                <w:spacing w:val="-3"/>
                <w:lang w:val="en-GB"/>
              </w:rPr>
              <w:t>similarly to the whole last year</w:t>
            </w:r>
            <w:r w:rsidR="00B43216" w:rsidRPr="00A17559">
              <w:rPr>
                <w:spacing w:val="-3"/>
                <w:lang w:val="en-GB"/>
              </w:rPr>
              <w:t>),</w:t>
            </w:r>
            <w:r w:rsidR="00360811" w:rsidRPr="00A17559">
              <w:rPr>
                <w:spacing w:val="-3"/>
                <w:lang w:val="en-GB"/>
              </w:rPr>
              <w:t xml:space="preserve"> it was already only 0.8% in the subsequent quarter </w:t>
            </w:r>
            <w:r w:rsidR="00B43216" w:rsidRPr="00A17559">
              <w:rPr>
                <w:spacing w:val="-3"/>
                <w:lang w:val="en-GB"/>
              </w:rPr>
              <w:t>(</w:t>
            </w:r>
            <w:r w:rsidR="00360811" w:rsidRPr="00A17559">
              <w:rPr>
                <w:spacing w:val="-3"/>
                <w:lang w:val="en-GB"/>
              </w:rPr>
              <w:t>the least since Q</w:t>
            </w:r>
            <w:r w:rsidR="00B43216" w:rsidRPr="00A17559">
              <w:rPr>
                <w:spacing w:val="-3"/>
                <w:lang w:val="en-GB"/>
              </w:rPr>
              <w:t>3</w:t>
            </w:r>
            <w:r w:rsidR="00360811" w:rsidRPr="00A17559">
              <w:rPr>
                <w:spacing w:val="-3"/>
                <w:lang w:val="en-GB"/>
              </w:rPr>
              <w:t xml:space="preserve"> </w:t>
            </w:r>
            <w:r w:rsidR="00B43216" w:rsidRPr="00A17559">
              <w:rPr>
                <w:spacing w:val="-3"/>
                <w:lang w:val="en-GB"/>
              </w:rPr>
              <w:t xml:space="preserve">2014). </w:t>
            </w:r>
            <w:r w:rsidR="00281155" w:rsidRPr="00A17559">
              <w:rPr>
                <w:spacing w:val="-3"/>
                <w:lang w:val="en-GB"/>
              </w:rPr>
              <w:t>Number of workers again set a new record in the era of independent CR in Q1</w:t>
            </w:r>
            <w:r w:rsidR="00251771">
              <w:rPr>
                <w:spacing w:val="-3"/>
                <w:lang w:val="en-GB"/>
              </w:rPr>
              <w:t xml:space="preserve"> 2019</w:t>
            </w:r>
            <w:r w:rsidR="00281155" w:rsidRPr="00A17559">
              <w:rPr>
                <w:spacing w:val="-3"/>
                <w:lang w:val="en-GB"/>
              </w:rPr>
              <w:t xml:space="preserve"> </w:t>
            </w:r>
            <w:r w:rsidR="00B43216" w:rsidRPr="00A17559">
              <w:rPr>
                <w:spacing w:val="-3"/>
                <w:lang w:val="en-GB"/>
              </w:rPr>
              <w:t>(5</w:t>
            </w:r>
            <w:r w:rsidR="00281155" w:rsidRPr="00A17559">
              <w:rPr>
                <w:spacing w:val="-3"/>
                <w:lang w:val="en-GB"/>
              </w:rPr>
              <w:t>.</w:t>
            </w:r>
            <w:r w:rsidR="00B43216" w:rsidRPr="00A17559">
              <w:rPr>
                <w:spacing w:val="-3"/>
                <w:lang w:val="en-GB"/>
              </w:rPr>
              <w:t xml:space="preserve">48 mil.), </w:t>
            </w:r>
            <w:r w:rsidR="00281155" w:rsidRPr="00A17559">
              <w:rPr>
                <w:spacing w:val="-3"/>
                <w:lang w:val="en-GB"/>
              </w:rPr>
              <w:t xml:space="preserve">this level however remained stable in the next time period. Slowdown was aligned with the results of the business cycle surveys, which signalled more prudent attitude of businesses to hiring new workers already during year </w:t>
            </w:r>
            <w:r w:rsidR="00B43216" w:rsidRPr="00A17559">
              <w:rPr>
                <w:spacing w:val="-3"/>
                <w:lang w:val="en-GB"/>
              </w:rPr>
              <w:t>2018</w:t>
            </w:r>
            <w:r w:rsidR="00281155" w:rsidRPr="00A17559">
              <w:rPr>
                <w:spacing w:val="-3"/>
                <w:lang w:val="en-GB"/>
              </w:rPr>
              <w:t xml:space="preserve"> </w:t>
            </w:r>
            <w:r w:rsidR="00B43216" w:rsidRPr="00A17559">
              <w:rPr>
                <w:spacing w:val="-3"/>
                <w:lang w:val="en-GB"/>
              </w:rPr>
              <w:t>(</w:t>
            </w:r>
            <w:r w:rsidR="00281155" w:rsidRPr="00A17559">
              <w:rPr>
                <w:spacing w:val="-3"/>
                <w:lang w:val="en-GB"/>
              </w:rPr>
              <w:t>mainly in industry, but also in some branches of market services</w:t>
            </w:r>
            <w:r w:rsidR="00B43216" w:rsidRPr="00A17559">
              <w:rPr>
                <w:spacing w:val="-3"/>
                <w:lang w:val="en-GB"/>
              </w:rPr>
              <w:t>)</w:t>
            </w:r>
            <w:r w:rsidR="00B43216" w:rsidRPr="00A17559">
              <w:rPr>
                <w:rStyle w:val="Znakapoznpodarou"/>
                <w:color w:val="0D0D0D" w:themeColor="text1" w:themeTint="F2"/>
                <w:spacing w:val="-3"/>
                <w:lang w:val="en-GB"/>
              </w:rPr>
              <w:footnoteReference w:id="4"/>
            </w:r>
            <w:r w:rsidR="00B43216" w:rsidRPr="00A17559">
              <w:rPr>
                <w:spacing w:val="-3"/>
                <w:lang w:val="en-GB"/>
              </w:rPr>
              <w:t xml:space="preserve">. </w:t>
            </w:r>
          </w:p>
        </w:tc>
      </w:tr>
      <w:tr w:rsidR="00E343C7" w:rsidRPr="00A17559" w:rsidTr="00FB4505">
        <w:trPr>
          <w:trHeight w:val="145"/>
        </w:trPr>
        <w:tc>
          <w:tcPr>
            <w:tcW w:w="1790" w:type="dxa"/>
            <w:shd w:val="clear" w:color="auto" w:fill="auto"/>
            <w:tcMar>
              <w:left w:w="0" w:type="dxa"/>
            </w:tcMar>
          </w:tcPr>
          <w:p w:rsidR="00E343C7" w:rsidRPr="00A17559" w:rsidRDefault="00E343C7" w:rsidP="00B43216">
            <w:pPr>
              <w:pStyle w:val="Marginlie"/>
              <w:rPr>
                <w:lang w:val="en-GB"/>
              </w:rPr>
            </w:pPr>
            <w:r w:rsidRPr="00A17559">
              <w:rPr>
                <w:lang w:val="en-GB"/>
              </w:rPr>
              <w:t>Business cycle survey implied continuing positive expectations of employment especially in construction and trade.</w:t>
            </w:r>
          </w:p>
        </w:tc>
        <w:tc>
          <w:tcPr>
            <w:tcW w:w="216" w:type="dxa"/>
            <w:shd w:val="clear" w:color="auto" w:fill="auto"/>
            <w:tcMar>
              <w:left w:w="0" w:type="dxa"/>
            </w:tcMar>
          </w:tcPr>
          <w:p w:rsidR="00E343C7" w:rsidRPr="00A17559" w:rsidRDefault="00E343C7" w:rsidP="00B43216">
            <w:pPr>
              <w:pStyle w:val="Textpoznpodarou"/>
              <w:jc w:val="both"/>
              <w:rPr>
                <w:spacing w:val="-4"/>
                <w:lang w:val="en-GB"/>
              </w:rPr>
            </w:pPr>
          </w:p>
        </w:tc>
        <w:tc>
          <w:tcPr>
            <w:tcW w:w="7648" w:type="dxa"/>
            <w:shd w:val="clear" w:color="auto" w:fill="auto"/>
            <w:tcMar>
              <w:left w:w="0" w:type="dxa"/>
            </w:tcMar>
          </w:tcPr>
          <w:p w:rsidR="00E343C7" w:rsidRPr="00A17559" w:rsidRDefault="00E343C7" w:rsidP="00422D1A">
            <w:pPr>
              <w:spacing w:after="200"/>
              <w:rPr>
                <w:spacing w:val="-3"/>
                <w:lang w:val="en-GB"/>
              </w:rPr>
            </w:pPr>
            <w:r w:rsidRPr="00A17559">
              <w:rPr>
                <w:spacing w:val="-3"/>
                <w:lang w:val="en-GB"/>
              </w:rPr>
              <w:t>This tendency reflected both the growing uncertainties of significant domestic exporters linked to the current situation in the euro area as well as longstanding pressure on raising the labour productivity driven by growing wage costs as well as falling profitability of businesses. More cautions ou</w:t>
            </w:r>
            <w:r w:rsidR="00A6764C">
              <w:rPr>
                <w:spacing w:val="-3"/>
                <w:lang w:val="en-GB"/>
              </w:rPr>
              <w:t>tlooks of businesses in terms</w:t>
            </w:r>
            <w:r w:rsidRPr="00A17559">
              <w:rPr>
                <w:spacing w:val="-3"/>
                <w:lang w:val="en-GB"/>
              </w:rPr>
              <w:t xml:space="preserve"> of employment were apparent also at the beginning of this year, Q2 witnessed a stabili</w:t>
            </w:r>
            <w:r w:rsidR="00A6764C">
              <w:rPr>
                <w:spacing w:val="-3"/>
                <w:lang w:val="en-GB"/>
              </w:rPr>
              <w:t>sation. Nevertheless, the short-</w:t>
            </w:r>
            <w:r w:rsidRPr="00A17559">
              <w:rPr>
                <w:spacing w:val="-3"/>
                <w:lang w:val="en-GB"/>
              </w:rPr>
              <w:t>term anticipations of employment remained patently positive especially in construction and trade</w:t>
            </w:r>
            <w:r w:rsidRPr="00A17559">
              <w:rPr>
                <w:rStyle w:val="Znakapoznpodarou"/>
                <w:color w:val="0D0D0D" w:themeColor="text1" w:themeTint="F2"/>
                <w:spacing w:val="-4"/>
                <w:lang w:val="en-GB"/>
              </w:rPr>
              <w:footnoteReference w:id="5"/>
            </w:r>
            <w:r w:rsidRPr="00A17559">
              <w:rPr>
                <w:spacing w:val="-4"/>
                <w:lang w:val="en-GB"/>
              </w:rPr>
              <w:t>.</w:t>
            </w:r>
          </w:p>
        </w:tc>
      </w:tr>
      <w:tr w:rsidR="00601F7B" w:rsidRPr="00A17559" w:rsidTr="00FB4505">
        <w:trPr>
          <w:trHeight w:val="145"/>
        </w:trPr>
        <w:tc>
          <w:tcPr>
            <w:tcW w:w="1790" w:type="dxa"/>
            <w:shd w:val="clear" w:color="auto" w:fill="auto"/>
            <w:tcMar>
              <w:left w:w="0" w:type="dxa"/>
            </w:tcMar>
          </w:tcPr>
          <w:p w:rsidR="00601F7B" w:rsidRPr="00A17559" w:rsidRDefault="00601F7B" w:rsidP="00601F7B">
            <w:pPr>
              <w:pStyle w:val="Marginlie"/>
              <w:rPr>
                <w:lang w:val="en-GB"/>
              </w:rPr>
            </w:pPr>
            <w:r w:rsidRPr="00A17559">
              <w:rPr>
                <w:lang w:val="en-GB"/>
              </w:rPr>
              <w:t xml:space="preserve">Employees caused exclusively the higher number of workers. </w:t>
            </w:r>
          </w:p>
          <w:p w:rsidR="00601F7B" w:rsidRPr="00A17559" w:rsidRDefault="00601F7B" w:rsidP="00B43216">
            <w:pPr>
              <w:pStyle w:val="Marginlie"/>
              <w:rPr>
                <w:lang w:val="en-GB"/>
              </w:rPr>
            </w:pPr>
          </w:p>
        </w:tc>
        <w:tc>
          <w:tcPr>
            <w:tcW w:w="216" w:type="dxa"/>
            <w:shd w:val="clear" w:color="auto" w:fill="auto"/>
            <w:tcMar>
              <w:left w:w="0" w:type="dxa"/>
            </w:tcMar>
          </w:tcPr>
          <w:p w:rsidR="00601F7B" w:rsidRPr="00A17559" w:rsidRDefault="00601F7B" w:rsidP="00B43216">
            <w:pPr>
              <w:pStyle w:val="Textpoznpodarou"/>
              <w:jc w:val="both"/>
              <w:rPr>
                <w:spacing w:val="-4"/>
                <w:lang w:val="en-GB"/>
              </w:rPr>
            </w:pPr>
          </w:p>
        </w:tc>
        <w:tc>
          <w:tcPr>
            <w:tcW w:w="7648" w:type="dxa"/>
            <w:shd w:val="clear" w:color="auto" w:fill="auto"/>
            <w:tcMar>
              <w:left w:w="0" w:type="dxa"/>
            </w:tcMar>
          </w:tcPr>
          <w:p w:rsidR="00601F7B" w:rsidRPr="00A17559" w:rsidRDefault="00601F7B" w:rsidP="00422D1A">
            <w:pPr>
              <w:spacing w:after="200"/>
              <w:rPr>
                <w:spacing w:val="-2"/>
                <w:lang w:val="en-GB"/>
              </w:rPr>
            </w:pPr>
            <w:r w:rsidRPr="00A17559">
              <w:rPr>
                <w:spacing w:val="-2"/>
                <w:lang w:val="en-GB"/>
              </w:rPr>
              <w:t>Year-on-year expansion of total employment (+60.6 thousand) was the result exclusively of higher number of persons with the employee status in H1, since the number of self-employed stagnated (among main branches it more substantially increased only in information and communication</w:t>
            </w:r>
            <w:r w:rsidR="00422D1A">
              <w:rPr>
                <w:spacing w:val="-2"/>
                <w:lang w:val="en-GB"/>
              </w:rPr>
              <w:t xml:space="preserve"> </w:t>
            </w:r>
            <w:r w:rsidR="00422D1A" w:rsidRPr="00A17559">
              <w:rPr>
                <w:spacing w:val="-2"/>
                <w:lang w:val="en-GB"/>
              </w:rPr>
              <w:t>activities</w:t>
            </w:r>
            <w:r w:rsidR="00422D1A">
              <w:rPr>
                <w:spacing w:val="-2"/>
                <w:lang w:val="en-GB"/>
              </w:rPr>
              <w:t xml:space="preserve">, finance and insurance </w:t>
            </w:r>
            <w:r w:rsidR="00422D1A" w:rsidRPr="00A17559">
              <w:rPr>
                <w:spacing w:val="-2"/>
                <w:lang w:val="en-GB"/>
              </w:rPr>
              <w:t>activities</w:t>
            </w:r>
            <w:r w:rsidRPr="00A17559">
              <w:rPr>
                <w:spacing w:val="-2"/>
                <w:lang w:val="en-GB"/>
              </w:rPr>
              <w:t xml:space="preserve">, professional, scientific, technical and administrative activities and also in manufacturing). Core of the total employment growth was further shifting into the tertiary </w:t>
            </w:r>
            <w:r w:rsidRPr="00A17559">
              <w:rPr>
                <w:spacing w:val="-2"/>
                <w:lang w:val="en-GB"/>
              </w:rPr>
              <w:lastRenderedPageBreak/>
              <w:t>sector, which profited from the growing domestic demand as well as expanding tourist industry. Services sector contributed to the higher number of workers in the economy nearly from three quarters</w:t>
            </w:r>
            <w:r>
              <w:rPr>
                <w:spacing w:val="-2"/>
                <w:lang w:val="en-GB"/>
              </w:rPr>
              <w:t>.</w:t>
            </w:r>
          </w:p>
        </w:tc>
      </w:tr>
      <w:tr w:rsidR="00B43216" w:rsidRPr="00A17559" w:rsidTr="00FB4505">
        <w:trPr>
          <w:trHeight w:val="145"/>
        </w:trPr>
        <w:tc>
          <w:tcPr>
            <w:tcW w:w="1790" w:type="dxa"/>
            <w:shd w:val="clear" w:color="auto" w:fill="auto"/>
            <w:tcMar>
              <w:left w:w="0" w:type="dxa"/>
            </w:tcMar>
          </w:tcPr>
          <w:p w:rsidR="00B43216" w:rsidRPr="00A17559" w:rsidRDefault="00601F7B" w:rsidP="00B43216">
            <w:pPr>
              <w:pStyle w:val="Marginlie"/>
              <w:rPr>
                <w:lang w:val="en-GB"/>
              </w:rPr>
            </w:pPr>
            <w:r>
              <w:rPr>
                <w:lang w:val="en-GB"/>
              </w:rPr>
              <w:lastRenderedPageBreak/>
              <w:t>D</w:t>
            </w:r>
            <w:r w:rsidR="00B43216" w:rsidRPr="00A17559">
              <w:rPr>
                <w:lang w:val="en-GB"/>
              </w:rPr>
              <w:t>yn</w:t>
            </w:r>
            <w:r w:rsidR="00B53538" w:rsidRPr="00A17559">
              <w:rPr>
                <w:lang w:val="en-GB"/>
              </w:rPr>
              <w:t xml:space="preserve">amical growth of branch </w:t>
            </w:r>
            <w:r w:rsidR="00360811" w:rsidRPr="00A17559">
              <w:rPr>
                <w:lang w:val="en-GB"/>
              </w:rPr>
              <w:t>information</w:t>
            </w:r>
            <w:r w:rsidR="00B53538" w:rsidRPr="00A17559">
              <w:rPr>
                <w:lang w:val="en-GB"/>
              </w:rPr>
              <w:t xml:space="preserve"> and communication lasted, bra</w:t>
            </w:r>
            <w:r w:rsidR="002F0840" w:rsidRPr="00A17559">
              <w:rPr>
                <w:lang w:val="en-GB"/>
              </w:rPr>
              <w:t>n</w:t>
            </w:r>
            <w:r w:rsidR="00B53538" w:rsidRPr="00A17559">
              <w:rPr>
                <w:lang w:val="en-GB"/>
              </w:rPr>
              <w:t xml:space="preserve">ches with the predominant public </w:t>
            </w:r>
            <w:r w:rsidR="000162C4" w:rsidRPr="00A17559">
              <w:rPr>
                <w:lang w:val="en-GB"/>
              </w:rPr>
              <w:t>sector</w:t>
            </w:r>
            <w:r w:rsidR="00B53538" w:rsidRPr="00A17559">
              <w:rPr>
                <w:lang w:val="en-GB"/>
              </w:rPr>
              <w:t xml:space="preserve"> also created new job positions. </w:t>
            </w:r>
          </w:p>
          <w:p w:rsidR="00B43216" w:rsidRPr="00A17559" w:rsidRDefault="00B43216" w:rsidP="007302FF">
            <w:pPr>
              <w:pStyle w:val="Marginlie"/>
              <w:rPr>
                <w:lang w:val="en-GB"/>
              </w:rPr>
            </w:pPr>
          </w:p>
        </w:tc>
        <w:tc>
          <w:tcPr>
            <w:tcW w:w="216" w:type="dxa"/>
            <w:shd w:val="clear" w:color="auto" w:fill="auto"/>
            <w:tcMar>
              <w:left w:w="0" w:type="dxa"/>
            </w:tcMar>
          </w:tcPr>
          <w:p w:rsidR="00B43216" w:rsidRPr="00A17559" w:rsidRDefault="00B43216" w:rsidP="00B43216">
            <w:pPr>
              <w:pStyle w:val="Textpoznpodarou"/>
              <w:jc w:val="both"/>
              <w:rPr>
                <w:spacing w:val="-4"/>
                <w:lang w:val="en-GB"/>
              </w:rPr>
            </w:pPr>
          </w:p>
        </w:tc>
        <w:tc>
          <w:tcPr>
            <w:tcW w:w="7648" w:type="dxa"/>
            <w:shd w:val="clear" w:color="auto" w:fill="auto"/>
            <w:tcMar>
              <w:left w:w="0" w:type="dxa"/>
            </w:tcMar>
          </w:tcPr>
          <w:p w:rsidR="00601F7B" w:rsidRPr="00A17559" w:rsidRDefault="009773D6" w:rsidP="00422D1A">
            <w:pPr>
              <w:spacing w:after="200"/>
              <w:rPr>
                <w:spacing w:val="-2"/>
                <w:lang w:val="en-GB"/>
              </w:rPr>
            </w:pPr>
            <w:r w:rsidRPr="00A17559">
              <w:rPr>
                <w:spacing w:val="-2"/>
                <w:lang w:val="en-GB"/>
              </w:rPr>
              <w:t xml:space="preserve">Dynamic development of information and communication continued </w:t>
            </w:r>
            <w:r w:rsidR="00B43216" w:rsidRPr="00A17559">
              <w:rPr>
                <w:spacing w:val="-2"/>
                <w:lang w:val="en-GB"/>
              </w:rPr>
              <w:t>(+4</w:t>
            </w:r>
            <w:r w:rsidRPr="00A17559">
              <w:rPr>
                <w:spacing w:val="-2"/>
                <w:lang w:val="en-GB"/>
              </w:rPr>
              <w:t>.</w:t>
            </w:r>
            <w:r w:rsidR="00B43216" w:rsidRPr="00A17559">
              <w:rPr>
                <w:spacing w:val="-2"/>
                <w:lang w:val="en-GB"/>
              </w:rPr>
              <w:t>2%</w:t>
            </w:r>
            <w:r w:rsidRPr="00A17559">
              <w:rPr>
                <w:spacing w:val="-2"/>
                <w:lang w:val="en-GB"/>
              </w:rPr>
              <w:t xml:space="preserve"> year-on-year</w:t>
            </w:r>
            <w:r w:rsidR="00B43216" w:rsidRPr="00A17559">
              <w:rPr>
                <w:spacing w:val="-2"/>
                <w:lang w:val="en-GB"/>
              </w:rPr>
              <w:t xml:space="preserve">). </w:t>
            </w:r>
            <w:r w:rsidRPr="00A17559">
              <w:rPr>
                <w:spacing w:val="-2"/>
                <w:lang w:val="en-GB"/>
              </w:rPr>
              <w:t xml:space="preserve">The activity was bolstered by nearly </w:t>
            </w:r>
            <w:r w:rsidR="00B43216" w:rsidRPr="00A17559">
              <w:rPr>
                <w:spacing w:val="-2"/>
                <w:lang w:val="en-GB"/>
              </w:rPr>
              <w:t>24 t</w:t>
            </w:r>
            <w:r w:rsidRPr="00A17559">
              <w:rPr>
                <w:spacing w:val="-2"/>
                <w:lang w:val="en-GB"/>
              </w:rPr>
              <w:t>housand of job positions a</w:t>
            </w:r>
            <w:r w:rsidR="001143E0" w:rsidRPr="00A17559">
              <w:rPr>
                <w:spacing w:val="-2"/>
                <w:lang w:val="en-GB"/>
              </w:rPr>
              <w:t xml:space="preserve">nd total employment </w:t>
            </w:r>
            <w:r w:rsidR="00212F5D" w:rsidRPr="00A17559">
              <w:rPr>
                <w:spacing w:val="-2"/>
                <w:lang w:val="en-GB"/>
              </w:rPr>
              <w:t>expanded</w:t>
            </w:r>
            <w:r w:rsidR="001143E0" w:rsidRPr="00A17559">
              <w:rPr>
                <w:spacing w:val="-2"/>
                <w:lang w:val="en-GB"/>
              </w:rPr>
              <w:t xml:space="preserve"> by one sixth</w:t>
            </w:r>
            <w:r w:rsidRPr="00A17559">
              <w:rPr>
                <w:spacing w:val="-2"/>
                <w:lang w:val="en-GB"/>
              </w:rPr>
              <w:t xml:space="preserve"> in the last five years</w:t>
            </w:r>
            <w:r w:rsidR="001143E0" w:rsidRPr="00A17559">
              <w:rPr>
                <w:spacing w:val="-2"/>
                <w:lang w:val="en-GB"/>
              </w:rPr>
              <w:t xml:space="preserve">. </w:t>
            </w:r>
            <w:r w:rsidR="00212F5D" w:rsidRPr="00A17559">
              <w:rPr>
                <w:spacing w:val="-2"/>
                <w:lang w:val="en-GB"/>
              </w:rPr>
              <w:t xml:space="preserve">Branches with the predominant public sector also fared well </w:t>
            </w:r>
            <w:r w:rsidR="00B43216" w:rsidRPr="00A17559">
              <w:rPr>
                <w:spacing w:val="-2"/>
                <w:lang w:val="en-GB"/>
              </w:rPr>
              <w:t>(+2</w:t>
            </w:r>
            <w:r w:rsidR="00212F5D" w:rsidRPr="00A17559">
              <w:rPr>
                <w:spacing w:val="-2"/>
                <w:lang w:val="en-GB"/>
              </w:rPr>
              <w:t>.</w:t>
            </w:r>
            <w:r w:rsidR="00B43216" w:rsidRPr="00A17559">
              <w:rPr>
                <w:spacing w:val="-2"/>
                <w:lang w:val="en-GB"/>
              </w:rPr>
              <w:t xml:space="preserve">3%), </w:t>
            </w:r>
            <w:r w:rsidR="001143E0" w:rsidRPr="00A17559">
              <w:rPr>
                <w:spacing w:val="-2"/>
                <w:lang w:val="en-GB"/>
              </w:rPr>
              <w:t xml:space="preserve">mostly due to education as well as </w:t>
            </w:r>
            <w:r w:rsidR="00212F5D" w:rsidRPr="00A17559">
              <w:rPr>
                <w:spacing w:val="-2"/>
                <w:lang w:val="en-GB"/>
              </w:rPr>
              <w:t>health</w:t>
            </w:r>
            <w:r w:rsidR="001143E0" w:rsidRPr="00A17559">
              <w:rPr>
                <w:spacing w:val="-2"/>
                <w:lang w:val="en-GB"/>
              </w:rPr>
              <w:t xml:space="preserve"> and social care. </w:t>
            </w:r>
            <w:r w:rsidR="00E84A1C" w:rsidRPr="00A17559">
              <w:rPr>
                <w:spacing w:val="-2"/>
                <w:lang w:val="en-GB"/>
              </w:rPr>
              <w:t xml:space="preserve">Weight significant group trade, transportation, accommodation and food service </w:t>
            </w:r>
            <w:r w:rsidR="00B43216" w:rsidRPr="00A17559">
              <w:rPr>
                <w:spacing w:val="-2"/>
                <w:lang w:val="en-GB"/>
              </w:rPr>
              <w:t>(+1</w:t>
            </w:r>
            <w:r w:rsidR="00E84A1C" w:rsidRPr="00A17559">
              <w:rPr>
                <w:spacing w:val="-2"/>
                <w:lang w:val="en-GB"/>
              </w:rPr>
              <w:t>.</w:t>
            </w:r>
            <w:r w:rsidR="00B43216" w:rsidRPr="00A17559">
              <w:rPr>
                <w:spacing w:val="-2"/>
                <w:lang w:val="en-GB"/>
              </w:rPr>
              <w:t>2%)</w:t>
            </w:r>
            <w:r w:rsidR="00E84A1C" w:rsidRPr="00A17559">
              <w:rPr>
                <w:spacing w:val="-2"/>
                <w:lang w:val="en-GB"/>
              </w:rPr>
              <w:t xml:space="preserve"> showed a weaker dynamics in </w:t>
            </w:r>
            <w:r w:rsidR="008C3D6B">
              <w:rPr>
                <w:spacing w:val="-2"/>
                <w:lang w:val="en-GB"/>
              </w:rPr>
              <w:t>comparison to the last year, par</w:t>
            </w:r>
            <w:r w:rsidR="00E84A1C" w:rsidRPr="00A17559">
              <w:rPr>
                <w:spacing w:val="-2"/>
                <w:lang w:val="en-GB"/>
              </w:rPr>
              <w:t xml:space="preserve">tly due to the mild lowering of number of entrepreneurs </w:t>
            </w:r>
            <w:r w:rsidR="00B43216" w:rsidRPr="00A17559">
              <w:rPr>
                <w:spacing w:val="-2"/>
                <w:lang w:val="en-GB"/>
              </w:rPr>
              <w:t>(</w:t>
            </w:r>
            <w:r w:rsidR="00E84A1C" w:rsidRPr="00A17559">
              <w:rPr>
                <w:spacing w:val="-2"/>
                <w:lang w:val="en-GB"/>
              </w:rPr>
              <w:t>without employees</w:t>
            </w:r>
            <w:r w:rsidR="00B43216" w:rsidRPr="00A17559">
              <w:rPr>
                <w:spacing w:val="-2"/>
                <w:lang w:val="en-GB"/>
              </w:rPr>
              <w:t xml:space="preserve">). </w:t>
            </w:r>
          </w:p>
        </w:tc>
      </w:tr>
      <w:tr w:rsidR="007302FF" w:rsidRPr="00A17559" w:rsidTr="00FB4505">
        <w:trPr>
          <w:trHeight w:val="145"/>
        </w:trPr>
        <w:tc>
          <w:tcPr>
            <w:tcW w:w="1790" w:type="dxa"/>
            <w:shd w:val="clear" w:color="auto" w:fill="auto"/>
            <w:tcMar>
              <w:left w:w="0" w:type="dxa"/>
            </w:tcMar>
          </w:tcPr>
          <w:p w:rsidR="007302FF" w:rsidRPr="00A17559" w:rsidRDefault="007302FF" w:rsidP="007302FF">
            <w:pPr>
              <w:pStyle w:val="Marginlie"/>
              <w:rPr>
                <w:lang w:val="en-GB"/>
              </w:rPr>
            </w:pPr>
            <w:r w:rsidRPr="00A17559">
              <w:rPr>
                <w:lang w:val="en-GB"/>
              </w:rPr>
              <w:t xml:space="preserve">Rate of growth of employment weakened in industry, in contrast further accelerated in construction. </w:t>
            </w:r>
          </w:p>
          <w:p w:rsidR="007302FF" w:rsidRDefault="007302FF" w:rsidP="00B43216">
            <w:pPr>
              <w:pStyle w:val="Marginlie"/>
              <w:rPr>
                <w:lang w:val="en-GB"/>
              </w:rPr>
            </w:pPr>
          </w:p>
        </w:tc>
        <w:tc>
          <w:tcPr>
            <w:tcW w:w="216" w:type="dxa"/>
            <w:shd w:val="clear" w:color="auto" w:fill="auto"/>
            <w:tcMar>
              <w:left w:w="0" w:type="dxa"/>
            </w:tcMar>
          </w:tcPr>
          <w:p w:rsidR="007302FF" w:rsidRPr="00A17559" w:rsidRDefault="007302FF" w:rsidP="00B43216">
            <w:pPr>
              <w:pStyle w:val="Textpoznpodarou"/>
              <w:jc w:val="both"/>
              <w:rPr>
                <w:spacing w:val="-4"/>
                <w:lang w:val="en-GB"/>
              </w:rPr>
            </w:pPr>
          </w:p>
        </w:tc>
        <w:tc>
          <w:tcPr>
            <w:tcW w:w="7648" w:type="dxa"/>
            <w:shd w:val="clear" w:color="auto" w:fill="auto"/>
            <w:tcMar>
              <w:left w:w="0" w:type="dxa"/>
            </w:tcMar>
          </w:tcPr>
          <w:p w:rsidR="007302FF" w:rsidRPr="00A17559" w:rsidRDefault="007302FF" w:rsidP="007302FF">
            <w:pPr>
              <w:spacing w:after="400"/>
              <w:rPr>
                <w:spacing w:val="-2"/>
                <w:lang w:val="en-GB"/>
              </w:rPr>
            </w:pPr>
            <w:r w:rsidRPr="00A17559">
              <w:rPr>
                <w:spacing w:val="-2"/>
                <w:lang w:val="en-GB"/>
              </w:rPr>
              <w:t>Manufacturing enlarged by 0.8% of workers, this branch records below average pace already for two and a half years</w:t>
            </w:r>
            <w:r w:rsidRPr="00A17559">
              <w:rPr>
                <w:rStyle w:val="Znakapoznpodarou"/>
                <w:color w:val="0D0D0D" w:themeColor="text1" w:themeTint="F2"/>
                <w:spacing w:val="-2"/>
                <w:lang w:val="en-GB"/>
              </w:rPr>
              <w:footnoteReference w:id="6"/>
            </w:r>
            <w:r w:rsidRPr="00A17559">
              <w:rPr>
                <w:spacing w:val="-2"/>
                <w:lang w:val="en-GB"/>
              </w:rPr>
              <w:t xml:space="preserve">. Construction was hiring workers already second year in a row and even </w:t>
            </w:r>
            <w:r w:rsidR="000E4DDC">
              <w:rPr>
                <w:spacing w:val="-2"/>
                <w:lang w:val="en-GB"/>
              </w:rPr>
              <w:t>though the employment growth (+</w:t>
            </w:r>
            <w:r w:rsidRPr="00A17559">
              <w:rPr>
                <w:spacing w:val="-2"/>
                <w:lang w:val="en-GB"/>
              </w:rPr>
              <w:t xml:space="preserve">1.0%) remained slightly below the pace of the whole economy in this branch also this year, it represented the best half-yearly result here since the end of year 2010. Trend of a very gradual reduction of the number of workers in the primary sector continued, largely due to the reduction of number of self-employed </w:t>
            </w:r>
            <w:r w:rsidR="000E4DDC">
              <w:rPr>
                <w:spacing w:val="-2"/>
                <w:lang w:val="en-GB"/>
              </w:rPr>
              <w:t>(</w:t>
            </w:r>
            <w:r w:rsidRPr="00A17559">
              <w:rPr>
                <w:spacing w:val="-2"/>
                <w:lang w:val="en-GB"/>
              </w:rPr>
              <w:t>similarly to the last year</w:t>
            </w:r>
            <w:r w:rsidR="000E4DDC">
              <w:rPr>
                <w:spacing w:val="-2"/>
                <w:lang w:val="en-GB"/>
              </w:rPr>
              <w:t>)</w:t>
            </w:r>
            <w:r w:rsidRPr="00A17559">
              <w:rPr>
                <w:spacing w:val="-2"/>
                <w:lang w:val="en-GB"/>
              </w:rPr>
              <w:t>.</w:t>
            </w:r>
          </w:p>
        </w:tc>
      </w:tr>
      <w:tr w:rsidR="00B43216" w:rsidRPr="00A17559" w:rsidTr="00FB4505">
        <w:trPr>
          <w:trHeight w:val="98"/>
        </w:trPr>
        <w:tc>
          <w:tcPr>
            <w:tcW w:w="1790" w:type="dxa"/>
            <w:vMerge w:val="restart"/>
            <w:shd w:val="clear" w:color="auto" w:fill="auto"/>
            <w:tcMar>
              <w:left w:w="0" w:type="dxa"/>
            </w:tcMar>
          </w:tcPr>
          <w:p w:rsidR="00B43216" w:rsidRPr="00A17559" w:rsidRDefault="00B43216" w:rsidP="00B43216">
            <w:pPr>
              <w:pStyle w:val="Marginlie"/>
              <w:rPr>
                <w:lang w:val="en-GB"/>
              </w:rPr>
            </w:pPr>
          </w:p>
        </w:tc>
        <w:tc>
          <w:tcPr>
            <w:tcW w:w="216" w:type="dxa"/>
            <w:vMerge w:val="restart"/>
            <w:shd w:val="clear" w:color="auto" w:fill="auto"/>
            <w:tcMar>
              <w:left w:w="0" w:type="dxa"/>
            </w:tcMar>
          </w:tcPr>
          <w:p w:rsidR="00B43216" w:rsidRPr="00A17559" w:rsidRDefault="00B43216" w:rsidP="00B43216">
            <w:pPr>
              <w:pStyle w:val="Textpoznpodarou"/>
              <w:jc w:val="both"/>
              <w:rPr>
                <w:spacing w:val="-4"/>
                <w:lang w:val="en-GB"/>
              </w:rPr>
            </w:pPr>
          </w:p>
        </w:tc>
        <w:tc>
          <w:tcPr>
            <w:tcW w:w="7648" w:type="dxa"/>
            <w:shd w:val="clear" w:color="auto" w:fill="auto"/>
            <w:tcMar>
              <w:left w:w="0" w:type="dxa"/>
            </w:tcMar>
          </w:tcPr>
          <w:p w:rsidR="00B43216" w:rsidRPr="00E91301" w:rsidRDefault="003B6762" w:rsidP="00A6092A">
            <w:pPr>
              <w:spacing w:after="40"/>
              <w:rPr>
                <w:spacing w:val="-3"/>
                <w:szCs w:val="20"/>
                <w:lang w:val="en-GB"/>
              </w:rPr>
            </w:pPr>
            <w:r w:rsidRPr="00E91301">
              <w:rPr>
                <w:rFonts w:cs="Arial"/>
                <w:b/>
                <w:bCs/>
                <w:color w:val="000000"/>
                <w:spacing w:val="-3"/>
                <w:szCs w:val="20"/>
                <w:lang w:val="en-GB"/>
              </w:rPr>
              <w:t xml:space="preserve">Chart </w:t>
            </w:r>
            <w:r w:rsidR="008A394E" w:rsidRPr="00E91301">
              <w:rPr>
                <w:rFonts w:cs="Arial"/>
                <w:b/>
                <w:bCs/>
                <w:color w:val="000000"/>
                <w:spacing w:val="-3"/>
                <w:szCs w:val="20"/>
                <w:lang w:val="en-GB"/>
              </w:rPr>
              <w:t>13</w:t>
            </w:r>
            <w:r w:rsidR="00B43216" w:rsidRPr="00E91301">
              <w:rPr>
                <w:rFonts w:cs="Arial"/>
                <w:b/>
                <w:bCs/>
                <w:color w:val="000000"/>
                <w:spacing w:val="-3"/>
                <w:szCs w:val="20"/>
                <w:lang w:val="en-GB"/>
              </w:rPr>
              <w:t xml:space="preserve">  </w:t>
            </w:r>
            <w:r w:rsidRPr="00E91301">
              <w:rPr>
                <w:rFonts w:cs="Arial"/>
                <w:b/>
                <w:bCs/>
                <w:color w:val="000000"/>
                <w:spacing w:val="-3"/>
                <w:szCs w:val="20"/>
                <w:lang w:val="en-GB"/>
              </w:rPr>
              <w:t xml:space="preserve">Total employment </w:t>
            </w:r>
            <w:r w:rsidR="00B43216" w:rsidRPr="00E91301">
              <w:rPr>
                <w:spacing w:val="-3"/>
                <w:szCs w:val="20"/>
                <w:lang w:val="en-GB" w:eastAsia="en-US"/>
              </w:rPr>
              <w:t>(</w:t>
            </w:r>
            <w:r w:rsidRPr="00E91301">
              <w:rPr>
                <w:spacing w:val="-3"/>
                <w:szCs w:val="20"/>
                <w:lang w:val="en-GB" w:eastAsia="en-US"/>
              </w:rPr>
              <w:t xml:space="preserve">year-on-year in </w:t>
            </w:r>
            <w:r w:rsidR="00B43216" w:rsidRPr="00E91301">
              <w:rPr>
                <w:bCs/>
                <w:spacing w:val="-3"/>
                <w:szCs w:val="20"/>
                <w:lang w:val="en-GB"/>
              </w:rPr>
              <w:t xml:space="preserve">%) </w:t>
            </w:r>
            <w:r w:rsidR="00B43216" w:rsidRPr="00E91301">
              <w:rPr>
                <w:b/>
                <w:bCs/>
                <w:spacing w:val="-3"/>
                <w:szCs w:val="20"/>
                <w:lang w:val="en-GB"/>
              </w:rPr>
              <w:t>a</w:t>
            </w:r>
            <w:r w:rsidRPr="00E91301">
              <w:rPr>
                <w:b/>
                <w:bCs/>
                <w:spacing w:val="-3"/>
                <w:szCs w:val="20"/>
                <w:lang w:val="en-GB"/>
              </w:rPr>
              <w:t xml:space="preserve">nd contributions of main branches to year-on-year employment change </w:t>
            </w:r>
            <w:r w:rsidR="00B43216" w:rsidRPr="00E91301">
              <w:rPr>
                <w:bCs/>
                <w:spacing w:val="-3"/>
                <w:szCs w:val="20"/>
                <w:lang w:val="en-GB"/>
              </w:rPr>
              <w:t>(</w:t>
            </w:r>
            <w:r w:rsidRPr="00E91301">
              <w:rPr>
                <w:bCs/>
                <w:spacing w:val="-3"/>
                <w:szCs w:val="20"/>
                <w:lang w:val="en-GB"/>
              </w:rPr>
              <w:t>in percentage points</w:t>
            </w:r>
            <w:r w:rsidR="00B43216" w:rsidRPr="00E91301">
              <w:rPr>
                <w:bCs/>
                <w:spacing w:val="-3"/>
                <w:szCs w:val="20"/>
                <w:lang w:val="en-GB"/>
              </w:rPr>
              <w:t>)</w:t>
            </w:r>
          </w:p>
        </w:tc>
      </w:tr>
      <w:tr w:rsidR="00B43216" w:rsidRPr="00A17559" w:rsidTr="00FB4505">
        <w:tblPrEx>
          <w:tblCellMar>
            <w:left w:w="70" w:type="dxa"/>
            <w:right w:w="70" w:type="dxa"/>
          </w:tblCellMar>
        </w:tblPrEx>
        <w:trPr>
          <w:trHeight w:val="96"/>
        </w:trPr>
        <w:tc>
          <w:tcPr>
            <w:tcW w:w="1790" w:type="dxa"/>
            <w:vMerge/>
            <w:shd w:val="clear" w:color="auto" w:fill="auto"/>
          </w:tcPr>
          <w:p w:rsidR="00B43216" w:rsidRPr="00A17559" w:rsidRDefault="00B43216" w:rsidP="00B43216">
            <w:pPr>
              <w:pStyle w:val="Marginlie"/>
              <w:rPr>
                <w:lang w:val="en-GB"/>
              </w:rPr>
            </w:pPr>
          </w:p>
        </w:tc>
        <w:tc>
          <w:tcPr>
            <w:tcW w:w="216" w:type="dxa"/>
            <w:vMerge/>
            <w:shd w:val="clear" w:color="auto" w:fill="auto"/>
          </w:tcPr>
          <w:p w:rsidR="00B43216" w:rsidRPr="00A17559" w:rsidRDefault="00B43216" w:rsidP="00B43216">
            <w:pPr>
              <w:pStyle w:val="Textpoznpodarou"/>
              <w:jc w:val="both"/>
              <w:rPr>
                <w:spacing w:val="-4"/>
                <w:lang w:val="en-GB"/>
              </w:rPr>
            </w:pPr>
          </w:p>
        </w:tc>
        <w:tc>
          <w:tcPr>
            <w:tcW w:w="7648" w:type="dxa"/>
            <w:shd w:val="clear" w:color="auto" w:fill="auto"/>
          </w:tcPr>
          <w:p w:rsidR="00B43216" w:rsidRPr="00A17559" w:rsidRDefault="008E1268" w:rsidP="00B43216">
            <w:pPr>
              <w:spacing w:after="40" w:line="240" w:lineRule="auto"/>
              <w:rPr>
                <w:spacing w:val="-2"/>
                <w:lang w:val="en-GB"/>
              </w:rPr>
            </w:pPr>
            <w:r>
              <w:rPr>
                <w:noProof/>
              </w:rPr>
              <w:drawing>
                <wp:inline distT="0" distB="0" distL="0" distR="0" wp14:anchorId="769D0735" wp14:editId="191C6FF7">
                  <wp:extent cx="4718406" cy="3547811"/>
                  <wp:effectExtent l="0" t="0" r="635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B43216" w:rsidRPr="00A17559" w:rsidTr="00FB4505">
        <w:trPr>
          <w:trHeight w:val="96"/>
        </w:trPr>
        <w:tc>
          <w:tcPr>
            <w:tcW w:w="1790" w:type="dxa"/>
            <w:vMerge/>
            <w:shd w:val="clear" w:color="auto" w:fill="auto"/>
            <w:tcMar>
              <w:left w:w="0" w:type="dxa"/>
            </w:tcMar>
          </w:tcPr>
          <w:p w:rsidR="00B43216" w:rsidRPr="00A17559" w:rsidRDefault="00B43216" w:rsidP="00B43216">
            <w:pPr>
              <w:pStyle w:val="Marginlie"/>
              <w:rPr>
                <w:lang w:val="en-GB"/>
              </w:rPr>
            </w:pPr>
          </w:p>
        </w:tc>
        <w:tc>
          <w:tcPr>
            <w:tcW w:w="216" w:type="dxa"/>
            <w:vMerge/>
            <w:shd w:val="clear" w:color="auto" w:fill="auto"/>
            <w:tcMar>
              <w:left w:w="0" w:type="dxa"/>
            </w:tcMar>
          </w:tcPr>
          <w:p w:rsidR="00B43216" w:rsidRPr="00A17559" w:rsidRDefault="00B43216" w:rsidP="00B43216">
            <w:pPr>
              <w:pStyle w:val="Textpoznpodarou"/>
              <w:jc w:val="both"/>
              <w:rPr>
                <w:spacing w:val="-4"/>
                <w:lang w:val="en-GB"/>
              </w:rPr>
            </w:pPr>
          </w:p>
        </w:tc>
        <w:tc>
          <w:tcPr>
            <w:tcW w:w="7648" w:type="dxa"/>
            <w:shd w:val="clear" w:color="auto" w:fill="auto"/>
            <w:tcMar>
              <w:left w:w="0" w:type="dxa"/>
            </w:tcMar>
          </w:tcPr>
          <w:p w:rsidR="008E1268" w:rsidRDefault="00B43216" w:rsidP="00ED7A13">
            <w:pPr>
              <w:spacing w:after="0" w:line="240" w:lineRule="auto"/>
              <w:rPr>
                <w:rFonts w:cs="Arial"/>
                <w:sz w:val="14"/>
                <w:szCs w:val="14"/>
                <w:lang w:val="en-GB"/>
              </w:rPr>
            </w:pPr>
            <w:r w:rsidRPr="00A17559">
              <w:rPr>
                <w:rFonts w:cs="Arial"/>
                <w:sz w:val="14"/>
                <w:szCs w:val="14"/>
                <w:lang w:val="en-GB"/>
              </w:rPr>
              <w:t>*</w:t>
            </w:r>
            <w:r w:rsidR="00ED7A13" w:rsidRPr="00A17559">
              <w:rPr>
                <w:rFonts w:cs="Arial"/>
                <w:sz w:val="14"/>
                <w:szCs w:val="14"/>
                <w:lang w:val="en-GB"/>
              </w:rPr>
              <w:t>Includes branches</w:t>
            </w:r>
            <w:r w:rsidRPr="00A17559">
              <w:rPr>
                <w:rFonts w:cs="Arial"/>
                <w:sz w:val="14"/>
                <w:szCs w:val="14"/>
                <w:lang w:val="en-GB"/>
              </w:rPr>
              <w:t>:</w:t>
            </w:r>
            <w:r w:rsidR="000E4DDC">
              <w:rPr>
                <w:rFonts w:cs="Arial"/>
                <w:sz w:val="14"/>
                <w:szCs w:val="14"/>
                <w:lang w:val="en-GB"/>
              </w:rPr>
              <w:t xml:space="preserve"> Mining and energetics</w:t>
            </w:r>
            <w:r w:rsidR="000E4DDC">
              <w:rPr>
                <w:rFonts w:cs="Arial"/>
                <w:sz w:val="14"/>
                <w:szCs w:val="14"/>
                <w:lang w:val="en-US"/>
              </w:rPr>
              <w:t>;</w:t>
            </w:r>
            <w:r w:rsidR="00ED7A13" w:rsidRPr="00A17559">
              <w:rPr>
                <w:rFonts w:cs="Arial"/>
                <w:sz w:val="14"/>
                <w:szCs w:val="14"/>
                <w:lang w:val="en-GB"/>
              </w:rPr>
              <w:t xml:space="preserve"> Fin</w:t>
            </w:r>
            <w:r w:rsidR="000E4DDC">
              <w:rPr>
                <w:rFonts w:cs="Arial"/>
                <w:sz w:val="14"/>
                <w:szCs w:val="14"/>
                <w:lang w:val="en-GB"/>
              </w:rPr>
              <w:t>ancial and insurance activities</w:t>
            </w:r>
            <w:r w:rsidR="000E4DDC">
              <w:rPr>
                <w:rFonts w:cs="Arial"/>
                <w:sz w:val="14"/>
                <w:szCs w:val="14"/>
                <w:lang w:val="en-US"/>
              </w:rPr>
              <w:t>;</w:t>
            </w:r>
            <w:r w:rsidR="00ED7A13" w:rsidRPr="00A17559">
              <w:rPr>
                <w:rFonts w:cs="Arial"/>
                <w:sz w:val="14"/>
                <w:szCs w:val="14"/>
                <w:lang w:val="en-GB"/>
              </w:rPr>
              <w:t xml:space="preserve"> Real es</w:t>
            </w:r>
            <w:r w:rsidR="000E4DDC">
              <w:rPr>
                <w:rFonts w:cs="Arial"/>
                <w:sz w:val="14"/>
                <w:szCs w:val="14"/>
                <w:lang w:val="en-GB"/>
              </w:rPr>
              <w:t>tate activities</w:t>
            </w:r>
            <w:r w:rsidR="000E4DDC">
              <w:rPr>
                <w:rFonts w:cs="Arial"/>
                <w:sz w:val="14"/>
                <w:szCs w:val="14"/>
                <w:lang w:val="en-US"/>
              </w:rPr>
              <w:t>;</w:t>
            </w:r>
            <w:r w:rsidR="000E4DDC">
              <w:rPr>
                <w:rFonts w:cs="Arial"/>
                <w:sz w:val="14"/>
                <w:szCs w:val="14"/>
                <w:lang w:val="en-GB"/>
              </w:rPr>
              <w:t xml:space="preserve"> Arts, entertainm</w:t>
            </w:r>
            <w:r w:rsidR="00ED7A13" w:rsidRPr="00A17559">
              <w:rPr>
                <w:rFonts w:cs="Arial"/>
                <w:sz w:val="14"/>
                <w:szCs w:val="14"/>
                <w:lang w:val="en-GB"/>
              </w:rPr>
              <w:t>ent and recreation activi</w:t>
            </w:r>
            <w:r w:rsidR="000E4DDC">
              <w:rPr>
                <w:rFonts w:cs="Arial"/>
                <w:sz w:val="14"/>
                <w:szCs w:val="14"/>
                <w:lang w:val="en-GB"/>
              </w:rPr>
              <w:t>ties</w:t>
            </w:r>
            <w:r w:rsidR="000E4DDC">
              <w:rPr>
                <w:rFonts w:cs="Arial"/>
                <w:sz w:val="14"/>
                <w:szCs w:val="14"/>
                <w:lang w:val="en-US"/>
              </w:rPr>
              <w:t>;</w:t>
            </w:r>
            <w:r w:rsidR="008E1268">
              <w:rPr>
                <w:rFonts w:cs="Arial"/>
                <w:sz w:val="14"/>
                <w:szCs w:val="14"/>
                <w:lang w:val="en-GB"/>
              </w:rPr>
              <w:t xml:space="preserve"> Other services.</w:t>
            </w:r>
          </w:p>
          <w:p w:rsidR="00ED7A13" w:rsidRPr="00A17559" w:rsidRDefault="00ED7A13" w:rsidP="00B43216">
            <w:pPr>
              <w:spacing w:after="0" w:line="240" w:lineRule="auto"/>
              <w:rPr>
                <w:rFonts w:cs="Arial"/>
                <w:sz w:val="14"/>
                <w:szCs w:val="14"/>
                <w:lang w:val="en-GB"/>
              </w:rPr>
            </w:pPr>
            <w:r w:rsidRPr="00A17559">
              <w:rPr>
                <w:rFonts w:cs="Arial"/>
                <w:sz w:val="14"/>
                <w:szCs w:val="14"/>
                <w:lang w:val="en-GB"/>
              </w:rPr>
              <w:t>Source</w:t>
            </w:r>
            <w:r w:rsidR="00B43216" w:rsidRPr="00A17559">
              <w:rPr>
                <w:rFonts w:cs="Arial"/>
                <w:sz w:val="14"/>
                <w:szCs w:val="14"/>
                <w:lang w:val="en-GB"/>
              </w:rPr>
              <w:t xml:space="preserve">: </w:t>
            </w:r>
            <w:r w:rsidRPr="00A17559">
              <w:rPr>
                <w:rFonts w:cs="Arial"/>
                <w:sz w:val="14"/>
                <w:szCs w:val="14"/>
                <w:lang w:val="en-GB"/>
              </w:rPr>
              <w:t>CZSO</w:t>
            </w:r>
            <w:r w:rsidR="00B43216" w:rsidRPr="00A17559">
              <w:rPr>
                <w:rFonts w:cs="Arial"/>
                <w:sz w:val="14"/>
                <w:szCs w:val="14"/>
                <w:lang w:val="en-GB"/>
              </w:rPr>
              <w:t xml:space="preserve"> (n</w:t>
            </w:r>
            <w:r w:rsidR="008E1268">
              <w:rPr>
                <w:rFonts w:cs="Arial"/>
                <w:sz w:val="14"/>
                <w:szCs w:val="14"/>
                <w:lang w:val="en-GB"/>
              </w:rPr>
              <w:t>ational account</w:t>
            </w:r>
          </w:p>
          <w:p w:rsidR="00B43216" w:rsidRPr="00A17559" w:rsidRDefault="00B43216" w:rsidP="00B43216">
            <w:pPr>
              <w:spacing w:after="0" w:line="240" w:lineRule="auto"/>
              <w:rPr>
                <w:spacing w:val="-2"/>
                <w:szCs w:val="20"/>
                <w:lang w:val="en-GB"/>
              </w:rPr>
            </w:pPr>
          </w:p>
        </w:tc>
      </w:tr>
      <w:tr w:rsidR="00B43216" w:rsidRPr="00A17559" w:rsidTr="00FB4505">
        <w:trPr>
          <w:trHeight w:val="145"/>
        </w:trPr>
        <w:tc>
          <w:tcPr>
            <w:tcW w:w="1790" w:type="dxa"/>
            <w:shd w:val="clear" w:color="auto" w:fill="auto"/>
            <w:tcMar>
              <w:left w:w="0" w:type="dxa"/>
            </w:tcMar>
          </w:tcPr>
          <w:p w:rsidR="00B43216" w:rsidRPr="00A17559" w:rsidRDefault="00ED7A13" w:rsidP="00B43216">
            <w:pPr>
              <w:pStyle w:val="Marginlie"/>
              <w:rPr>
                <w:lang w:val="en-GB"/>
              </w:rPr>
            </w:pPr>
            <w:r w:rsidRPr="00A17559">
              <w:rPr>
                <w:lang w:val="en-GB"/>
              </w:rPr>
              <w:t xml:space="preserve">Average age of workers was further rising. Employment rate of population in the productive age also grew, but slower. </w:t>
            </w:r>
          </w:p>
          <w:p w:rsidR="00B43216" w:rsidRPr="00A17559" w:rsidRDefault="00B43216" w:rsidP="00B43216">
            <w:pPr>
              <w:pStyle w:val="Marginlie"/>
              <w:rPr>
                <w:lang w:val="en-GB"/>
              </w:rPr>
            </w:pPr>
          </w:p>
          <w:p w:rsidR="00B43216" w:rsidRPr="00A17559" w:rsidRDefault="00B43216" w:rsidP="00B43216">
            <w:pPr>
              <w:pStyle w:val="Marginlie"/>
              <w:rPr>
                <w:lang w:val="en-GB"/>
              </w:rPr>
            </w:pPr>
          </w:p>
          <w:p w:rsidR="00B43216" w:rsidRPr="00A17559" w:rsidRDefault="00ED7A13" w:rsidP="001524CE">
            <w:pPr>
              <w:pStyle w:val="Marginlie"/>
              <w:rPr>
                <w:lang w:val="en-GB"/>
              </w:rPr>
            </w:pPr>
            <w:r w:rsidRPr="00A17559">
              <w:rPr>
                <w:lang w:val="en-GB"/>
              </w:rPr>
              <w:t xml:space="preserve">Employment rate of both males and females in the CR ranks among the significantly above average </w:t>
            </w:r>
            <w:r w:rsidR="001524CE" w:rsidRPr="00A17559">
              <w:rPr>
                <w:lang w:val="en-GB"/>
              </w:rPr>
              <w:t xml:space="preserve">in the EU in the long-term. </w:t>
            </w:r>
          </w:p>
        </w:tc>
        <w:tc>
          <w:tcPr>
            <w:tcW w:w="216" w:type="dxa"/>
            <w:shd w:val="clear" w:color="auto" w:fill="auto"/>
            <w:tcMar>
              <w:left w:w="0" w:type="dxa"/>
            </w:tcMar>
          </w:tcPr>
          <w:p w:rsidR="00B43216" w:rsidRPr="00A17559" w:rsidRDefault="00B43216" w:rsidP="00B43216">
            <w:pPr>
              <w:pStyle w:val="Textpoznpodarou"/>
              <w:jc w:val="both"/>
              <w:rPr>
                <w:spacing w:val="-4"/>
                <w:lang w:val="en-GB"/>
              </w:rPr>
            </w:pPr>
          </w:p>
        </w:tc>
        <w:tc>
          <w:tcPr>
            <w:tcW w:w="7648" w:type="dxa"/>
            <w:shd w:val="clear" w:color="auto" w:fill="auto"/>
            <w:tcMar>
              <w:left w:w="0" w:type="dxa"/>
            </w:tcMar>
          </w:tcPr>
          <w:p w:rsidR="00B43216" w:rsidRPr="00A17559" w:rsidRDefault="00ED7A13" w:rsidP="00703DCB">
            <w:pPr>
              <w:spacing w:after="200"/>
              <w:rPr>
                <w:spacing w:val="-2"/>
                <w:lang w:val="en-GB"/>
              </w:rPr>
            </w:pPr>
            <w:r w:rsidRPr="00A17559">
              <w:rPr>
                <w:spacing w:val="-2"/>
                <w:lang w:val="en-GB"/>
              </w:rPr>
              <w:t>From the view of the age c</w:t>
            </w:r>
            <w:r w:rsidR="001524CE" w:rsidRPr="00A17559">
              <w:rPr>
                <w:spacing w:val="-2"/>
                <w:lang w:val="en-GB"/>
              </w:rPr>
              <w:t xml:space="preserve">omposition, the employment was favourable </w:t>
            </w:r>
            <w:r w:rsidR="00AC4883">
              <w:rPr>
                <w:spacing w:val="-2"/>
                <w:lang w:val="en-GB"/>
              </w:rPr>
              <w:t>impacted mainly by the growth</w:t>
            </w:r>
            <w:r w:rsidR="001524CE" w:rsidRPr="00A17559">
              <w:rPr>
                <w:spacing w:val="-2"/>
                <w:lang w:val="en-GB"/>
              </w:rPr>
              <w:t xml:space="preserve"> of both the legal and </w:t>
            </w:r>
            <w:r w:rsidR="00703DCB" w:rsidRPr="00A17559">
              <w:rPr>
                <w:spacing w:val="-2"/>
                <w:lang w:val="en-GB"/>
              </w:rPr>
              <w:t>real</w:t>
            </w:r>
            <w:r w:rsidR="001524CE" w:rsidRPr="00A17559">
              <w:rPr>
                <w:spacing w:val="-2"/>
                <w:lang w:val="en-GB"/>
              </w:rPr>
              <w:t xml:space="preserve"> age of retirement. Further structural changes also con</w:t>
            </w:r>
            <w:r w:rsidR="00AC4883">
              <w:rPr>
                <w:spacing w:val="-2"/>
                <w:lang w:val="en-GB"/>
              </w:rPr>
              <w:t>tinued – strong population cohorts</w:t>
            </w:r>
            <w:r w:rsidR="001524CE" w:rsidRPr="00A17559">
              <w:rPr>
                <w:spacing w:val="-2"/>
                <w:lang w:val="en-GB"/>
              </w:rPr>
              <w:t xml:space="preserve"> of the 70s were moving into the age with the higher rate of economic participation. </w:t>
            </w:r>
            <w:r w:rsidR="00C92144" w:rsidRPr="00A17559">
              <w:rPr>
                <w:spacing w:val="-2"/>
                <w:lang w:val="en-GB"/>
              </w:rPr>
              <w:t>Average age of workers further increased. These trends were also reflected in the growing employment rate of productive age population</w:t>
            </w:r>
            <w:r w:rsidR="00473DFA">
              <w:rPr>
                <w:spacing w:val="-2"/>
                <w:lang w:val="en-GB"/>
              </w:rPr>
              <w:t xml:space="preserve"> </w:t>
            </w:r>
            <w:r w:rsidR="00473DFA">
              <w:rPr>
                <w:spacing w:val="-2"/>
                <w:lang w:val="en-GB"/>
              </w:rPr>
              <w:lastRenderedPageBreak/>
              <w:t>(15–64 years)</w:t>
            </w:r>
            <w:r w:rsidR="00C92144" w:rsidRPr="00A17559">
              <w:rPr>
                <w:spacing w:val="-2"/>
                <w:lang w:val="en-GB"/>
              </w:rPr>
              <w:t xml:space="preserve">. It arrived at </w:t>
            </w:r>
            <w:r w:rsidR="00B43216" w:rsidRPr="00A17559">
              <w:rPr>
                <w:spacing w:val="-2"/>
                <w:lang w:val="en-GB"/>
              </w:rPr>
              <w:t>82</w:t>
            </w:r>
            <w:r w:rsidR="00F215AC" w:rsidRPr="00A17559">
              <w:rPr>
                <w:spacing w:val="-2"/>
                <w:lang w:val="en-GB"/>
              </w:rPr>
              <w:t>.</w:t>
            </w:r>
            <w:r w:rsidR="00B43216" w:rsidRPr="00A17559">
              <w:rPr>
                <w:spacing w:val="-2"/>
                <w:lang w:val="en-GB"/>
              </w:rPr>
              <w:t>0%</w:t>
            </w:r>
            <w:r w:rsidR="00C92144" w:rsidRPr="00A17559">
              <w:rPr>
                <w:spacing w:val="-2"/>
                <w:lang w:val="en-GB"/>
              </w:rPr>
              <w:t xml:space="preserve"> for males and </w:t>
            </w:r>
            <w:r w:rsidR="00B43216" w:rsidRPr="00A17559">
              <w:rPr>
                <w:spacing w:val="-2"/>
                <w:lang w:val="en-GB"/>
              </w:rPr>
              <w:t>67</w:t>
            </w:r>
            <w:r w:rsidR="00C92144" w:rsidRPr="00A17559">
              <w:rPr>
                <w:spacing w:val="-2"/>
                <w:lang w:val="en-GB"/>
              </w:rPr>
              <w:t>.</w:t>
            </w:r>
            <w:r w:rsidR="00B43216" w:rsidRPr="00A17559">
              <w:rPr>
                <w:spacing w:val="-2"/>
                <w:lang w:val="en-GB"/>
              </w:rPr>
              <w:t>8%</w:t>
            </w:r>
            <w:r w:rsidR="00C92144" w:rsidRPr="00A17559">
              <w:rPr>
                <w:spacing w:val="-2"/>
                <w:lang w:val="en-GB"/>
              </w:rPr>
              <w:t xml:space="preserve"> for females in Q2</w:t>
            </w:r>
            <w:r w:rsidR="00B43216" w:rsidRPr="00A17559">
              <w:rPr>
                <w:spacing w:val="-2"/>
                <w:lang w:val="en-GB"/>
              </w:rPr>
              <w:t>,</w:t>
            </w:r>
            <w:r w:rsidR="00C92144" w:rsidRPr="00A17559">
              <w:rPr>
                <w:spacing w:val="-2"/>
                <w:lang w:val="en-GB"/>
              </w:rPr>
              <w:t xml:space="preserve"> it rose by </w:t>
            </w:r>
            <w:r w:rsidR="00B43216" w:rsidRPr="00A17559">
              <w:rPr>
                <w:spacing w:val="-2"/>
                <w:lang w:val="en-GB"/>
              </w:rPr>
              <w:t>0</w:t>
            </w:r>
            <w:r w:rsidR="00F215AC" w:rsidRPr="00A17559">
              <w:rPr>
                <w:spacing w:val="-2"/>
                <w:lang w:val="en-GB"/>
              </w:rPr>
              <w:t>.</w:t>
            </w:r>
            <w:r w:rsidR="00B43216" w:rsidRPr="00A17559">
              <w:rPr>
                <w:spacing w:val="-2"/>
                <w:lang w:val="en-GB"/>
              </w:rPr>
              <w:t>3 p.</w:t>
            </w:r>
            <w:r w:rsidR="00F215AC" w:rsidRPr="00A17559">
              <w:rPr>
                <w:spacing w:val="-2"/>
                <w:lang w:val="en-GB"/>
              </w:rPr>
              <w:t>p. year-on-year in both cases. The rate of growth gradually evaporates as the potential resources of workers among both the unemployed and economically inactive who wish to work</w:t>
            </w:r>
            <w:r w:rsidR="00F215AC" w:rsidRPr="00A17559">
              <w:rPr>
                <w:rStyle w:val="Znakapoznpodarou"/>
                <w:color w:val="0D0D0D" w:themeColor="text1" w:themeTint="F2"/>
                <w:spacing w:val="-2"/>
                <w:lang w:val="en-GB"/>
              </w:rPr>
              <w:footnoteReference w:id="7"/>
            </w:r>
            <w:r w:rsidR="00F215AC" w:rsidRPr="00A17559">
              <w:rPr>
                <w:spacing w:val="-2"/>
                <w:lang w:val="en-GB"/>
              </w:rPr>
              <w:t xml:space="preserve"> </w:t>
            </w:r>
            <w:r w:rsidR="00B43216" w:rsidRPr="00A17559">
              <w:rPr>
                <w:spacing w:val="-2"/>
                <w:lang w:val="en-GB"/>
              </w:rPr>
              <w:t>„</w:t>
            </w:r>
            <w:r w:rsidR="00F215AC" w:rsidRPr="00A17559">
              <w:rPr>
                <w:spacing w:val="-2"/>
                <w:lang w:val="en-GB"/>
              </w:rPr>
              <w:t>dry out</w:t>
            </w:r>
            <w:r w:rsidR="00B43216" w:rsidRPr="00A17559">
              <w:rPr>
                <w:spacing w:val="-2"/>
                <w:lang w:val="en-GB"/>
              </w:rPr>
              <w:t>“</w:t>
            </w:r>
            <w:r w:rsidR="00F215AC" w:rsidRPr="00A17559">
              <w:rPr>
                <w:spacing w:val="-2"/>
                <w:lang w:val="en-GB"/>
              </w:rPr>
              <w:t>. Still the employment rate stays significantly above average in the CR within the European context. For females, the CR ranks eleventh</w:t>
            </w:r>
            <w:r w:rsidR="00B43216" w:rsidRPr="00A17559">
              <w:rPr>
                <w:rStyle w:val="Znakapoznpodarou"/>
                <w:color w:val="0D0D0D" w:themeColor="text1" w:themeTint="F2"/>
                <w:spacing w:val="-2"/>
                <w:lang w:val="en-GB"/>
              </w:rPr>
              <w:footnoteReference w:id="8"/>
            </w:r>
            <w:r w:rsidR="00B43216" w:rsidRPr="00A17559">
              <w:rPr>
                <w:spacing w:val="-2"/>
                <w:lang w:val="en-GB"/>
              </w:rPr>
              <w:t xml:space="preserve"> </w:t>
            </w:r>
            <w:r w:rsidR="00F215AC" w:rsidRPr="00A17559">
              <w:rPr>
                <w:spacing w:val="-2"/>
                <w:lang w:val="en-GB"/>
              </w:rPr>
              <w:t xml:space="preserve">among the EU states </w:t>
            </w:r>
            <w:r w:rsidR="00B43216" w:rsidRPr="00A17559">
              <w:rPr>
                <w:spacing w:val="-2"/>
                <w:lang w:val="en-GB"/>
              </w:rPr>
              <w:t>(</w:t>
            </w:r>
            <w:r w:rsidR="00F215AC" w:rsidRPr="00A17559">
              <w:rPr>
                <w:spacing w:val="-2"/>
                <w:lang w:val="en-GB"/>
              </w:rPr>
              <w:t>wit</w:t>
            </w:r>
            <w:r w:rsidR="00E32D52" w:rsidRPr="00A17559">
              <w:rPr>
                <w:spacing w:val="-2"/>
                <w:lang w:val="en-GB"/>
              </w:rPr>
              <w:t>h</w:t>
            </w:r>
            <w:r w:rsidR="00F215AC" w:rsidRPr="00A17559">
              <w:rPr>
                <w:spacing w:val="-2"/>
                <w:lang w:val="en-GB"/>
              </w:rPr>
              <w:t xml:space="preserve"> maximum in Sweden </w:t>
            </w:r>
            <w:r w:rsidR="00B43216" w:rsidRPr="00A17559">
              <w:rPr>
                <w:spacing w:val="-2"/>
                <w:lang w:val="en-GB"/>
              </w:rPr>
              <w:t>– 75%</w:t>
            </w:r>
            <w:r w:rsidR="00F215AC" w:rsidRPr="00A17559">
              <w:rPr>
                <w:spacing w:val="-2"/>
                <w:lang w:val="en-GB"/>
              </w:rPr>
              <w:t xml:space="preserve"> and minimum in Greece </w:t>
            </w:r>
            <w:r w:rsidR="00B43216" w:rsidRPr="00A17559">
              <w:rPr>
                <w:spacing w:val="-2"/>
                <w:lang w:val="en-GB"/>
              </w:rPr>
              <w:t xml:space="preserve">– 46% </w:t>
            </w:r>
            <w:r w:rsidR="00F215AC" w:rsidRPr="00A17559">
              <w:rPr>
                <w:spacing w:val="-2"/>
                <w:lang w:val="en-GB"/>
              </w:rPr>
              <w:t>and further Italy</w:t>
            </w:r>
            <w:r w:rsidR="00B43216" w:rsidRPr="00A17559">
              <w:rPr>
                <w:spacing w:val="-2"/>
                <w:lang w:val="en-GB"/>
              </w:rPr>
              <w:t xml:space="preserve"> – 50%),</w:t>
            </w:r>
            <w:r w:rsidR="00F215AC" w:rsidRPr="00A17559">
              <w:rPr>
                <w:spacing w:val="-2"/>
                <w:lang w:val="en-GB"/>
              </w:rPr>
              <w:t xml:space="preserve"> for males second </w:t>
            </w:r>
            <w:r w:rsidR="00B43216" w:rsidRPr="00A17559">
              <w:rPr>
                <w:spacing w:val="-2"/>
                <w:lang w:val="en-GB"/>
              </w:rPr>
              <w:t>(</w:t>
            </w:r>
            <w:r w:rsidR="00F215AC" w:rsidRPr="00A17559">
              <w:rPr>
                <w:spacing w:val="-2"/>
                <w:lang w:val="en-GB"/>
              </w:rPr>
              <w:t>tightly behind the Netherlands</w:t>
            </w:r>
            <w:r w:rsidR="00B43216" w:rsidRPr="00A17559">
              <w:rPr>
                <w:spacing w:val="-2"/>
                <w:lang w:val="en-GB"/>
              </w:rPr>
              <w:t>).</w:t>
            </w:r>
          </w:p>
        </w:tc>
      </w:tr>
      <w:tr w:rsidR="00B43216" w:rsidRPr="00A17559" w:rsidTr="00FB4505">
        <w:trPr>
          <w:trHeight w:val="145"/>
        </w:trPr>
        <w:tc>
          <w:tcPr>
            <w:tcW w:w="1790" w:type="dxa"/>
            <w:shd w:val="clear" w:color="auto" w:fill="auto"/>
            <w:tcMar>
              <w:left w:w="0" w:type="dxa"/>
            </w:tcMar>
          </w:tcPr>
          <w:p w:rsidR="00B43216" w:rsidRPr="00A17559" w:rsidRDefault="00CA2441" w:rsidP="00B43216">
            <w:pPr>
              <w:pStyle w:val="Marginlie"/>
              <w:rPr>
                <w:lang w:val="en-GB"/>
              </w:rPr>
            </w:pPr>
            <w:r w:rsidRPr="00A17559">
              <w:rPr>
                <w:lang w:val="en-GB"/>
              </w:rPr>
              <w:lastRenderedPageBreak/>
              <w:t>General unemployment rate kept further mildly falling</w:t>
            </w:r>
            <w:r w:rsidR="00B43216" w:rsidRPr="00A17559">
              <w:rPr>
                <w:lang w:val="en-GB"/>
              </w:rPr>
              <w:t xml:space="preserve">, </w:t>
            </w:r>
            <w:r w:rsidRPr="00A17559">
              <w:rPr>
                <w:lang w:val="en-GB"/>
              </w:rPr>
              <w:t xml:space="preserve">mainly due to females. Proportion of </w:t>
            </w:r>
            <w:r w:rsidR="00CC5DBF">
              <w:rPr>
                <w:lang w:val="en-GB"/>
              </w:rPr>
              <w:t xml:space="preserve">long-term unemployed among </w:t>
            </w:r>
            <w:r w:rsidRPr="00A17559">
              <w:rPr>
                <w:lang w:val="en-GB"/>
              </w:rPr>
              <w:t>all unemployed</w:t>
            </w:r>
            <w:r w:rsidR="00CC5DBF">
              <w:rPr>
                <w:lang w:val="en-GB"/>
              </w:rPr>
              <w:t xml:space="preserve"> persons</w:t>
            </w:r>
            <w:r w:rsidRPr="00A17559">
              <w:rPr>
                <w:lang w:val="en-GB"/>
              </w:rPr>
              <w:t xml:space="preserve"> stabilised closely above </w:t>
            </w:r>
            <w:r w:rsidR="00B43216" w:rsidRPr="00A17559">
              <w:rPr>
                <w:lang w:val="en-GB"/>
              </w:rPr>
              <w:t>30%.</w:t>
            </w:r>
          </w:p>
          <w:p w:rsidR="00B43216" w:rsidRPr="00A17559" w:rsidRDefault="00B43216" w:rsidP="00B43216">
            <w:pPr>
              <w:pStyle w:val="Marginlie"/>
              <w:rPr>
                <w:lang w:val="en-GB"/>
              </w:rPr>
            </w:pPr>
          </w:p>
          <w:p w:rsidR="00B43216" w:rsidRPr="00A17559" w:rsidRDefault="00B43216" w:rsidP="00B43216">
            <w:pPr>
              <w:pStyle w:val="Marginlie"/>
              <w:rPr>
                <w:lang w:val="en-GB"/>
              </w:rPr>
            </w:pPr>
          </w:p>
          <w:p w:rsidR="00B43216" w:rsidRPr="00A17559" w:rsidRDefault="00B43216" w:rsidP="00B43216">
            <w:pPr>
              <w:pStyle w:val="Marginlie"/>
              <w:rPr>
                <w:lang w:val="en-GB"/>
              </w:rPr>
            </w:pPr>
          </w:p>
          <w:p w:rsidR="00B43216" w:rsidRPr="00A17559" w:rsidRDefault="00B43216" w:rsidP="00B43216">
            <w:pPr>
              <w:pStyle w:val="Marginlie"/>
              <w:rPr>
                <w:lang w:val="en-GB"/>
              </w:rPr>
            </w:pPr>
          </w:p>
          <w:p w:rsidR="00B43216" w:rsidRPr="00A17559" w:rsidRDefault="00B43216" w:rsidP="00B43216">
            <w:pPr>
              <w:pStyle w:val="Marginlie"/>
              <w:rPr>
                <w:lang w:val="en-GB"/>
              </w:rPr>
            </w:pPr>
          </w:p>
          <w:p w:rsidR="00B43216" w:rsidRPr="00A17559" w:rsidRDefault="00CA2441" w:rsidP="00CA2441">
            <w:pPr>
              <w:pStyle w:val="Marginlie"/>
              <w:rPr>
                <w:lang w:val="en-GB"/>
              </w:rPr>
            </w:pPr>
            <w:r w:rsidRPr="00A17559">
              <w:rPr>
                <w:lang w:val="en-GB"/>
              </w:rPr>
              <w:t xml:space="preserve">Unemployment rate of both males and females in the CR still stayed the lowest among the EU states. Other countries of central Europe also enjoyed a very good position. </w:t>
            </w:r>
          </w:p>
        </w:tc>
        <w:tc>
          <w:tcPr>
            <w:tcW w:w="216" w:type="dxa"/>
            <w:shd w:val="clear" w:color="auto" w:fill="auto"/>
            <w:tcMar>
              <w:left w:w="0" w:type="dxa"/>
            </w:tcMar>
          </w:tcPr>
          <w:p w:rsidR="00B43216" w:rsidRPr="00A17559" w:rsidRDefault="00B43216" w:rsidP="00B43216">
            <w:pPr>
              <w:pStyle w:val="Textpoznpodarou"/>
              <w:jc w:val="both"/>
              <w:rPr>
                <w:spacing w:val="-4"/>
                <w:lang w:val="en-GB"/>
              </w:rPr>
            </w:pPr>
          </w:p>
        </w:tc>
        <w:tc>
          <w:tcPr>
            <w:tcW w:w="7648" w:type="dxa"/>
            <w:shd w:val="clear" w:color="auto" w:fill="auto"/>
            <w:tcMar>
              <w:left w:w="0" w:type="dxa"/>
            </w:tcMar>
          </w:tcPr>
          <w:p w:rsidR="00B43216" w:rsidRPr="00A17559" w:rsidRDefault="00CA2441" w:rsidP="00D218B6">
            <w:pPr>
              <w:spacing w:after="200"/>
              <w:rPr>
                <w:spacing w:val="-4"/>
                <w:lang w:val="en-GB"/>
              </w:rPr>
            </w:pPr>
            <w:r w:rsidRPr="00A17559">
              <w:rPr>
                <w:spacing w:val="-3"/>
                <w:lang w:val="en-GB"/>
              </w:rPr>
              <w:t xml:space="preserve">General unemployment rate </w:t>
            </w:r>
            <w:r w:rsidR="00B43216" w:rsidRPr="00A17559">
              <w:rPr>
                <w:spacing w:val="-3"/>
                <w:lang w:val="en-GB"/>
              </w:rPr>
              <w:t>(</w:t>
            </w:r>
            <w:r w:rsidRPr="00A17559">
              <w:rPr>
                <w:spacing w:val="-3"/>
                <w:lang w:val="en-GB"/>
              </w:rPr>
              <w:t>after seasonal adjustment</w:t>
            </w:r>
            <w:r w:rsidR="00B43216" w:rsidRPr="00A17559">
              <w:rPr>
                <w:spacing w:val="-3"/>
                <w:lang w:val="en-GB"/>
              </w:rPr>
              <w:t>)</w:t>
            </w:r>
            <w:r w:rsidRPr="00A17559">
              <w:rPr>
                <w:spacing w:val="-3"/>
                <w:lang w:val="en-GB"/>
              </w:rPr>
              <w:t xml:space="preserve"> was already falling only slowly this year, similarly to year </w:t>
            </w:r>
            <w:r w:rsidR="00B43216" w:rsidRPr="00A17559">
              <w:rPr>
                <w:spacing w:val="-3"/>
                <w:lang w:val="en-GB"/>
              </w:rPr>
              <w:t>2018</w:t>
            </w:r>
            <w:r w:rsidRPr="00A17559">
              <w:rPr>
                <w:spacing w:val="-3"/>
                <w:lang w:val="en-GB"/>
              </w:rPr>
              <w:t xml:space="preserve">. It reduced to </w:t>
            </w:r>
            <w:r w:rsidR="00B43216" w:rsidRPr="00A17559">
              <w:rPr>
                <w:spacing w:val="-3"/>
                <w:lang w:val="en-GB"/>
              </w:rPr>
              <w:t>1</w:t>
            </w:r>
            <w:r w:rsidRPr="00A17559">
              <w:rPr>
                <w:spacing w:val="-3"/>
                <w:lang w:val="en-GB"/>
              </w:rPr>
              <w:t>.</w:t>
            </w:r>
            <w:r w:rsidR="00B43216" w:rsidRPr="00A17559">
              <w:rPr>
                <w:spacing w:val="-3"/>
                <w:lang w:val="en-GB"/>
              </w:rPr>
              <w:t>7%</w:t>
            </w:r>
            <w:r w:rsidR="00DB6DFF">
              <w:rPr>
                <w:spacing w:val="-3"/>
                <w:lang w:val="en-GB"/>
              </w:rPr>
              <w:t xml:space="preserve"> for males,</w:t>
            </w:r>
            <w:r w:rsidR="00B43216" w:rsidRPr="00A17559">
              <w:rPr>
                <w:spacing w:val="-3"/>
                <w:lang w:val="en-GB"/>
              </w:rPr>
              <w:t xml:space="preserve"> 2</w:t>
            </w:r>
            <w:r w:rsidR="001C2B88" w:rsidRPr="00A17559">
              <w:rPr>
                <w:spacing w:val="-3"/>
                <w:lang w:val="en-GB"/>
              </w:rPr>
              <w:t>.</w:t>
            </w:r>
            <w:r w:rsidR="00B43216" w:rsidRPr="00A17559">
              <w:rPr>
                <w:spacing w:val="-3"/>
                <w:lang w:val="en-GB"/>
              </w:rPr>
              <w:t>5%</w:t>
            </w:r>
            <w:r w:rsidR="001C2B88" w:rsidRPr="00A17559">
              <w:rPr>
                <w:spacing w:val="-3"/>
                <w:lang w:val="en-GB"/>
              </w:rPr>
              <w:t xml:space="preserve"> for females in Q2</w:t>
            </w:r>
            <w:r w:rsidR="00CC5DBF">
              <w:rPr>
                <w:spacing w:val="-3"/>
                <w:lang w:val="en-GB"/>
              </w:rPr>
              <w:t xml:space="preserve"> 2019</w:t>
            </w:r>
            <w:r w:rsidR="00E32D52" w:rsidRPr="00A17559">
              <w:rPr>
                <w:spacing w:val="-3"/>
                <w:lang w:val="en-GB"/>
              </w:rPr>
              <w:t>.</w:t>
            </w:r>
            <w:r w:rsidR="001C2B88" w:rsidRPr="00A17559">
              <w:rPr>
                <w:spacing w:val="-3"/>
                <w:lang w:val="en-GB"/>
              </w:rPr>
              <w:t xml:space="preserve"> Year-on-year it thus fell only by </w:t>
            </w:r>
            <w:r w:rsidR="00B43216" w:rsidRPr="00A17559">
              <w:rPr>
                <w:spacing w:val="-3"/>
                <w:lang w:val="en-GB"/>
              </w:rPr>
              <w:t>0</w:t>
            </w:r>
            <w:r w:rsidR="001C2B88" w:rsidRPr="00A17559">
              <w:rPr>
                <w:spacing w:val="-3"/>
                <w:lang w:val="en-GB"/>
              </w:rPr>
              <w:t>.</w:t>
            </w:r>
            <w:r w:rsidR="00B43216" w:rsidRPr="00A17559">
              <w:rPr>
                <w:spacing w:val="-3"/>
                <w:lang w:val="en-GB"/>
              </w:rPr>
              <w:t>1, resp. 0</w:t>
            </w:r>
            <w:r w:rsidR="001C2B88" w:rsidRPr="00A17559">
              <w:rPr>
                <w:spacing w:val="-3"/>
                <w:lang w:val="en-GB"/>
              </w:rPr>
              <w:t>.</w:t>
            </w:r>
            <w:r w:rsidR="00B43216" w:rsidRPr="00A17559">
              <w:rPr>
                <w:spacing w:val="-3"/>
                <w:lang w:val="en-GB"/>
              </w:rPr>
              <w:t>4 p.</w:t>
            </w:r>
            <w:r w:rsidR="001C2B88" w:rsidRPr="00A17559">
              <w:rPr>
                <w:spacing w:val="-3"/>
                <w:lang w:val="en-GB"/>
              </w:rPr>
              <w:t>p</w:t>
            </w:r>
            <w:r w:rsidR="00B43216" w:rsidRPr="00A17559">
              <w:rPr>
                <w:spacing w:val="-3"/>
                <w:lang w:val="en-GB"/>
              </w:rPr>
              <w:t>. Po</w:t>
            </w:r>
            <w:r w:rsidR="007B27AE" w:rsidRPr="00A17559">
              <w:rPr>
                <w:spacing w:val="-3"/>
                <w:lang w:val="en-GB"/>
              </w:rPr>
              <w:t>sitively, the number of long-term unemployed (above one year) also decreased, however already only by 2.7 thousand of persons in Q</w:t>
            </w:r>
            <w:r w:rsidR="00B43216" w:rsidRPr="00A17559">
              <w:rPr>
                <w:spacing w:val="-3"/>
                <w:lang w:val="en-GB"/>
              </w:rPr>
              <w:t>2</w:t>
            </w:r>
            <w:r w:rsidR="007B27AE" w:rsidRPr="00A17559">
              <w:rPr>
                <w:spacing w:val="-3"/>
                <w:lang w:val="en-GB"/>
              </w:rPr>
              <w:t xml:space="preserve"> itself</w:t>
            </w:r>
            <w:r w:rsidR="00B43216" w:rsidRPr="00A17559">
              <w:rPr>
                <w:spacing w:val="-3"/>
                <w:lang w:val="en-GB"/>
              </w:rPr>
              <w:t>.</w:t>
            </w:r>
            <w:r w:rsidR="007B27AE" w:rsidRPr="00A17559">
              <w:rPr>
                <w:spacing w:val="-3"/>
                <w:lang w:val="en-GB"/>
              </w:rPr>
              <w:t xml:space="preserve"> These persons thus added only one sixth to the year-on-year reduction of total unemployment. They were represented among unemployed then only by one third and this share has not changed for nearly two years. </w:t>
            </w:r>
            <w:r w:rsidR="00240ADA" w:rsidRPr="00A17559">
              <w:rPr>
                <w:spacing w:val="-3"/>
                <w:lang w:val="en-GB"/>
              </w:rPr>
              <w:t xml:space="preserve">Persons aged above </w:t>
            </w:r>
            <w:r w:rsidR="00B43216" w:rsidRPr="00A17559">
              <w:rPr>
                <w:spacing w:val="-3"/>
                <w:lang w:val="en-GB"/>
              </w:rPr>
              <w:t>50</w:t>
            </w:r>
            <w:r w:rsidR="00240ADA" w:rsidRPr="00A17559">
              <w:rPr>
                <w:spacing w:val="-3"/>
                <w:lang w:val="en-GB"/>
              </w:rPr>
              <w:t xml:space="preserve"> and also persons with primary education hold higher proportion among long-term unemployed</w:t>
            </w:r>
            <w:r w:rsidR="00B43216" w:rsidRPr="00A17559">
              <w:rPr>
                <w:spacing w:val="-3"/>
                <w:lang w:val="en-GB"/>
              </w:rPr>
              <w:t xml:space="preserve">. </w:t>
            </w:r>
            <w:r w:rsidR="00D218B6" w:rsidRPr="00A17559">
              <w:rPr>
                <w:spacing w:val="-3"/>
                <w:lang w:val="en-GB"/>
              </w:rPr>
              <w:t xml:space="preserve">Even though the number of businesses expecting reduction of the level of employees mildly increased during this year, it can be assumed, that the labour market managed to again absorb these so far sparse groups of dismissed employees without difficulties. </w:t>
            </w:r>
            <w:r w:rsidR="00DC75F3" w:rsidRPr="00A17559">
              <w:rPr>
                <w:spacing w:val="-3"/>
                <w:lang w:val="en-GB"/>
              </w:rPr>
              <w:t xml:space="preserve">Very low unemployment is also manifested in the improved working conditions of current employees </w:t>
            </w:r>
            <w:r w:rsidR="00B43216" w:rsidRPr="00A17559">
              <w:rPr>
                <w:spacing w:val="-3"/>
                <w:lang w:val="en-GB"/>
              </w:rPr>
              <w:t>(</w:t>
            </w:r>
            <w:r w:rsidR="00DC75F3" w:rsidRPr="00A17559">
              <w:rPr>
                <w:spacing w:val="-3"/>
                <w:lang w:val="en-GB"/>
              </w:rPr>
              <w:t xml:space="preserve">e.g. </w:t>
            </w:r>
            <w:r w:rsidR="00D218B6" w:rsidRPr="00A17559">
              <w:rPr>
                <w:spacing w:val="-3"/>
                <w:lang w:val="en-GB"/>
              </w:rPr>
              <w:t>drop of share of employees working involuntarily on temporary contract, specifically for agency workers as well</w:t>
            </w:r>
            <w:r w:rsidR="00B43216" w:rsidRPr="00A17559">
              <w:rPr>
                <w:spacing w:val="-3"/>
                <w:lang w:val="en-GB"/>
              </w:rPr>
              <w:t xml:space="preserve">). </w:t>
            </w:r>
            <w:r w:rsidRPr="00A17559">
              <w:rPr>
                <w:spacing w:val="-3"/>
                <w:lang w:val="en-GB"/>
              </w:rPr>
              <w:t xml:space="preserve">Unemployment rate of both males and females in the CR boasted the lowest values among the EU countries this as well as last year. Unemployment was falling to the minimum (since the beginning of 90s) the same as in the CR also for instance in other countries of the </w:t>
            </w:r>
            <w:r w:rsidR="008A2E4C">
              <w:rPr>
                <w:spacing w:val="-3"/>
                <w:lang w:val="en-GB"/>
              </w:rPr>
              <w:t>“</w:t>
            </w:r>
            <w:r w:rsidRPr="00A17559">
              <w:rPr>
                <w:spacing w:val="-3"/>
                <w:lang w:val="en-GB"/>
              </w:rPr>
              <w:t>Visegrad Group</w:t>
            </w:r>
            <w:r w:rsidR="008A2E4C">
              <w:rPr>
                <w:spacing w:val="-3"/>
                <w:lang w:val="en-GB"/>
              </w:rPr>
              <w:t>”</w:t>
            </w:r>
            <w:r w:rsidRPr="00A17559">
              <w:rPr>
                <w:spacing w:val="-3"/>
                <w:lang w:val="en-GB"/>
              </w:rPr>
              <w:t xml:space="preserve">. </w:t>
            </w:r>
          </w:p>
        </w:tc>
      </w:tr>
      <w:tr w:rsidR="00B43216" w:rsidRPr="00A17559" w:rsidTr="00FB4505">
        <w:trPr>
          <w:trHeight w:val="155"/>
        </w:trPr>
        <w:tc>
          <w:tcPr>
            <w:tcW w:w="1790" w:type="dxa"/>
            <w:vMerge w:val="restart"/>
            <w:shd w:val="clear" w:color="auto" w:fill="auto"/>
            <w:tcMar>
              <w:left w:w="0" w:type="dxa"/>
            </w:tcMar>
          </w:tcPr>
          <w:p w:rsidR="00B43216" w:rsidRPr="00A17559" w:rsidRDefault="00B43216" w:rsidP="00B43216">
            <w:pPr>
              <w:pStyle w:val="Marginlie"/>
              <w:rPr>
                <w:spacing w:val="-4"/>
                <w:lang w:val="en-GB"/>
              </w:rPr>
            </w:pPr>
          </w:p>
        </w:tc>
        <w:tc>
          <w:tcPr>
            <w:tcW w:w="216" w:type="dxa"/>
            <w:vMerge w:val="restart"/>
            <w:shd w:val="clear" w:color="auto" w:fill="auto"/>
            <w:tcMar>
              <w:left w:w="0" w:type="dxa"/>
            </w:tcMar>
          </w:tcPr>
          <w:p w:rsidR="00B43216" w:rsidRPr="00A17559" w:rsidRDefault="00B43216" w:rsidP="00B43216">
            <w:pPr>
              <w:pStyle w:val="Textpoznpodarou"/>
              <w:jc w:val="both"/>
              <w:rPr>
                <w:spacing w:val="-4"/>
                <w:lang w:val="en-GB"/>
              </w:rPr>
            </w:pPr>
          </w:p>
        </w:tc>
        <w:tc>
          <w:tcPr>
            <w:tcW w:w="7648" w:type="dxa"/>
            <w:shd w:val="clear" w:color="auto" w:fill="auto"/>
            <w:tcMar>
              <w:left w:w="0" w:type="dxa"/>
            </w:tcMar>
          </w:tcPr>
          <w:p w:rsidR="00B43216" w:rsidRPr="00A17559" w:rsidRDefault="00F6393F" w:rsidP="00D218B6">
            <w:pPr>
              <w:spacing w:after="0"/>
              <w:rPr>
                <w:spacing w:val="-4"/>
                <w:lang w:val="en-GB"/>
              </w:rPr>
            </w:pPr>
            <w:r w:rsidRPr="00A17559">
              <w:rPr>
                <w:b/>
                <w:spacing w:val="-2"/>
                <w:lang w:val="en-GB"/>
              </w:rPr>
              <w:t xml:space="preserve">Chart </w:t>
            </w:r>
            <w:r w:rsidR="008A394E" w:rsidRPr="00A17559">
              <w:rPr>
                <w:b/>
                <w:spacing w:val="-2"/>
                <w:lang w:val="en-GB"/>
              </w:rPr>
              <w:t>14</w:t>
            </w:r>
            <w:r w:rsidR="00B43216" w:rsidRPr="00A17559">
              <w:rPr>
                <w:b/>
                <w:spacing w:val="-2"/>
                <w:lang w:val="en-GB"/>
              </w:rPr>
              <w:t xml:space="preserve">  </w:t>
            </w:r>
            <w:r w:rsidR="00D218B6" w:rsidRPr="00A17559">
              <w:rPr>
                <w:b/>
                <w:spacing w:val="-2"/>
                <w:lang w:val="en-GB"/>
              </w:rPr>
              <w:t xml:space="preserve">General unemployment rate for persons aged </w:t>
            </w:r>
            <w:r w:rsidR="00B43216" w:rsidRPr="00A17559">
              <w:rPr>
                <w:rFonts w:cs="Arial"/>
                <w:b/>
                <w:bCs/>
                <w:spacing w:val="-2"/>
                <w:lang w:val="en-GB"/>
              </w:rPr>
              <w:t xml:space="preserve">15 </w:t>
            </w:r>
            <w:r w:rsidR="00D218B6" w:rsidRPr="00A17559">
              <w:rPr>
                <w:rFonts w:cs="Arial"/>
                <w:b/>
                <w:bCs/>
                <w:spacing w:val="-2"/>
                <w:lang w:val="en-GB"/>
              </w:rPr>
              <w:t xml:space="preserve">to </w:t>
            </w:r>
            <w:r w:rsidR="00B43216" w:rsidRPr="00A17559">
              <w:rPr>
                <w:rFonts w:cs="Arial"/>
                <w:b/>
                <w:bCs/>
                <w:spacing w:val="-2"/>
                <w:lang w:val="en-GB"/>
              </w:rPr>
              <w:t>74 </w:t>
            </w:r>
            <w:r w:rsidR="00D218B6" w:rsidRPr="00A17559">
              <w:rPr>
                <w:rFonts w:cs="Arial"/>
                <w:b/>
                <w:bCs/>
                <w:spacing w:val="-2"/>
                <w:lang w:val="en-GB"/>
              </w:rPr>
              <w:t xml:space="preserve">years in the CR, total EU and selected Union countries </w:t>
            </w:r>
            <w:r w:rsidR="00B43216" w:rsidRPr="00A17559">
              <w:rPr>
                <w:rFonts w:cs="Arial"/>
                <w:bCs/>
                <w:spacing w:val="-2"/>
                <w:lang w:val="en-GB"/>
              </w:rPr>
              <w:t>(</w:t>
            </w:r>
            <w:r w:rsidR="00D218B6" w:rsidRPr="00A17559">
              <w:rPr>
                <w:rFonts w:cs="Arial"/>
                <w:bCs/>
                <w:spacing w:val="-2"/>
                <w:lang w:val="en-GB"/>
              </w:rPr>
              <w:t>in</w:t>
            </w:r>
            <w:r w:rsidR="00B43216" w:rsidRPr="00A17559">
              <w:rPr>
                <w:rFonts w:cs="Arial"/>
                <w:bCs/>
                <w:spacing w:val="-2"/>
                <w:lang w:val="en-GB"/>
              </w:rPr>
              <w:t> %)</w:t>
            </w:r>
            <w:r w:rsidR="00B43216" w:rsidRPr="00A17559">
              <w:rPr>
                <w:rFonts w:cs="Arial"/>
                <w:b/>
                <w:bCs/>
                <w:spacing w:val="-2"/>
                <w:lang w:val="en-GB"/>
              </w:rPr>
              <w:t>*</w:t>
            </w:r>
          </w:p>
        </w:tc>
      </w:tr>
      <w:tr w:rsidR="00B43216" w:rsidRPr="00A17559" w:rsidTr="00FB4505">
        <w:tblPrEx>
          <w:tblCellMar>
            <w:left w:w="70" w:type="dxa"/>
            <w:right w:w="70" w:type="dxa"/>
          </w:tblCellMar>
        </w:tblPrEx>
        <w:trPr>
          <w:trHeight w:val="155"/>
        </w:trPr>
        <w:tc>
          <w:tcPr>
            <w:tcW w:w="1790" w:type="dxa"/>
            <w:vMerge/>
            <w:shd w:val="clear" w:color="auto" w:fill="auto"/>
          </w:tcPr>
          <w:p w:rsidR="00B43216" w:rsidRPr="00A17559" w:rsidRDefault="00B43216" w:rsidP="00B43216">
            <w:pPr>
              <w:pStyle w:val="Marginlie"/>
              <w:rPr>
                <w:spacing w:val="-4"/>
                <w:lang w:val="en-GB"/>
              </w:rPr>
            </w:pPr>
          </w:p>
        </w:tc>
        <w:tc>
          <w:tcPr>
            <w:tcW w:w="216" w:type="dxa"/>
            <w:vMerge/>
            <w:shd w:val="clear" w:color="auto" w:fill="auto"/>
          </w:tcPr>
          <w:p w:rsidR="00B43216" w:rsidRPr="00A17559" w:rsidRDefault="00B43216" w:rsidP="00B43216">
            <w:pPr>
              <w:pStyle w:val="Textpoznpodarou"/>
              <w:jc w:val="both"/>
              <w:rPr>
                <w:spacing w:val="-4"/>
                <w:lang w:val="en-GB"/>
              </w:rPr>
            </w:pPr>
          </w:p>
        </w:tc>
        <w:tc>
          <w:tcPr>
            <w:tcW w:w="7648" w:type="dxa"/>
            <w:shd w:val="clear" w:color="auto" w:fill="auto"/>
          </w:tcPr>
          <w:p w:rsidR="00B43216" w:rsidRPr="00A17559" w:rsidRDefault="008E1268" w:rsidP="00B43216">
            <w:pPr>
              <w:spacing w:after="0"/>
              <w:rPr>
                <w:spacing w:val="-4"/>
                <w:lang w:val="en-GB"/>
              </w:rPr>
            </w:pPr>
            <w:r>
              <w:rPr>
                <w:noProof/>
              </w:rPr>
              <w:drawing>
                <wp:inline distT="0" distB="0" distL="0" distR="0" wp14:anchorId="4AF2B27D" wp14:editId="78497B91">
                  <wp:extent cx="4751705" cy="3435607"/>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43216" w:rsidRPr="00A17559" w:rsidTr="00FB4505">
        <w:trPr>
          <w:trHeight w:val="155"/>
        </w:trPr>
        <w:tc>
          <w:tcPr>
            <w:tcW w:w="1790" w:type="dxa"/>
            <w:vMerge/>
            <w:shd w:val="clear" w:color="auto" w:fill="auto"/>
            <w:tcMar>
              <w:left w:w="0" w:type="dxa"/>
            </w:tcMar>
          </w:tcPr>
          <w:p w:rsidR="00B43216" w:rsidRPr="00A17559" w:rsidRDefault="00B43216" w:rsidP="00B43216">
            <w:pPr>
              <w:pStyle w:val="Marginlie"/>
              <w:rPr>
                <w:spacing w:val="-4"/>
                <w:lang w:val="en-GB"/>
              </w:rPr>
            </w:pPr>
          </w:p>
        </w:tc>
        <w:tc>
          <w:tcPr>
            <w:tcW w:w="216" w:type="dxa"/>
            <w:vMerge/>
            <w:shd w:val="clear" w:color="auto" w:fill="auto"/>
            <w:tcMar>
              <w:left w:w="0" w:type="dxa"/>
            </w:tcMar>
          </w:tcPr>
          <w:p w:rsidR="00B43216" w:rsidRPr="00A17559" w:rsidRDefault="00B43216" w:rsidP="00B43216">
            <w:pPr>
              <w:pStyle w:val="Textpoznpodarou"/>
              <w:jc w:val="both"/>
              <w:rPr>
                <w:spacing w:val="-4"/>
                <w:lang w:val="en-GB"/>
              </w:rPr>
            </w:pPr>
          </w:p>
        </w:tc>
        <w:tc>
          <w:tcPr>
            <w:tcW w:w="7648" w:type="dxa"/>
            <w:shd w:val="clear" w:color="auto" w:fill="auto"/>
            <w:tcMar>
              <w:left w:w="0" w:type="dxa"/>
            </w:tcMar>
          </w:tcPr>
          <w:p w:rsidR="00D218B6" w:rsidRPr="008E1268" w:rsidRDefault="00AD4C32" w:rsidP="00155B6D">
            <w:pPr>
              <w:spacing w:after="180"/>
              <w:rPr>
                <w:rFonts w:cs="Arial"/>
                <w:color w:val="0D0D0D" w:themeColor="text1" w:themeTint="F2"/>
                <w:sz w:val="14"/>
                <w:szCs w:val="14"/>
                <w:lang w:val="en-GB"/>
              </w:rPr>
            </w:pPr>
            <w:r w:rsidRPr="00A17559">
              <w:rPr>
                <w:rFonts w:cs="Arial"/>
                <w:color w:val="0D0D0D" w:themeColor="text1" w:themeTint="F2"/>
                <w:sz w:val="14"/>
                <w:szCs w:val="14"/>
                <w:lang w:val="en-GB"/>
              </w:rPr>
              <w:t xml:space="preserve">*Data after seasonal adjustment. </w:t>
            </w:r>
            <w:r w:rsidR="00B43216" w:rsidRPr="00A17559">
              <w:rPr>
                <w:rFonts w:cs="Arial"/>
                <w:color w:val="0D0D0D" w:themeColor="text1" w:themeTint="F2"/>
                <w:sz w:val="14"/>
                <w:szCs w:val="14"/>
                <w:lang w:val="en-GB"/>
              </w:rPr>
              <w:t xml:space="preserve">                                                                                                                    </w:t>
            </w:r>
            <w:r w:rsidRPr="00A17559">
              <w:rPr>
                <w:rFonts w:cs="Arial"/>
                <w:color w:val="0D0D0D" w:themeColor="text1" w:themeTint="F2"/>
                <w:sz w:val="14"/>
                <w:szCs w:val="14"/>
                <w:lang w:val="en-GB"/>
              </w:rPr>
              <w:t>Source</w:t>
            </w:r>
            <w:r w:rsidR="008E1268">
              <w:rPr>
                <w:rFonts w:cs="Arial"/>
                <w:color w:val="0D0D0D" w:themeColor="text1" w:themeTint="F2"/>
                <w:sz w:val="14"/>
                <w:szCs w:val="14"/>
                <w:lang w:val="en-GB"/>
              </w:rPr>
              <w:t>: Eurostat</w:t>
            </w:r>
          </w:p>
        </w:tc>
      </w:tr>
      <w:tr w:rsidR="00155B6D" w:rsidRPr="00A17559" w:rsidTr="00FB4505">
        <w:trPr>
          <w:trHeight w:val="145"/>
        </w:trPr>
        <w:tc>
          <w:tcPr>
            <w:tcW w:w="1790" w:type="dxa"/>
            <w:shd w:val="clear" w:color="auto" w:fill="auto"/>
            <w:tcMar>
              <w:left w:w="0" w:type="dxa"/>
            </w:tcMar>
          </w:tcPr>
          <w:p w:rsidR="00155B6D" w:rsidRPr="00A17559" w:rsidRDefault="00155B6D" w:rsidP="00155B6D">
            <w:pPr>
              <w:pStyle w:val="Marginlie"/>
              <w:rPr>
                <w:lang w:val="en-GB"/>
              </w:rPr>
            </w:pPr>
            <w:r w:rsidRPr="00A17559">
              <w:rPr>
                <w:lang w:val="en-GB"/>
              </w:rPr>
              <w:lastRenderedPageBreak/>
              <w:t>Number of job vacancies in the supply of labour offices neared 350 thousand, their rate of growth however slackened substantially since t</w:t>
            </w:r>
            <w:r>
              <w:rPr>
                <w:lang w:val="en-GB"/>
              </w:rPr>
              <w:t>he half of</w:t>
            </w:r>
            <w:r w:rsidRPr="00A17559">
              <w:rPr>
                <w:lang w:val="en-GB"/>
              </w:rPr>
              <w:t xml:space="preserve"> 2018.  </w:t>
            </w:r>
          </w:p>
          <w:p w:rsidR="00155B6D" w:rsidRDefault="00155B6D" w:rsidP="00B43216">
            <w:pPr>
              <w:pStyle w:val="Marginlie"/>
              <w:rPr>
                <w:lang w:val="en-GB"/>
              </w:rPr>
            </w:pPr>
          </w:p>
          <w:p w:rsidR="00155B6D" w:rsidRDefault="00155B6D" w:rsidP="00B43216">
            <w:pPr>
              <w:pStyle w:val="Marginlie"/>
              <w:rPr>
                <w:lang w:val="en-GB"/>
              </w:rPr>
            </w:pPr>
          </w:p>
          <w:p w:rsidR="00155B6D" w:rsidRDefault="00155B6D" w:rsidP="00B43216">
            <w:pPr>
              <w:pStyle w:val="Marginlie"/>
              <w:rPr>
                <w:lang w:val="en-GB"/>
              </w:rPr>
            </w:pPr>
          </w:p>
          <w:p w:rsidR="00155B6D" w:rsidRPr="00A17559" w:rsidRDefault="00155B6D" w:rsidP="00155B6D">
            <w:pPr>
              <w:pStyle w:val="Marginlie"/>
              <w:rPr>
                <w:lang w:val="en-GB"/>
              </w:rPr>
            </w:pPr>
            <w:r w:rsidRPr="00A17559">
              <w:rPr>
                <w:lang w:val="en-GB"/>
              </w:rPr>
              <w:t>New job vacancies targeted primarily per</w:t>
            </w:r>
            <w:r>
              <w:rPr>
                <w:lang w:val="en-GB"/>
              </w:rPr>
              <w:t>sons with lowest qualification.</w:t>
            </w:r>
          </w:p>
        </w:tc>
        <w:tc>
          <w:tcPr>
            <w:tcW w:w="216" w:type="dxa"/>
            <w:shd w:val="clear" w:color="auto" w:fill="auto"/>
            <w:tcMar>
              <w:left w:w="0" w:type="dxa"/>
            </w:tcMar>
          </w:tcPr>
          <w:p w:rsidR="00155B6D" w:rsidRPr="00A17559" w:rsidRDefault="00155B6D" w:rsidP="00B43216">
            <w:pPr>
              <w:pStyle w:val="Textpoznpodarou"/>
              <w:jc w:val="both"/>
              <w:rPr>
                <w:spacing w:val="-4"/>
                <w:lang w:val="en-GB"/>
              </w:rPr>
            </w:pPr>
          </w:p>
        </w:tc>
        <w:tc>
          <w:tcPr>
            <w:tcW w:w="7648" w:type="dxa"/>
            <w:shd w:val="clear" w:color="auto" w:fill="auto"/>
            <w:tcMar>
              <w:left w:w="0" w:type="dxa"/>
            </w:tcMar>
          </w:tcPr>
          <w:p w:rsidR="00155B6D" w:rsidRPr="00A17559" w:rsidRDefault="00155B6D" w:rsidP="00155B6D">
            <w:pPr>
              <w:spacing w:after="200"/>
              <w:rPr>
                <w:spacing w:val="-4"/>
                <w:lang w:val="en-GB"/>
              </w:rPr>
            </w:pPr>
            <w:r w:rsidRPr="00A17559">
              <w:rPr>
                <w:spacing w:val="-4"/>
                <w:lang w:val="en-GB"/>
              </w:rPr>
              <w:t>High demand for employees is evident from the rising number of job vacancies offered by the labour offices. There were 342.5 thousand of job vacancies at the end of June</w:t>
            </w:r>
            <w:r>
              <w:rPr>
                <w:spacing w:val="-4"/>
                <w:lang w:val="en-GB"/>
              </w:rPr>
              <w:t xml:space="preserve"> 2019</w:t>
            </w:r>
            <w:r w:rsidRPr="00A17559">
              <w:rPr>
                <w:spacing w:val="-4"/>
                <w:lang w:val="en-GB"/>
              </w:rPr>
              <w:t xml:space="preserve">, by 41 thousand more year-on-year. Speed of growth of number of positions however considerably slackened for the last year, their number even slightly lowered month-on-month in June (for the first time since the end of </w:t>
            </w:r>
            <w:r w:rsidRPr="00A17559">
              <w:rPr>
                <w:rFonts w:cs="Arial"/>
                <w:color w:val="0D0D0D" w:themeColor="text1" w:themeTint="F2"/>
                <w:spacing w:val="-4"/>
                <w:lang w:val="en-GB"/>
              </w:rPr>
              <w:t>2016). Dramatic imbalance of the job additions from the view of the qualification demands as well as regions attained already in the previous years further deepened, when the supply of new positions likely for the most part aimed at foreign workers from economically less developed countries. Already 77% of all job vacancies bel</w:t>
            </w:r>
            <w:r>
              <w:rPr>
                <w:rFonts w:cs="Arial"/>
                <w:color w:val="0D0D0D" w:themeColor="text1" w:themeTint="F2"/>
                <w:spacing w:val="-4"/>
                <w:lang w:val="en-GB"/>
              </w:rPr>
              <w:t>onged to classes with the low</w:t>
            </w:r>
            <w:r w:rsidRPr="00A17559">
              <w:rPr>
                <w:rFonts w:cs="Arial"/>
                <w:color w:val="0D0D0D" w:themeColor="text1" w:themeTint="F2"/>
                <w:spacing w:val="-4"/>
                <w:lang w:val="en-GB"/>
              </w:rPr>
              <w:t xml:space="preserve"> qualification (craftsmen and repairmen, machine operators, supporting and non-qualified staff). Similarly 69% of all jobs targeted applicants with maximally the primary </w:t>
            </w:r>
            <w:r>
              <w:rPr>
                <w:rFonts w:cs="Arial"/>
                <w:color w:val="0D0D0D" w:themeColor="text1" w:themeTint="F2"/>
                <w:spacing w:val="-4"/>
                <w:lang w:val="en-GB"/>
              </w:rPr>
              <w:t xml:space="preserve">or lower secondary </w:t>
            </w:r>
            <w:r w:rsidRPr="00A17559">
              <w:rPr>
                <w:rFonts w:cs="Arial"/>
                <w:color w:val="0D0D0D" w:themeColor="text1" w:themeTint="F2"/>
                <w:spacing w:val="-4"/>
                <w:lang w:val="en-GB"/>
              </w:rPr>
              <w:t>education, 20% then apprentices.</w:t>
            </w:r>
            <w:r>
              <w:rPr>
                <w:rFonts w:cs="Arial"/>
                <w:color w:val="0D0D0D" w:themeColor="text1" w:themeTint="F2"/>
                <w:spacing w:val="-4"/>
                <w:lang w:val="en-GB"/>
              </w:rPr>
              <w:t xml:space="preserve"> On the other hand </w:t>
            </w:r>
            <w:r w:rsidRPr="00A17559">
              <w:rPr>
                <w:lang w:val="en-GB"/>
              </w:rPr>
              <w:t>only minimum shift was observed in the supply for persons with higher education, but also e.g.</w:t>
            </w:r>
            <w:r>
              <w:rPr>
                <w:lang w:val="en-GB"/>
              </w:rPr>
              <w:t xml:space="preserve"> for persons with disabilities.</w:t>
            </w:r>
          </w:p>
        </w:tc>
      </w:tr>
      <w:tr w:rsidR="00B43216" w:rsidRPr="00A17559" w:rsidTr="00FB4505">
        <w:trPr>
          <w:trHeight w:val="1917"/>
        </w:trPr>
        <w:tc>
          <w:tcPr>
            <w:tcW w:w="1790" w:type="dxa"/>
            <w:shd w:val="clear" w:color="auto" w:fill="auto"/>
            <w:tcMar>
              <w:left w:w="0" w:type="dxa"/>
            </w:tcMar>
          </w:tcPr>
          <w:p w:rsidR="00B43216" w:rsidRPr="00A17559" w:rsidRDefault="00155B6D" w:rsidP="00D44896">
            <w:pPr>
              <w:pStyle w:val="Marginlie"/>
              <w:rPr>
                <w:spacing w:val="-4"/>
                <w:lang w:val="en-GB"/>
              </w:rPr>
            </w:pPr>
            <w:r w:rsidRPr="00A17559">
              <w:rPr>
                <w:rFonts w:cs="Arial"/>
                <w:color w:val="0D0D0D" w:themeColor="text1" w:themeTint="F2"/>
                <w:spacing w:val="-4"/>
                <w:lang w:val="en-GB"/>
              </w:rPr>
              <w:t xml:space="preserve">Excess of demand over supply of labour force, which has been apparent at the level of the CR </w:t>
            </w:r>
            <w:r>
              <w:rPr>
                <w:rFonts w:cs="Arial"/>
                <w:color w:val="0D0D0D" w:themeColor="text1" w:themeTint="F2"/>
                <w:spacing w:val="-4"/>
                <w:lang w:val="en-GB"/>
              </w:rPr>
              <w:t>already since April 2018.</w:t>
            </w:r>
          </w:p>
        </w:tc>
        <w:tc>
          <w:tcPr>
            <w:tcW w:w="216" w:type="dxa"/>
            <w:shd w:val="clear" w:color="auto" w:fill="auto"/>
            <w:tcMar>
              <w:left w:w="0" w:type="dxa"/>
            </w:tcMar>
          </w:tcPr>
          <w:p w:rsidR="00B43216" w:rsidRPr="00A17559" w:rsidRDefault="00B43216" w:rsidP="00B43216">
            <w:pPr>
              <w:pStyle w:val="Textpoznpodarou"/>
              <w:jc w:val="both"/>
              <w:rPr>
                <w:spacing w:val="-4"/>
                <w:lang w:val="en-GB"/>
              </w:rPr>
            </w:pPr>
          </w:p>
        </w:tc>
        <w:tc>
          <w:tcPr>
            <w:tcW w:w="7648" w:type="dxa"/>
            <w:shd w:val="clear" w:color="auto" w:fill="auto"/>
            <w:tcMar>
              <w:left w:w="0" w:type="dxa"/>
            </w:tcMar>
          </w:tcPr>
          <w:p w:rsidR="00D70A58" w:rsidRPr="00A17559" w:rsidRDefault="006965F5" w:rsidP="00FB4505">
            <w:pPr>
              <w:rPr>
                <w:spacing w:val="-4"/>
                <w:lang w:val="en-GB"/>
              </w:rPr>
            </w:pPr>
            <w:r w:rsidRPr="00A17559">
              <w:rPr>
                <w:rFonts w:cs="Arial"/>
                <w:color w:val="0D0D0D" w:themeColor="text1" w:themeTint="F2"/>
                <w:spacing w:val="-4"/>
                <w:lang w:val="en-GB"/>
              </w:rPr>
              <w:t xml:space="preserve">Ratio of job applicants to one job vacancy was </w:t>
            </w:r>
            <w:r w:rsidR="00B43216" w:rsidRPr="00A17559">
              <w:rPr>
                <w:rFonts w:cs="Arial"/>
                <w:color w:val="0D0D0D" w:themeColor="text1" w:themeTint="F2"/>
                <w:spacing w:val="-4"/>
                <w:lang w:val="en-GB"/>
              </w:rPr>
              <w:t>0</w:t>
            </w:r>
            <w:r w:rsidRPr="00A17559">
              <w:rPr>
                <w:rFonts w:cs="Arial"/>
                <w:color w:val="0D0D0D" w:themeColor="text1" w:themeTint="F2"/>
                <w:spacing w:val="-4"/>
                <w:lang w:val="en-GB"/>
              </w:rPr>
              <w:t>.</w:t>
            </w:r>
            <w:r w:rsidR="00B43216" w:rsidRPr="00A17559">
              <w:rPr>
                <w:rFonts w:cs="Arial"/>
                <w:color w:val="0D0D0D" w:themeColor="text1" w:themeTint="F2"/>
                <w:spacing w:val="-4"/>
                <w:lang w:val="en-GB"/>
              </w:rPr>
              <w:t>6</w:t>
            </w:r>
            <w:r w:rsidRPr="00A17559">
              <w:rPr>
                <w:rFonts w:cs="Arial"/>
                <w:color w:val="0D0D0D" w:themeColor="text1" w:themeTint="F2"/>
                <w:spacing w:val="-4"/>
                <w:lang w:val="en-GB"/>
              </w:rPr>
              <w:t>. Excess of demand over supply of labour force, which has been apparent at the level of the CR already since last year´s April, was signalle</w:t>
            </w:r>
            <w:r w:rsidR="00C16B15">
              <w:rPr>
                <w:rFonts w:cs="Arial"/>
                <w:color w:val="0D0D0D" w:themeColor="text1" w:themeTint="F2"/>
                <w:spacing w:val="-4"/>
                <w:lang w:val="en-GB"/>
              </w:rPr>
              <w:t>d by two thirds of district</w:t>
            </w:r>
            <w:r w:rsidRPr="00A17559">
              <w:rPr>
                <w:rFonts w:cs="Arial"/>
                <w:color w:val="0D0D0D" w:themeColor="text1" w:themeTint="F2"/>
                <w:spacing w:val="-4"/>
                <w:lang w:val="en-GB"/>
              </w:rPr>
              <w:t xml:space="preserve">s and majority of regions </w:t>
            </w:r>
            <w:r w:rsidR="00B43216" w:rsidRPr="00A17559">
              <w:rPr>
                <w:spacing w:val="-4"/>
                <w:lang w:val="en-GB"/>
              </w:rPr>
              <w:t>(</w:t>
            </w:r>
            <w:r w:rsidR="00D44896" w:rsidRPr="00A17559">
              <w:rPr>
                <w:spacing w:val="-4"/>
                <w:lang w:val="en-GB"/>
              </w:rPr>
              <w:t xml:space="preserve">apart from Ustecky and Moravian Silesian) in June this year. </w:t>
            </w:r>
            <w:r w:rsidR="006C4CDD" w:rsidRPr="00A17559">
              <w:rPr>
                <w:spacing w:val="-4"/>
                <w:lang w:val="en-GB"/>
              </w:rPr>
              <w:t xml:space="preserve">Excess pressure of applicants nevertheless still prevails for persons with the school leaving certificate </w:t>
            </w:r>
            <w:r w:rsidR="00B43216" w:rsidRPr="00A17559">
              <w:rPr>
                <w:spacing w:val="-4"/>
                <w:lang w:val="en-GB"/>
              </w:rPr>
              <w:t>(1</w:t>
            </w:r>
            <w:r w:rsidR="006C4CDD" w:rsidRPr="00A17559">
              <w:rPr>
                <w:spacing w:val="-4"/>
                <w:lang w:val="en-GB"/>
              </w:rPr>
              <w:t>.</w:t>
            </w:r>
            <w:r w:rsidR="00B43216" w:rsidRPr="00A17559">
              <w:rPr>
                <w:spacing w:val="-4"/>
                <w:lang w:val="en-GB"/>
              </w:rPr>
              <w:t xml:space="preserve">9) </w:t>
            </w:r>
            <w:r w:rsidR="006C4CDD" w:rsidRPr="00A17559">
              <w:rPr>
                <w:spacing w:val="-4"/>
                <w:lang w:val="en-GB"/>
              </w:rPr>
              <w:t xml:space="preserve">and university education </w:t>
            </w:r>
            <w:r w:rsidR="00B43216" w:rsidRPr="00A17559">
              <w:rPr>
                <w:spacing w:val="-4"/>
                <w:lang w:val="en-GB"/>
              </w:rPr>
              <w:t>(1</w:t>
            </w:r>
            <w:r w:rsidR="006C4CDD" w:rsidRPr="00A17559">
              <w:rPr>
                <w:spacing w:val="-4"/>
                <w:lang w:val="en-GB"/>
              </w:rPr>
              <w:t>.</w:t>
            </w:r>
            <w:r w:rsidR="00B43216" w:rsidRPr="00A17559">
              <w:rPr>
                <w:spacing w:val="-4"/>
                <w:lang w:val="en-GB"/>
              </w:rPr>
              <w:t>3) a</w:t>
            </w:r>
            <w:r w:rsidR="006C4CDD" w:rsidRPr="00A17559">
              <w:rPr>
                <w:spacing w:val="-4"/>
                <w:lang w:val="en-GB"/>
              </w:rPr>
              <w:t xml:space="preserve">nd for specific groups of applicants </w:t>
            </w:r>
            <w:r w:rsidR="00B43216" w:rsidRPr="00A17559">
              <w:rPr>
                <w:spacing w:val="-4"/>
                <w:lang w:val="en-GB"/>
              </w:rPr>
              <w:t xml:space="preserve">– </w:t>
            </w:r>
            <w:r w:rsidR="006C4CDD" w:rsidRPr="00A17559">
              <w:rPr>
                <w:spacing w:val="-4"/>
                <w:lang w:val="en-GB"/>
              </w:rPr>
              <w:t xml:space="preserve">women on parental leave or </w:t>
            </w:r>
            <w:r w:rsidR="00373973" w:rsidRPr="00A17559">
              <w:rPr>
                <w:spacing w:val="-4"/>
                <w:lang w:val="en-GB"/>
              </w:rPr>
              <w:t>persons</w:t>
            </w:r>
            <w:r w:rsidR="006C4CDD" w:rsidRPr="00A17559">
              <w:rPr>
                <w:spacing w:val="-4"/>
                <w:lang w:val="en-GB"/>
              </w:rPr>
              <w:t xml:space="preserve"> with disabilities </w:t>
            </w:r>
            <w:r w:rsidR="00B43216" w:rsidRPr="00A17559">
              <w:rPr>
                <w:spacing w:val="-4"/>
                <w:lang w:val="en-GB"/>
              </w:rPr>
              <w:t>(2</w:t>
            </w:r>
            <w:r w:rsidR="006C4CDD" w:rsidRPr="00A17559">
              <w:rPr>
                <w:spacing w:val="-4"/>
                <w:lang w:val="en-GB"/>
              </w:rPr>
              <w:t>.</w:t>
            </w:r>
            <w:r w:rsidR="00B43216" w:rsidRPr="00A17559">
              <w:rPr>
                <w:spacing w:val="-4"/>
                <w:lang w:val="en-GB"/>
              </w:rPr>
              <w:t>7).</w:t>
            </w:r>
          </w:p>
        </w:tc>
      </w:tr>
      <w:tr w:rsidR="00B43216" w:rsidRPr="00A17559" w:rsidTr="00FB4505">
        <w:trPr>
          <w:trHeight w:val="155"/>
        </w:trPr>
        <w:tc>
          <w:tcPr>
            <w:tcW w:w="1790" w:type="dxa"/>
            <w:vMerge w:val="restart"/>
            <w:shd w:val="clear" w:color="auto" w:fill="auto"/>
            <w:tcMar>
              <w:left w:w="0" w:type="dxa"/>
            </w:tcMar>
          </w:tcPr>
          <w:p w:rsidR="00B43216" w:rsidRPr="00A17559" w:rsidRDefault="00B43216" w:rsidP="00B43216">
            <w:pPr>
              <w:pStyle w:val="Marginlie"/>
              <w:rPr>
                <w:spacing w:val="-4"/>
                <w:lang w:val="en-GB"/>
              </w:rPr>
            </w:pPr>
          </w:p>
        </w:tc>
        <w:tc>
          <w:tcPr>
            <w:tcW w:w="216" w:type="dxa"/>
            <w:vMerge w:val="restart"/>
            <w:shd w:val="clear" w:color="auto" w:fill="auto"/>
            <w:tcMar>
              <w:left w:w="0" w:type="dxa"/>
            </w:tcMar>
          </w:tcPr>
          <w:p w:rsidR="00B43216" w:rsidRPr="00A17559" w:rsidRDefault="00B43216" w:rsidP="00B43216">
            <w:pPr>
              <w:pStyle w:val="Textpoznpodarou"/>
              <w:jc w:val="both"/>
              <w:rPr>
                <w:spacing w:val="-4"/>
                <w:lang w:val="en-GB"/>
              </w:rPr>
            </w:pPr>
          </w:p>
        </w:tc>
        <w:tc>
          <w:tcPr>
            <w:tcW w:w="7648" w:type="dxa"/>
            <w:shd w:val="clear" w:color="auto" w:fill="auto"/>
            <w:tcMar>
              <w:left w:w="0" w:type="dxa"/>
            </w:tcMar>
          </w:tcPr>
          <w:p w:rsidR="00B43216" w:rsidRPr="0001719F" w:rsidRDefault="006965F5" w:rsidP="008F7D34">
            <w:pPr>
              <w:spacing w:after="0"/>
              <w:rPr>
                <w:spacing w:val="-5"/>
                <w:lang w:val="en-GB"/>
              </w:rPr>
            </w:pPr>
            <w:r w:rsidRPr="0001719F">
              <w:rPr>
                <w:b/>
                <w:spacing w:val="-5"/>
                <w:lang w:val="en-GB"/>
              </w:rPr>
              <w:t xml:space="preserve">Chart </w:t>
            </w:r>
            <w:r w:rsidR="00E91301" w:rsidRPr="0001719F">
              <w:rPr>
                <w:b/>
                <w:spacing w:val="-5"/>
                <w:lang w:val="en-GB"/>
              </w:rPr>
              <w:t>15</w:t>
            </w:r>
            <w:r w:rsidR="008F7D34" w:rsidRPr="0001719F">
              <w:rPr>
                <w:b/>
                <w:spacing w:val="-5"/>
                <w:lang w:val="en-GB"/>
              </w:rPr>
              <w:t xml:space="preserve"> Average nominal and real wage and labour productivity</w:t>
            </w:r>
            <w:r w:rsidR="00B43216" w:rsidRPr="0001719F">
              <w:rPr>
                <w:b/>
                <w:spacing w:val="-5"/>
                <w:lang w:val="en-GB"/>
              </w:rPr>
              <w:t>*</w:t>
            </w:r>
            <w:r w:rsidR="0001719F" w:rsidRPr="0001719F">
              <w:rPr>
                <w:b/>
                <w:spacing w:val="-5"/>
                <w:lang w:val="en-GB"/>
              </w:rPr>
              <w:t>*</w:t>
            </w:r>
            <w:r w:rsidR="00B43216" w:rsidRPr="0001719F">
              <w:rPr>
                <w:spacing w:val="-5"/>
                <w:lang w:val="en-GB"/>
              </w:rPr>
              <w:t xml:space="preserve"> (</w:t>
            </w:r>
            <w:r w:rsidR="008F7D34" w:rsidRPr="0001719F">
              <w:rPr>
                <w:spacing w:val="-5"/>
                <w:lang w:val="en-GB"/>
              </w:rPr>
              <w:t xml:space="preserve">year-on-year in </w:t>
            </w:r>
            <w:r w:rsidR="00B43216" w:rsidRPr="0001719F">
              <w:rPr>
                <w:spacing w:val="-5"/>
                <w:lang w:val="en-GB"/>
              </w:rPr>
              <w:t>%)</w:t>
            </w:r>
          </w:p>
        </w:tc>
      </w:tr>
      <w:tr w:rsidR="00B43216" w:rsidRPr="00A17559" w:rsidTr="00FB4505">
        <w:tblPrEx>
          <w:tblCellMar>
            <w:left w:w="70" w:type="dxa"/>
            <w:right w:w="70" w:type="dxa"/>
          </w:tblCellMar>
        </w:tblPrEx>
        <w:trPr>
          <w:trHeight w:val="155"/>
        </w:trPr>
        <w:tc>
          <w:tcPr>
            <w:tcW w:w="1790" w:type="dxa"/>
            <w:vMerge/>
            <w:shd w:val="clear" w:color="auto" w:fill="auto"/>
          </w:tcPr>
          <w:p w:rsidR="00B43216" w:rsidRPr="00A17559" w:rsidRDefault="00B43216" w:rsidP="00B43216">
            <w:pPr>
              <w:pStyle w:val="Marginlie"/>
              <w:rPr>
                <w:spacing w:val="-4"/>
                <w:lang w:val="en-GB"/>
              </w:rPr>
            </w:pPr>
          </w:p>
        </w:tc>
        <w:tc>
          <w:tcPr>
            <w:tcW w:w="216" w:type="dxa"/>
            <w:vMerge/>
            <w:shd w:val="clear" w:color="auto" w:fill="auto"/>
          </w:tcPr>
          <w:p w:rsidR="00B43216" w:rsidRPr="00A17559" w:rsidRDefault="00B43216" w:rsidP="00B43216">
            <w:pPr>
              <w:pStyle w:val="Textpoznpodarou"/>
              <w:jc w:val="both"/>
              <w:rPr>
                <w:spacing w:val="-4"/>
                <w:lang w:val="en-GB"/>
              </w:rPr>
            </w:pPr>
          </w:p>
        </w:tc>
        <w:tc>
          <w:tcPr>
            <w:tcW w:w="7648" w:type="dxa"/>
            <w:shd w:val="clear" w:color="auto" w:fill="auto"/>
          </w:tcPr>
          <w:p w:rsidR="00B43216" w:rsidRPr="00A17559" w:rsidRDefault="00887B96" w:rsidP="00B43216">
            <w:pPr>
              <w:spacing w:after="0"/>
              <w:rPr>
                <w:spacing w:val="-4"/>
                <w:lang w:val="en-GB"/>
              </w:rPr>
            </w:pPr>
            <w:r>
              <w:rPr>
                <w:noProof/>
              </w:rPr>
              <w:drawing>
                <wp:inline distT="0" distB="0" distL="0" distR="0" wp14:anchorId="49E86C10" wp14:editId="66D520BE">
                  <wp:extent cx="4746468" cy="352800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B43216" w:rsidRPr="00A17559" w:rsidTr="00FB4505">
        <w:trPr>
          <w:trHeight w:val="155"/>
        </w:trPr>
        <w:tc>
          <w:tcPr>
            <w:tcW w:w="1790" w:type="dxa"/>
            <w:vMerge/>
            <w:shd w:val="clear" w:color="auto" w:fill="auto"/>
            <w:tcMar>
              <w:left w:w="0" w:type="dxa"/>
            </w:tcMar>
          </w:tcPr>
          <w:p w:rsidR="00B43216" w:rsidRPr="00A17559" w:rsidRDefault="00B43216" w:rsidP="00B43216">
            <w:pPr>
              <w:pStyle w:val="Marginlie"/>
              <w:rPr>
                <w:spacing w:val="-4"/>
                <w:lang w:val="en-GB"/>
              </w:rPr>
            </w:pPr>
          </w:p>
        </w:tc>
        <w:tc>
          <w:tcPr>
            <w:tcW w:w="216" w:type="dxa"/>
            <w:vMerge/>
            <w:shd w:val="clear" w:color="auto" w:fill="auto"/>
            <w:tcMar>
              <w:left w:w="0" w:type="dxa"/>
            </w:tcMar>
          </w:tcPr>
          <w:p w:rsidR="00B43216" w:rsidRPr="00A17559" w:rsidRDefault="00B43216" w:rsidP="00B43216">
            <w:pPr>
              <w:pStyle w:val="Textpoznpodarou"/>
              <w:jc w:val="both"/>
              <w:rPr>
                <w:spacing w:val="-4"/>
                <w:lang w:val="en-GB"/>
              </w:rPr>
            </w:pPr>
          </w:p>
        </w:tc>
        <w:tc>
          <w:tcPr>
            <w:tcW w:w="7648" w:type="dxa"/>
            <w:shd w:val="clear" w:color="auto" w:fill="auto"/>
            <w:tcMar>
              <w:left w:w="0" w:type="dxa"/>
            </w:tcMar>
          </w:tcPr>
          <w:p w:rsidR="00B43216" w:rsidRPr="00A17559" w:rsidRDefault="00B43216" w:rsidP="00B43216">
            <w:pPr>
              <w:spacing w:after="0"/>
              <w:rPr>
                <w:spacing w:val="-3"/>
                <w:sz w:val="14"/>
                <w:szCs w:val="14"/>
                <w:lang w:val="en-GB"/>
              </w:rPr>
            </w:pPr>
            <w:r w:rsidRPr="00A17559">
              <w:rPr>
                <w:spacing w:val="-3"/>
                <w:sz w:val="14"/>
                <w:szCs w:val="14"/>
                <w:lang w:val="en-GB"/>
              </w:rPr>
              <w:t>*</w:t>
            </w:r>
            <w:r w:rsidRPr="00A17559">
              <w:rPr>
                <w:rFonts w:cs="Arial"/>
                <w:spacing w:val="-3"/>
                <w:sz w:val="14"/>
                <w:szCs w:val="14"/>
                <w:lang w:val="en-GB"/>
              </w:rPr>
              <w:t xml:space="preserve"> </w:t>
            </w:r>
            <w:r w:rsidR="00600AB5" w:rsidRPr="00A17559">
              <w:rPr>
                <w:rFonts w:cs="Arial"/>
                <w:spacing w:val="-3"/>
                <w:sz w:val="14"/>
                <w:szCs w:val="14"/>
                <w:lang w:val="en-GB"/>
              </w:rPr>
              <w:t>Includes branches</w:t>
            </w:r>
            <w:r w:rsidRPr="00A17559">
              <w:rPr>
                <w:rFonts w:cs="Arial"/>
                <w:spacing w:val="-3"/>
                <w:sz w:val="14"/>
                <w:szCs w:val="14"/>
                <w:lang w:val="en-GB"/>
              </w:rPr>
              <w:t>:</w:t>
            </w:r>
            <w:r w:rsidR="00600AB5" w:rsidRPr="00A17559">
              <w:rPr>
                <w:rFonts w:cs="Arial"/>
                <w:spacing w:val="-3"/>
                <w:sz w:val="14"/>
                <w:szCs w:val="14"/>
                <w:lang w:val="en-GB"/>
              </w:rPr>
              <w:t xml:space="preserve"> Public administration, defence, social security; Education</w:t>
            </w:r>
            <w:r w:rsidRPr="00A17559">
              <w:rPr>
                <w:rFonts w:cs="Arial"/>
                <w:spacing w:val="-3"/>
                <w:sz w:val="14"/>
                <w:szCs w:val="14"/>
                <w:lang w:val="en-GB"/>
              </w:rPr>
              <w:t xml:space="preserve">; </w:t>
            </w:r>
            <w:r w:rsidR="00600AB5" w:rsidRPr="00A17559">
              <w:rPr>
                <w:rFonts w:cs="Arial"/>
                <w:spacing w:val="-3"/>
                <w:sz w:val="14"/>
                <w:szCs w:val="14"/>
                <w:lang w:val="en-GB"/>
              </w:rPr>
              <w:t>H</w:t>
            </w:r>
            <w:r w:rsidR="00F23826">
              <w:rPr>
                <w:rFonts w:cs="Arial"/>
                <w:spacing w:val="-3"/>
                <w:sz w:val="14"/>
                <w:szCs w:val="14"/>
                <w:lang w:val="en-GB"/>
              </w:rPr>
              <w:t>uman h</w:t>
            </w:r>
            <w:r w:rsidR="00600AB5" w:rsidRPr="00A17559">
              <w:rPr>
                <w:rFonts w:cs="Arial"/>
                <w:spacing w:val="-3"/>
                <w:sz w:val="14"/>
                <w:szCs w:val="14"/>
                <w:lang w:val="en-GB"/>
              </w:rPr>
              <w:t>ealth and social work</w:t>
            </w:r>
            <w:r w:rsidR="00F23826">
              <w:rPr>
                <w:rFonts w:cs="Arial"/>
                <w:spacing w:val="-3"/>
                <w:sz w:val="14"/>
                <w:szCs w:val="14"/>
                <w:lang w:val="en-GB"/>
              </w:rPr>
              <w:t xml:space="preserve"> activities</w:t>
            </w:r>
            <w:r w:rsidRPr="00A17559">
              <w:rPr>
                <w:rFonts w:cs="Arial"/>
                <w:spacing w:val="-3"/>
                <w:sz w:val="14"/>
                <w:szCs w:val="14"/>
                <w:lang w:val="en-GB"/>
              </w:rPr>
              <w:t xml:space="preserve">; </w:t>
            </w:r>
            <w:r w:rsidR="00F23826">
              <w:rPr>
                <w:rFonts w:cs="Arial"/>
                <w:spacing w:val="-3"/>
                <w:sz w:val="14"/>
                <w:szCs w:val="14"/>
                <w:lang w:val="en-GB"/>
              </w:rPr>
              <w:t>Arts, entertain</w:t>
            </w:r>
            <w:r w:rsidR="00600AB5" w:rsidRPr="00A17559">
              <w:rPr>
                <w:rFonts w:cs="Arial"/>
                <w:spacing w:val="-3"/>
                <w:sz w:val="14"/>
                <w:szCs w:val="14"/>
                <w:lang w:val="en-GB"/>
              </w:rPr>
              <w:t xml:space="preserve">ment and recreation activities. </w:t>
            </w:r>
          </w:p>
          <w:p w:rsidR="006C4CDD" w:rsidRPr="00887B96" w:rsidRDefault="00B43216" w:rsidP="00887B96">
            <w:pPr>
              <w:spacing w:after="200"/>
              <w:rPr>
                <w:rFonts w:cs="Arial"/>
                <w:sz w:val="14"/>
                <w:szCs w:val="14"/>
                <w:lang w:val="en-GB"/>
              </w:rPr>
            </w:pPr>
            <w:r w:rsidRPr="00A17559">
              <w:rPr>
                <w:spacing w:val="-3"/>
                <w:sz w:val="14"/>
                <w:szCs w:val="14"/>
                <w:lang w:val="en-GB"/>
              </w:rPr>
              <w:t>**</w:t>
            </w:r>
            <w:r w:rsidR="00887B96">
              <w:rPr>
                <w:spacing w:val="-3"/>
                <w:sz w:val="14"/>
                <w:szCs w:val="14"/>
                <w:lang w:val="en-GB"/>
              </w:rPr>
              <w:t xml:space="preserve">Calculated as the </w:t>
            </w:r>
            <w:r w:rsidR="00887B96">
              <w:rPr>
                <w:rFonts w:cs="Arial"/>
                <w:sz w:val="14"/>
                <w:szCs w:val="14"/>
                <w:lang w:val="en-GB"/>
              </w:rPr>
              <w:t>s</w:t>
            </w:r>
            <w:r w:rsidR="005568FA" w:rsidRPr="00A17559">
              <w:rPr>
                <w:rFonts w:cs="Arial"/>
                <w:sz w:val="14"/>
                <w:szCs w:val="14"/>
                <w:lang w:val="en-GB"/>
              </w:rPr>
              <w:t xml:space="preserve">hare of seasonally non-adjusted GDP and </w:t>
            </w:r>
            <w:r w:rsidR="0001719F">
              <w:rPr>
                <w:rFonts w:cs="Arial"/>
                <w:sz w:val="14"/>
                <w:szCs w:val="14"/>
                <w:lang w:val="en-GB"/>
              </w:rPr>
              <w:t xml:space="preserve">total </w:t>
            </w:r>
            <w:r w:rsidR="005568FA" w:rsidRPr="00A17559">
              <w:rPr>
                <w:rFonts w:cs="Arial"/>
                <w:sz w:val="14"/>
                <w:szCs w:val="14"/>
                <w:lang w:val="en-GB"/>
              </w:rPr>
              <w:t>employment (in the national accounts conception)</w:t>
            </w:r>
            <w:r w:rsidR="00887B96">
              <w:rPr>
                <w:rFonts w:cs="Arial"/>
                <w:sz w:val="14"/>
                <w:szCs w:val="14"/>
                <w:lang w:val="en-GB"/>
              </w:rPr>
              <w:t>.</w:t>
            </w:r>
            <w:r w:rsidR="005568FA" w:rsidRPr="00A17559">
              <w:rPr>
                <w:rFonts w:cs="Arial"/>
                <w:sz w:val="14"/>
                <w:szCs w:val="14"/>
                <w:lang w:val="en-GB"/>
              </w:rPr>
              <w:t xml:space="preserve">                                                          Source</w:t>
            </w:r>
            <w:r w:rsidRPr="00A17559">
              <w:rPr>
                <w:spacing w:val="-3"/>
                <w:sz w:val="14"/>
                <w:szCs w:val="14"/>
                <w:lang w:val="en-GB"/>
              </w:rPr>
              <w:t>:</w:t>
            </w:r>
            <w:r w:rsidR="005568FA" w:rsidRPr="00A17559">
              <w:rPr>
                <w:spacing w:val="-3"/>
                <w:sz w:val="14"/>
                <w:szCs w:val="14"/>
                <w:lang w:val="en-GB"/>
              </w:rPr>
              <w:t xml:space="preserve"> CZSO </w:t>
            </w:r>
            <w:r w:rsidRPr="00A17559">
              <w:rPr>
                <w:rFonts w:cs="Arial"/>
                <w:sz w:val="14"/>
                <w:szCs w:val="14"/>
                <w:lang w:val="en-GB"/>
              </w:rPr>
              <w:t>(n</w:t>
            </w:r>
            <w:r w:rsidR="005568FA" w:rsidRPr="00A17559">
              <w:rPr>
                <w:rFonts w:cs="Arial"/>
                <w:sz w:val="14"/>
                <w:szCs w:val="14"/>
                <w:lang w:val="en-GB"/>
              </w:rPr>
              <w:t>ational accounts</w:t>
            </w:r>
            <w:r w:rsidR="00887B96">
              <w:rPr>
                <w:rFonts w:cs="Arial"/>
                <w:sz w:val="14"/>
                <w:szCs w:val="14"/>
                <w:lang w:val="en-GB"/>
              </w:rPr>
              <w:t>)</w:t>
            </w:r>
          </w:p>
        </w:tc>
      </w:tr>
      <w:tr w:rsidR="00B43216" w:rsidRPr="00A17559" w:rsidTr="00FB4505">
        <w:trPr>
          <w:trHeight w:val="145"/>
        </w:trPr>
        <w:tc>
          <w:tcPr>
            <w:tcW w:w="1790" w:type="dxa"/>
            <w:shd w:val="clear" w:color="auto" w:fill="auto"/>
            <w:tcMar>
              <w:left w:w="0" w:type="dxa"/>
            </w:tcMar>
          </w:tcPr>
          <w:p w:rsidR="00B43216" w:rsidRPr="00A17559" w:rsidRDefault="00B43216" w:rsidP="00A93D06">
            <w:pPr>
              <w:pStyle w:val="Marginlie"/>
              <w:rPr>
                <w:spacing w:val="-4"/>
                <w:lang w:val="en-GB"/>
              </w:rPr>
            </w:pPr>
            <w:r w:rsidRPr="00A17559">
              <w:rPr>
                <w:lang w:val="en-GB"/>
              </w:rPr>
              <w:t>Fa</w:t>
            </w:r>
            <w:r w:rsidR="00A93D06" w:rsidRPr="00A17559">
              <w:rPr>
                <w:lang w:val="en-GB"/>
              </w:rPr>
              <w:t xml:space="preserve">ctors </w:t>
            </w:r>
            <w:r w:rsidR="00CC5BF7">
              <w:rPr>
                <w:lang w:val="en-GB"/>
              </w:rPr>
              <w:t xml:space="preserve">promoting brisk growth of wage </w:t>
            </w:r>
            <w:r w:rsidR="00A93D06" w:rsidRPr="00A17559">
              <w:rPr>
                <w:lang w:val="en-GB"/>
              </w:rPr>
              <w:t xml:space="preserve">were still more prominent in the domestic economy. </w:t>
            </w:r>
          </w:p>
        </w:tc>
        <w:tc>
          <w:tcPr>
            <w:tcW w:w="216" w:type="dxa"/>
            <w:shd w:val="clear" w:color="auto" w:fill="auto"/>
            <w:tcMar>
              <w:left w:w="0" w:type="dxa"/>
            </w:tcMar>
          </w:tcPr>
          <w:p w:rsidR="00B43216" w:rsidRPr="00A17559" w:rsidRDefault="00B43216" w:rsidP="00B43216">
            <w:pPr>
              <w:pStyle w:val="Textpoznpodarou"/>
              <w:jc w:val="both"/>
              <w:rPr>
                <w:spacing w:val="-4"/>
                <w:lang w:val="en-GB"/>
              </w:rPr>
            </w:pPr>
          </w:p>
        </w:tc>
        <w:tc>
          <w:tcPr>
            <w:tcW w:w="7648" w:type="dxa"/>
            <w:shd w:val="clear" w:color="auto" w:fill="auto"/>
            <w:tcMar>
              <w:left w:w="0" w:type="dxa"/>
            </w:tcMar>
          </w:tcPr>
          <w:p w:rsidR="00B43216" w:rsidRPr="00A17559" w:rsidRDefault="00A93D06" w:rsidP="00B43216">
            <w:pPr>
              <w:spacing w:after="0"/>
              <w:rPr>
                <w:spacing w:val="-4"/>
                <w:lang w:val="en-GB"/>
              </w:rPr>
            </w:pPr>
            <w:r w:rsidRPr="00A17559">
              <w:rPr>
                <w:spacing w:val="-4"/>
                <w:lang w:val="en-GB"/>
              </w:rPr>
              <w:t xml:space="preserve">In spite of more urgent </w:t>
            </w:r>
            <w:r w:rsidR="00B43216" w:rsidRPr="00A17559">
              <w:rPr>
                <w:spacing w:val="-4"/>
                <w:lang w:val="en-GB"/>
              </w:rPr>
              <w:t>„</w:t>
            </w:r>
            <w:r w:rsidRPr="00A17559">
              <w:rPr>
                <w:spacing w:val="-4"/>
                <w:lang w:val="en-GB"/>
              </w:rPr>
              <w:t>import</w:t>
            </w:r>
            <w:r w:rsidR="00B43216" w:rsidRPr="00A17559">
              <w:rPr>
                <w:spacing w:val="-4"/>
                <w:lang w:val="en-GB"/>
              </w:rPr>
              <w:t xml:space="preserve">“ </w:t>
            </w:r>
            <w:r w:rsidRPr="00A17559">
              <w:rPr>
                <w:spacing w:val="-4"/>
                <w:lang w:val="en-GB"/>
              </w:rPr>
              <w:t xml:space="preserve">of foreign workers, domestic employers still faced considerable difficulties in their staffing process. Higher fluctuation was also likely in play mostly with less qualified workers, which results from the fact, that these positions were taken by persons less established on the domestic labour market </w:t>
            </w:r>
            <w:r w:rsidR="00B43216" w:rsidRPr="00A17559">
              <w:rPr>
                <w:spacing w:val="-4"/>
                <w:lang w:val="en-GB"/>
              </w:rPr>
              <w:t>(</w:t>
            </w:r>
            <w:r w:rsidRPr="00A17559">
              <w:rPr>
                <w:spacing w:val="-4"/>
                <w:lang w:val="en-GB"/>
              </w:rPr>
              <w:t>foreigners, long-term unemployed</w:t>
            </w:r>
            <w:r w:rsidR="00B43216" w:rsidRPr="00A17559">
              <w:rPr>
                <w:spacing w:val="-4"/>
                <w:lang w:val="en-GB"/>
              </w:rPr>
              <w:t>). T</w:t>
            </w:r>
            <w:r w:rsidRPr="00A17559">
              <w:rPr>
                <w:spacing w:val="-4"/>
                <w:lang w:val="en-GB"/>
              </w:rPr>
              <w:t xml:space="preserve">hese factors together with the repeated increases of the minimal wage were contributing to the high wage dynamics. </w:t>
            </w:r>
            <w:r w:rsidR="007A71DE">
              <w:rPr>
                <w:spacing w:val="-4"/>
                <w:lang w:val="en-GB"/>
              </w:rPr>
              <w:t>However, chances</w:t>
            </w:r>
            <w:r w:rsidR="00F2079F" w:rsidRPr="00A17559">
              <w:rPr>
                <w:spacing w:val="-4"/>
                <w:lang w:val="en-GB"/>
              </w:rPr>
              <w:t xml:space="preserve"> for its sustaining kept </w:t>
            </w:r>
            <w:r w:rsidR="00F2079F" w:rsidRPr="00A17559">
              <w:rPr>
                <w:spacing w:val="-4"/>
                <w:lang w:val="en-GB"/>
              </w:rPr>
              <w:lastRenderedPageBreak/>
              <w:t xml:space="preserve">further narrowing due to falling profitability of businesses enhanced by the worsened economic development in key export destinations.  </w:t>
            </w:r>
          </w:p>
          <w:p w:rsidR="00B43216" w:rsidRPr="00A17559" w:rsidRDefault="00B43216" w:rsidP="00B43216">
            <w:pPr>
              <w:spacing w:after="0"/>
              <w:rPr>
                <w:spacing w:val="-4"/>
                <w:lang w:val="en-GB"/>
              </w:rPr>
            </w:pPr>
          </w:p>
        </w:tc>
      </w:tr>
      <w:tr w:rsidR="00B43216" w:rsidRPr="00A17559" w:rsidTr="00FB4505">
        <w:trPr>
          <w:trHeight w:val="145"/>
        </w:trPr>
        <w:tc>
          <w:tcPr>
            <w:tcW w:w="1790" w:type="dxa"/>
            <w:shd w:val="clear" w:color="auto" w:fill="auto"/>
            <w:tcMar>
              <w:left w:w="0" w:type="dxa"/>
            </w:tcMar>
          </w:tcPr>
          <w:p w:rsidR="00B43216" w:rsidRPr="00A17559" w:rsidRDefault="00CD07BE" w:rsidP="00B43216">
            <w:pPr>
              <w:pStyle w:val="Marginlie"/>
              <w:rPr>
                <w:lang w:val="en-GB"/>
              </w:rPr>
            </w:pPr>
            <w:r w:rsidRPr="00A17559">
              <w:rPr>
                <w:lang w:val="en-GB"/>
              </w:rPr>
              <w:lastRenderedPageBreak/>
              <w:t>Rate of growth of average nominal wages slightly slowed this year compared to H</w:t>
            </w:r>
            <w:r w:rsidR="00B43216" w:rsidRPr="00A17559">
              <w:rPr>
                <w:lang w:val="en-GB"/>
              </w:rPr>
              <w:t>1</w:t>
            </w:r>
            <w:r w:rsidRPr="00A17559">
              <w:rPr>
                <w:lang w:val="en-GB"/>
              </w:rPr>
              <w:t xml:space="preserve"> </w:t>
            </w:r>
            <w:r w:rsidR="00B43216" w:rsidRPr="00A17559">
              <w:rPr>
                <w:lang w:val="en-GB"/>
              </w:rPr>
              <w:t xml:space="preserve">2018, </w:t>
            </w:r>
            <w:r w:rsidRPr="00A17559">
              <w:rPr>
                <w:lang w:val="en-GB"/>
              </w:rPr>
              <w:t xml:space="preserve">due to the effect of manufacturing and public services. </w:t>
            </w:r>
          </w:p>
          <w:p w:rsidR="00B43216" w:rsidRPr="00A17559" w:rsidRDefault="00B43216" w:rsidP="00B43216">
            <w:pPr>
              <w:pStyle w:val="Marginlie"/>
              <w:rPr>
                <w:lang w:val="en-GB"/>
              </w:rPr>
            </w:pPr>
          </w:p>
          <w:p w:rsidR="00B43216" w:rsidRPr="00A17559" w:rsidRDefault="00B43216" w:rsidP="00B43216">
            <w:pPr>
              <w:pStyle w:val="Marginlie"/>
              <w:rPr>
                <w:lang w:val="en-GB"/>
              </w:rPr>
            </w:pPr>
          </w:p>
          <w:p w:rsidR="00B43216" w:rsidRPr="00A17559" w:rsidRDefault="00B43216" w:rsidP="00B43216">
            <w:pPr>
              <w:pStyle w:val="Marginlie"/>
              <w:rPr>
                <w:lang w:val="en-GB"/>
              </w:rPr>
            </w:pPr>
          </w:p>
          <w:p w:rsidR="00B43216" w:rsidRPr="00A17559" w:rsidRDefault="00B43216" w:rsidP="00B43216">
            <w:pPr>
              <w:pStyle w:val="Marginlie"/>
              <w:rPr>
                <w:lang w:val="en-GB"/>
              </w:rPr>
            </w:pPr>
          </w:p>
          <w:p w:rsidR="00B43216" w:rsidRPr="00A17559" w:rsidRDefault="00CD07BE" w:rsidP="00CD07BE">
            <w:pPr>
              <w:pStyle w:val="Marginlie"/>
              <w:rPr>
                <w:lang w:val="en-GB"/>
              </w:rPr>
            </w:pPr>
            <w:r w:rsidRPr="00A17559">
              <w:rPr>
                <w:lang w:val="en-GB"/>
              </w:rPr>
              <w:t xml:space="preserve">Wages notably gained pace in financial activities. </w:t>
            </w:r>
          </w:p>
        </w:tc>
        <w:tc>
          <w:tcPr>
            <w:tcW w:w="216" w:type="dxa"/>
            <w:shd w:val="clear" w:color="auto" w:fill="auto"/>
            <w:tcMar>
              <w:left w:w="0" w:type="dxa"/>
            </w:tcMar>
          </w:tcPr>
          <w:p w:rsidR="00B43216" w:rsidRPr="00A17559" w:rsidRDefault="00B43216" w:rsidP="00B43216">
            <w:pPr>
              <w:pStyle w:val="Textpoznpodarou"/>
              <w:jc w:val="both"/>
              <w:rPr>
                <w:spacing w:val="-4"/>
                <w:lang w:val="en-GB"/>
              </w:rPr>
            </w:pPr>
          </w:p>
        </w:tc>
        <w:tc>
          <w:tcPr>
            <w:tcW w:w="7648" w:type="dxa"/>
            <w:shd w:val="clear" w:color="auto" w:fill="auto"/>
            <w:tcMar>
              <w:left w:w="0" w:type="dxa"/>
            </w:tcMar>
          </w:tcPr>
          <w:p w:rsidR="00B43216" w:rsidRPr="00A17559" w:rsidRDefault="00205932" w:rsidP="00D653A0">
            <w:pPr>
              <w:spacing w:after="200"/>
              <w:rPr>
                <w:spacing w:val="-4"/>
                <w:lang w:val="en-GB"/>
              </w:rPr>
            </w:pPr>
            <w:r w:rsidRPr="00A17559">
              <w:rPr>
                <w:spacing w:val="-4"/>
                <w:lang w:val="en-GB"/>
              </w:rPr>
              <w:t>The average gross nominal monthly employee wage went up by 7.2% (based on</w:t>
            </w:r>
            <w:r w:rsidR="00F5487D">
              <w:rPr>
                <w:spacing w:val="-4"/>
                <w:lang w:val="en-GB"/>
              </w:rPr>
              <w:t xml:space="preserve"> business</w:t>
            </w:r>
            <w:r w:rsidRPr="00A17559">
              <w:rPr>
                <w:spacing w:val="-4"/>
                <w:lang w:val="en-GB"/>
              </w:rPr>
              <w:t xml:space="preserve"> statistics) year-on-year and climbed slightly above 34 thousand CZK in Q</w:t>
            </w:r>
            <w:r w:rsidR="00B43216" w:rsidRPr="00A17559">
              <w:rPr>
                <w:spacing w:val="-4"/>
                <w:lang w:val="en-GB"/>
              </w:rPr>
              <w:t>2</w:t>
            </w:r>
            <w:r w:rsidRPr="00A17559">
              <w:rPr>
                <w:spacing w:val="-4"/>
                <w:lang w:val="en-GB"/>
              </w:rPr>
              <w:t xml:space="preserve"> </w:t>
            </w:r>
            <w:r w:rsidR="00B43216" w:rsidRPr="00A17559">
              <w:rPr>
                <w:spacing w:val="-4"/>
                <w:lang w:val="en-GB"/>
              </w:rPr>
              <w:t>2019</w:t>
            </w:r>
            <w:r w:rsidRPr="00A17559">
              <w:rPr>
                <w:spacing w:val="-4"/>
                <w:lang w:val="en-GB"/>
              </w:rPr>
              <w:t xml:space="preserve">. </w:t>
            </w:r>
            <w:r w:rsidR="006032E5" w:rsidRPr="00A17559">
              <w:rPr>
                <w:spacing w:val="-4"/>
                <w:lang w:val="en-GB"/>
              </w:rPr>
              <w:t xml:space="preserve">Growth reached 7.3% for the whole half-year </w:t>
            </w:r>
            <w:r w:rsidR="00B43216" w:rsidRPr="00A17559">
              <w:rPr>
                <w:rFonts w:cs="Arial"/>
                <w:color w:val="0D0D0D" w:themeColor="text1" w:themeTint="F2"/>
                <w:spacing w:val="-4"/>
                <w:lang w:val="en-GB"/>
              </w:rPr>
              <w:t>(</w:t>
            </w:r>
            <w:r w:rsidR="00DF6CA7" w:rsidRPr="00A17559">
              <w:rPr>
                <w:rFonts w:cs="Arial"/>
                <w:color w:val="0D0D0D" w:themeColor="text1" w:themeTint="F2"/>
                <w:spacing w:val="-4"/>
                <w:lang w:val="en-GB"/>
              </w:rPr>
              <w:t xml:space="preserve">it was 8.0% in the same period of year </w:t>
            </w:r>
            <w:r w:rsidR="00B43216" w:rsidRPr="00A17559">
              <w:rPr>
                <w:rFonts w:cs="Arial"/>
                <w:color w:val="0D0D0D" w:themeColor="text1" w:themeTint="F2"/>
                <w:spacing w:val="-4"/>
                <w:lang w:val="en-GB"/>
              </w:rPr>
              <w:t>2018).</w:t>
            </w:r>
            <w:r w:rsidR="00DF6CA7" w:rsidRPr="00A17559">
              <w:rPr>
                <w:rFonts w:cs="Arial"/>
                <w:color w:val="0D0D0D" w:themeColor="text1" w:themeTint="F2"/>
                <w:spacing w:val="-4"/>
                <w:lang w:val="en-GB"/>
              </w:rPr>
              <w:t xml:space="preserve"> The </w:t>
            </w:r>
            <w:r w:rsidR="00F23826">
              <w:rPr>
                <w:rFonts w:cs="Arial"/>
                <w:color w:val="0D0D0D" w:themeColor="text1" w:themeTint="F2"/>
                <w:spacing w:val="-4"/>
                <w:lang w:val="en-GB"/>
              </w:rPr>
              <w:t>highest wage</w:t>
            </w:r>
            <w:r w:rsidR="00DF6CA7" w:rsidRPr="00A17559">
              <w:rPr>
                <w:rFonts w:cs="Arial"/>
                <w:color w:val="0D0D0D" w:themeColor="text1" w:themeTint="F2"/>
                <w:spacing w:val="-4"/>
                <w:lang w:val="en-GB"/>
              </w:rPr>
              <w:t xml:space="preserve"> g</w:t>
            </w:r>
            <w:r w:rsidR="00F23826">
              <w:rPr>
                <w:rFonts w:cs="Arial"/>
                <w:color w:val="0D0D0D" w:themeColor="text1" w:themeTint="F2"/>
                <w:spacing w:val="-4"/>
                <w:lang w:val="en-GB"/>
              </w:rPr>
              <w:t>rowth among main branches displayed arts, entertain</w:t>
            </w:r>
            <w:r w:rsidR="00DF6CA7" w:rsidRPr="00A17559">
              <w:rPr>
                <w:rFonts w:cs="Arial"/>
                <w:color w:val="0D0D0D" w:themeColor="text1" w:themeTint="F2"/>
                <w:spacing w:val="-4"/>
                <w:lang w:val="en-GB"/>
              </w:rPr>
              <w:t xml:space="preserve">ment and recreational activities </w:t>
            </w:r>
            <w:r w:rsidR="00B43216" w:rsidRPr="00A17559">
              <w:rPr>
                <w:rFonts w:cs="Arial"/>
                <w:color w:val="0D0D0D" w:themeColor="text1" w:themeTint="F2"/>
                <w:spacing w:val="-4"/>
                <w:lang w:val="en-GB"/>
              </w:rPr>
              <w:t>(12</w:t>
            </w:r>
            <w:r w:rsidR="00DF6CA7" w:rsidRPr="00A17559">
              <w:rPr>
                <w:rFonts w:cs="Arial"/>
                <w:color w:val="0D0D0D" w:themeColor="text1" w:themeTint="F2"/>
                <w:spacing w:val="-4"/>
                <w:lang w:val="en-GB"/>
              </w:rPr>
              <w:t>.</w:t>
            </w:r>
            <w:r w:rsidR="00714224">
              <w:rPr>
                <w:rFonts w:cs="Arial"/>
                <w:color w:val="0D0D0D" w:themeColor="text1" w:themeTint="F2"/>
                <w:spacing w:val="-4"/>
                <w:lang w:val="en-GB"/>
              </w:rPr>
              <w:t>0%). However,</w:t>
            </w:r>
            <w:r w:rsidR="00DF6CA7" w:rsidRPr="00A17559">
              <w:rPr>
                <w:rFonts w:cs="Arial"/>
                <w:color w:val="0D0D0D" w:themeColor="text1" w:themeTint="F2"/>
                <w:spacing w:val="-4"/>
                <w:lang w:val="en-GB"/>
              </w:rPr>
              <w:t xml:space="preserve"> </w:t>
            </w:r>
            <w:r w:rsidR="006032E5" w:rsidRPr="00A17559">
              <w:rPr>
                <w:rFonts w:cs="Arial"/>
                <w:color w:val="0D0D0D" w:themeColor="text1" w:themeTint="F2"/>
                <w:spacing w:val="-4"/>
                <w:lang w:val="en-GB"/>
              </w:rPr>
              <w:t xml:space="preserve">growth </w:t>
            </w:r>
            <w:r w:rsidR="00F23826">
              <w:rPr>
                <w:rFonts w:cs="Arial"/>
                <w:color w:val="0D0D0D" w:themeColor="text1" w:themeTint="F2"/>
                <w:spacing w:val="-4"/>
                <w:lang w:val="en-GB"/>
              </w:rPr>
              <w:t xml:space="preserve">within this branch </w:t>
            </w:r>
            <w:r w:rsidR="00714224">
              <w:rPr>
                <w:rFonts w:cs="Arial"/>
                <w:color w:val="0D0D0D" w:themeColor="text1" w:themeTint="F2"/>
                <w:spacing w:val="-4"/>
                <w:lang w:val="en-GB"/>
              </w:rPr>
              <w:t xml:space="preserve">was </w:t>
            </w:r>
            <w:r w:rsidR="006032E5" w:rsidRPr="00A17559">
              <w:rPr>
                <w:rFonts w:cs="Arial"/>
                <w:color w:val="0D0D0D" w:themeColor="text1" w:themeTint="F2"/>
                <w:spacing w:val="-4"/>
                <w:lang w:val="en-GB"/>
              </w:rPr>
              <w:t xml:space="preserve">concentrated in the segment outside the area of public services. </w:t>
            </w:r>
            <w:r w:rsidR="001E09E1" w:rsidRPr="00A17559">
              <w:rPr>
                <w:rFonts w:cs="Arial"/>
                <w:color w:val="0D0D0D" w:themeColor="text1" w:themeTint="F2"/>
                <w:spacing w:val="-4"/>
                <w:lang w:val="en-GB"/>
              </w:rPr>
              <w:t xml:space="preserve">There earnings grew the most in education </w:t>
            </w:r>
            <w:r w:rsidR="00B43216" w:rsidRPr="00A17559">
              <w:rPr>
                <w:rFonts w:cs="Arial"/>
                <w:color w:val="0D0D0D" w:themeColor="text1" w:themeTint="F2"/>
                <w:spacing w:val="-4"/>
                <w:lang w:val="en-GB"/>
              </w:rPr>
              <w:t>(</w:t>
            </w:r>
            <w:r w:rsidR="001E09E1" w:rsidRPr="00A17559">
              <w:rPr>
                <w:rFonts w:cs="Arial"/>
                <w:color w:val="0D0D0D" w:themeColor="text1" w:themeTint="F2"/>
                <w:spacing w:val="-4"/>
                <w:lang w:val="en-GB"/>
              </w:rPr>
              <w:t xml:space="preserve">nearly by </w:t>
            </w:r>
            <w:r w:rsidR="00B43216" w:rsidRPr="00A17559">
              <w:rPr>
                <w:rFonts w:cs="Arial"/>
                <w:color w:val="0D0D0D" w:themeColor="text1" w:themeTint="F2"/>
                <w:spacing w:val="-4"/>
                <w:lang w:val="en-GB"/>
              </w:rPr>
              <w:t>10</w:t>
            </w:r>
            <w:r w:rsidR="001E09E1" w:rsidRPr="00A17559">
              <w:rPr>
                <w:rFonts w:cs="Arial"/>
                <w:color w:val="0D0D0D" w:themeColor="text1" w:themeTint="F2"/>
                <w:spacing w:val="-4"/>
                <w:lang w:val="en-GB"/>
              </w:rPr>
              <w:t>.</w:t>
            </w:r>
            <w:r w:rsidR="00B43216" w:rsidRPr="00A17559">
              <w:rPr>
                <w:rFonts w:cs="Arial"/>
                <w:color w:val="0D0D0D" w:themeColor="text1" w:themeTint="F2"/>
                <w:spacing w:val="-4"/>
                <w:lang w:val="en-GB"/>
              </w:rPr>
              <w:t xml:space="preserve">6%), </w:t>
            </w:r>
            <w:r w:rsidR="001E09E1" w:rsidRPr="00A17559">
              <w:rPr>
                <w:rFonts w:cs="Arial"/>
                <w:color w:val="0D0D0D" w:themeColor="text1" w:themeTint="F2"/>
                <w:spacing w:val="-4"/>
                <w:lang w:val="en-GB"/>
              </w:rPr>
              <w:t xml:space="preserve">still their average monthly size somewhat lagged behind the level of the national economy. Wages grew briskly also in administrative and support service activities </w:t>
            </w:r>
            <w:r w:rsidR="00B43216" w:rsidRPr="00A17559">
              <w:rPr>
                <w:spacing w:val="-3"/>
                <w:lang w:val="en-GB"/>
              </w:rPr>
              <w:t>(+8</w:t>
            </w:r>
            <w:r w:rsidR="001E09E1" w:rsidRPr="00A17559">
              <w:rPr>
                <w:spacing w:val="-3"/>
                <w:lang w:val="en-GB"/>
              </w:rPr>
              <w:t>.</w:t>
            </w:r>
            <w:r w:rsidR="00B43216" w:rsidRPr="00A17559">
              <w:rPr>
                <w:spacing w:val="-3"/>
                <w:lang w:val="en-GB"/>
              </w:rPr>
              <w:t>7%),</w:t>
            </w:r>
            <w:r w:rsidR="001E09E1" w:rsidRPr="00A17559">
              <w:rPr>
                <w:spacing w:val="-3"/>
                <w:lang w:val="en-GB"/>
              </w:rPr>
              <w:t xml:space="preserve"> their level was</w:t>
            </w:r>
            <w:r w:rsidR="006E3420">
              <w:rPr>
                <w:spacing w:val="-3"/>
                <w:lang w:val="en-GB"/>
              </w:rPr>
              <w:t>,</w:t>
            </w:r>
            <w:r w:rsidR="001E09E1" w:rsidRPr="00A17559">
              <w:rPr>
                <w:spacing w:val="-3"/>
                <w:lang w:val="en-GB"/>
              </w:rPr>
              <w:t xml:space="preserve"> however</w:t>
            </w:r>
            <w:r w:rsidR="006E3420">
              <w:rPr>
                <w:spacing w:val="-3"/>
                <w:lang w:val="en-GB"/>
              </w:rPr>
              <w:t>,</w:t>
            </w:r>
            <w:r w:rsidR="001E09E1" w:rsidRPr="00A17559">
              <w:rPr>
                <w:spacing w:val="-3"/>
                <w:lang w:val="en-GB"/>
              </w:rPr>
              <w:t xml:space="preserve"> by one third lower compared to the whole economy.</w:t>
            </w:r>
            <w:r w:rsidR="00DD07EC" w:rsidRPr="00A17559">
              <w:rPr>
                <w:spacing w:val="-3"/>
                <w:lang w:val="en-GB"/>
              </w:rPr>
              <w:t xml:space="preserve"> </w:t>
            </w:r>
            <w:r w:rsidR="001E09E1" w:rsidRPr="00A17559">
              <w:rPr>
                <w:spacing w:val="-3"/>
                <w:lang w:val="en-GB"/>
              </w:rPr>
              <w:t xml:space="preserve">Wage pace in financial and insurance activities (+8.1%) markedly improved after four years of below average growth. </w:t>
            </w:r>
            <w:r w:rsidR="00DD07EC" w:rsidRPr="00A17559">
              <w:rPr>
                <w:spacing w:val="-3"/>
                <w:lang w:val="en-GB"/>
              </w:rPr>
              <w:t>I</w:t>
            </w:r>
            <w:r w:rsidR="00D653A0" w:rsidRPr="00A17559">
              <w:rPr>
                <w:spacing w:val="-3"/>
                <w:lang w:val="en-GB"/>
              </w:rPr>
              <w:t>t</w:t>
            </w:r>
            <w:r w:rsidR="00DD07EC" w:rsidRPr="00A17559">
              <w:rPr>
                <w:spacing w:val="-3"/>
                <w:lang w:val="en-GB"/>
              </w:rPr>
              <w:t xml:space="preserve"> was the consequence not only of the extraordinary bonuses tied </w:t>
            </w:r>
            <w:r w:rsidR="008A1FBA" w:rsidRPr="00A17559">
              <w:rPr>
                <w:spacing w:val="-3"/>
                <w:lang w:val="en-GB"/>
              </w:rPr>
              <w:t xml:space="preserve">to the very good business results of year </w:t>
            </w:r>
            <w:r w:rsidR="00B43216" w:rsidRPr="00A17559">
              <w:rPr>
                <w:rFonts w:cs="Arial"/>
                <w:color w:val="0D0D0D" w:themeColor="text1" w:themeTint="F2"/>
                <w:spacing w:val="-4"/>
                <w:lang w:val="en-GB"/>
              </w:rPr>
              <w:t xml:space="preserve">2018, </w:t>
            </w:r>
            <w:r w:rsidR="00DD07EC" w:rsidRPr="00A17559">
              <w:rPr>
                <w:rFonts w:cs="Arial"/>
                <w:color w:val="0D0D0D" w:themeColor="text1" w:themeTint="F2"/>
                <w:spacing w:val="-4"/>
                <w:lang w:val="en-GB"/>
              </w:rPr>
              <w:t>but also</w:t>
            </w:r>
            <w:r w:rsidR="008A1FBA" w:rsidRPr="00A17559">
              <w:rPr>
                <w:rFonts w:cs="Arial"/>
                <w:color w:val="0D0D0D" w:themeColor="text1" w:themeTint="F2"/>
                <w:spacing w:val="-4"/>
                <w:lang w:val="en-GB"/>
              </w:rPr>
              <w:t xml:space="preserve"> the strong pressure on the labour productivity,</w:t>
            </w:r>
            <w:r w:rsidR="00B43216" w:rsidRPr="00A17559">
              <w:rPr>
                <w:rFonts w:cs="Arial"/>
                <w:color w:val="0D0D0D" w:themeColor="text1" w:themeTint="F2"/>
                <w:spacing w:val="-4"/>
                <w:lang w:val="en-GB"/>
              </w:rPr>
              <w:t xml:space="preserve"> </w:t>
            </w:r>
            <w:r w:rsidR="00DD07EC" w:rsidRPr="00A17559">
              <w:rPr>
                <w:rFonts w:cs="Arial"/>
                <w:color w:val="0D0D0D" w:themeColor="text1" w:themeTint="F2"/>
                <w:spacing w:val="-4"/>
                <w:lang w:val="en-GB"/>
              </w:rPr>
              <w:t xml:space="preserve">which resulted in reduction of the registered number of employees </w:t>
            </w:r>
            <w:r w:rsidR="00B43216" w:rsidRPr="00A17559">
              <w:rPr>
                <w:rFonts w:cs="Arial"/>
                <w:color w:val="0D0D0D" w:themeColor="text1" w:themeTint="F2"/>
                <w:spacing w:val="-4"/>
                <w:lang w:val="en-GB"/>
              </w:rPr>
              <w:t>(</w:t>
            </w:r>
            <w:r w:rsidR="00DD07EC" w:rsidRPr="00A17559">
              <w:rPr>
                <w:rFonts w:cs="Arial"/>
                <w:color w:val="0D0D0D" w:themeColor="text1" w:themeTint="F2"/>
                <w:spacing w:val="-4"/>
                <w:lang w:val="en-GB"/>
              </w:rPr>
              <w:t xml:space="preserve">by </w:t>
            </w:r>
            <w:r w:rsidR="00B43216" w:rsidRPr="00A17559">
              <w:rPr>
                <w:rFonts w:cs="Arial"/>
                <w:color w:val="0D0D0D" w:themeColor="text1" w:themeTint="F2"/>
                <w:spacing w:val="-4"/>
                <w:lang w:val="en-GB"/>
              </w:rPr>
              <w:t>1</w:t>
            </w:r>
            <w:r w:rsidR="00DD07EC" w:rsidRPr="00A17559">
              <w:rPr>
                <w:rFonts w:cs="Arial"/>
                <w:color w:val="0D0D0D" w:themeColor="text1" w:themeTint="F2"/>
                <w:spacing w:val="-4"/>
                <w:lang w:val="en-GB"/>
              </w:rPr>
              <w:t>.</w:t>
            </w:r>
            <w:r w:rsidR="00B43216" w:rsidRPr="00A17559">
              <w:rPr>
                <w:rFonts w:cs="Arial"/>
                <w:color w:val="0D0D0D" w:themeColor="text1" w:themeTint="F2"/>
                <w:spacing w:val="-4"/>
                <w:lang w:val="en-GB"/>
              </w:rPr>
              <w:t xml:space="preserve">9%). </w:t>
            </w:r>
            <w:r w:rsidR="001E09E1" w:rsidRPr="00A17559">
              <w:rPr>
                <w:rFonts w:cs="Arial"/>
                <w:color w:val="0D0D0D" w:themeColor="text1" w:themeTint="F2"/>
                <w:spacing w:val="-4"/>
                <w:lang w:val="en-GB"/>
              </w:rPr>
              <w:t xml:space="preserve">It was also valid for </w:t>
            </w:r>
            <w:r w:rsidR="008A1FBA" w:rsidRPr="00A17559">
              <w:rPr>
                <w:rFonts w:cs="Arial"/>
                <w:color w:val="0D0D0D" w:themeColor="text1" w:themeTint="F2"/>
                <w:spacing w:val="-4"/>
                <w:lang w:val="en-GB"/>
              </w:rPr>
              <w:t xml:space="preserve">manufacturing </w:t>
            </w:r>
            <w:r w:rsidR="00B43216" w:rsidRPr="00A17559">
              <w:rPr>
                <w:rFonts w:cs="Arial"/>
                <w:color w:val="0D0D0D" w:themeColor="text1" w:themeTint="F2"/>
                <w:spacing w:val="-4"/>
                <w:lang w:val="en-GB"/>
              </w:rPr>
              <w:t>(–0</w:t>
            </w:r>
            <w:r w:rsidR="001E09E1" w:rsidRPr="00A17559">
              <w:rPr>
                <w:rFonts w:cs="Arial"/>
                <w:color w:val="0D0D0D" w:themeColor="text1" w:themeTint="F2"/>
                <w:spacing w:val="-4"/>
                <w:lang w:val="en-GB"/>
              </w:rPr>
              <w:t>.</w:t>
            </w:r>
            <w:r w:rsidR="00B43216" w:rsidRPr="00A17559">
              <w:rPr>
                <w:rFonts w:cs="Arial"/>
                <w:color w:val="0D0D0D" w:themeColor="text1" w:themeTint="F2"/>
                <w:spacing w:val="-4"/>
                <w:lang w:val="en-GB"/>
              </w:rPr>
              <w:t>4%),</w:t>
            </w:r>
            <w:r w:rsidR="001E09E1" w:rsidRPr="00A17559">
              <w:rPr>
                <w:rFonts w:cs="Arial"/>
                <w:color w:val="0D0D0D" w:themeColor="text1" w:themeTint="F2"/>
                <w:spacing w:val="-4"/>
                <w:lang w:val="en-GB"/>
              </w:rPr>
              <w:t xml:space="preserve"> volume of paid out wages was here the third lowest </w:t>
            </w:r>
            <w:r w:rsidR="00B43216" w:rsidRPr="00A17559">
              <w:rPr>
                <w:rFonts w:cs="Arial"/>
                <w:color w:val="0D0D0D" w:themeColor="text1" w:themeTint="F2"/>
                <w:spacing w:val="-4"/>
                <w:lang w:val="en-GB"/>
              </w:rPr>
              <w:t>(+6</w:t>
            </w:r>
            <w:r w:rsidR="001E09E1" w:rsidRPr="00A17559">
              <w:rPr>
                <w:rFonts w:cs="Arial"/>
                <w:color w:val="0D0D0D" w:themeColor="text1" w:themeTint="F2"/>
                <w:spacing w:val="-4"/>
                <w:lang w:val="en-GB"/>
              </w:rPr>
              <w:t>.</w:t>
            </w:r>
            <w:r w:rsidR="00B43216" w:rsidRPr="00A17559">
              <w:rPr>
                <w:rFonts w:cs="Arial"/>
                <w:color w:val="0D0D0D" w:themeColor="text1" w:themeTint="F2"/>
                <w:spacing w:val="-4"/>
                <w:lang w:val="en-GB"/>
              </w:rPr>
              <w:t>2%)</w:t>
            </w:r>
            <w:r w:rsidR="001E09E1" w:rsidRPr="00A17559">
              <w:rPr>
                <w:rFonts w:cs="Arial"/>
                <w:color w:val="0D0D0D" w:themeColor="text1" w:themeTint="F2"/>
                <w:spacing w:val="-4"/>
                <w:lang w:val="en-GB"/>
              </w:rPr>
              <w:t xml:space="preserve"> among nineteen main branches </w:t>
            </w:r>
            <w:r w:rsidR="00B43216" w:rsidRPr="00A17559">
              <w:rPr>
                <w:rFonts w:cs="Arial"/>
                <w:color w:val="0D0D0D" w:themeColor="text1" w:themeTint="F2"/>
                <w:spacing w:val="-4"/>
                <w:lang w:val="en-GB"/>
              </w:rPr>
              <w:t>(</w:t>
            </w:r>
            <w:r w:rsidR="008A1FBA" w:rsidRPr="00A17559">
              <w:rPr>
                <w:rFonts w:cs="Arial"/>
                <w:color w:val="0D0D0D" w:themeColor="text1" w:themeTint="F2"/>
                <w:spacing w:val="-4"/>
                <w:lang w:val="en-GB"/>
              </w:rPr>
              <w:t>after branches of the primary sector</w:t>
            </w:r>
            <w:r w:rsidR="00B43216" w:rsidRPr="00A17559">
              <w:rPr>
                <w:rFonts w:cs="Arial"/>
                <w:color w:val="0D0D0D" w:themeColor="text1" w:themeTint="F2"/>
                <w:spacing w:val="-4"/>
                <w:lang w:val="en-GB"/>
              </w:rPr>
              <w:t xml:space="preserve">). </w:t>
            </w:r>
            <w:r w:rsidR="001C369F">
              <w:rPr>
                <w:rFonts w:cs="Arial"/>
                <w:color w:val="0D0D0D" w:themeColor="text1" w:themeTint="F2"/>
                <w:spacing w:val="-4"/>
                <w:lang w:val="en-GB"/>
              </w:rPr>
              <w:t xml:space="preserve">Average </w:t>
            </w:r>
            <w:r w:rsidR="00266F0A">
              <w:rPr>
                <w:rFonts w:cs="Arial"/>
                <w:color w:val="0D0D0D" w:themeColor="text1" w:themeTint="F2"/>
                <w:spacing w:val="-4"/>
                <w:lang w:val="en-GB"/>
              </w:rPr>
              <w:t>w</w:t>
            </w:r>
            <w:r w:rsidR="008A1FBA" w:rsidRPr="00A17559">
              <w:rPr>
                <w:rFonts w:cs="Arial"/>
                <w:color w:val="0D0D0D" w:themeColor="text1" w:themeTint="F2"/>
                <w:spacing w:val="-4"/>
                <w:lang w:val="en-GB"/>
              </w:rPr>
              <w:t>ages in the developing branches with so fa</w:t>
            </w:r>
            <w:r w:rsidR="00266F0A">
              <w:rPr>
                <w:rFonts w:cs="Arial"/>
                <w:color w:val="0D0D0D" w:themeColor="text1" w:themeTint="F2"/>
                <w:spacing w:val="-4"/>
                <w:lang w:val="en-GB"/>
              </w:rPr>
              <w:t xml:space="preserve">r below the </w:t>
            </w:r>
            <w:r w:rsidR="008A1FBA" w:rsidRPr="00A17559">
              <w:rPr>
                <w:rFonts w:cs="Arial"/>
                <w:color w:val="0D0D0D" w:themeColor="text1" w:themeTint="F2"/>
                <w:spacing w:val="-4"/>
                <w:lang w:val="en-GB"/>
              </w:rPr>
              <w:t>level</w:t>
            </w:r>
            <w:r w:rsidR="00266F0A">
              <w:rPr>
                <w:rFonts w:cs="Arial"/>
                <w:color w:val="0D0D0D" w:themeColor="text1" w:themeTint="F2"/>
                <w:spacing w:val="-4"/>
                <w:lang w:val="en-GB"/>
              </w:rPr>
              <w:t xml:space="preserve"> of whole economy</w:t>
            </w:r>
            <w:r w:rsidR="008A1FBA" w:rsidRPr="00A17559">
              <w:rPr>
                <w:rFonts w:cs="Arial"/>
                <w:color w:val="0D0D0D" w:themeColor="text1" w:themeTint="F2"/>
                <w:spacing w:val="-4"/>
                <w:lang w:val="en-GB"/>
              </w:rPr>
              <w:t xml:space="preserve"> – trade </w:t>
            </w:r>
            <w:r w:rsidR="00B43216" w:rsidRPr="00A17559">
              <w:rPr>
                <w:rFonts w:cs="Arial"/>
                <w:color w:val="0D0D0D" w:themeColor="text1" w:themeTint="F2"/>
                <w:spacing w:val="-4"/>
                <w:lang w:val="en-GB"/>
              </w:rPr>
              <w:t>(+6</w:t>
            </w:r>
            <w:r w:rsidR="008A1FBA" w:rsidRPr="00A17559">
              <w:rPr>
                <w:rFonts w:cs="Arial"/>
                <w:color w:val="0D0D0D" w:themeColor="text1" w:themeTint="F2"/>
                <w:spacing w:val="-4"/>
                <w:lang w:val="en-GB"/>
              </w:rPr>
              <w:t>.</w:t>
            </w:r>
            <w:r w:rsidR="00B43216" w:rsidRPr="00A17559">
              <w:rPr>
                <w:rFonts w:cs="Arial"/>
                <w:color w:val="0D0D0D" w:themeColor="text1" w:themeTint="F2"/>
                <w:spacing w:val="-4"/>
                <w:lang w:val="en-GB"/>
              </w:rPr>
              <w:t>9%)</w:t>
            </w:r>
            <w:r w:rsidR="008A1FBA" w:rsidRPr="00A17559">
              <w:rPr>
                <w:rFonts w:cs="Arial"/>
                <w:color w:val="0D0D0D" w:themeColor="text1" w:themeTint="F2"/>
                <w:spacing w:val="-4"/>
                <w:lang w:val="en-GB"/>
              </w:rPr>
              <w:t xml:space="preserve"> as well as construction </w:t>
            </w:r>
            <w:r w:rsidR="00B43216" w:rsidRPr="00A17559">
              <w:rPr>
                <w:rFonts w:cs="Arial"/>
                <w:color w:val="0D0D0D" w:themeColor="text1" w:themeTint="F2"/>
                <w:spacing w:val="-4"/>
                <w:lang w:val="en-GB"/>
              </w:rPr>
              <w:t>(+6</w:t>
            </w:r>
            <w:r w:rsidR="008A1FBA" w:rsidRPr="00A17559">
              <w:rPr>
                <w:rFonts w:cs="Arial"/>
                <w:color w:val="0D0D0D" w:themeColor="text1" w:themeTint="F2"/>
                <w:spacing w:val="-4"/>
                <w:lang w:val="en-GB"/>
              </w:rPr>
              <w:t>.</w:t>
            </w:r>
            <w:r w:rsidR="00B43216" w:rsidRPr="00A17559">
              <w:rPr>
                <w:rFonts w:cs="Arial"/>
                <w:color w:val="0D0D0D" w:themeColor="text1" w:themeTint="F2"/>
                <w:spacing w:val="-4"/>
                <w:lang w:val="en-GB"/>
              </w:rPr>
              <w:t>8%)</w:t>
            </w:r>
            <w:r w:rsidR="008A1FBA" w:rsidRPr="00A17559">
              <w:rPr>
                <w:rFonts w:cs="Arial"/>
                <w:color w:val="0D0D0D" w:themeColor="text1" w:themeTint="F2"/>
                <w:spacing w:val="-4"/>
                <w:lang w:val="en-GB"/>
              </w:rPr>
              <w:t xml:space="preserve"> also grew by a relatively weaker rate of growth</w:t>
            </w:r>
            <w:r w:rsidR="00B43216" w:rsidRPr="00A17559">
              <w:rPr>
                <w:rFonts w:cs="Arial"/>
                <w:color w:val="0D0D0D" w:themeColor="text1" w:themeTint="F2"/>
                <w:spacing w:val="-4"/>
                <w:lang w:val="en-GB"/>
              </w:rPr>
              <w:t>.</w:t>
            </w:r>
          </w:p>
        </w:tc>
      </w:tr>
      <w:tr w:rsidR="00B43216" w:rsidRPr="00A17559" w:rsidTr="00FB4505">
        <w:trPr>
          <w:trHeight w:val="145"/>
        </w:trPr>
        <w:tc>
          <w:tcPr>
            <w:tcW w:w="1790" w:type="dxa"/>
            <w:shd w:val="clear" w:color="auto" w:fill="auto"/>
            <w:tcMar>
              <w:left w:w="0" w:type="dxa"/>
            </w:tcMar>
          </w:tcPr>
          <w:p w:rsidR="006503D1" w:rsidRDefault="00D208FD" w:rsidP="00D208FD">
            <w:pPr>
              <w:pStyle w:val="Marginlie"/>
              <w:rPr>
                <w:lang w:val="en-GB"/>
              </w:rPr>
            </w:pPr>
            <w:r w:rsidRPr="00A17559">
              <w:rPr>
                <w:lang w:val="en-GB"/>
              </w:rPr>
              <w:t>Growth of purchasing power of wa</w:t>
            </w:r>
            <w:r w:rsidR="006503D1">
              <w:rPr>
                <w:lang w:val="en-GB"/>
              </w:rPr>
              <w:t>ges mildly slowed year-on-year,</w:t>
            </w:r>
          </w:p>
          <w:p w:rsidR="00B43216" w:rsidRPr="00A17559" w:rsidRDefault="00D208FD" w:rsidP="00D208FD">
            <w:pPr>
              <w:pStyle w:val="Marginlie"/>
              <w:rPr>
                <w:lang w:val="en-GB"/>
              </w:rPr>
            </w:pPr>
            <w:r w:rsidRPr="00A17559">
              <w:rPr>
                <w:lang w:val="en-GB"/>
              </w:rPr>
              <w:t xml:space="preserve">still it remained high. </w:t>
            </w:r>
          </w:p>
        </w:tc>
        <w:tc>
          <w:tcPr>
            <w:tcW w:w="216" w:type="dxa"/>
            <w:shd w:val="clear" w:color="auto" w:fill="auto"/>
            <w:tcMar>
              <w:left w:w="0" w:type="dxa"/>
            </w:tcMar>
          </w:tcPr>
          <w:p w:rsidR="00B43216" w:rsidRPr="00A17559" w:rsidRDefault="00B43216" w:rsidP="00B43216">
            <w:pPr>
              <w:pStyle w:val="Textpoznpodarou"/>
              <w:jc w:val="both"/>
              <w:rPr>
                <w:spacing w:val="-4"/>
                <w:lang w:val="en-GB"/>
              </w:rPr>
            </w:pPr>
          </w:p>
        </w:tc>
        <w:tc>
          <w:tcPr>
            <w:tcW w:w="7648" w:type="dxa"/>
            <w:shd w:val="clear" w:color="auto" w:fill="auto"/>
            <w:tcMar>
              <w:left w:w="0" w:type="dxa"/>
            </w:tcMar>
          </w:tcPr>
          <w:p w:rsidR="00B43216" w:rsidRPr="00A17559" w:rsidRDefault="00502709" w:rsidP="003A0837">
            <w:pPr>
              <w:spacing w:after="0"/>
              <w:rPr>
                <w:spacing w:val="-4"/>
                <w:lang w:val="en-GB"/>
              </w:rPr>
            </w:pPr>
            <w:r w:rsidRPr="00A17559">
              <w:rPr>
                <w:spacing w:val="-4"/>
                <w:lang w:val="en-GB"/>
              </w:rPr>
              <w:t xml:space="preserve">Wage median increased by 7.2% year-on-year in H1 and it lagged behind the pace of the average wage for the first time since H1 </w:t>
            </w:r>
            <w:r w:rsidR="00B43216" w:rsidRPr="00A17559">
              <w:rPr>
                <w:spacing w:val="-4"/>
                <w:lang w:val="en-GB"/>
              </w:rPr>
              <w:t>2015</w:t>
            </w:r>
            <w:r w:rsidRPr="00A17559">
              <w:rPr>
                <w:spacing w:val="-4"/>
                <w:lang w:val="en-GB"/>
              </w:rPr>
              <w:t xml:space="preserve">. </w:t>
            </w:r>
            <w:r w:rsidR="00B8177E" w:rsidRPr="00A17559">
              <w:rPr>
                <w:spacing w:val="-4"/>
                <w:lang w:val="en-GB"/>
              </w:rPr>
              <w:t>Even though the slightly picking inflation</w:t>
            </w:r>
            <w:r w:rsidR="00D653A0" w:rsidRPr="00A17559">
              <w:rPr>
                <w:spacing w:val="-4"/>
                <w:lang w:val="en-GB"/>
              </w:rPr>
              <w:t xml:space="preserve"> </w:t>
            </w:r>
            <w:r w:rsidR="00B43216" w:rsidRPr="00A17559">
              <w:rPr>
                <w:spacing w:val="-4"/>
                <w:lang w:val="en-GB"/>
              </w:rPr>
              <w:t>„</w:t>
            </w:r>
            <w:r w:rsidR="00B8177E" w:rsidRPr="00A17559">
              <w:rPr>
                <w:spacing w:val="-4"/>
                <w:lang w:val="en-GB"/>
              </w:rPr>
              <w:t>cut</w:t>
            </w:r>
            <w:r w:rsidR="00B43216" w:rsidRPr="00A17559">
              <w:rPr>
                <w:spacing w:val="-4"/>
                <w:lang w:val="en-GB"/>
              </w:rPr>
              <w:t xml:space="preserve">“ </w:t>
            </w:r>
            <w:r w:rsidR="00B8177E" w:rsidRPr="00A17559">
              <w:rPr>
                <w:spacing w:val="-4"/>
                <w:lang w:val="en-GB"/>
              </w:rPr>
              <w:t>whole two fifths from the earnings growth this year</w:t>
            </w:r>
            <w:r w:rsidR="00B43216" w:rsidRPr="00A17559">
              <w:rPr>
                <w:spacing w:val="-4"/>
                <w:lang w:val="en-GB"/>
              </w:rPr>
              <w:t>, r</w:t>
            </w:r>
            <w:r w:rsidR="00B8177E" w:rsidRPr="00A17559">
              <w:rPr>
                <w:spacing w:val="-4"/>
                <w:lang w:val="en-GB"/>
              </w:rPr>
              <w:t xml:space="preserve">eal value of average wages was by 4.4% higher year-on-year. Within first half-years, it presented the third strongest pace for the last sixteen years </w:t>
            </w:r>
            <w:r w:rsidR="00B43216" w:rsidRPr="00A17559">
              <w:rPr>
                <w:spacing w:val="-4"/>
                <w:lang w:val="en-GB"/>
              </w:rPr>
              <w:t>(</w:t>
            </w:r>
            <w:r w:rsidR="00B8177E" w:rsidRPr="00A17559">
              <w:rPr>
                <w:spacing w:val="-4"/>
                <w:lang w:val="en-GB"/>
              </w:rPr>
              <w:t xml:space="preserve">after years </w:t>
            </w:r>
            <w:r w:rsidR="00B43216" w:rsidRPr="00A17559">
              <w:rPr>
                <w:spacing w:val="-4"/>
                <w:lang w:val="en-GB"/>
              </w:rPr>
              <w:t>2007</w:t>
            </w:r>
            <w:r w:rsidR="00B8177E" w:rsidRPr="00A17559">
              <w:rPr>
                <w:spacing w:val="-4"/>
                <w:lang w:val="en-GB"/>
              </w:rPr>
              <w:t xml:space="preserve"> and </w:t>
            </w:r>
            <w:r w:rsidR="00B43216" w:rsidRPr="00A17559">
              <w:rPr>
                <w:spacing w:val="-4"/>
                <w:lang w:val="en-GB"/>
              </w:rPr>
              <w:t>2018).</w:t>
            </w:r>
          </w:p>
          <w:p w:rsidR="00C042D4" w:rsidRPr="00A17559" w:rsidRDefault="00C042D4" w:rsidP="003A0837">
            <w:pPr>
              <w:spacing w:after="0"/>
              <w:rPr>
                <w:spacing w:val="-4"/>
                <w:lang w:val="en-GB"/>
              </w:rPr>
            </w:pPr>
          </w:p>
        </w:tc>
      </w:tr>
    </w:tbl>
    <w:p w:rsidR="00A50D73" w:rsidRPr="00A17559" w:rsidRDefault="00A50D73" w:rsidP="00FB4505">
      <w:pPr>
        <w:pStyle w:val="Nadpis11"/>
        <w:rPr>
          <w:sz w:val="2"/>
          <w:szCs w:val="2"/>
          <w:lang w:val="en-GB"/>
        </w:rPr>
      </w:pPr>
      <w:bookmarkStart w:id="1" w:name="_GoBack"/>
      <w:bookmarkEnd w:id="1"/>
    </w:p>
    <w:sectPr w:rsidR="00A50D73" w:rsidRPr="00A17559" w:rsidSect="00FB4505">
      <w:headerReference w:type="even" r:id="rId12"/>
      <w:headerReference w:type="default" r:id="rId13"/>
      <w:footerReference w:type="even" r:id="rId14"/>
      <w:footerReference w:type="default" r:id="rId15"/>
      <w:pgSz w:w="11906" w:h="16838" w:code="9"/>
      <w:pgMar w:top="1134" w:right="1134" w:bottom="1418" w:left="1134" w:header="680" w:footer="737" w:gutter="0"/>
      <w:pgNumType w:start="2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60E42" w16cid:durableId="211A8B45"/>
  <w16cid:commentId w16cid:paraId="0353E24E" w16cid:durableId="211BEE38"/>
  <w16cid:commentId w16cid:paraId="1C386A8F" w16cid:durableId="211A9076"/>
  <w16cid:commentId w16cid:paraId="2A0C002C" w16cid:durableId="211A973A"/>
  <w16cid:commentId w16cid:paraId="706065F0" w16cid:durableId="211A91DA"/>
  <w16cid:commentId w16cid:paraId="22EE5AE9" w16cid:durableId="211B6626"/>
  <w16cid:commentId w16cid:paraId="6884C1E2" w16cid:durableId="211B675E"/>
  <w16cid:commentId w16cid:paraId="6C0EBCAF" w16cid:durableId="211B7A37"/>
  <w16cid:commentId w16cid:paraId="2CEF0B27" w16cid:durableId="211B750B"/>
  <w16cid:commentId w16cid:paraId="3634956F" w16cid:durableId="211BCF1B"/>
  <w16cid:commentId w16cid:paraId="07C1F79B" w16cid:durableId="211BEA3A"/>
  <w16cid:commentId w16cid:paraId="0D4FABC8" w16cid:durableId="211CBB71"/>
  <w16cid:commentId w16cid:paraId="76EE34F0" w16cid:durableId="211CB0AE"/>
  <w16cid:commentId w16cid:paraId="3E708163" w16cid:durableId="211CB1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6F" w:rsidRDefault="00A7616F" w:rsidP="00E71A58">
      <w:r>
        <w:separator/>
      </w:r>
    </w:p>
  </w:endnote>
  <w:endnote w:type="continuationSeparator" w:id="0">
    <w:p w:rsidR="00A7616F" w:rsidRDefault="00A7616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24" w:rsidRPr="00932443" w:rsidRDefault="00665624" w:rsidP="00A418BC">
    <w:pPr>
      <w:pStyle w:val="Zpat"/>
      <w:rPr>
        <w:szCs w:val="16"/>
      </w:rPr>
    </w:pPr>
    <w:r>
      <w:rPr>
        <w:szCs w:val="16"/>
        <w:lang w:eastAsia="cs-CZ"/>
      </w:rPr>
      <w:drawing>
        <wp:anchor distT="0" distB="0" distL="114300" distR="114300" simplePos="0" relativeHeight="251667968" behindDoc="0" locked="0" layoutInCell="1" allowOverlap="1" wp14:anchorId="2E2F047C" wp14:editId="5CCBCB0F">
          <wp:simplePos x="0" y="0"/>
          <wp:positionH relativeFrom="column">
            <wp:align>right</wp:align>
          </wp:positionH>
          <wp:positionV relativeFrom="paragraph">
            <wp:posOffset>-64770</wp:posOffset>
          </wp:positionV>
          <wp:extent cx="428625" cy="201295"/>
          <wp:effectExtent l="0" t="0" r="3175" b="1905"/>
          <wp:wrapNone/>
          <wp:docPr id="4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FB4505">
      <w:rPr>
        <w:szCs w:val="16"/>
      </w:rPr>
      <w:t>24</w:t>
    </w:r>
    <w:r w:rsidRPr="00932443">
      <w:rPr>
        <w:szCs w:val="16"/>
      </w:rPr>
      <w:fldChar w:fldCharType="end"/>
    </w:r>
    <w:r w:rsidRPr="00932443">
      <w:rPr>
        <w:szCs w:val="16"/>
      </w:rPr>
      <w:tab/>
    </w:r>
    <w:r>
      <w:rPr>
        <w:szCs w:val="16"/>
      </w:rPr>
      <w:t>First half of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24" w:rsidRPr="00932443" w:rsidRDefault="00665624" w:rsidP="00FA6CB6">
    <w:pPr>
      <w:pStyle w:val="Zpat"/>
      <w:rPr>
        <w:szCs w:val="16"/>
      </w:rPr>
    </w:pPr>
    <w:r w:rsidRPr="00FA6CB6">
      <w:rPr>
        <w:szCs w:val="16"/>
      </w:rPr>
      <w:tab/>
    </w:r>
    <w:r>
      <w:rPr>
        <w:szCs w:val="16"/>
      </w:rPr>
      <w:t xml:space="preserve">First half of </w:t>
    </w:r>
    <w:r>
      <w:rPr>
        <w:szCs w:val="16"/>
        <w:lang w:eastAsia="cs-CZ"/>
      </w:rPr>
      <w:drawing>
        <wp:anchor distT="0" distB="0" distL="114300" distR="114300" simplePos="0" relativeHeight="251658752" behindDoc="0" locked="0" layoutInCell="1" allowOverlap="1" wp14:anchorId="78509EBE" wp14:editId="47E6E033">
          <wp:simplePos x="0" y="0"/>
          <wp:positionH relativeFrom="column">
            <wp:align>left</wp:align>
          </wp:positionH>
          <wp:positionV relativeFrom="paragraph">
            <wp:posOffset>-122555</wp:posOffset>
          </wp:positionV>
          <wp:extent cx="510540" cy="272415"/>
          <wp:effectExtent l="0" t="0" r="0" b="6985"/>
          <wp:wrapNone/>
          <wp:docPr id="45"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FB4505">
      <w:rPr>
        <w:rStyle w:val="ZpatChar"/>
        <w:szCs w:val="16"/>
      </w:rPr>
      <w:t>25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6F" w:rsidRDefault="00A7616F" w:rsidP="00A21B4D">
      <w:pPr>
        <w:spacing w:after="0"/>
      </w:pPr>
      <w:r>
        <w:separator/>
      </w:r>
    </w:p>
  </w:footnote>
  <w:footnote w:type="continuationSeparator" w:id="0">
    <w:p w:rsidR="00A7616F" w:rsidRDefault="00A7616F" w:rsidP="00E71A58">
      <w:r>
        <w:continuationSeparator/>
      </w:r>
    </w:p>
  </w:footnote>
  <w:footnote w:id="1">
    <w:p w:rsidR="00665624" w:rsidRPr="00B61B92" w:rsidRDefault="00665624" w:rsidP="00511F3B">
      <w:pPr>
        <w:pStyle w:val="Textpoznpodarou"/>
        <w:jc w:val="both"/>
        <w:rPr>
          <w:spacing w:val="-2"/>
          <w:sz w:val="16"/>
          <w:szCs w:val="16"/>
          <w:lang w:val="en-GB"/>
        </w:rPr>
      </w:pPr>
      <w:r w:rsidRPr="006A4CF3">
        <w:rPr>
          <w:rStyle w:val="Znakapoznpodarou"/>
          <w:spacing w:val="-2"/>
          <w:sz w:val="16"/>
          <w:szCs w:val="16"/>
        </w:rPr>
        <w:footnoteRef/>
      </w:r>
      <w:r w:rsidRPr="006A4CF3">
        <w:rPr>
          <w:spacing w:val="-2"/>
          <w:sz w:val="16"/>
          <w:szCs w:val="16"/>
        </w:rPr>
        <w:t xml:space="preserve"> </w:t>
      </w:r>
      <w:r w:rsidRPr="00B61B92">
        <w:rPr>
          <w:spacing w:val="-2"/>
          <w:sz w:val="16"/>
          <w:szCs w:val="16"/>
          <w:lang w:val="en-GB"/>
        </w:rPr>
        <w:t xml:space="preserve">Increase of quota for qualified workers from Ukraine occurred for instance during the year </w:t>
      </w:r>
      <w:r w:rsidRPr="00B61B92">
        <w:rPr>
          <w:rFonts w:cs="Arial"/>
          <w:spacing w:val="-2"/>
          <w:sz w:val="16"/>
          <w:szCs w:val="16"/>
          <w:lang w:val="en-GB"/>
        </w:rPr>
        <w:t>2018 (from 9.6 thousand to 19.6 thousand). The scope of countries, whose citizens can enter the schemas as well as projects targeted at qualified workers, also widened (for India, the Phil</w:t>
      </w:r>
      <w:r w:rsidR="00B55040">
        <w:rPr>
          <w:rFonts w:cs="Arial"/>
          <w:spacing w:val="-2"/>
          <w:sz w:val="16"/>
          <w:szCs w:val="16"/>
          <w:lang w:val="en-GB"/>
        </w:rPr>
        <w:t xml:space="preserve">ippines, Mongolia and Serbia). </w:t>
      </w:r>
      <w:r w:rsidRPr="00B61B92">
        <w:rPr>
          <w:rFonts w:cs="Arial"/>
          <w:spacing w:val="-2"/>
          <w:sz w:val="16"/>
          <w:szCs w:val="16"/>
          <w:lang w:val="en-GB"/>
        </w:rPr>
        <w:t>Further increase of quota for workers from Ukraine came into force during the summer time of 2019 (to 40 thousand).</w:t>
      </w:r>
    </w:p>
  </w:footnote>
  <w:footnote w:id="2">
    <w:p w:rsidR="00665624" w:rsidRPr="000103C8" w:rsidRDefault="00665624" w:rsidP="00511F3B">
      <w:pPr>
        <w:pStyle w:val="Textpoznpodarou"/>
        <w:jc w:val="both"/>
        <w:rPr>
          <w:spacing w:val="-2"/>
          <w:sz w:val="16"/>
          <w:szCs w:val="16"/>
          <w:lang w:val="en-GB"/>
        </w:rPr>
      </w:pPr>
      <w:r w:rsidRPr="006A4CF3">
        <w:rPr>
          <w:rStyle w:val="Znakapoznpodarou"/>
          <w:spacing w:val="-2"/>
          <w:sz w:val="16"/>
          <w:szCs w:val="16"/>
        </w:rPr>
        <w:footnoteRef/>
      </w:r>
      <w:r w:rsidRPr="006A4CF3">
        <w:rPr>
          <w:spacing w:val="-2"/>
          <w:sz w:val="16"/>
          <w:szCs w:val="16"/>
        </w:rPr>
        <w:t xml:space="preserve"> </w:t>
      </w:r>
      <w:r w:rsidRPr="000103C8">
        <w:rPr>
          <w:rFonts w:cs="Arial"/>
          <w:spacing w:val="-2"/>
          <w:sz w:val="16"/>
          <w:szCs w:val="16"/>
          <w:lang w:val="en-GB"/>
        </w:rPr>
        <w:t>659 thousand of citizens with foreign citizenship were employed according to the data of MLSA and MIT (Ministry of Industry and Trade) in the CR at the end of year 2018. T</w:t>
      </w:r>
      <w:r>
        <w:rPr>
          <w:rFonts w:cs="Arial"/>
          <w:spacing w:val="-2"/>
          <w:sz w:val="16"/>
          <w:szCs w:val="16"/>
          <w:lang w:val="en-GB"/>
        </w:rPr>
        <w:t xml:space="preserve">hey already comprised one eight of all workers on the labour market. Their number was further increased during the first half of year </w:t>
      </w:r>
      <w:r w:rsidRPr="000103C8">
        <w:rPr>
          <w:rFonts w:cs="Arial"/>
          <w:spacing w:val="-2"/>
          <w:sz w:val="16"/>
          <w:szCs w:val="16"/>
          <w:lang w:val="en-GB"/>
        </w:rPr>
        <w:t>2019</w:t>
      </w:r>
      <w:r>
        <w:rPr>
          <w:rFonts w:cs="Arial"/>
          <w:spacing w:val="-2"/>
          <w:sz w:val="16"/>
          <w:szCs w:val="16"/>
          <w:lang w:val="en-GB"/>
        </w:rPr>
        <w:t xml:space="preserve">, as indirectly evidenced by </w:t>
      </w:r>
      <w:r w:rsidR="00274D2C">
        <w:rPr>
          <w:rFonts w:cs="Arial"/>
          <w:spacing w:val="-2"/>
          <w:sz w:val="16"/>
          <w:szCs w:val="16"/>
          <w:lang w:val="en-GB"/>
        </w:rPr>
        <w:t xml:space="preserve">demographic statistics – </w:t>
      </w:r>
      <w:r>
        <w:rPr>
          <w:rFonts w:cs="Arial"/>
          <w:spacing w:val="-2"/>
          <w:sz w:val="16"/>
          <w:szCs w:val="16"/>
          <w:lang w:val="en-GB"/>
        </w:rPr>
        <w:t xml:space="preserve">the positive balance of total foreign migration </w:t>
      </w:r>
      <w:r w:rsidR="00A307C2">
        <w:rPr>
          <w:rFonts w:cs="Arial"/>
          <w:spacing w:val="-2"/>
          <w:sz w:val="16"/>
          <w:szCs w:val="16"/>
          <w:lang w:val="en-GB"/>
        </w:rPr>
        <w:t>(20</w:t>
      </w:r>
      <w:r>
        <w:rPr>
          <w:rFonts w:cs="Arial"/>
          <w:spacing w:val="-2"/>
          <w:sz w:val="16"/>
          <w:szCs w:val="16"/>
          <w:lang w:val="en-GB"/>
        </w:rPr>
        <w:t>.</w:t>
      </w:r>
      <w:r w:rsidR="00A307C2">
        <w:rPr>
          <w:rFonts w:cs="Arial"/>
          <w:spacing w:val="-2"/>
          <w:sz w:val="16"/>
          <w:szCs w:val="16"/>
          <w:lang w:val="en-GB"/>
        </w:rPr>
        <w:t>9</w:t>
      </w:r>
      <w:r w:rsidRPr="000103C8">
        <w:rPr>
          <w:rFonts w:cs="Arial"/>
          <w:spacing w:val="-2"/>
          <w:sz w:val="16"/>
          <w:szCs w:val="16"/>
          <w:lang w:val="en-GB"/>
        </w:rPr>
        <w:t> </w:t>
      </w:r>
      <w:r w:rsidR="00A307C2">
        <w:rPr>
          <w:rFonts w:cs="Arial"/>
          <w:spacing w:val="-2"/>
          <w:sz w:val="16"/>
          <w:szCs w:val="16"/>
          <w:lang w:val="en-GB"/>
        </w:rPr>
        <w:t>thousand persons in H</w:t>
      </w:r>
      <w:r>
        <w:rPr>
          <w:rFonts w:cs="Arial"/>
          <w:spacing w:val="-2"/>
          <w:sz w:val="16"/>
          <w:szCs w:val="16"/>
          <w:lang w:val="en-GB"/>
        </w:rPr>
        <w:t>1</w:t>
      </w:r>
      <w:r w:rsidRPr="000103C8">
        <w:rPr>
          <w:rFonts w:cs="Arial"/>
          <w:spacing w:val="-2"/>
          <w:sz w:val="16"/>
          <w:szCs w:val="16"/>
          <w:lang w:val="en-GB"/>
        </w:rPr>
        <w:t>)</w:t>
      </w:r>
      <w:r>
        <w:rPr>
          <w:rFonts w:cs="Arial"/>
          <w:spacing w:val="-2"/>
          <w:sz w:val="16"/>
          <w:szCs w:val="16"/>
          <w:lang w:val="en-GB"/>
        </w:rPr>
        <w:t xml:space="preserve"> as well as the increase of the number of all registered foreigners </w:t>
      </w:r>
      <w:r w:rsidRPr="000103C8">
        <w:rPr>
          <w:rFonts w:cs="Arial"/>
          <w:spacing w:val="-2"/>
          <w:sz w:val="16"/>
          <w:szCs w:val="16"/>
          <w:lang w:val="en-GB"/>
        </w:rPr>
        <w:t>(by 8.4 thousand according to the Foreign Police Directorate since the beginning of year 2019). Similarly to the whole last year, Ukrainians contributed the most</w:t>
      </w:r>
      <w:r>
        <w:rPr>
          <w:rFonts w:cs="Arial"/>
          <w:spacing w:val="-2"/>
          <w:sz w:val="16"/>
          <w:szCs w:val="16"/>
          <w:lang w:val="en-GB"/>
        </w:rPr>
        <w:t xml:space="preserve"> </w:t>
      </w:r>
      <w:r w:rsidRPr="000103C8">
        <w:rPr>
          <w:rFonts w:cs="Arial"/>
          <w:spacing w:val="-2"/>
          <w:sz w:val="16"/>
          <w:szCs w:val="16"/>
          <w:lang w:val="en-GB"/>
        </w:rPr>
        <w:t xml:space="preserve">to the higher number of all working foreigners. </w:t>
      </w:r>
    </w:p>
  </w:footnote>
  <w:footnote w:id="3">
    <w:p w:rsidR="00665624" w:rsidRPr="000103C8" w:rsidRDefault="00665624" w:rsidP="00DD1A3F">
      <w:pPr>
        <w:pStyle w:val="Textpoznpodarou"/>
        <w:jc w:val="both"/>
        <w:rPr>
          <w:spacing w:val="-2"/>
          <w:sz w:val="16"/>
          <w:szCs w:val="16"/>
          <w:lang w:val="en-GB"/>
        </w:rPr>
      </w:pPr>
      <w:r w:rsidRPr="000103C8">
        <w:rPr>
          <w:rStyle w:val="Znakapoznpodarou"/>
          <w:spacing w:val="-2"/>
          <w:sz w:val="16"/>
          <w:szCs w:val="16"/>
          <w:lang w:val="en-GB"/>
        </w:rPr>
        <w:footnoteRef/>
      </w:r>
      <w:r w:rsidRPr="000103C8">
        <w:rPr>
          <w:spacing w:val="-2"/>
          <w:sz w:val="16"/>
          <w:szCs w:val="16"/>
          <w:lang w:val="en-GB"/>
        </w:rPr>
        <w:t xml:space="preserve"> </w:t>
      </w:r>
      <w:r w:rsidRPr="00422D1A">
        <w:rPr>
          <w:spacing w:val="-4"/>
          <w:sz w:val="16"/>
          <w:szCs w:val="16"/>
          <w:lang w:val="en-GB"/>
        </w:rPr>
        <w:t>Unless stated otherwise, data regarding employment are stated in the national accounts conception adjusted for seasonal effects in this chapter.</w:t>
      </w:r>
      <w:r w:rsidRPr="000103C8">
        <w:rPr>
          <w:spacing w:val="-2"/>
          <w:sz w:val="16"/>
          <w:szCs w:val="16"/>
          <w:lang w:val="en-GB"/>
        </w:rPr>
        <w:t xml:space="preserve"> </w:t>
      </w:r>
    </w:p>
  </w:footnote>
  <w:footnote w:id="4">
    <w:p w:rsidR="00665624" w:rsidRPr="001539F9" w:rsidRDefault="00665624" w:rsidP="00DD1A3F">
      <w:pPr>
        <w:pStyle w:val="Textpoznpodarou"/>
        <w:jc w:val="both"/>
        <w:rPr>
          <w:spacing w:val="-2"/>
          <w:sz w:val="16"/>
          <w:szCs w:val="16"/>
          <w:lang w:val="en-GB"/>
        </w:rPr>
      </w:pPr>
      <w:r w:rsidRPr="006A4CF3">
        <w:rPr>
          <w:rStyle w:val="Znakapoznpodarou"/>
          <w:spacing w:val="-2"/>
          <w:sz w:val="16"/>
          <w:szCs w:val="16"/>
        </w:rPr>
        <w:footnoteRef/>
      </w:r>
      <w:r>
        <w:rPr>
          <w:spacing w:val="-2"/>
          <w:sz w:val="16"/>
          <w:szCs w:val="16"/>
        </w:rPr>
        <w:t xml:space="preserve"> </w:t>
      </w:r>
      <w:r w:rsidRPr="001539F9">
        <w:rPr>
          <w:spacing w:val="-2"/>
          <w:sz w:val="16"/>
          <w:szCs w:val="16"/>
          <w:lang w:val="en-GB"/>
        </w:rPr>
        <w:t xml:space="preserve">Expressed according to the seasonally adjusted data from the business cycle surveys as the difference </w:t>
      </w:r>
      <w:r w:rsidRPr="001539F9">
        <w:rPr>
          <w:spacing w:val="-4"/>
          <w:sz w:val="16"/>
          <w:szCs w:val="16"/>
          <w:lang w:val="en-GB"/>
        </w:rPr>
        <w:t xml:space="preserve">(in p.p.) between the proportion of businesses expecting employment growth in the next three months and businesses on the other hand anticipating decline of their levels of employees. </w:t>
      </w:r>
    </w:p>
  </w:footnote>
  <w:footnote w:id="5">
    <w:p w:rsidR="00665624" w:rsidRPr="00212F5D" w:rsidRDefault="00665624" w:rsidP="00E343C7">
      <w:pPr>
        <w:pStyle w:val="Textpoznpodarou"/>
        <w:jc w:val="both"/>
        <w:rPr>
          <w:spacing w:val="-2"/>
          <w:sz w:val="16"/>
          <w:szCs w:val="16"/>
          <w:lang w:val="en-GB"/>
        </w:rPr>
      </w:pPr>
      <w:r w:rsidRPr="006A4CF3">
        <w:rPr>
          <w:rStyle w:val="Znakapoznpodarou"/>
          <w:spacing w:val="-2"/>
          <w:sz w:val="16"/>
          <w:szCs w:val="16"/>
        </w:rPr>
        <w:footnoteRef/>
      </w:r>
      <w:r>
        <w:rPr>
          <w:spacing w:val="-2"/>
          <w:sz w:val="16"/>
          <w:szCs w:val="16"/>
        </w:rPr>
        <w:t xml:space="preserve"> </w:t>
      </w:r>
      <w:r w:rsidRPr="00212F5D">
        <w:rPr>
          <w:spacing w:val="-2"/>
          <w:sz w:val="16"/>
          <w:szCs w:val="16"/>
          <w:lang w:val="en-GB"/>
        </w:rPr>
        <w:t>Balance of short-term expectations in the area of employment reached</w:t>
      </w:r>
      <w:r>
        <w:rPr>
          <w:spacing w:val="-2"/>
          <w:sz w:val="16"/>
          <w:szCs w:val="16"/>
          <w:lang w:val="en-GB"/>
        </w:rPr>
        <w:t xml:space="preserve"> </w:t>
      </w:r>
      <w:r w:rsidRPr="00212F5D">
        <w:rPr>
          <w:spacing w:val="-2"/>
          <w:sz w:val="16"/>
          <w:szCs w:val="16"/>
          <w:lang w:val="en-GB"/>
        </w:rPr>
        <w:t>+15 </w:t>
      </w:r>
      <w:r>
        <w:rPr>
          <w:spacing w:val="-2"/>
          <w:sz w:val="16"/>
          <w:szCs w:val="16"/>
          <w:lang w:val="en-GB"/>
        </w:rPr>
        <w:t>points</w:t>
      </w:r>
      <w:r w:rsidRPr="00212F5D">
        <w:rPr>
          <w:spacing w:val="-2"/>
          <w:sz w:val="16"/>
          <w:szCs w:val="16"/>
          <w:lang w:val="en-GB"/>
        </w:rPr>
        <w:t xml:space="preserve"> in both construction and trade in June 2019. It was similarly –2 points in industry and market services. Situation differed according to sub-branches. Within manufacturing, the lar</w:t>
      </w:r>
      <w:r>
        <w:rPr>
          <w:spacing w:val="-2"/>
          <w:sz w:val="16"/>
          <w:szCs w:val="16"/>
          <w:lang w:val="en-GB"/>
        </w:rPr>
        <w:t>gest share of businesses expecting</w:t>
      </w:r>
      <w:r w:rsidRPr="00212F5D">
        <w:rPr>
          <w:spacing w:val="-2"/>
          <w:sz w:val="16"/>
          <w:szCs w:val="16"/>
          <w:lang w:val="en-GB"/>
        </w:rPr>
        <w:t xml:space="preserve"> reduction of their number of workers was in manufacture of </w:t>
      </w:r>
      <w:r w:rsidR="00E03DEA">
        <w:rPr>
          <w:spacing w:val="-2"/>
          <w:sz w:val="16"/>
          <w:szCs w:val="16"/>
          <w:lang w:val="en-GB"/>
        </w:rPr>
        <w:t xml:space="preserve">fabricated </w:t>
      </w:r>
      <w:r w:rsidRPr="00212F5D">
        <w:rPr>
          <w:spacing w:val="-2"/>
          <w:sz w:val="16"/>
          <w:szCs w:val="16"/>
          <w:lang w:val="en-GB"/>
        </w:rPr>
        <w:t>metal products, machiner</w:t>
      </w:r>
      <w:r>
        <w:rPr>
          <w:spacing w:val="-2"/>
          <w:sz w:val="16"/>
          <w:szCs w:val="16"/>
          <w:lang w:val="en-GB"/>
        </w:rPr>
        <w:t>y</w:t>
      </w:r>
      <w:r w:rsidRPr="00212F5D">
        <w:rPr>
          <w:spacing w:val="-2"/>
          <w:sz w:val="16"/>
          <w:szCs w:val="16"/>
          <w:lang w:val="en-GB"/>
        </w:rPr>
        <w:t xml:space="preserve"> and manufacture of wea</w:t>
      </w:r>
      <w:r w:rsidR="004B33C6">
        <w:rPr>
          <w:spacing w:val="-2"/>
          <w:sz w:val="16"/>
          <w:szCs w:val="16"/>
          <w:lang w:val="en-GB"/>
        </w:rPr>
        <w:t>ring apparel. O</w:t>
      </w:r>
      <w:r w:rsidRPr="00212F5D">
        <w:rPr>
          <w:spacing w:val="-2"/>
          <w:sz w:val="16"/>
          <w:szCs w:val="16"/>
          <w:lang w:val="en-GB"/>
        </w:rPr>
        <w:t>n the oth</w:t>
      </w:r>
      <w:r w:rsidR="004B33C6">
        <w:rPr>
          <w:spacing w:val="-2"/>
          <w:sz w:val="16"/>
          <w:szCs w:val="16"/>
          <w:lang w:val="en-GB"/>
        </w:rPr>
        <w:t>er hand, positive outlook</w:t>
      </w:r>
      <w:r w:rsidRPr="00212F5D">
        <w:rPr>
          <w:spacing w:val="-2"/>
          <w:sz w:val="16"/>
          <w:szCs w:val="16"/>
          <w:lang w:val="en-GB"/>
        </w:rPr>
        <w:t xml:space="preserve"> prevailed mainly in manufacture of computers, electronic and optical products, in chemical, pharmaceutical and wood industry. </w:t>
      </w:r>
      <w:r w:rsidR="00E03DEA">
        <w:rPr>
          <w:spacing w:val="-2"/>
          <w:sz w:val="16"/>
          <w:szCs w:val="16"/>
          <w:lang w:val="en-GB"/>
        </w:rPr>
        <w:t>Among market services</w:t>
      </w:r>
      <w:r>
        <w:rPr>
          <w:spacing w:val="-2"/>
          <w:sz w:val="16"/>
          <w:szCs w:val="16"/>
          <w:lang w:val="en-GB"/>
        </w:rPr>
        <w:t xml:space="preserve">, mainly businesses in information and communication, in professional, scientific and technical activities and further also in sub-branches storage or restaurants signalled growth. On the contrary, businesses in transportation, postal and courier activities, financial activities </w:t>
      </w:r>
      <w:r w:rsidRPr="00212F5D">
        <w:rPr>
          <w:spacing w:val="-2"/>
          <w:sz w:val="16"/>
          <w:szCs w:val="16"/>
          <w:lang w:val="en-GB"/>
        </w:rPr>
        <w:t>(</w:t>
      </w:r>
      <w:r>
        <w:rPr>
          <w:spacing w:val="-2"/>
          <w:sz w:val="16"/>
          <w:szCs w:val="16"/>
          <w:lang w:val="en-GB"/>
        </w:rPr>
        <w:t>except for insurance and pension funding</w:t>
      </w:r>
      <w:r w:rsidRPr="00212F5D">
        <w:rPr>
          <w:spacing w:val="-2"/>
          <w:sz w:val="16"/>
          <w:szCs w:val="16"/>
          <w:lang w:val="en-GB"/>
        </w:rPr>
        <w:t>),</w:t>
      </w:r>
      <w:r>
        <w:rPr>
          <w:spacing w:val="-2"/>
          <w:sz w:val="16"/>
          <w:szCs w:val="16"/>
          <w:lang w:val="en-GB"/>
        </w:rPr>
        <w:t xml:space="preserve"> travel agencies and also security and investigative activities were more inclined to the reduction of number of workers</w:t>
      </w:r>
      <w:r w:rsidRPr="00212F5D">
        <w:rPr>
          <w:spacing w:val="-2"/>
          <w:sz w:val="16"/>
          <w:szCs w:val="16"/>
          <w:lang w:val="en-GB"/>
        </w:rPr>
        <w:t>.</w:t>
      </w:r>
    </w:p>
  </w:footnote>
  <w:footnote w:id="6">
    <w:p w:rsidR="00665624" w:rsidRPr="00362E29" w:rsidRDefault="00665624" w:rsidP="007302FF">
      <w:pPr>
        <w:pStyle w:val="Textpoznpodarou"/>
        <w:jc w:val="both"/>
        <w:rPr>
          <w:spacing w:val="-2"/>
          <w:sz w:val="16"/>
          <w:szCs w:val="16"/>
          <w:lang w:val="en-GB"/>
        </w:rPr>
      </w:pPr>
      <w:r w:rsidRPr="006A4CF3">
        <w:rPr>
          <w:rStyle w:val="Znakapoznpodarou"/>
          <w:spacing w:val="-2"/>
          <w:sz w:val="16"/>
          <w:szCs w:val="16"/>
        </w:rPr>
        <w:footnoteRef/>
      </w:r>
      <w:r>
        <w:rPr>
          <w:spacing w:val="-2"/>
          <w:sz w:val="16"/>
          <w:szCs w:val="16"/>
        </w:rPr>
        <w:t xml:space="preserve"> </w:t>
      </w:r>
      <w:r w:rsidR="00AC4883">
        <w:rPr>
          <w:spacing w:val="-2"/>
          <w:sz w:val="16"/>
          <w:szCs w:val="16"/>
          <w:lang w:val="en-GB"/>
        </w:rPr>
        <w:t>According to the business</w:t>
      </w:r>
      <w:r w:rsidRPr="00362E29">
        <w:rPr>
          <w:spacing w:val="-2"/>
          <w:sz w:val="16"/>
          <w:szCs w:val="16"/>
          <w:lang w:val="en-GB"/>
        </w:rPr>
        <w:t xml:space="preserve"> statistical data, the number of employees even mildly fell (by 0.3%) in industry in H1. </w:t>
      </w:r>
      <w:r>
        <w:rPr>
          <w:spacing w:val="-2"/>
          <w:sz w:val="16"/>
          <w:szCs w:val="16"/>
          <w:lang w:val="en-GB"/>
        </w:rPr>
        <w:t xml:space="preserve">In this conception however agency workers are not included in the industry and the effect of the shadow economy is also not allowed for. </w:t>
      </w:r>
    </w:p>
  </w:footnote>
  <w:footnote w:id="7">
    <w:p w:rsidR="00665624" w:rsidRPr="007C2106" w:rsidRDefault="00665624" w:rsidP="00F215AC">
      <w:pPr>
        <w:pStyle w:val="Textpoznpodarou"/>
        <w:jc w:val="both"/>
        <w:rPr>
          <w:spacing w:val="-2"/>
          <w:sz w:val="16"/>
          <w:szCs w:val="16"/>
          <w:lang w:val="en-GB"/>
        </w:rPr>
      </w:pPr>
      <w:r w:rsidRPr="006A4CF3">
        <w:rPr>
          <w:rStyle w:val="Znakapoznpodarou"/>
          <w:spacing w:val="-2"/>
          <w:sz w:val="16"/>
          <w:szCs w:val="16"/>
        </w:rPr>
        <w:footnoteRef/>
      </w:r>
      <w:r>
        <w:rPr>
          <w:spacing w:val="-2"/>
          <w:sz w:val="16"/>
          <w:szCs w:val="16"/>
        </w:rPr>
        <w:t xml:space="preserve"> </w:t>
      </w:r>
      <w:r w:rsidRPr="007C2106">
        <w:rPr>
          <w:spacing w:val="-2"/>
          <w:sz w:val="16"/>
          <w:szCs w:val="16"/>
          <w:lang w:val="en-GB"/>
        </w:rPr>
        <w:t xml:space="preserve">Persons not in employment, not seeking work (thus not fulfilling a condition to be </w:t>
      </w:r>
      <w:r>
        <w:rPr>
          <w:spacing w:val="-2"/>
          <w:sz w:val="16"/>
          <w:szCs w:val="16"/>
          <w:lang w:val="en-GB"/>
        </w:rPr>
        <w:t>p</w:t>
      </w:r>
      <w:r w:rsidRPr="007C2106">
        <w:rPr>
          <w:spacing w:val="-2"/>
          <w:sz w:val="16"/>
          <w:szCs w:val="16"/>
          <w:lang w:val="en-GB"/>
        </w:rPr>
        <w:t>ut among</w:t>
      </w:r>
      <w:r>
        <w:rPr>
          <w:spacing w:val="-2"/>
          <w:sz w:val="16"/>
          <w:szCs w:val="16"/>
          <w:lang w:val="en-GB"/>
        </w:rPr>
        <w:t xml:space="preserve"> </w:t>
      </w:r>
      <w:r w:rsidRPr="007C2106">
        <w:rPr>
          <w:spacing w:val="-2"/>
          <w:sz w:val="16"/>
          <w:szCs w:val="16"/>
          <w:lang w:val="en-GB"/>
        </w:rPr>
        <w:t xml:space="preserve">unemployed), but expressing the willingness to work (regardless </w:t>
      </w:r>
      <w:r>
        <w:rPr>
          <w:spacing w:val="-2"/>
          <w:sz w:val="16"/>
          <w:szCs w:val="16"/>
          <w:lang w:val="en-GB"/>
        </w:rPr>
        <w:t xml:space="preserve">of </w:t>
      </w:r>
      <w:r w:rsidRPr="007C2106">
        <w:rPr>
          <w:spacing w:val="-2"/>
          <w:sz w:val="16"/>
          <w:szCs w:val="16"/>
          <w:lang w:val="en-GB"/>
        </w:rPr>
        <w:t xml:space="preserve">the ability to join new employment fast). There were 105 thousand </w:t>
      </w:r>
      <w:r w:rsidR="00AE12DC">
        <w:rPr>
          <w:spacing w:val="-2"/>
          <w:sz w:val="16"/>
          <w:szCs w:val="16"/>
          <w:lang w:val="en-GB"/>
        </w:rPr>
        <w:t>of them</w:t>
      </w:r>
      <w:r w:rsidRPr="007C2106">
        <w:rPr>
          <w:spacing w:val="-2"/>
          <w:sz w:val="16"/>
          <w:szCs w:val="16"/>
          <w:lang w:val="en-GB"/>
        </w:rPr>
        <w:t xml:space="preserve"> in Q2 2019, nearly by one half less compared to years 2010 and 2011, when the labour market was hit by the aftermath of the economic recession. </w:t>
      </w:r>
    </w:p>
  </w:footnote>
  <w:footnote w:id="8">
    <w:p w:rsidR="00665624" w:rsidRPr="007C2106" w:rsidRDefault="00665624" w:rsidP="00DD1A3F">
      <w:pPr>
        <w:pStyle w:val="Textpoznpodarou"/>
        <w:jc w:val="both"/>
        <w:rPr>
          <w:spacing w:val="-2"/>
          <w:sz w:val="16"/>
          <w:szCs w:val="16"/>
          <w:lang w:val="en-GB"/>
        </w:rPr>
      </w:pPr>
      <w:r w:rsidRPr="007C2106">
        <w:rPr>
          <w:rStyle w:val="Znakapoznpodarou"/>
          <w:spacing w:val="-2"/>
          <w:sz w:val="16"/>
          <w:szCs w:val="16"/>
          <w:lang w:val="en-GB"/>
        </w:rPr>
        <w:footnoteRef/>
      </w:r>
      <w:r w:rsidRPr="007C2106">
        <w:rPr>
          <w:spacing w:val="-2"/>
          <w:sz w:val="16"/>
          <w:szCs w:val="16"/>
          <w:lang w:val="en-GB"/>
        </w:rPr>
        <w:t xml:space="preserve"> </w:t>
      </w:r>
      <w:r w:rsidR="00CC5DBF">
        <w:rPr>
          <w:spacing w:val="-2"/>
          <w:sz w:val="16"/>
          <w:szCs w:val="16"/>
          <w:lang w:val="en-GB"/>
        </w:rPr>
        <w:t>Only women in Baltic countries</w:t>
      </w:r>
      <w:r>
        <w:rPr>
          <w:spacing w:val="-2"/>
          <w:sz w:val="16"/>
          <w:szCs w:val="16"/>
          <w:lang w:val="en-GB"/>
        </w:rPr>
        <w:t xml:space="preserve"> attained a higher employment rate </w:t>
      </w:r>
      <w:r w:rsidRPr="007C2106">
        <w:rPr>
          <w:spacing w:val="-2"/>
          <w:sz w:val="16"/>
          <w:szCs w:val="16"/>
          <w:lang w:val="en-GB"/>
        </w:rPr>
        <w:t xml:space="preserve">(70 </w:t>
      </w:r>
      <w:r>
        <w:rPr>
          <w:spacing w:val="-2"/>
          <w:sz w:val="16"/>
          <w:szCs w:val="16"/>
          <w:lang w:val="en-GB"/>
        </w:rPr>
        <w:t>to</w:t>
      </w:r>
      <w:r w:rsidRPr="007C2106">
        <w:rPr>
          <w:spacing w:val="-2"/>
          <w:sz w:val="16"/>
          <w:szCs w:val="16"/>
          <w:lang w:val="en-GB"/>
        </w:rPr>
        <w:t xml:space="preserve"> 72%) </w:t>
      </w:r>
      <w:r>
        <w:rPr>
          <w:spacing w:val="-2"/>
          <w:sz w:val="16"/>
          <w:szCs w:val="16"/>
          <w:lang w:val="en-GB"/>
        </w:rPr>
        <w:t xml:space="preserve">among states that accessed the EU after year </w:t>
      </w:r>
      <w:r w:rsidRPr="007C2106">
        <w:rPr>
          <w:spacing w:val="-2"/>
          <w:sz w:val="16"/>
          <w:szCs w:val="16"/>
          <w:lang w:val="en-GB"/>
        </w:rPr>
        <w:t xml:space="preserve">2000, mainly </w:t>
      </w:r>
      <w:r>
        <w:rPr>
          <w:spacing w:val="-2"/>
          <w:sz w:val="16"/>
          <w:szCs w:val="16"/>
          <w:lang w:val="en-GB"/>
        </w:rPr>
        <w:t xml:space="preserve">due </w:t>
      </w:r>
      <w:r w:rsidRPr="007C2106">
        <w:rPr>
          <w:spacing w:val="-2"/>
          <w:sz w:val="16"/>
          <w:szCs w:val="16"/>
          <w:lang w:val="en-GB"/>
        </w:rPr>
        <w:t xml:space="preserve">to the </w:t>
      </w:r>
      <w:r w:rsidR="00CC5DBF">
        <w:rPr>
          <w:spacing w:val="-2"/>
          <w:sz w:val="16"/>
          <w:szCs w:val="16"/>
          <w:lang w:val="en-GB"/>
        </w:rPr>
        <w:t xml:space="preserve">higher </w:t>
      </w:r>
      <w:r w:rsidRPr="007C2106">
        <w:rPr>
          <w:spacing w:val="-2"/>
          <w:sz w:val="16"/>
          <w:szCs w:val="16"/>
          <w:lang w:val="en-GB"/>
        </w:rPr>
        <w:t>legal retirement 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24" w:rsidRDefault="00665624" w:rsidP="00937AE2">
    <w:pPr>
      <w:pStyle w:val="Zhlav"/>
    </w:pPr>
    <w:r>
      <w:t>The Czech Economy Development</w:t>
    </w:r>
  </w:p>
  <w:p w:rsidR="00665624" w:rsidRPr="006F5416" w:rsidRDefault="00665624"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24" w:rsidRDefault="00665624" w:rsidP="00937AE2">
    <w:pPr>
      <w:pStyle w:val="Zhlav"/>
    </w:pPr>
    <w:r>
      <w:t>The Czech Economy Development</w:t>
    </w:r>
  </w:p>
  <w:p w:rsidR="00665624" w:rsidRPr="006F5416" w:rsidRDefault="00665624"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28"/>
    <w:rsid w:val="000005AF"/>
    <w:rsid w:val="00000B55"/>
    <w:rsid w:val="00000DA2"/>
    <w:rsid w:val="00000E05"/>
    <w:rsid w:val="0000209D"/>
    <w:rsid w:val="00002315"/>
    <w:rsid w:val="00003849"/>
    <w:rsid w:val="00003F5C"/>
    <w:rsid w:val="00003FD3"/>
    <w:rsid w:val="00004D5A"/>
    <w:rsid w:val="000056D5"/>
    <w:rsid w:val="00005D9E"/>
    <w:rsid w:val="000063D5"/>
    <w:rsid w:val="00006625"/>
    <w:rsid w:val="000066B6"/>
    <w:rsid w:val="00006ABD"/>
    <w:rsid w:val="00006B67"/>
    <w:rsid w:val="00006C0B"/>
    <w:rsid w:val="000073A0"/>
    <w:rsid w:val="0000767A"/>
    <w:rsid w:val="00007ABE"/>
    <w:rsid w:val="00010256"/>
    <w:rsid w:val="000103C8"/>
    <w:rsid w:val="00010702"/>
    <w:rsid w:val="0001128E"/>
    <w:rsid w:val="00011912"/>
    <w:rsid w:val="0001387D"/>
    <w:rsid w:val="0001448F"/>
    <w:rsid w:val="000162C4"/>
    <w:rsid w:val="00016420"/>
    <w:rsid w:val="0001719F"/>
    <w:rsid w:val="00017B01"/>
    <w:rsid w:val="00017F00"/>
    <w:rsid w:val="00020F22"/>
    <w:rsid w:val="0002195D"/>
    <w:rsid w:val="000221E5"/>
    <w:rsid w:val="000228AE"/>
    <w:rsid w:val="000233D1"/>
    <w:rsid w:val="0002345D"/>
    <w:rsid w:val="000234D6"/>
    <w:rsid w:val="00023D29"/>
    <w:rsid w:val="00024348"/>
    <w:rsid w:val="00025D65"/>
    <w:rsid w:val="00026389"/>
    <w:rsid w:val="000274E3"/>
    <w:rsid w:val="00031AE0"/>
    <w:rsid w:val="00031BB2"/>
    <w:rsid w:val="000322EF"/>
    <w:rsid w:val="00033FCD"/>
    <w:rsid w:val="00034DF7"/>
    <w:rsid w:val="00034E68"/>
    <w:rsid w:val="00034F5B"/>
    <w:rsid w:val="000350C8"/>
    <w:rsid w:val="00036195"/>
    <w:rsid w:val="00037270"/>
    <w:rsid w:val="000374B2"/>
    <w:rsid w:val="000376C0"/>
    <w:rsid w:val="000403A7"/>
    <w:rsid w:val="00040632"/>
    <w:rsid w:val="00041028"/>
    <w:rsid w:val="00041CEC"/>
    <w:rsid w:val="00044183"/>
    <w:rsid w:val="0004694F"/>
    <w:rsid w:val="0004752C"/>
    <w:rsid w:val="00047D54"/>
    <w:rsid w:val="000522E4"/>
    <w:rsid w:val="00053713"/>
    <w:rsid w:val="000537E1"/>
    <w:rsid w:val="00054136"/>
    <w:rsid w:val="0005434E"/>
    <w:rsid w:val="00054796"/>
    <w:rsid w:val="00055CB6"/>
    <w:rsid w:val="000572DD"/>
    <w:rsid w:val="00057B1E"/>
    <w:rsid w:val="00057F99"/>
    <w:rsid w:val="000610E1"/>
    <w:rsid w:val="000616AD"/>
    <w:rsid w:val="000622A6"/>
    <w:rsid w:val="00062EC5"/>
    <w:rsid w:val="00062F22"/>
    <w:rsid w:val="00063975"/>
    <w:rsid w:val="00063CEA"/>
    <w:rsid w:val="000645FC"/>
    <w:rsid w:val="0006533F"/>
    <w:rsid w:val="00065348"/>
    <w:rsid w:val="00065892"/>
    <w:rsid w:val="00065A75"/>
    <w:rsid w:val="00066558"/>
    <w:rsid w:val="00070A87"/>
    <w:rsid w:val="000712B3"/>
    <w:rsid w:val="00072191"/>
    <w:rsid w:val="00072577"/>
    <w:rsid w:val="00072A4A"/>
    <w:rsid w:val="00072FF5"/>
    <w:rsid w:val="0007474E"/>
    <w:rsid w:val="0007512B"/>
    <w:rsid w:val="00075551"/>
    <w:rsid w:val="00076079"/>
    <w:rsid w:val="00076D90"/>
    <w:rsid w:val="00077FF0"/>
    <w:rsid w:val="000804D8"/>
    <w:rsid w:val="00081A55"/>
    <w:rsid w:val="0008263E"/>
    <w:rsid w:val="00082C19"/>
    <w:rsid w:val="000837CD"/>
    <w:rsid w:val="00083F87"/>
    <w:rsid w:val="00084492"/>
    <w:rsid w:val="00084BFF"/>
    <w:rsid w:val="00084C4C"/>
    <w:rsid w:val="00085395"/>
    <w:rsid w:val="0008688B"/>
    <w:rsid w:val="00086896"/>
    <w:rsid w:val="00086AC1"/>
    <w:rsid w:val="00086D19"/>
    <w:rsid w:val="00087634"/>
    <w:rsid w:val="00087F2B"/>
    <w:rsid w:val="00090694"/>
    <w:rsid w:val="000906C3"/>
    <w:rsid w:val="000912BE"/>
    <w:rsid w:val="000913B1"/>
    <w:rsid w:val="00091483"/>
    <w:rsid w:val="00093241"/>
    <w:rsid w:val="00094A84"/>
    <w:rsid w:val="00095025"/>
    <w:rsid w:val="00095135"/>
    <w:rsid w:val="00095A4B"/>
    <w:rsid w:val="00095AFE"/>
    <w:rsid w:val="0009626E"/>
    <w:rsid w:val="00097191"/>
    <w:rsid w:val="000974D1"/>
    <w:rsid w:val="0009799E"/>
    <w:rsid w:val="000A0BC0"/>
    <w:rsid w:val="000A1183"/>
    <w:rsid w:val="000A212B"/>
    <w:rsid w:val="000A256D"/>
    <w:rsid w:val="000A3A2C"/>
    <w:rsid w:val="000A3D9E"/>
    <w:rsid w:val="000A4A20"/>
    <w:rsid w:val="000A4A54"/>
    <w:rsid w:val="000A4ED9"/>
    <w:rsid w:val="000A6F9F"/>
    <w:rsid w:val="000A7377"/>
    <w:rsid w:val="000B03CC"/>
    <w:rsid w:val="000B4212"/>
    <w:rsid w:val="000B7A9D"/>
    <w:rsid w:val="000C0EA8"/>
    <w:rsid w:val="000C13A2"/>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5637"/>
    <w:rsid w:val="000D6F4E"/>
    <w:rsid w:val="000E0E96"/>
    <w:rsid w:val="000E298B"/>
    <w:rsid w:val="000E2C7D"/>
    <w:rsid w:val="000E440D"/>
    <w:rsid w:val="000E44FB"/>
    <w:rsid w:val="000E4AC5"/>
    <w:rsid w:val="000E4DDC"/>
    <w:rsid w:val="000E6253"/>
    <w:rsid w:val="000E6E4D"/>
    <w:rsid w:val="000E6FBD"/>
    <w:rsid w:val="000E6FCB"/>
    <w:rsid w:val="000E7DEA"/>
    <w:rsid w:val="000F090B"/>
    <w:rsid w:val="000F253E"/>
    <w:rsid w:val="000F3F3B"/>
    <w:rsid w:val="000F47E8"/>
    <w:rsid w:val="000F70E4"/>
    <w:rsid w:val="00100F5C"/>
    <w:rsid w:val="00101CDA"/>
    <w:rsid w:val="00102037"/>
    <w:rsid w:val="00103DCB"/>
    <w:rsid w:val="00104C4C"/>
    <w:rsid w:val="00105015"/>
    <w:rsid w:val="00105238"/>
    <w:rsid w:val="001057C2"/>
    <w:rsid w:val="00105F9B"/>
    <w:rsid w:val="00105FF8"/>
    <w:rsid w:val="0011038E"/>
    <w:rsid w:val="001116E7"/>
    <w:rsid w:val="001125EF"/>
    <w:rsid w:val="00112CAB"/>
    <w:rsid w:val="00113B2C"/>
    <w:rsid w:val="001143E0"/>
    <w:rsid w:val="00114F02"/>
    <w:rsid w:val="00115469"/>
    <w:rsid w:val="00116D3F"/>
    <w:rsid w:val="00117474"/>
    <w:rsid w:val="00117623"/>
    <w:rsid w:val="00117FEA"/>
    <w:rsid w:val="001200CF"/>
    <w:rsid w:val="001208E3"/>
    <w:rsid w:val="0012192F"/>
    <w:rsid w:val="00121AAB"/>
    <w:rsid w:val="00122994"/>
    <w:rsid w:val="00124B46"/>
    <w:rsid w:val="001257E0"/>
    <w:rsid w:val="00125D69"/>
    <w:rsid w:val="0012799C"/>
    <w:rsid w:val="00127E15"/>
    <w:rsid w:val="00130ADC"/>
    <w:rsid w:val="00130D9F"/>
    <w:rsid w:val="00132C4D"/>
    <w:rsid w:val="00133FC1"/>
    <w:rsid w:val="00134659"/>
    <w:rsid w:val="001370B7"/>
    <w:rsid w:val="001405FA"/>
    <w:rsid w:val="00140D1A"/>
    <w:rsid w:val="00141315"/>
    <w:rsid w:val="00141AA0"/>
    <w:rsid w:val="001425C3"/>
    <w:rsid w:val="0014262D"/>
    <w:rsid w:val="00144588"/>
    <w:rsid w:val="001447DD"/>
    <w:rsid w:val="001459BC"/>
    <w:rsid w:val="0014675A"/>
    <w:rsid w:val="0015136D"/>
    <w:rsid w:val="001524CE"/>
    <w:rsid w:val="00152F4F"/>
    <w:rsid w:val="001539F9"/>
    <w:rsid w:val="00153C26"/>
    <w:rsid w:val="00153EC7"/>
    <w:rsid w:val="001544A1"/>
    <w:rsid w:val="001548E1"/>
    <w:rsid w:val="001553B8"/>
    <w:rsid w:val="001554C2"/>
    <w:rsid w:val="00155B6D"/>
    <w:rsid w:val="001571C0"/>
    <w:rsid w:val="0015753D"/>
    <w:rsid w:val="00157CC9"/>
    <w:rsid w:val="00157E3F"/>
    <w:rsid w:val="00160C21"/>
    <w:rsid w:val="00161223"/>
    <w:rsid w:val="001612F4"/>
    <w:rsid w:val="00161553"/>
    <w:rsid w:val="00161684"/>
    <w:rsid w:val="0016256B"/>
    <w:rsid w:val="00162F81"/>
    <w:rsid w:val="00163793"/>
    <w:rsid w:val="0016467D"/>
    <w:rsid w:val="00164788"/>
    <w:rsid w:val="001650C3"/>
    <w:rsid w:val="00166875"/>
    <w:rsid w:val="00167485"/>
    <w:rsid w:val="00167CB9"/>
    <w:rsid w:val="00167DD8"/>
    <w:rsid w:val="001705AD"/>
    <w:rsid w:val="001706D6"/>
    <w:rsid w:val="001714F2"/>
    <w:rsid w:val="00171FEA"/>
    <w:rsid w:val="00172622"/>
    <w:rsid w:val="001750A3"/>
    <w:rsid w:val="00175B9F"/>
    <w:rsid w:val="001762F4"/>
    <w:rsid w:val="001807EF"/>
    <w:rsid w:val="00181BBC"/>
    <w:rsid w:val="0018385F"/>
    <w:rsid w:val="00183928"/>
    <w:rsid w:val="00184017"/>
    <w:rsid w:val="00184B08"/>
    <w:rsid w:val="00185010"/>
    <w:rsid w:val="00185C22"/>
    <w:rsid w:val="00185E52"/>
    <w:rsid w:val="00186BA9"/>
    <w:rsid w:val="0019196C"/>
    <w:rsid w:val="00192F05"/>
    <w:rsid w:val="0019447D"/>
    <w:rsid w:val="00194729"/>
    <w:rsid w:val="00194850"/>
    <w:rsid w:val="00195234"/>
    <w:rsid w:val="00195C85"/>
    <w:rsid w:val="00196016"/>
    <w:rsid w:val="00197A70"/>
    <w:rsid w:val="00197C0F"/>
    <w:rsid w:val="001A0487"/>
    <w:rsid w:val="001A15AF"/>
    <w:rsid w:val="001A1716"/>
    <w:rsid w:val="001A1F68"/>
    <w:rsid w:val="001A21FA"/>
    <w:rsid w:val="001A2AD0"/>
    <w:rsid w:val="001A4EF0"/>
    <w:rsid w:val="001A552F"/>
    <w:rsid w:val="001B086A"/>
    <w:rsid w:val="001B2CA9"/>
    <w:rsid w:val="001B3110"/>
    <w:rsid w:val="001B352E"/>
    <w:rsid w:val="001B3E38"/>
    <w:rsid w:val="001B40F5"/>
    <w:rsid w:val="001B4729"/>
    <w:rsid w:val="001B4F0E"/>
    <w:rsid w:val="001B6310"/>
    <w:rsid w:val="001B6C09"/>
    <w:rsid w:val="001C05CD"/>
    <w:rsid w:val="001C0F17"/>
    <w:rsid w:val="001C1B66"/>
    <w:rsid w:val="001C1B6C"/>
    <w:rsid w:val="001C2B88"/>
    <w:rsid w:val="001C31A2"/>
    <w:rsid w:val="001C369F"/>
    <w:rsid w:val="001C4BB8"/>
    <w:rsid w:val="001C5E46"/>
    <w:rsid w:val="001C60B7"/>
    <w:rsid w:val="001C6B3B"/>
    <w:rsid w:val="001C6C7D"/>
    <w:rsid w:val="001C7E3F"/>
    <w:rsid w:val="001D0EF1"/>
    <w:rsid w:val="001D22C2"/>
    <w:rsid w:val="001D2C99"/>
    <w:rsid w:val="001D452E"/>
    <w:rsid w:val="001D54C1"/>
    <w:rsid w:val="001D556E"/>
    <w:rsid w:val="001D5DF2"/>
    <w:rsid w:val="001D68B2"/>
    <w:rsid w:val="001D6E96"/>
    <w:rsid w:val="001D74DD"/>
    <w:rsid w:val="001D7EFD"/>
    <w:rsid w:val="001D7F60"/>
    <w:rsid w:val="001E09E1"/>
    <w:rsid w:val="001E504C"/>
    <w:rsid w:val="001E59DF"/>
    <w:rsid w:val="001E5A17"/>
    <w:rsid w:val="001E74C5"/>
    <w:rsid w:val="001F1236"/>
    <w:rsid w:val="001F2F90"/>
    <w:rsid w:val="001F4597"/>
    <w:rsid w:val="001F4826"/>
    <w:rsid w:val="001F5EAA"/>
    <w:rsid w:val="001F7CE0"/>
    <w:rsid w:val="00200085"/>
    <w:rsid w:val="00203332"/>
    <w:rsid w:val="00203CD5"/>
    <w:rsid w:val="00203D8F"/>
    <w:rsid w:val="00203DA4"/>
    <w:rsid w:val="00205186"/>
    <w:rsid w:val="00205932"/>
    <w:rsid w:val="00206516"/>
    <w:rsid w:val="002071D5"/>
    <w:rsid w:val="002111E5"/>
    <w:rsid w:val="00211433"/>
    <w:rsid w:val="002118B9"/>
    <w:rsid w:val="00212F5D"/>
    <w:rsid w:val="002142C0"/>
    <w:rsid w:val="00217C5B"/>
    <w:rsid w:val="00220A43"/>
    <w:rsid w:val="0022139E"/>
    <w:rsid w:val="00222729"/>
    <w:rsid w:val="002233D6"/>
    <w:rsid w:val="00223605"/>
    <w:rsid w:val="0022441D"/>
    <w:rsid w:val="00224574"/>
    <w:rsid w:val="00224E3F"/>
    <w:rsid w:val="00225292"/>
    <w:rsid w:val="002252E0"/>
    <w:rsid w:val="002255F6"/>
    <w:rsid w:val="00226032"/>
    <w:rsid w:val="0022738D"/>
    <w:rsid w:val="00227605"/>
    <w:rsid w:val="00227850"/>
    <w:rsid w:val="00227A53"/>
    <w:rsid w:val="00227E2E"/>
    <w:rsid w:val="00227F53"/>
    <w:rsid w:val="00230C6E"/>
    <w:rsid w:val="00230E21"/>
    <w:rsid w:val="002316A8"/>
    <w:rsid w:val="0023288F"/>
    <w:rsid w:val="00233603"/>
    <w:rsid w:val="00233FDA"/>
    <w:rsid w:val="002340EF"/>
    <w:rsid w:val="00234B82"/>
    <w:rsid w:val="00236443"/>
    <w:rsid w:val="00236700"/>
    <w:rsid w:val="00237D82"/>
    <w:rsid w:val="00240ADA"/>
    <w:rsid w:val="00240AF3"/>
    <w:rsid w:val="00240DA6"/>
    <w:rsid w:val="0024106F"/>
    <w:rsid w:val="002418D5"/>
    <w:rsid w:val="00241B06"/>
    <w:rsid w:val="002436BA"/>
    <w:rsid w:val="0024448D"/>
    <w:rsid w:val="00244A15"/>
    <w:rsid w:val="002452D9"/>
    <w:rsid w:val="00247319"/>
    <w:rsid w:val="0024799E"/>
    <w:rsid w:val="00247E60"/>
    <w:rsid w:val="00251771"/>
    <w:rsid w:val="00251C53"/>
    <w:rsid w:val="00252AB9"/>
    <w:rsid w:val="00253C0F"/>
    <w:rsid w:val="002558C1"/>
    <w:rsid w:val="00256207"/>
    <w:rsid w:val="002575F3"/>
    <w:rsid w:val="002603E1"/>
    <w:rsid w:val="0026120E"/>
    <w:rsid w:val="00262141"/>
    <w:rsid w:val="002624BC"/>
    <w:rsid w:val="00262582"/>
    <w:rsid w:val="0026291D"/>
    <w:rsid w:val="00264309"/>
    <w:rsid w:val="0026564B"/>
    <w:rsid w:val="00265E85"/>
    <w:rsid w:val="00266E39"/>
    <w:rsid w:val="00266F0A"/>
    <w:rsid w:val="00267B49"/>
    <w:rsid w:val="002700D9"/>
    <w:rsid w:val="0027025F"/>
    <w:rsid w:val="002709CC"/>
    <w:rsid w:val="00271022"/>
    <w:rsid w:val="00271465"/>
    <w:rsid w:val="002721F5"/>
    <w:rsid w:val="00272DF4"/>
    <w:rsid w:val="00273681"/>
    <w:rsid w:val="00274D2C"/>
    <w:rsid w:val="0027583D"/>
    <w:rsid w:val="00275DEF"/>
    <w:rsid w:val="002763A2"/>
    <w:rsid w:val="00276B33"/>
    <w:rsid w:val="00281155"/>
    <w:rsid w:val="002812E3"/>
    <w:rsid w:val="00281560"/>
    <w:rsid w:val="0028341F"/>
    <w:rsid w:val="002837AE"/>
    <w:rsid w:val="00283C13"/>
    <w:rsid w:val="00284287"/>
    <w:rsid w:val="002849D0"/>
    <w:rsid w:val="002853FA"/>
    <w:rsid w:val="00285412"/>
    <w:rsid w:val="0028578A"/>
    <w:rsid w:val="00286220"/>
    <w:rsid w:val="002904EA"/>
    <w:rsid w:val="00291640"/>
    <w:rsid w:val="00291F92"/>
    <w:rsid w:val="00291FE4"/>
    <w:rsid w:val="0029237E"/>
    <w:rsid w:val="00292997"/>
    <w:rsid w:val="00293D24"/>
    <w:rsid w:val="0029509B"/>
    <w:rsid w:val="0029588F"/>
    <w:rsid w:val="00297256"/>
    <w:rsid w:val="00297A5C"/>
    <w:rsid w:val="00297BD9"/>
    <w:rsid w:val="00297D51"/>
    <w:rsid w:val="002A0122"/>
    <w:rsid w:val="002A016B"/>
    <w:rsid w:val="002A16D4"/>
    <w:rsid w:val="002A1E4F"/>
    <w:rsid w:val="002A230C"/>
    <w:rsid w:val="002A2AF7"/>
    <w:rsid w:val="002A3EA2"/>
    <w:rsid w:val="002A490D"/>
    <w:rsid w:val="002A512F"/>
    <w:rsid w:val="002A51AC"/>
    <w:rsid w:val="002A532A"/>
    <w:rsid w:val="002A5846"/>
    <w:rsid w:val="002A5D97"/>
    <w:rsid w:val="002A5E26"/>
    <w:rsid w:val="002A603E"/>
    <w:rsid w:val="002A63B9"/>
    <w:rsid w:val="002B3178"/>
    <w:rsid w:val="002B3EF4"/>
    <w:rsid w:val="002B4845"/>
    <w:rsid w:val="002B5567"/>
    <w:rsid w:val="002B72AA"/>
    <w:rsid w:val="002C1F09"/>
    <w:rsid w:val="002C22A4"/>
    <w:rsid w:val="002C260B"/>
    <w:rsid w:val="002C27A6"/>
    <w:rsid w:val="002C398D"/>
    <w:rsid w:val="002C40D2"/>
    <w:rsid w:val="002C4214"/>
    <w:rsid w:val="002C43BD"/>
    <w:rsid w:val="002C5245"/>
    <w:rsid w:val="002C59D8"/>
    <w:rsid w:val="002D0394"/>
    <w:rsid w:val="002D05CB"/>
    <w:rsid w:val="002D0E59"/>
    <w:rsid w:val="002D13AD"/>
    <w:rsid w:val="002D1C72"/>
    <w:rsid w:val="002D455C"/>
    <w:rsid w:val="002D5087"/>
    <w:rsid w:val="002E02A1"/>
    <w:rsid w:val="002E0587"/>
    <w:rsid w:val="002E196A"/>
    <w:rsid w:val="002E20C7"/>
    <w:rsid w:val="002E20CD"/>
    <w:rsid w:val="002E222E"/>
    <w:rsid w:val="002E26A6"/>
    <w:rsid w:val="002E28D8"/>
    <w:rsid w:val="002E37D1"/>
    <w:rsid w:val="002E3BEE"/>
    <w:rsid w:val="002E4E4C"/>
    <w:rsid w:val="002E4EA7"/>
    <w:rsid w:val="002E5846"/>
    <w:rsid w:val="002E792B"/>
    <w:rsid w:val="002E7A3C"/>
    <w:rsid w:val="002F0840"/>
    <w:rsid w:val="002F19BF"/>
    <w:rsid w:val="002F1B09"/>
    <w:rsid w:val="002F1DCB"/>
    <w:rsid w:val="002F1DE4"/>
    <w:rsid w:val="002F333D"/>
    <w:rsid w:val="002F351A"/>
    <w:rsid w:val="002F46D6"/>
    <w:rsid w:val="002F498A"/>
    <w:rsid w:val="002F4AD8"/>
    <w:rsid w:val="002F5285"/>
    <w:rsid w:val="002F5820"/>
    <w:rsid w:val="002F600E"/>
    <w:rsid w:val="00300C31"/>
    <w:rsid w:val="003019B0"/>
    <w:rsid w:val="00303939"/>
    <w:rsid w:val="00304771"/>
    <w:rsid w:val="003052D4"/>
    <w:rsid w:val="00306880"/>
    <w:rsid w:val="00306C5B"/>
    <w:rsid w:val="00307529"/>
    <w:rsid w:val="00307DB3"/>
    <w:rsid w:val="00307ED2"/>
    <w:rsid w:val="0031076D"/>
    <w:rsid w:val="00310FA6"/>
    <w:rsid w:val="00311AA6"/>
    <w:rsid w:val="00311C4D"/>
    <w:rsid w:val="003121AB"/>
    <w:rsid w:val="003153C8"/>
    <w:rsid w:val="00315524"/>
    <w:rsid w:val="00315BD8"/>
    <w:rsid w:val="0032058C"/>
    <w:rsid w:val="003208D0"/>
    <w:rsid w:val="003209D6"/>
    <w:rsid w:val="003217B9"/>
    <w:rsid w:val="00321924"/>
    <w:rsid w:val="00321EB6"/>
    <w:rsid w:val="003220A5"/>
    <w:rsid w:val="00323A1C"/>
    <w:rsid w:val="00324B59"/>
    <w:rsid w:val="0032656E"/>
    <w:rsid w:val="0032788F"/>
    <w:rsid w:val="00330DF5"/>
    <w:rsid w:val="00332190"/>
    <w:rsid w:val="00332378"/>
    <w:rsid w:val="003332CE"/>
    <w:rsid w:val="00333CD0"/>
    <w:rsid w:val="0033448D"/>
    <w:rsid w:val="00334AD2"/>
    <w:rsid w:val="0033709C"/>
    <w:rsid w:val="003370B1"/>
    <w:rsid w:val="003370C5"/>
    <w:rsid w:val="0034095D"/>
    <w:rsid w:val="00340BF3"/>
    <w:rsid w:val="00340FD2"/>
    <w:rsid w:val="00341D26"/>
    <w:rsid w:val="00341F05"/>
    <w:rsid w:val="0034335E"/>
    <w:rsid w:val="00343428"/>
    <w:rsid w:val="00344668"/>
    <w:rsid w:val="003462D9"/>
    <w:rsid w:val="00347247"/>
    <w:rsid w:val="00347BDC"/>
    <w:rsid w:val="00347DD4"/>
    <w:rsid w:val="00350879"/>
    <w:rsid w:val="00352B43"/>
    <w:rsid w:val="00352C28"/>
    <w:rsid w:val="0036077F"/>
    <w:rsid w:val="00360811"/>
    <w:rsid w:val="00360C86"/>
    <w:rsid w:val="00360F7A"/>
    <w:rsid w:val="00360FBC"/>
    <w:rsid w:val="00361537"/>
    <w:rsid w:val="0036242A"/>
    <w:rsid w:val="00362C23"/>
    <w:rsid w:val="00362E29"/>
    <w:rsid w:val="00362E90"/>
    <w:rsid w:val="00364FA0"/>
    <w:rsid w:val="003657F3"/>
    <w:rsid w:val="00365844"/>
    <w:rsid w:val="00367F84"/>
    <w:rsid w:val="003712BC"/>
    <w:rsid w:val="00372164"/>
    <w:rsid w:val="003738BD"/>
    <w:rsid w:val="00373973"/>
    <w:rsid w:val="00374263"/>
    <w:rsid w:val="003746F0"/>
    <w:rsid w:val="00374A20"/>
    <w:rsid w:val="00374B68"/>
    <w:rsid w:val="00374E21"/>
    <w:rsid w:val="003810F0"/>
    <w:rsid w:val="003813A8"/>
    <w:rsid w:val="003818DC"/>
    <w:rsid w:val="00382513"/>
    <w:rsid w:val="003830D4"/>
    <w:rsid w:val="00383388"/>
    <w:rsid w:val="003834F8"/>
    <w:rsid w:val="003838D0"/>
    <w:rsid w:val="003840C2"/>
    <w:rsid w:val="00384327"/>
    <w:rsid w:val="00384A89"/>
    <w:rsid w:val="00385086"/>
    <w:rsid w:val="00385D98"/>
    <w:rsid w:val="00386127"/>
    <w:rsid w:val="003868BC"/>
    <w:rsid w:val="00390306"/>
    <w:rsid w:val="003908A6"/>
    <w:rsid w:val="00391989"/>
    <w:rsid w:val="003927F6"/>
    <w:rsid w:val="00393CDD"/>
    <w:rsid w:val="00396739"/>
    <w:rsid w:val="003A04F6"/>
    <w:rsid w:val="003A0837"/>
    <w:rsid w:val="003A2B4D"/>
    <w:rsid w:val="003A2D12"/>
    <w:rsid w:val="003A2EBA"/>
    <w:rsid w:val="003A45E3"/>
    <w:rsid w:val="003A478C"/>
    <w:rsid w:val="003A50AC"/>
    <w:rsid w:val="003A5525"/>
    <w:rsid w:val="003A5889"/>
    <w:rsid w:val="003A6B38"/>
    <w:rsid w:val="003A6B83"/>
    <w:rsid w:val="003A6C97"/>
    <w:rsid w:val="003A722F"/>
    <w:rsid w:val="003A7373"/>
    <w:rsid w:val="003A7E9D"/>
    <w:rsid w:val="003B039F"/>
    <w:rsid w:val="003B0DF4"/>
    <w:rsid w:val="003B1F9D"/>
    <w:rsid w:val="003B2AD1"/>
    <w:rsid w:val="003B2D2E"/>
    <w:rsid w:val="003B461F"/>
    <w:rsid w:val="003B483F"/>
    <w:rsid w:val="003B4998"/>
    <w:rsid w:val="003B5A32"/>
    <w:rsid w:val="003B5C49"/>
    <w:rsid w:val="003B6762"/>
    <w:rsid w:val="003B7B50"/>
    <w:rsid w:val="003C0B07"/>
    <w:rsid w:val="003C176C"/>
    <w:rsid w:val="003C257A"/>
    <w:rsid w:val="003C2CE7"/>
    <w:rsid w:val="003C3490"/>
    <w:rsid w:val="003C3608"/>
    <w:rsid w:val="003C3D2C"/>
    <w:rsid w:val="003C4E13"/>
    <w:rsid w:val="003C6221"/>
    <w:rsid w:val="003C6548"/>
    <w:rsid w:val="003C68CC"/>
    <w:rsid w:val="003C71B9"/>
    <w:rsid w:val="003C7E62"/>
    <w:rsid w:val="003D03B4"/>
    <w:rsid w:val="003D12B9"/>
    <w:rsid w:val="003D242B"/>
    <w:rsid w:val="003D2492"/>
    <w:rsid w:val="003D29AA"/>
    <w:rsid w:val="003D2A99"/>
    <w:rsid w:val="003D4A29"/>
    <w:rsid w:val="003D6920"/>
    <w:rsid w:val="003E016B"/>
    <w:rsid w:val="003E1EF8"/>
    <w:rsid w:val="003E2840"/>
    <w:rsid w:val="003E3A1B"/>
    <w:rsid w:val="003E4C91"/>
    <w:rsid w:val="003E52D8"/>
    <w:rsid w:val="003E62F1"/>
    <w:rsid w:val="003E68E3"/>
    <w:rsid w:val="003E6DE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51"/>
    <w:rsid w:val="00403F57"/>
    <w:rsid w:val="004045A7"/>
    <w:rsid w:val="00405318"/>
    <w:rsid w:val="004057F8"/>
    <w:rsid w:val="004059D2"/>
    <w:rsid w:val="00406C2E"/>
    <w:rsid w:val="00406EB0"/>
    <w:rsid w:val="00407711"/>
    <w:rsid w:val="00407C13"/>
    <w:rsid w:val="00407C53"/>
    <w:rsid w:val="004103F6"/>
    <w:rsid w:val="00410638"/>
    <w:rsid w:val="004113B9"/>
    <w:rsid w:val="00412511"/>
    <w:rsid w:val="004125C2"/>
    <w:rsid w:val="00412DFA"/>
    <w:rsid w:val="00413465"/>
    <w:rsid w:val="0041501E"/>
    <w:rsid w:val="00415452"/>
    <w:rsid w:val="004159C3"/>
    <w:rsid w:val="00415A57"/>
    <w:rsid w:val="00416DAC"/>
    <w:rsid w:val="00420880"/>
    <w:rsid w:val="00421179"/>
    <w:rsid w:val="00422629"/>
    <w:rsid w:val="00422D1A"/>
    <w:rsid w:val="00423F00"/>
    <w:rsid w:val="004260C4"/>
    <w:rsid w:val="004314AC"/>
    <w:rsid w:val="00431BFF"/>
    <w:rsid w:val="00432319"/>
    <w:rsid w:val="00432A58"/>
    <w:rsid w:val="004331C3"/>
    <w:rsid w:val="00434617"/>
    <w:rsid w:val="00435051"/>
    <w:rsid w:val="00435C69"/>
    <w:rsid w:val="004360FB"/>
    <w:rsid w:val="00437CED"/>
    <w:rsid w:val="00440900"/>
    <w:rsid w:val="0044121D"/>
    <w:rsid w:val="00441755"/>
    <w:rsid w:val="00441BF6"/>
    <w:rsid w:val="00441D2B"/>
    <w:rsid w:val="004441A0"/>
    <w:rsid w:val="00445861"/>
    <w:rsid w:val="00445A8E"/>
    <w:rsid w:val="00446D44"/>
    <w:rsid w:val="0045078A"/>
    <w:rsid w:val="0045086D"/>
    <w:rsid w:val="00450AB0"/>
    <w:rsid w:val="004511E6"/>
    <w:rsid w:val="00451EF1"/>
    <w:rsid w:val="00452E60"/>
    <w:rsid w:val="0045321B"/>
    <w:rsid w:val="0045332A"/>
    <w:rsid w:val="00453CD8"/>
    <w:rsid w:val="00455C25"/>
    <w:rsid w:val="00456FE5"/>
    <w:rsid w:val="00457490"/>
    <w:rsid w:val="00457953"/>
    <w:rsid w:val="00460656"/>
    <w:rsid w:val="00460FB3"/>
    <w:rsid w:val="00461404"/>
    <w:rsid w:val="00461F95"/>
    <w:rsid w:val="00463700"/>
    <w:rsid w:val="00464851"/>
    <w:rsid w:val="0046746A"/>
    <w:rsid w:val="00467B14"/>
    <w:rsid w:val="004705F1"/>
    <w:rsid w:val="004707FE"/>
    <w:rsid w:val="00471DAE"/>
    <w:rsid w:val="00472177"/>
    <w:rsid w:val="0047276D"/>
    <w:rsid w:val="00472AF6"/>
    <w:rsid w:val="00473482"/>
    <w:rsid w:val="00473572"/>
    <w:rsid w:val="00473DFA"/>
    <w:rsid w:val="00474A04"/>
    <w:rsid w:val="00475A1F"/>
    <w:rsid w:val="00476240"/>
    <w:rsid w:val="00476439"/>
    <w:rsid w:val="004769E1"/>
    <w:rsid w:val="0047735C"/>
    <w:rsid w:val="004776BC"/>
    <w:rsid w:val="00477820"/>
    <w:rsid w:val="00477B96"/>
    <w:rsid w:val="00480BAE"/>
    <w:rsid w:val="0048139F"/>
    <w:rsid w:val="00481E40"/>
    <w:rsid w:val="00482405"/>
    <w:rsid w:val="004826A7"/>
    <w:rsid w:val="0048327B"/>
    <w:rsid w:val="0048368C"/>
    <w:rsid w:val="00484ECE"/>
    <w:rsid w:val="00486132"/>
    <w:rsid w:val="0048686D"/>
    <w:rsid w:val="00486A4D"/>
    <w:rsid w:val="004915CB"/>
    <w:rsid w:val="00491B06"/>
    <w:rsid w:val="004924DC"/>
    <w:rsid w:val="00492879"/>
    <w:rsid w:val="00495709"/>
    <w:rsid w:val="004979A5"/>
    <w:rsid w:val="004A036E"/>
    <w:rsid w:val="004A14E4"/>
    <w:rsid w:val="004A204E"/>
    <w:rsid w:val="004A208B"/>
    <w:rsid w:val="004A26A5"/>
    <w:rsid w:val="004A27F0"/>
    <w:rsid w:val="004A2D6B"/>
    <w:rsid w:val="004A3212"/>
    <w:rsid w:val="004A37CD"/>
    <w:rsid w:val="004A3CDE"/>
    <w:rsid w:val="004A40D9"/>
    <w:rsid w:val="004A4F8A"/>
    <w:rsid w:val="004A5494"/>
    <w:rsid w:val="004A5D4E"/>
    <w:rsid w:val="004A61C5"/>
    <w:rsid w:val="004A62A0"/>
    <w:rsid w:val="004A77DF"/>
    <w:rsid w:val="004B1417"/>
    <w:rsid w:val="004B305C"/>
    <w:rsid w:val="004B339A"/>
    <w:rsid w:val="004B33C6"/>
    <w:rsid w:val="004B55B7"/>
    <w:rsid w:val="004B6158"/>
    <w:rsid w:val="004B6468"/>
    <w:rsid w:val="004B6EF8"/>
    <w:rsid w:val="004B7125"/>
    <w:rsid w:val="004B756A"/>
    <w:rsid w:val="004B7FB1"/>
    <w:rsid w:val="004C0B3F"/>
    <w:rsid w:val="004C128A"/>
    <w:rsid w:val="004C13C0"/>
    <w:rsid w:val="004C2794"/>
    <w:rsid w:val="004C2BB6"/>
    <w:rsid w:val="004C2C2D"/>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3296"/>
    <w:rsid w:val="004D4E52"/>
    <w:rsid w:val="004D5B0F"/>
    <w:rsid w:val="004D5EEF"/>
    <w:rsid w:val="004D6FC5"/>
    <w:rsid w:val="004D7626"/>
    <w:rsid w:val="004E1095"/>
    <w:rsid w:val="004E1A40"/>
    <w:rsid w:val="004E200A"/>
    <w:rsid w:val="004E23FC"/>
    <w:rsid w:val="004E2409"/>
    <w:rsid w:val="004E261D"/>
    <w:rsid w:val="004E430C"/>
    <w:rsid w:val="004E57BF"/>
    <w:rsid w:val="004E5F41"/>
    <w:rsid w:val="004E62D0"/>
    <w:rsid w:val="004E6DE6"/>
    <w:rsid w:val="004E723A"/>
    <w:rsid w:val="004E765E"/>
    <w:rsid w:val="004E7815"/>
    <w:rsid w:val="004F06F5"/>
    <w:rsid w:val="004F103E"/>
    <w:rsid w:val="004F12A4"/>
    <w:rsid w:val="004F253F"/>
    <w:rsid w:val="004F33A0"/>
    <w:rsid w:val="004F3BD2"/>
    <w:rsid w:val="004F46ED"/>
    <w:rsid w:val="004F47F2"/>
    <w:rsid w:val="004F56FE"/>
    <w:rsid w:val="004F681B"/>
    <w:rsid w:val="004F7BC6"/>
    <w:rsid w:val="00502709"/>
    <w:rsid w:val="00503D54"/>
    <w:rsid w:val="005048E2"/>
    <w:rsid w:val="00506603"/>
    <w:rsid w:val="0050689D"/>
    <w:rsid w:val="005076CC"/>
    <w:rsid w:val="005077F5"/>
    <w:rsid w:val="005108C0"/>
    <w:rsid w:val="0051094F"/>
    <w:rsid w:val="00511873"/>
    <w:rsid w:val="00511F3B"/>
    <w:rsid w:val="00512461"/>
    <w:rsid w:val="00512A2F"/>
    <w:rsid w:val="00513857"/>
    <w:rsid w:val="00513A72"/>
    <w:rsid w:val="00513B7E"/>
    <w:rsid w:val="00513E9D"/>
    <w:rsid w:val="0051475D"/>
    <w:rsid w:val="00514A2C"/>
    <w:rsid w:val="00514B11"/>
    <w:rsid w:val="00515485"/>
    <w:rsid w:val="00515BE9"/>
    <w:rsid w:val="00515C74"/>
    <w:rsid w:val="0051630F"/>
    <w:rsid w:val="00516789"/>
    <w:rsid w:val="00517113"/>
    <w:rsid w:val="005173F3"/>
    <w:rsid w:val="0052007E"/>
    <w:rsid w:val="00520E83"/>
    <w:rsid w:val="00521CAD"/>
    <w:rsid w:val="0052200D"/>
    <w:rsid w:val="005220B4"/>
    <w:rsid w:val="00522E01"/>
    <w:rsid w:val="0052337A"/>
    <w:rsid w:val="00524385"/>
    <w:rsid w:val="005246BE"/>
    <w:rsid w:val="00525137"/>
    <w:rsid w:val="005251DD"/>
    <w:rsid w:val="0053012B"/>
    <w:rsid w:val="005301A6"/>
    <w:rsid w:val="00530A68"/>
    <w:rsid w:val="00530A88"/>
    <w:rsid w:val="00530AD4"/>
    <w:rsid w:val="00531C5A"/>
    <w:rsid w:val="00532CE7"/>
    <w:rsid w:val="00532D8B"/>
    <w:rsid w:val="0053324C"/>
    <w:rsid w:val="00534A28"/>
    <w:rsid w:val="00535018"/>
    <w:rsid w:val="0053595E"/>
    <w:rsid w:val="00537571"/>
    <w:rsid w:val="00537B61"/>
    <w:rsid w:val="00540056"/>
    <w:rsid w:val="00540BE5"/>
    <w:rsid w:val="005410E2"/>
    <w:rsid w:val="00541508"/>
    <w:rsid w:val="005419C0"/>
    <w:rsid w:val="00541AE3"/>
    <w:rsid w:val="00543498"/>
    <w:rsid w:val="00544011"/>
    <w:rsid w:val="00544BE5"/>
    <w:rsid w:val="005455F6"/>
    <w:rsid w:val="005457C3"/>
    <w:rsid w:val="005500F9"/>
    <w:rsid w:val="00550160"/>
    <w:rsid w:val="00551CBF"/>
    <w:rsid w:val="005523A8"/>
    <w:rsid w:val="00552F2C"/>
    <w:rsid w:val="00553A25"/>
    <w:rsid w:val="00553B25"/>
    <w:rsid w:val="005547EB"/>
    <w:rsid w:val="005555E0"/>
    <w:rsid w:val="0055599F"/>
    <w:rsid w:val="00556807"/>
    <w:rsid w:val="005568FA"/>
    <w:rsid w:val="005569BC"/>
    <w:rsid w:val="00556D68"/>
    <w:rsid w:val="005570D6"/>
    <w:rsid w:val="00557E45"/>
    <w:rsid w:val="00557E7E"/>
    <w:rsid w:val="00561F44"/>
    <w:rsid w:val="00562B4D"/>
    <w:rsid w:val="00563EB8"/>
    <w:rsid w:val="005647BF"/>
    <w:rsid w:val="00564AF1"/>
    <w:rsid w:val="005655DB"/>
    <w:rsid w:val="00566B6A"/>
    <w:rsid w:val="00570270"/>
    <w:rsid w:val="00570BC3"/>
    <w:rsid w:val="0057182A"/>
    <w:rsid w:val="00571E59"/>
    <w:rsid w:val="00572079"/>
    <w:rsid w:val="00572900"/>
    <w:rsid w:val="00573602"/>
    <w:rsid w:val="0057364B"/>
    <w:rsid w:val="00574773"/>
    <w:rsid w:val="005761EC"/>
    <w:rsid w:val="00577C07"/>
    <w:rsid w:val="00577DB1"/>
    <w:rsid w:val="00580AD3"/>
    <w:rsid w:val="00580DE7"/>
    <w:rsid w:val="00583E52"/>
    <w:rsid w:val="00583FFD"/>
    <w:rsid w:val="005845BB"/>
    <w:rsid w:val="0058519A"/>
    <w:rsid w:val="005856BD"/>
    <w:rsid w:val="005862D9"/>
    <w:rsid w:val="00586BCA"/>
    <w:rsid w:val="00590B28"/>
    <w:rsid w:val="00591067"/>
    <w:rsid w:val="005911BE"/>
    <w:rsid w:val="00591273"/>
    <w:rsid w:val="00591E9E"/>
    <w:rsid w:val="005927A4"/>
    <w:rsid w:val="00593152"/>
    <w:rsid w:val="005956A3"/>
    <w:rsid w:val="00595958"/>
    <w:rsid w:val="00595CAB"/>
    <w:rsid w:val="00597BBF"/>
    <w:rsid w:val="005A0948"/>
    <w:rsid w:val="005A10F2"/>
    <w:rsid w:val="005A21E0"/>
    <w:rsid w:val="005A28FF"/>
    <w:rsid w:val="005A2C09"/>
    <w:rsid w:val="005A2E7F"/>
    <w:rsid w:val="005A2FC3"/>
    <w:rsid w:val="005A3778"/>
    <w:rsid w:val="005A3DF8"/>
    <w:rsid w:val="005A5549"/>
    <w:rsid w:val="005A7CF8"/>
    <w:rsid w:val="005B0EDA"/>
    <w:rsid w:val="005B121D"/>
    <w:rsid w:val="005B1680"/>
    <w:rsid w:val="005B41C9"/>
    <w:rsid w:val="005B423D"/>
    <w:rsid w:val="005B4853"/>
    <w:rsid w:val="005B4DBA"/>
    <w:rsid w:val="005B62C3"/>
    <w:rsid w:val="005B6CA1"/>
    <w:rsid w:val="005B770C"/>
    <w:rsid w:val="005C02A8"/>
    <w:rsid w:val="005C06ED"/>
    <w:rsid w:val="005C11B8"/>
    <w:rsid w:val="005C19E9"/>
    <w:rsid w:val="005C2609"/>
    <w:rsid w:val="005C2B30"/>
    <w:rsid w:val="005C412B"/>
    <w:rsid w:val="005C43EC"/>
    <w:rsid w:val="005C45DD"/>
    <w:rsid w:val="005C5460"/>
    <w:rsid w:val="005D1511"/>
    <w:rsid w:val="005D34AB"/>
    <w:rsid w:val="005D3F06"/>
    <w:rsid w:val="005D4B73"/>
    <w:rsid w:val="005D5802"/>
    <w:rsid w:val="005D5AA9"/>
    <w:rsid w:val="005D66E6"/>
    <w:rsid w:val="005D7119"/>
    <w:rsid w:val="005D76C8"/>
    <w:rsid w:val="005D7890"/>
    <w:rsid w:val="005E0AEA"/>
    <w:rsid w:val="005E19C1"/>
    <w:rsid w:val="005E2194"/>
    <w:rsid w:val="005E24F0"/>
    <w:rsid w:val="005E36FE"/>
    <w:rsid w:val="005E490F"/>
    <w:rsid w:val="005E4BC9"/>
    <w:rsid w:val="005E5314"/>
    <w:rsid w:val="005E7C78"/>
    <w:rsid w:val="005F04A7"/>
    <w:rsid w:val="005F114F"/>
    <w:rsid w:val="005F17D6"/>
    <w:rsid w:val="005F18C5"/>
    <w:rsid w:val="005F28E2"/>
    <w:rsid w:val="005F2A08"/>
    <w:rsid w:val="005F2EB5"/>
    <w:rsid w:val="005F36CC"/>
    <w:rsid w:val="005F3EB1"/>
    <w:rsid w:val="005F413E"/>
    <w:rsid w:val="005F42C7"/>
    <w:rsid w:val="005F466B"/>
    <w:rsid w:val="005F46D8"/>
    <w:rsid w:val="005F480F"/>
    <w:rsid w:val="005F5469"/>
    <w:rsid w:val="005F63F3"/>
    <w:rsid w:val="005F6D7C"/>
    <w:rsid w:val="005F6D7F"/>
    <w:rsid w:val="005F7174"/>
    <w:rsid w:val="00600AB5"/>
    <w:rsid w:val="00601EEF"/>
    <w:rsid w:val="00601F7B"/>
    <w:rsid w:val="0060255A"/>
    <w:rsid w:val="006032E5"/>
    <w:rsid w:val="00604307"/>
    <w:rsid w:val="0060487F"/>
    <w:rsid w:val="00604EAD"/>
    <w:rsid w:val="0060513F"/>
    <w:rsid w:val="0060694B"/>
    <w:rsid w:val="006075B2"/>
    <w:rsid w:val="006104FB"/>
    <w:rsid w:val="0061176D"/>
    <w:rsid w:val="0061200F"/>
    <w:rsid w:val="006121C7"/>
    <w:rsid w:val="00612756"/>
    <w:rsid w:val="00612A2F"/>
    <w:rsid w:val="00612AAE"/>
    <w:rsid w:val="00612FD9"/>
    <w:rsid w:val="006139DE"/>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5BCC"/>
    <w:rsid w:val="00626079"/>
    <w:rsid w:val="00631698"/>
    <w:rsid w:val="00631E44"/>
    <w:rsid w:val="00633908"/>
    <w:rsid w:val="00634C57"/>
    <w:rsid w:val="00634CE7"/>
    <w:rsid w:val="006350D5"/>
    <w:rsid w:val="0063642C"/>
    <w:rsid w:val="00637858"/>
    <w:rsid w:val="006404A7"/>
    <w:rsid w:val="00640A38"/>
    <w:rsid w:val="00641787"/>
    <w:rsid w:val="0064179B"/>
    <w:rsid w:val="006420CF"/>
    <w:rsid w:val="00642489"/>
    <w:rsid w:val="00644055"/>
    <w:rsid w:val="00644137"/>
    <w:rsid w:val="0064478C"/>
    <w:rsid w:val="00645160"/>
    <w:rsid w:val="006451E4"/>
    <w:rsid w:val="00645B33"/>
    <w:rsid w:val="006503D1"/>
    <w:rsid w:val="006516CB"/>
    <w:rsid w:val="00653BD0"/>
    <w:rsid w:val="00654110"/>
    <w:rsid w:val="00655CDE"/>
    <w:rsid w:val="00656C5D"/>
    <w:rsid w:val="00656CFB"/>
    <w:rsid w:val="00657E87"/>
    <w:rsid w:val="00660D2D"/>
    <w:rsid w:val="00661EC9"/>
    <w:rsid w:val="00661EFC"/>
    <w:rsid w:val="00662469"/>
    <w:rsid w:val="00664205"/>
    <w:rsid w:val="00664449"/>
    <w:rsid w:val="00664647"/>
    <w:rsid w:val="00664803"/>
    <w:rsid w:val="00665624"/>
    <w:rsid w:val="00665982"/>
    <w:rsid w:val="00665BA4"/>
    <w:rsid w:val="00667856"/>
    <w:rsid w:val="00667AF2"/>
    <w:rsid w:val="00670489"/>
    <w:rsid w:val="00670D0A"/>
    <w:rsid w:val="006710C9"/>
    <w:rsid w:val="00672F35"/>
    <w:rsid w:val="006741CD"/>
    <w:rsid w:val="00674D89"/>
    <w:rsid w:val="00675E37"/>
    <w:rsid w:val="00676736"/>
    <w:rsid w:val="006769A4"/>
    <w:rsid w:val="00676D76"/>
    <w:rsid w:val="00676F9F"/>
    <w:rsid w:val="00677591"/>
    <w:rsid w:val="00677594"/>
    <w:rsid w:val="0068032F"/>
    <w:rsid w:val="00680C60"/>
    <w:rsid w:val="00680D37"/>
    <w:rsid w:val="0068174E"/>
    <w:rsid w:val="00681DCE"/>
    <w:rsid w:val="006820E4"/>
    <w:rsid w:val="0068260E"/>
    <w:rsid w:val="006846B3"/>
    <w:rsid w:val="00684D59"/>
    <w:rsid w:val="00684E25"/>
    <w:rsid w:val="006858A4"/>
    <w:rsid w:val="00686718"/>
    <w:rsid w:val="00686BFA"/>
    <w:rsid w:val="00686DED"/>
    <w:rsid w:val="006875A0"/>
    <w:rsid w:val="00687D27"/>
    <w:rsid w:val="00691943"/>
    <w:rsid w:val="00691F0D"/>
    <w:rsid w:val="00693550"/>
    <w:rsid w:val="00695065"/>
    <w:rsid w:val="00695BEF"/>
    <w:rsid w:val="006965F5"/>
    <w:rsid w:val="006966C7"/>
    <w:rsid w:val="006968C1"/>
    <w:rsid w:val="006977F6"/>
    <w:rsid w:val="00697A13"/>
    <w:rsid w:val="006A109C"/>
    <w:rsid w:val="006A3F54"/>
    <w:rsid w:val="006A6565"/>
    <w:rsid w:val="006A65B5"/>
    <w:rsid w:val="006A7691"/>
    <w:rsid w:val="006A7EE2"/>
    <w:rsid w:val="006B0514"/>
    <w:rsid w:val="006B0F92"/>
    <w:rsid w:val="006B16EF"/>
    <w:rsid w:val="006B1B9B"/>
    <w:rsid w:val="006B238C"/>
    <w:rsid w:val="006B2785"/>
    <w:rsid w:val="006B344A"/>
    <w:rsid w:val="006B3A36"/>
    <w:rsid w:val="006B58C9"/>
    <w:rsid w:val="006B60ED"/>
    <w:rsid w:val="006B65DA"/>
    <w:rsid w:val="006B6CC5"/>
    <w:rsid w:val="006B74AC"/>
    <w:rsid w:val="006B78D8"/>
    <w:rsid w:val="006B79EA"/>
    <w:rsid w:val="006C09FA"/>
    <w:rsid w:val="006C0C5D"/>
    <w:rsid w:val="006C113F"/>
    <w:rsid w:val="006C123E"/>
    <w:rsid w:val="006C15A1"/>
    <w:rsid w:val="006C1752"/>
    <w:rsid w:val="006C28CA"/>
    <w:rsid w:val="006C2BBF"/>
    <w:rsid w:val="006C2FBD"/>
    <w:rsid w:val="006C3FFC"/>
    <w:rsid w:val="006C4355"/>
    <w:rsid w:val="006C440F"/>
    <w:rsid w:val="006C469D"/>
    <w:rsid w:val="006C46B5"/>
    <w:rsid w:val="006C484F"/>
    <w:rsid w:val="006C4CDD"/>
    <w:rsid w:val="006C52EC"/>
    <w:rsid w:val="006C56D4"/>
    <w:rsid w:val="006C5838"/>
    <w:rsid w:val="006C6681"/>
    <w:rsid w:val="006C683C"/>
    <w:rsid w:val="006C6924"/>
    <w:rsid w:val="006C6C1E"/>
    <w:rsid w:val="006C7076"/>
    <w:rsid w:val="006C7CA6"/>
    <w:rsid w:val="006D18B3"/>
    <w:rsid w:val="006D1E89"/>
    <w:rsid w:val="006D317E"/>
    <w:rsid w:val="006D3E8A"/>
    <w:rsid w:val="006D4F0A"/>
    <w:rsid w:val="006D61F6"/>
    <w:rsid w:val="006E1332"/>
    <w:rsid w:val="006E279A"/>
    <w:rsid w:val="006E313B"/>
    <w:rsid w:val="006E3420"/>
    <w:rsid w:val="006E3A45"/>
    <w:rsid w:val="006E4078"/>
    <w:rsid w:val="006E45D2"/>
    <w:rsid w:val="006E5161"/>
    <w:rsid w:val="006E53AD"/>
    <w:rsid w:val="006E58CB"/>
    <w:rsid w:val="006E6BA2"/>
    <w:rsid w:val="006E7227"/>
    <w:rsid w:val="006E7E74"/>
    <w:rsid w:val="006F0741"/>
    <w:rsid w:val="006F1C27"/>
    <w:rsid w:val="006F2A65"/>
    <w:rsid w:val="006F33B2"/>
    <w:rsid w:val="006F40DF"/>
    <w:rsid w:val="006F42BB"/>
    <w:rsid w:val="006F438E"/>
    <w:rsid w:val="006F440B"/>
    <w:rsid w:val="006F4866"/>
    <w:rsid w:val="006F48A3"/>
    <w:rsid w:val="006F5416"/>
    <w:rsid w:val="006F624B"/>
    <w:rsid w:val="006F6D87"/>
    <w:rsid w:val="006F7559"/>
    <w:rsid w:val="0070398A"/>
    <w:rsid w:val="00703DCB"/>
    <w:rsid w:val="00705242"/>
    <w:rsid w:val="007055E0"/>
    <w:rsid w:val="007056ED"/>
    <w:rsid w:val="007065C5"/>
    <w:rsid w:val="00706AA0"/>
    <w:rsid w:val="00706AD4"/>
    <w:rsid w:val="00707150"/>
    <w:rsid w:val="0070798D"/>
    <w:rsid w:val="007124D7"/>
    <w:rsid w:val="007129A5"/>
    <w:rsid w:val="00712C20"/>
    <w:rsid w:val="00713549"/>
    <w:rsid w:val="007140BE"/>
    <w:rsid w:val="00714224"/>
    <w:rsid w:val="00715502"/>
    <w:rsid w:val="00715E4D"/>
    <w:rsid w:val="00716F48"/>
    <w:rsid w:val="00717114"/>
    <w:rsid w:val="0071779F"/>
    <w:rsid w:val="00720D7B"/>
    <w:rsid w:val="007211F5"/>
    <w:rsid w:val="00722777"/>
    <w:rsid w:val="00723435"/>
    <w:rsid w:val="00723436"/>
    <w:rsid w:val="007240E2"/>
    <w:rsid w:val="007251D4"/>
    <w:rsid w:val="00725611"/>
    <w:rsid w:val="0072583E"/>
    <w:rsid w:val="00725BB5"/>
    <w:rsid w:val="00727C02"/>
    <w:rsid w:val="007302FF"/>
    <w:rsid w:val="00730AE8"/>
    <w:rsid w:val="00730F1B"/>
    <w:rsid w:val="0073186D"/>
    <w:rsid w:val="00732DEC"/>
    <w:rsid w:val="0073333D"/>
    <w:rsid w:val="007343D9"/>
    <w:rsid w:val="007351C8"/>
    <w:rsid w:val="00735448"/>
    <w:rsid w:val="00736841"/>
    <w:rsid w:val="00737DEC"/>
    <w:rsid w:val="0074004D"/>
    <w:rsid w:val="00741493"/>
    <w:rsid w:val="007424BA"/>
    <w:rsid w:val="007434E5"/>
    <w:rsid w:val="0074499B"/>
    <w:rsid w:val="007450BF"/>
    <w:rsid w:val="007471A1"/>
    <w:rsid w:val="007477BD"/>
    <w:rsid w:val="00747EE9"/>
    <w:rsid w:val="00750362"/>
    <w:rsid w:val="00750A71"/>
    <w:rsid w:val="0075158E"/>
    <w:rsid w:val="00752180"/>
    <w:rsid w:val="00752323"/>
    <w:rsid w:val="007532B7"/>
    <w:rsid w:val="00753CAB"/>
    <w:rsid w:val="00754A70"/>
    <w:rsid w:val="00754BC9"/>
    <w:rsid w:val="00755202"/>
    <w:rsid w:val="00755D3A"/>
    <w:rsid w:val="0075751D"/>
    <w:rsid w:val="007578D3"/>
    <w:rsid w:val="007602CF"/>
    <w:rsid w:val="00760391"/>
    <w:rsid w:val="007609C6"/>
    <w:rsid w:val="007615F3"/>
    <w:rsid w:val="0076175D"/>
    <w:rsid w:val="00761CB5"/>
    <w:rsid w:val="007622A9"/>
    <w:rsid w:val="0076264F"/>
    <w:rsid w:val="007629D5"/>
    <w:rsid w:val="007635F8"/>
    <w:rsid w:val="00763B85"/>
    <w:rsid w:val="007641B8"/>
    <w:rsid w:val="00764974"/>
    <w:rsid w:val="00764D18"/>
    <w:rsid w:val="0076521E"/>
    <w:rsid w:val="007661E9"/>
    <w:rsid w:val="00766460"/>
    <w:rsid w:val="00767062"/>
    <w:rsid w:val="00767777"/>
    <w:rsid w:val="00771972"/>
    <w:rsid w:val="00772279"/>
    <w:rsid w:val="00772DAB"/>
    <w:rsid w:val="00774D2C"/>
    <w:rsid w:val="007752BF"/>
    <w:rsid w:val="0077605B"/>
    <w:rsid w:val="00776169"/>
    <w:rsid w:val="00776527"/>
    <w:rsid w:val="00776618"/>
    <w:rsid w:val="00777040"/>
    <w:rsid w:val="007779DD"/>
    <w:rsid w:val="00777CE6"/>
    <w:rsid w:val="00780790"/>
    <w:rsid w:val="00780EF1"/>
    <w:rsid w:val="00781A91"/>
    <w:rsid w:val="0078260D"/>
    <w:rsid w:val="00785311"/>
    <w:rsid w:val="00785778"/>
    <w:rsid w:val="00786C87"/>
    <w:rsid w:val="00786D27"/>
    <w:rsid w:val="0078755E"/>
    <w:rsid w:val="007877C9"/>
    <w:rsid w:val="00790764"/>
    <w:rsid w:val="0079085F"/>
    <w:rsid w:val="00790E96"/>
    <w:rsid w:val="00791005"/>
    <w:rsid w:val="00793D78"/>
    <w:rsid w:val="0079453C"/>
    <w:rsid w:val="00794677"/>
    <w:rsid w:val="00795CC8"/>
    <w:rsid w:val="0079747A"/>
    <w:rsid w:val="007A0770"/>
    <w:rsid w:val="007A170B"/>
    <w:rsid w:val="007A20EB"/>
    <w:rsid w:val="007A282C"/>
    <w:rsid w:val="007A2A3A"/>
    <w:rsid w:val="007A33E2"/>
    <w:rsid w:val="007A3554"/>
    <w:rsid w:val="007A3CAF"/>
    <w:rsid w:val="007A4782"/>
    <w:rsid w:val="007A4E06"/>
    <w:rsid w:val="007A516D"/>
    <w:rsid w:val="007A5E65"/>
    <w:rsid w:val="007A65E1"/>
    <w:rsid w:val="007A71DE"/>
    <w:rsid w:val="007A7502"/>
    <w:rsid w:val="007A775D"/>
    <w:rsid w:val="007B0834"/>
    <w:rsid w:val="007B0CCA"/>
    <w:rsid w:val="007B0E83"/>
    <w:rsid w:val="007B11FA"/>
    <w:rsid w:val="007B1396"/>
    <w:rsid w:val="007B16D6"/>
    <w:rsid w:val="007B2011"/>
    <w:rsid w:val="007B27AE"/>
    <w:rsid w:val="007B2CFE"/>
    <w:rsid w:val="007B309B"/>
    <w:rsid w:val="007B3D5E"/>
    <w:rsid w:val="007B3DCB"/>
    <w:rsid w:val="007B3F31"/>
    <w:rsid w:val="007B5725"/>
    <w:rsid w:val="007B6689"/>
    <w:rsid w:val="007B6747"/>
    <w:rsid w:val="007B6F72"/>
    <w:rsid w:val="007C1F0C"/>
    <w:rsid w:val="007C1FFB"/>
    <w:rsid w:val="007C2106"/>
    <w:rsid w:val="007C2D94"/>
    <w:rsid w:val="007C361B"/>
    <w:rsid w:val="007C5F92"/>
    <w:rsid w:val="007C6227"/>
    <w:rsid w:val="007C682A"/>
    <w:rsid w:val="007C6BBD"/>
    <w:rsid w:val="007C6D89"/>
    <w:rsid w:val="007C6F5E"/>
    <w:rsid w:val="007C71B6"/>
    <w:rsid w:val="007D0382"/>
    <w:rsid w:val="007D1A1F"/>
    <w:rsid w:val="007D1D05"/>
    <w:rsid w:val="007D2E18"/>
    <w:rsid w:val="007D40DF"/>
    <w:rsid w:val="007D42E5"/>
    <w:rsid w:val="007D4458"/>
    <w:rsid w:val="007D50F3"/>
    <w:rsid w:val="007D5BC6"/>
    <w:rsid w:val="007D78E6"/>
    <w:rsid w:val="007E0535"/>
    <w:rsid w:val="007E0557"/>
    <w:rsid w:val="007E0D4A"/>
    <w:rsid w:val="007E1788"/>
    <w:rsid w:val="007E1B40"/>
    <w:rsid w:val="007E1EE3"/>
    <w:rsid w:val="007E20A0"/>
    <w:rsid w:val="007E2467"/>
    <w:rsid w:val="007E29B4"/>
    <w:rsid w:val="007E2F12"/>
    <w:rsid w:val="007E435A"/>
    <w:rsid w:val="007E49F7"/>
    <w:rsid w:val="007E4C70"/>
    <w:rsid w:val="007E576D"/>
    <w:rsid w:val="007E78B6"/>
    <w:rsid w:val="007E7E61"/>
    <w:rsid w:val="007F0845"/>
    <w:rsid w:val="007F20F3"/>
    <w:rsid w:val="007F2353"/>
    <w:rsid w:val="007F2390"/>
    <w:rsid w:val="007F2CAC"/>
    <w:rsid w:val="007F4740"/>
    <w:rsid w:val="007F595A"/>
    <w:rsid w:val="007F708D"/>
    <w:rsid w:val="008006B3"/>
    <w:rsid w:val="0080158A"/>
    <w:rsid w:val="00801E13"/>
    <w:rsid w:val="00802371"/>
    <w:rsid w:val="00802ABF"/>
    <w:rsid w:val="00802CEF"/>
    <w:rsid w:val="00803008"/>
    <w:rsid w:val="00803069"/>
    <w:rsid w:val="008062A6"/>
    <w:rsid w:val="0080717D"/>
    <w:rsid w:val="0080734C"/>
    <w:rsid w:val="0080780F"/>
    <w:rsid w:val="00807C82"/>
    <w:rsid w:val="008117CC"/>
    <w:rsid w:val="00812154"/>
    <w:rsid w:val="00813D58"/>
    <w:rsid w:val="00813DCA"/>
    <w:rsid w:val="008161A6"/>
    <w:rsid w:val="008165B8"/>
    <w:rsid w:val="00816905"/>
    <w:rsid w:val="00816D98"/>
    <w:rsid w:val="008179FC"/>
    <w:rsid w:val="00817A17"/>
    <w:rsid w:val="00817EC1"/>
    <w:rsid w:val="0082112D"/>
    <w:rsid w:val="00821DA9"/>
    <w:rsid w:val="00821FF6"/>
    <w:rsid w:val="00822574"/>
    <w:rsid w:val="00822F08"/>
    <w:rsid w:val="00825C4D"/>
    <w:rsid w:val="00826265"/>
    <w:rsid w:val="00826A08"/>
    <w:rsid w:val="00826AC0"/>
    <w:rsid w:val="00827186"/>
    <w:rsid w:val="00827C8E"/>
    <w:rsid w:val="00830569"/>
    <w:rsid w:val="00830AEA"/>
    <w:rsid w:val="00830E86"/>
    <w:rsid w:val="0083143E"/>
    <w:rsid w:val="008315D5"/>
    <w:rsid w:val="00831CDE"/>
    <w:rsid w:val="008337CB"/>
    <w:rsid w:val="00834304"/>
    <w:rsid w:val="00834FAA"/>
    <w:rsid w:val="008354FB"/>
    <w:rsid w:val="00836086"/>
    <w:rsid w:val="0083630F"/>
    <w:rsid w:val="00836A06"/>
    <w:rsid w:val="008374BC"/>
    <w:rsid w:val="00837E48"/>
    <w:rsid w:val="00840293"/>
    <w:rsid w:val="008402AD"/>
    <w:rsid w:val="008408D4"/>
    <w:rsid w:val="008417B5"/>
    <w:rsid w:val="00841901"/>
    <w:rsid w:val="00841FC4"/>
    <w:rsid w:val="00843541"/>
    <w:rsid w:val="008458BD"/>
    <w:rsid w:val="00846121"/>
    <w:rsid w:val="008461C2"/>
    <w:rsid w:val="008466C6"/>
    <w:rsid w:val="0084708F"/>
    <w:rsid w:val="008477C8"/>
    <w:rsid w:val="008478A6"/>
    <w:rsid w:val="008502F6"/>
    <w:rsid w:val="0085114D"/>
    <w:rsid w:val="008520A8"/>
    <w:rsid w:val="00852217"/>
    <w:rsid w:val="00852DB1"/>
    <w:rsid w:val="00853282"/>
    <w:rsid w:val="00854647"/>
    <w:rsid w:val="00855408"/>
    <w:rsid w:val="00856D65"/>
    <w:rsid w:val="008614E4"/>
    <w:rsid w:val="00861B41"/>
    <w:rsid w:val="00861B9F"/>
    <w:rsid w:val="00861BE3"/>
    <w:rsid w:val="008625D3"/>
    <w:rsid w:val="00863434"/>
    <w:rsid w:val="0086344F"/>
    <w:rsid w:val="008641AC"/>
    <w:rsid w:val="008641EA"/>
    <w:rsid w:val="00864A6C"/>
    <w:rsid w:val="00865E4C"/>
    <w:rsid w:val="0086796D"/>
    <w:rsid w:val="00867C6C"/>
    <w:rsid w:val="00867DAB"/>
    <w:rsid w:val="0087000B"/>
    <w:rsid w:val="008701E4"/>
    <w:rsid w:val="008704E9"/>
    <w:rsid w:val="00870ECD"/>
    <w:rsid w:val="0087347C"/>
    <w:rsid w:val="008734E7"/>
    <w:rsid w:val="0087368D"/>
    <w:rsid w:val="008740CC"/>
    <w:rsid w:val="00874FE8"/>
    <w:rsid w:val="00875305"/>
    <w:rsid w:val="00875A32"/>
    <w:rsid w:val="00876086"/>
    <w:rsid w:val="00876E83"/>
    <w:rsid w:val="008772BC"/>
    <w:rsid w:val="00880A0E"/>
    <w:rsid w:val="00881A67"/>
    <w:rsid w:val="00881CD7"/>
    <w:rsid w:val="00882911"/>
    <w:rsid w:val="008829C4"/>
    <w:rsid w:val="00885D40"/>
    <w:rsid w:val="00885EE2"/>
    <w:rsid w:val="008873D4"/>
    <w:rsid w:val="00887B96"/>
    <w:rsid w:val="00890C49"/>
    <w:rsid w:val="00891CEA"/>
    <w:rsid w:val="00891E07"/>
    <w:rsid w:val="00891EDF"/>
    <w:rsid w:val="00892872"/>
    <w:rsid w:val="0089296D"/>
    <w:rsid w:val="00893E85"/>
    <w:rsid w:val="00893EBE"/>
    <w:rsid w:val="00894031"/>
    <w:rsid w:val="00894327"/>
    <w:rsid w:val="00894C5D"/>
    <w:rsid w:val="00895508"/>
    <w:rsid w:val="008967E9"/>
    <w:rsid w:val="00896A5C"/>
    <w:rsid w:val="008972D2"/>
    <w:rsid w:val="0089754C"/>
    <w:rsid w:val="008A0ADD"/>
    <w:rsid w:val="008A0C39"/>
    <w:rsid w:val="008A0D27"/>
    <w:rsid w:val="008A1C59"/>
    <w:rsid w:val="008A1FBA"/>
    <w:rsid w:val="008A2105"/>
    <w:rsid w:val="008A2E4C"/>
    <w:rsid w:val="008A37E2"/>
    <w:rsid w:val="008A388E"/>
    <w:rsid w:val="008A394E"/>
    <w:rsid w:val="008A3CBA"/>
    <w:rsid w:val="008A48EB"/>
    <w:rsid w:val="008A4A76"/>
    <w:rsid w:val="008A4B59"/>
    <w:rsid w:val="008A539C"/>
    <w:rsid w:val="008A63E1"/>
    <w:rsid w:val="008A66B7"/>
    <w:rsid w:val="008A68BB"/>
    <w:rsid w:val="008A7127"/>
    <w:rsid w:val="008A76B8"/>
    <w:rsid w:val="008B3A80"/>
    <w:rsid w:val="008B3C07"/>
    <w:rsid w:val="008B3F7B"/>
    <w:rsid w:val="008B4895"/>
    <w:rsid w:val="008B6106"/>
    <w:rsid w:val="008B7C02"/>
    <w:rsid w:val="008B7D2B"/>
    <w:rsid w:val="008B7EF9"/>
    <w:rsid w:val="008C0049"/>
    <w:rsid w:val="008C0E88"/>
    <w:rsid w:val="008C1717"/>
    <w:rsid w:val="008C3D6B"/>
    <w:rsid w:val="008C4B50"/>
    <w:rsid w:val="008C6F26"/>
    <w:rsid w:val="008C7569"/>
    <w:rsid w:val="008D0DBD"/>
    <w:rsid w:val="008D117E"/>
    <w:rsid w:val="008D127E"/>
    <w:rsid w:val="008D1CA8"/>
    <w:rsid w:val="008D1E6A"/>
    <w:rsid w:val="008D2A16"/>
    <w:rsid w:val="008D33F5"/>
    <w:rsid w:val="008D35E4"/>
    <w:rsid w:val="008D4E52"/>
    <w:rsid w:val="008D6C3A"/>
    <w:rsid w:val="008E0001"/>
    <w:rsid w:val="008E1268"/>
    <w:rsid w:val="008E292B"/>
    <w:rsid w:val="008E2C57"/>
    <w:rsid w:val="008E31FF"/>
    <w:rsid w:val="008E3287"/>
    <w:rsid w:val="008E550B"/>
    <w:rsid w:val="008E6DCB"/>
    <w:rsid w:val="008E6F06"/>
    <w:rsid w:val="008E7B8E"/>
    <w:rsid w:val="008E7FC9"/>
    <w:rsid w:val="008F029B"/>
    <w:rsid w:val="008F0D42"/>
    <w:rsid w:val="008F2A5D"/>
    <w:rsid w:val="008F3636"/>
    <w:rsid w:val="008F3FC9"/>
    <w:rsid w:val="008F48A3"/>
    <w:rsid w:val="008F5383"/>
    <w:rsid w:val="008F585B"/>
    <w:rsid w:val="008F609D"/>
    <w:rsid w:val="008F7D34"/>
    <w:rsid w:val="009003A8"/>
    <w:rsid w:val="00900977"/>
    <w:rsid w:val="009021DA"/>
    <w:rsid w:val="00902500"/>
    <w:rsid w:val="00902A83"/>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86"/>
    <w:rsid w:val="009162AE"/>
    <w:rsid w:val="00917251"/>
    <w:rsid w:val="0091728D"/>
    <w:rsid w:val="009203CC"/>
    <w:rsid w:val="00920EC4"/>
    <w:rsid w:val="0092180B"/>
    <w:rsid w:val="00921F14"/>
    <w:rsid w:val="00923CB0"/>
    <w:rsid w:val="00923D8C"/>
    <w:rsid w:val="00924871"/>
    <w:rsid w:val="00924AC8"/>
    <w:rsid w:val="0092508F"/>
    <w:rsid w:val="00925429"/>
    <w:rsid w:val="0092597A"/>
    <w:rsid w:val="00926520"/>
    <w:rsid w:val="00926CF0"/>
    <w:rsid w:val="009273A9"/>
    <w:rsid w:val="0093033E"/>
    <w:rsid w:val="009305FC"/>
    <w:rsid w:val="00930FB1"/>
    <w:rsid w:val="0093139F"/>
    <w:rsid w:val="00931E5F"/>
    <w:rsid w:val="00932443"/>
    <w:rsid w:val="00932B32"/>
    <w:rsid w:val="00933F4A"/>
    <w:rsid w:val="009341F1"/>
    <w:rsid w:val="0093475A"/>
    <w:rsid w:val="00934FF2"/>
    <w:rsid w:val="00935BD4"/>
    <w:rsid w:val="00935DFE"/>
    <w:rsid w:val="00935FC6"/>
    <w:rsid w:val="009373B2"/>
    <w:rsid w:val="00937AE2"/>
    <w:rsid w:val="0094061F"/>
    <w:rsid w:val="00940F0F"/>
    <w:rsid w:val="00941BC7"/>
    <w:rsid w:val="00941D6E"/>
    <w:rsid w:val="0094416B"/>
    <w:rsid w:val="0094427A"/>
    <w:rsid w:val="00944C7C"/>
    <w:rsid w:val="00945245"/>
    <w:rsid w:val="00945523"/>
    <w:rsid w:val="00946F8B"/>
    <w:rsid w:val="009474EF"/>
    <w:rsid w:val="00950921"/>
    <w:rsid w:val="00951A15"/>
    <w:rsid w:val="00951D68"/>
    <w:rsid w:val="00952B7B"/>
    <w:rsid w:val="00954F39"/>
    <w:rsid w:val="00955C0E"/>
    <w:rsid w:val="0095664B"/>
    <w:rsid w:val="009568DC"/>
    <w:rsid w:val="00957300"/>
    <w:rsid w:val="00957445"/>
    <w:rsid w:val="0095759C"/>
    <w:rsid w:val="0096108D"/>
    <w:rsid w:val="009618EE"/>
    <w:rsid w:val="009624D2"/>
    <w:rsid w:val="009628D9"/>
    <w:rsid w:val="00962BAE"/>
    <w:rsid w:val="009633D9"/>
    <w:rsid w:val="009637AE"/>
    <w:rsid w:val="009640F6"/>
    <w:rsid w:val="00964776"/>
    <w:rsid w:val="00964A4E"/>
    <w:rsid w:val="00964B35"/>
    <w:rsid w:val="009651C7"/>
    <w:rsid w:val="00965797"/>
    <w:rsid w:val="00965A10"/>
    <w:rsid w:val="009670A3"/>
    <w:rsid w:val="009674BE"/>
    <w:rsid w:val="00970EFF"/>
    <w:rsid w:val="00970FB5"/>
    <w:rsid w:val="009716DE"/>
    <w:rsid w:val="00971710"/>
    <w:rsid w:val="00971B87"/>
    <w:rsid w:val="00971C77"/>
    <w:rsid w:val="00972FCD"/>
    <w:rsid w:val="009741AE"/>
    <w:rsid w:val="009741FC"/>
    <w:rsid w:val="00974422"/>
    <w:rsid w:val="00974923"/>
    <w:rsid w:val="00975909"/>
    <w:rsid w:val="009773D6"/>
    <w:rsid w:val="00977C3D"/>
    <w:rsid w:val="00980A5D"/>
    <w:rsid w:val="00980D3D"/>
    <w:rsid w:val="0098103E"/>
    <w:rsid w:val="009823BF"/>
    <w:rsid w:val="00983101"/>
    <w:rsid w:val="00983E41"/>
    <w:rsid w:val="00985D9D"/>
    <w:rsid w:val="00986246"/>
    <w:rsid w:val="00986B72"/>
    <w:rsid w:val="0098717C"/>
    <w:rsid w:val="00987A30"/>
    <w:rsid w:val="00990312"/>
    <w:rsid w:val="009912E7"/>
    <w:rsid w:val="0099182E"/>
    <w:rsid w:val="00992CF3"/>
    <w:rsid w:val="00993194"/>
    <w:rsid w:val="0099321E"/>
    <w:rsid w:val="00993DA6"/>
    <w:rsid w:val="00994868"/>
    <w:rsid w:val="00994D28"/>
    <w:rsid w:val="00994F2C"/>
    <w:rsid w:val="009957CC"/>
    <w:rsid w:val="009968D6"/>
    <w:rsid w:val="00997953"/>
    <w:rsid w:val="009A0BFF"/>
    <w:rsid w:val="009A10A0"/>
    <w:rsid w:val="009A1CAB"/>
    <w:rsid w:val="009A2359"/>
    <w:rsid w:val="009A2440"/>
    <w:rsid w:val="009A24F1"/>
    <w:rsid w:val="009A4D57"/>
    <w:rsid w:val="009A5121"/>
    <w:rsid w:val="009A51A5"/>
    <w:rsid w:val="009A60D1"/>
    <w:rsid w:val="009A6225"/>
    <w:rsid w:val="009A64F5"/>
    <w:rsid w:val="009B00D2"/>
    <w:rsid w:val="009B05B3"/>
    <w:rsid w:val="009B284F"/>
    <w:rsid w:val="009B3764"/>
    <w:rsid w:val="009B52AC"/>
    <w:rsid w:val="009B59EA"/>
    <w:rsid w:val="009B66CE"/>
    <w:rsid w:val="009B6FD3"/>
    <w:rsid w:val="009B7257"/>
    <w:rsid w:val="009B7DB2"/>
    <w:rsid w:val="009C15A4"/>
    <w:rsid w:val="009C1750"/>
    <w:rsid w:val="009C2E29"/>
    <w:rsid w:val="009C3CDE"/>
    <w:rsid w:val="009C3E8F"/>
    <w:rsid w:val="009C554B"/>
    <w:rsid w:val="009C7126"/>
    <w:rsid w:val="009C719E"/>
    <w:rsid w:val="009C7799"/>
    <w:rsid w:val="009D07A9"/>
    <w:rsid w:val="009D0AE2"/>
    <w:rsid w:val="009D0EBB"/>
    <w:rsid w:val="009D3483"/>
    <w:rsid w:val="009D3ACD"/>
    <w:rsid w:val="009D4F21"/>
    <w:rsid w:val="009D587D"/>
    <w:rsid w:val="009D7731"/>
    <w:rsid w:val="009E1120"/>
    <w:rsid w:val="009E1393"/>
    <w:rsid w:val="009E1922"/>
    <w:rsid w:val="009E1A3D"/>
    <w:rsid w:val="009E3646"/>
    <w:rsid w:val="009E4715"/>
    <w:rsid w:val="009E4FEF"/>
    <w:rsid w:val="009E5273"/>
    <w:rsid w:val="009E57A8"/>
    <w:rsid w:val="009E5B85"/>
    <w:rsid w:val="009E5DDB"/>
    <w:rsid w:val="009E6140"/>
    <w:rsid w:val="009F0B4B"/>
    <w:rsid w:val="009F2921"/>
    <w:rsid w:val="009F3210"/>
    <w:rsid w:val="009F3399"/>
    <w:rsid w:val="009F38F8"/>
    <w:rsid w:val="009F4982"/>
    <w:rsid w:val="009F4CA7"/>
    <w:rsid w:val="009F5461"/>
    <w:rsid w:val="009F55BA"/>
    <w:rsid w:val="009F6257"/>
    <w:rsid w:val="009F7D36"/>
    <w:rsid w:val="00A00E71"/>
    <w:rsid w:val="00A012F7"/>
    <w:rsid w:val="00A0239B"/>
    <w:rsid w:val="00A0306F"/>
    <w:rsid w:val="00A0363E"/>
    <w:rsid w:val="00A03B10"/>
    <w:rsid w:val="00A03E2E"/>
    <w:rsid w:val="00A04616"/>
    <w:rsid w:val="00A04717"/>
    <w:rsid w:val="00A0495F"/>
    <w:rsid w:val="00A05EE4"/>
    <w:rsid w:val="00A06F99"/>
    <w:rsid w:val="00A10D66"/>
    <w:rsid w:val="00A113A4"/>
    <w:rsid w:val="00A1145C"/>
    <w:rsid w:val="00A120EA"/>
    <w:rsid w:val="00A14114"/>
    <w:rsid w:val="00A16413"/>
    <w:rsid w:val="00A16520"/>
    <w:rsid w:val="00A16545"/>
    <w:rsid w:val="00A16AED"/>
    <w:rsid w:val="00A16C37"/>
    <w:rsid w:val="00A16E1D"/>
    <w:rsid w:val="00A171D5"/>
    <w:rsid w:val="00A17559"/>
    <w:rsid w:val="00A17A15"/>
    <w:rsid w:val="00A17D5B"/>
    <w:rsid w:val="00A201E1"/>
    <w:rsid w:val="00A20FE1"/>
    <w:rsid w:val="00A21B4D"/>
    <w:rsid w:val="00A21C5E"/>
    <w:rsid w:val="00A23E43"/>
    <w:rsid w:val="00A2445C"/>
    <w:rsid w:val="00A24ED9"/>
    <w:rsid w:val="00A25216"/>
    <w:rsid w:val="00A2597D"/>
    <w:rsid w:val="00A2628E"/>
    <w:rsid w:val="00A266BF"/>
    <w:rsid w:val="00A2731E"/>
    <w:rsid w:val="00A307C2"/>
    <w:rsid w:val="00A309AC"/>
    <w:rsid w:val="00A30F65"/>
    <w:rsid w:val="00A3279E"/>
    <w:rsid w:val="00A35900"/>
    <w:rsid w:val="00A370BF"/>
    <w:rsid w:val="00A37556"/>
    <w:rsid w:val="00A40C06"/>
    <w:rsid w:val="00A40EAC"/>
    <w:rsid w:val="00A418BC"/>
    <w:rsid w:val="00A41FCF"/>
    <w:rsid w:val="00A42936"/>
    <w:rsid w:val="00A43CF8"/>
    <w:rsid w:val="00A43DF2"/>
    <w:rsid w:val="00A43DF7"/>
    <w:rsid w:val="00A445A8"/>
    <w:rsid w:val="00A44B0D"/>
    <w:rsid w:val="00A44D21"/>
    <w:rsid w:val="00A45087"/>
    <w:rsid w:val="00A45489"/>
    <w:rsid w:val="00A45CED"/>
    <w:rsid w:val="00A465E9"/>
    <w:rsid w:val="00A468E7"/>
    <w:rsid w:val="00A46DE0"/>
    <w:rsid w:val="00A5064D"/>
    <w:rsid w:val="00A50D73"/>
    <w:rsid w:val="00A5162C"/>
    <w:rsid w:val="00A52A88"/>
    <w:rsid w:val="00A52CAD"/>
    <w:rsid w:val="00A53918"/>
    <w:rsid w:val="00A53FC7"/>
    <w:rsid w:val="00A54974"/>
    <w:rsid w:val="00A55569"/>
    <w:rsid w:val="00A6092A"/>
    <w:rsid w:val="00A60AC1"/>
    <w:rsid w:val="00A615E5"/>
    <w:rsid w:val="00A623DF"/>
    <w:rsid w:val="00A626FF"/>
    <w:rsid w:val="00A62CE1"/>
    <w:rsid w:val="00A65469"/>
    <w:rsid w:val="00A65528"/>
    <w:rsid w:val="00A655D3"/>
    <w:rsid w:val="00A65711"/>
    <w:rsid w:val="00A662D9"/>
    <w:rsid w:val="00A6636F"/>
    <w:rsid w:val="00A6741E"/>
    <w:rsid w:val="00A6764C"/>
    <w:rsid w:val="00A7016A"/>
    <w:rsid w:val="00A7018D"/>
    <w:rsid w:val="00A7191D"/>
    <w:rsid w:val="00A722F9"/>
    <w:rsid w:val="00A72CD8"/>
    <w:rsid w:val="00A72D42"/>
    <w:rsid w:val="00A74C2A"/>
    <w:rsid w:val="00A75A21"/>
    <w:rsid w:val="00A75E40"/>
    <w:rsid w:val="00A7616F"/>
    <w:rsid w:val="00A77D1D"/>
    <w:rsid w:val="00A80911"/>
    <w:rsid w:val="00A80BD2"/>
    <w:rsid w:val="00A81652"/>
    <w:rsid w:val="00A83150"/>
    <w:rsid w:val="00A83398"/>
    <w:rsid w:val="00A83D6E"/>
    <w:rsid w:val="00A83F43"/>
    <w:rsid w:val="00A8521A"/>
    <w:rsid w:val="00A857C0"/>
    <w:rsid w:val="00A90F2C"/>
    <w:rsid w:val="00A90FED"/>
    <w:rsid w:val="00A9189D"/>
    <w:rsid w:val="00A91E71"/>
    <w:rsid w:val="00A925B1"/>
    <w:rsid w:val="00A934F9"/>
    <w:rsid w:val="00A93D06"/>
    <w:rsid w:val="00A940E3"/>
    <w:rsid w:val="00A95F1A"/>
    <w:rsid w:val="00A96116"/>
    <w:rsid w:val="00A9614E"/>
    <w:rsid w:val="00A96C0F"/>
    <w:rsid w:val="00AA0E80"/>
    <w:rsid w:val="00AA17CD"/>
    <w:rsid w:val="00AA212F"/>
    <w:rsid w:val="00AA2996"/>
    <w:rsid w:val="00AA2AF4"/>
    <w:rsid w:val="00AA2C80"/>
    <w:rsid w:val="00AA4282"/>
    <w:rsid w:val="00AA52BF"/>
    <w:rsid w:val="00AA559A"/>
    <w:rsid w:val="00AA58ED"/>
    <w:rsid w:val="00AA6C31"/>
    <w:rsid w:val="00AA7752"/>
    <w:rsid w:val="00AA7CE8"/>
    <w:rsid w:val="00AB1457"/>
    <w:rsid w:val="00AB22B9"/>
    <w:rsid w:val="00AB2AF1"/>
    <w:rsid w:val="00AB3EC7"/>
    <w:rsid w:val="00AB3FFA"/>
    <w:rsid w:val="00AB56A1"/>
    <w:rsid w:val="00AB5A64"/>
    <w:rsid w:val="00AB5CA1"/>
    <w:rsid w:val="00AB6456"/>
    <w:rsid w:val="00AB686D"/>
    <w:rsid w:val="00AC044E"/>
    <w:rsid w:val="00AC2118"/>
    <w:rsid w:val="00AC2395"/>
    <w:rsid w:val="00AC2960"/>
    <w:rsid w:val="00AC2AC4"/>
    <w:rsid w:val="00AC4284"/>
    <w:rsid w:val="00AC45BD"/>
    <w:rsid w:val="00AC4883"/>
    <w:rsid w:val="00AC4920"/>
    <w:rsid w:val="00AC50BB"/>
    <w:rsid w:val="00AC51CC"/>
    <w:rsid w:val="00AC6CAB"/>
    <w:rsid w:val="00AD0EE7"/>
    <w:rsid w:val="00AD168E"/>
    <w:rsid w:val="00AD306C"/>
    <w:rsid w:val="00AD44CD"/>
    <w:rsid w:val="00AD4C32"/>
    <w:rsid w:val="00AD5AD2"/>
    <w:rsid w:val="00AD6462"/>
    <w:rsid w:val="00AD66C5"/>
    <w:rsid w:val="00AD68C4"/>
    <w:rsid w:val="00AD71F9"/>
    <w:rsid w:val="00AE09B3"/>
    <w:rsid w:val="00AE12DC"/>
    <w:rsid w:val="00AE1A83"/>
    <w:rsid w:val="00AE2BA8"/>
    <w:rsid w:val="00AE30BE"/>
    <w:rsid w:val="00AE3222"/>
    <w:rsid w:val="00AE3E6A"/>
    <w:rsid w:val="00AE467A"/>
    <w:rsid w:val="00AE7269"/>
    <w:rsid w:val="00AE797C"/>
    <w:rsid w:val="00AE7CE7"/>
    <w:rsid w:val="00AE7FAB"/>
    <w:rsid w:val="00AF0DE4"/>
    <w:rsid w:val="00AF1E87"/>
    <w:rsid w:val="00AF206B"/>
    <w:rsid w:val="00AF436B"/>
    <w:rsid w:val="00AF5179"/>
    <w:rsid w:val="00AF5CC2"/>
    <w:rsid w:val="00AF6776"/>
    <w:rsid w:val="00AF6F98"/>
    <w:rsid w:val="00B00913"/>
    <w:rsid w:val="00B01593"/>
    <w:rsid w:val="00B01FF9"/>
    <w:rsid w:val="00B023F2"/>
    <w:rsid w:val="00B038CA"/>
    <w:rsid w:val="00B03FB8"/>
    <w:rsid w:val="00B05AE3"/>
    <w:rsid w:val="00B05F62"/>
    <w:rsid w:val="00B06DB4"/>
    <w:rsid w:val="00B0799C"/>
    <w:rsid w:val="00B10A4D"/>
    <w:rsid w:val="00B10C90"/>
    <w:rsid w:val="00B11002"/>
    <w:rsid w:val="00B110D0"/>
    <w:rsid w:val="00B121B2"/>
    <w:rsid w:val="00B141B6"/>
    <w:rsid w:val="00B14BC1"/>
    <w:rsid w:val="00B16DD1"/>
    <w:rsid w:val="00B16EB8"/>
    <w:rsid w:val="00B17E71"/>
    <w:rsid w:val="00B17FDE"/>
    <w:rsid w:val="00B20632"/>
    <w:rsid w:val="00B2379C"/>
    <w:rsid w:val="00B23D5D"/>
    <w:rsid w:val="00B2687D"/>
    <w:rsid w:val="00B3108D"/>
    <w:rsid w:val="00B3211D"/>
    <w:rsid w:val="00B32DDB"/>
    <w:rsid w:val="00B32F57"/>
    <w:rsid w:val="00B3345C"/>
    <w:rsid w:val="00B34528"/>
    <w:rsid w:val="00B34CC9"/>
    <w:rsid w:val="00B3504B"/>
    <w:rsid w:val="00B3563B"/>
    <w:rsid w:val="00B36BDC"/>
    <w:rsid w:val="00B37D3A"/>
    <w:rsid w:val="00B402FC"/>
    <w:rsid w:val="00B403C5"/>
    <w:rsid w:val="00B422E2"/>
    <w:rsid w:val="00B42D5F"/>
    <w:rsid w:val="00B43216"/>
    <w:rsid w:val="00B439DA"/>
    <w:rsid w:val="00B4411A"/>
    <w:rsid w:val="00B46604"/>
    <w:rsid w:val="00B47089"/>
    <w:rsid w:val="00B47587"/>
    <w:rsid w:val="00B47DD4"/>
    <w:rsid w:val="00B52151"/>
    <w:rsid w:val="00B52D70"/>
    <w:rsid w:val="00B530CD"/>
    <w:rsid w:val="00B53538"/>
    <w:rsid w:val="00B5365B"/>
    <w:rsid w:val="00B53C7D"/>
    <w:rsid w:val="00B53E56"/>
    <w:rsid w:val="00B55040"/>
    <w:rsid w:val="00B55A97"/>
    <w:rsid w:val="00B55F5E"/>
    <w:rsid w:val="00B5642C"/>
    <w:rsid w:val="00B56B6F"/>
    <w:rsid w:val="00B5752E"/>
    <w:rsid w:val="00B60AC1"/>
    <w:rsid w:val="00B61B92"/>
    <w:rsid w:val="00B61FF6"/>
    <w:rsid w:val="00B62316"/>
    <w:rsid w:val="00B6318A"/>
    <w:rsid w:val="00B63A11"/>
    <w:rsid w:val="00B63F4C"/>
    <w:rsid w:val="00B64425"/>
    <w:rsid w:val="00B64C24"/>
    <w:rsid w:val="00B65CEF"/>
    <w:rsid w:val="00B65E6B"/>
    <w:rsid w:val="00B6608F"/>
    <w:rsid w:val="00B66F84"/>
    <w:rsid w:val="00B677A6"/>
    <w:rsid w:val="00B679FB"/>
    <w:rsid w:val="00B70083"/>
    <w:rsid w:val="00B71FBF"/>
    <w:rsid w:val="00B72F87"/>
    <w:rsid w:val="00B734A0"/>
    <w:rsid w:val="00B73A14"/>
    <w:rsid w:val="00B748BD"/>
    <w:rsid w:val="00B75B39"/>
    <w:rsid w:val="00B7680F"/>
    <w:rsid w:val="00B76A3F"/>
    <w:rsid w:val="00B76D1E"/>
    <w:rsid w:val="00B772F3"/>
    <w:rsid w:val="00B77543"/>
    <w:rsid w:val="00B77584"/>
    <w:rsid w:val="00B80EC6"/>
    <w:rsid w:val="00B81288"/>
    <w:rsid w:val="00B8177E"/>
    <w:rsid w:val="00B81D70"/>
    <w:rsid w:val="00B833B9"/>
    <w:rsid w:val="00B83D4C"/>
    <w:rsid w:val="00B83E07"/>
    <w:rsid w:val="00B84CF6"/>
    <w:rsid w:val="00B85016"/>
    <w:rsid w:val="00B8561A"/>
    <w:rsid w:val="00B86643"/>
    <w:rsid w:val="00B868F7"/>
    <w:rsid w:val="00B876D2"/>
    <w:rsid w:val="00B87AED"/>
    <w:rsid w:val="00B90131"/>
    <w:rsid w:val="00B90B7C"/>
    <w:rsid w:val="00B92951"/>
    <w:rsid w:val="00B92D1D"/>
    <w:rsid w:val="00B92D7E"/>
    <w:rsid w:val="00B930CE"/>
    <w:rsid w:val="00B938C5"/>
    <w:rsid w:val="00B940A8"/>
    <w:rsid w:val="00B9554A"/>
    <w:rsid w:val="00B95940"/>
    <w:rsid w:val="00B95ACA"/>
    <w:rsid w:val="00B97ACC"/>
    <w:rsid w:val="00B97FE2"/>
    <w:rsid w:val="00BA1CF8"/>
    <w:rsid w:val="00BA3787"/>
    <w:rsid w:val="00BA433F"/>
    <w:rsid w:val="00BA46E8"/>
    <w:rsid w:val="00BA49E6"/>
    <w:rsid w:val="00BA4E19"/>
    <w:rsid w:val="00BA4E41"/>
    <w:rsid w:val="00BA6436"/>
    <w:rsid w:val="00BA684E"/>
    <w:rsid w:val="00BA6C2B"/>
    <w:rsid w:val="00BA7B64"/>
    <w:rsid w:val="00BB02A3"/>
    <w:rsid w:val="00BB0351"/>
    <w:rsid w:val="00BB15C3"/>
    <w:rsid w:val="00BB1AF4"/>
    <w:rsid w:val="00BB2202"/>
    <w:rsid w:val="00BB37D7"/>
    <w:rsid w:val="00BB3C6B"/>
    <w:rsid w:val="00BB3FD6"/>
    <w:rsid w:val="00BB453F"/>
    <w:rsid w:val="00BB46F3"/>
    <w:rsid w:val="00BB4A71"/>
    <w:rsid w:val="00BB4CB1"/>
    <w:rsid w:val="00BB4E54"/>
    <w:rsid w:val="00BB4F98"/>
    <w:rsid w:val="00BB5AB2"/>
    <w:rsid w:val="00BB5ABF"/>
    <w:rsid w:val="00BB6EA2"/>
    <w:rsid w:val="00BB7B5B"/>
    <w:rsid w:val="00BB7EB1"/>
    <w:rsid w:val="00BC003F"/>
    <w:rsid w:val="00BC00B3"/>
    <w:rsid w:val="00BC10AD"/>
    <w:rsid w:val="00BC19EB"/>
    <w:rsid w:val="00BC1DF4"/>
    <w:rsid w:val="00BC297E"/>
    <w:rsid w:val="00BC327F"/>
    <w:rsid w:val="00BC3512"/>
    <w:rsid w:val="00BC43D7"/>
    <w:rsid w:val="00BC50BE"/>
    <w:rsid w:val="00BC5332"/>
    <w:rsid w:val="00BC5715"/>
    <w:rsid w:val="00BC5C12"/>
    <w:rsid w:val="00BC7154"/>
    <w:rsid w:val="00BC731E"/>
    <w:rsid w:val="00BC7614"/>
    <w:rsid w:val="00BD25BB"/>
    <w:rsid w:val="00BD2AF8"/>
    <w:rsid w:val="00BD366B"/>
    <w:rsid w:val="00BD410B"/>
    <w:rsid w:val="00BD4A73"/>
    <w:rsid w:val="00BD4ED5"/>
    <w:rsid w:val="00BD5C0F"/>
    <w:rsid w:val="00BD6C75"/>
    <w:rsid w:val="00BD6D50"/>
    <w:rsid w:val="00BD73D2"/>
    <w:rsid w:val="00BD7B86"/>
    <w:rsid w:val="00BE0088"/>
    <w:rsid w:val="00BE0AD1"/>
    <w:rsid w:val="00BE0EF9"/>
    <w:rsid w:val="00BE10A1"/>
    <w:rsid w:val="00BE18B9"/>
    <w:rsid w:val="00BE190A"/>
    <w:rsid w:val="00BE2495"/>
    <w:rsid w:val="00BE24DD"/>
    <w:rsid w:val="00BE2527"/>
    <w:rsid w:val="00BE386D"/>
    <w:rsid w:val="00BE557B"/>
    <w:rsid w:val="00BE6E15"/>
    <w:rsid w:val="00BE7F5F"/>
    <w:rsid w:val="00BF02C8"/>
    <w:rsid w:val="00BF064A"/>
    <w:rsid w:val="00BF1578"/>
    <w:rsid w:val="00BF15CA"/>
    <w:rsid w:val="00BF1D12"/>
    <w:rsid w:val="00BF1D3A"/>
    <w:rsid w:val="00BF2B5B"/>
    <w:rsid w:val="00BF2D41"/>
    <w:rsid w:val="00BF32DC"/>
    <w:rsid w:val="00BF4329"/>
    <w:rsid w:val="00BF4E43"/>
    <w:rsid w:val="00BF5C4C"/>
    <w:rsid w:val="00C006D6"/>
    <w:rsid w:val="00C00BD7"/>
    <w:rsid w:val="00C01410"/>
    <w:rsid w:val="00C042D4"/>
    <w:rsid w:val="00C04B78"/>
    <w:rsid w:val="00C05287"/>
    <w:rsid w:val="00C052AA"/>
    <w:rsid w:val="00C058F5"/>
    <w:rsid w:val="00C05DF8"/>
    <w:rsid w:val="00C0636C"/>
    <w:rsid w:val="00C06EE3"/>
    <w:rsid w:val="00C07749"/>
    <w:rsid w:val="00C11244"/>
    <w:rsid w:val="00C11D48"/>
    <w:rsid w:val="00C13D0B"/>
    <w:rsid w:val="00C1493E"/>
    <w:rsid w:val="00C15DBD"/>
    <w:rsid w:val="00C16B15"/>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86C"/>
    <w:rsid w:val="00C33B68"/>
    <w:rsid w:val="00C35570"/>
    <w:rsid w:val="00C35A2A"/>
    <w:rsid w:val="00C36A79"/>
    <w:rsid w:val="00C36E37"/>
    <w:rsid w:val="00C401A9"/>
    <w:rsid w:val="00C401D2"/>
    <w:rsid w:val="00C4031A"/>
    <w:rsid w:val="00C405D4"/>
    <w:rsid w:val="00C4072D"/>
    <w:rsid w:val="00C407CF"/>
    <w:rsid w:val="00C40D33"/>
    <w:rsid w:val="00C416B3"/>
    <w:rsid w:val="00C419D5"/>
    <w:rsid w:val="00C41E3C"/>
    <w:rsid w:val="00C43D8F"/>
    <w:rsid w:val="00C4513B"/>
    <w:rsid w:val="00C475E8"/>
    <w:rsid w:val="00C476B8"/>
    <w:rsid w:val="00C479B8"/>
    <w:rsid w:val="00C50E79"/>
    <w:rsid w:val="00C525FB"/>
    <w:rsid w:val="00C5390B"/>
    <w:rsid w:val="00C54257"/>
    <w:rsid w:val="00C54697"/>
    <w:rsid w:val="00C550CE"/>
    <w:rsid w:val="00C553A5"/>
    <w:rsid w:val="00C55402"/>
    <w:rsid w:val="00C5603B"/>
    <w:rsid w:val="00C61F47"/>
    <w:rsid w:val="00C62828"/>
    <w:rsid w:val="00C64139"/>
    <w:rsid w:val="00C719A3"/>
    <w:rsid w:val="00C71D2F"/>
    <w:rsid w:val="00C72984"/>
    <w:rsid w:val="00C73885"/>
    <w:rsid w:val="00C73AE4"/>
    <w:rsid w:val="00C73C93"/>
    <w:rsid w:val="00C7435A"/>
    <w:rsid w:val="00C747B1"/>
    <w:rsid w:val="00C755F9"/>
    <w:rsid w:val="00C80FE0"/>
    <w:rsid w:val="00C815EF"/>
    <w:rsid w:val="00C8174E"/>
    <w:rsid w:val="00C81E37"/>
    <w:rsid w:val="00C82191"/>
    <w:rsid w:val="00C83134"/>
    <w:rsid w:val="00C832F3"/>
    <w:rsid w:val="00C845A4"/>
    <w:rsid w:val="00C85545"/>
    <w:rsid w:val="00C855B5"/>
    <w:rsid w:val="00C85F0E"/>
    <w:rsid w:val="00C90107"/>
    <w:rsid w:val="00C90CF4"/>
    <w:rsid w:val="00C92144"/>
    <w:rsid w:val="00C922DE"/>
    <w:rsid w:val="00C92843"/>
    <w:rsid w:val="00C9295C"/>
    <w:rsid w:val="00C92EB6"/>
    <w:rsid w:val="00C93389"/>
    <w:rsid w:val="00C94CDD"/>
    <w:rsid w:val="00C95774"/>
    <w:rsid w:val="00C97B65"/>
    <w:rsid w:val="00CA0346"/>
    <w:rsid w:val="00CA09B7"/>
    <w:rsid w:val="00CA1BD6"/>
    <w:rsid w:val="00CA2441"/>
    <w:rsid w:val="00CA37FF"/>
    <w:rsid w:val="00CA423A"/>
    <w:rsid w:val="00CA47BC"/>
    <w:rsid w:val="00CA6AB4"/>
    <w:rsid w:val="00CA7255"/>
    <w:rsid w:val="00CA7432"/>
    <w:rsid w:val="00CB2351"/>
    <w:rsid w:val="00CB3C4F"/>
    <w:rsid w:val="00CB4930"/>
    <w:rsid w:val="00CB4C63"/>
    <w:rsid w:val="00CB5599"/>
    <w:rsid w:val="00CB5A48"/>
    <w:rsid w:val="00CB5E10"/>
    <w:rsid w:val="00CB5F3F"/>
    <w:rsid w:val="00CB613B"/>
    <w:rsid w:val="00CB6152"/>
    <w:rsid w:val="00CB64E1"/>
    <w:rsid w:val="00CC0834"/>
    <w:rsid w:val="00CC20FE"/>
    <w:rsid w:val="00CC2E7D"/>
    <w:rsid w:val="00CC32A4"/>
    <w:rsid w:val="00CC519B"/>
    <w:rsid w:val="00CC5BF7"/>
    <w:rsid w:val="00CC5DBF"/>
    <w:rsid w:val="00CC612B"/>
    <w:rsid w:val="00CC655F"/>
    <w:rsid w:val="00CC6FE5"/>
    <w:rsid w:val="00CC72D7"/>
    <w:rsid w:val="00CC7458"/>
    <w:rsid w:val="00CC76BD"/>
    <w:rsid w:val="00CC7A87"/>
    <w:rsid w:val="00CD07BE"/>
    <w:rsid w:val="00CD1084"/>
    <w:rsid w:val="00CD10A5"/>
    <w:rsid w:val="00CD1129"/>
    <w:rsid w:val="00CD1A80"/>
    <w:rsid w:val="00CD1CB5"/>
    <w:rsid w:val="00CD2076"/>
    <w:rsid w:val="00CD24CE"/>
    <w:rsid w:val="00CD29B5"/>
    <w:rsid w:val="00CD2B78"/>
    <w:rsid w:val="00CD3D73"/>
    <w:rsid w:val="00CD3FAB"/>
    <w:rsid w:val="00CD5434"/>
    <w:rsid w:val="00CD5456"/>
    <w:rsid w:val="00CD5C3E"/>
    <w:rsid w:val="00CD6331"/>
    <w:rsid w:val="00CE0217"/>
    <w:rsid w:val="00CE14BE"/>
    <w:rsid w:val="00CE164F"/>
    <w:rsid w:val="00CE17A4"/>
    <w:rsid w:val="00CE1BA9"/>
    <w:rsid w:val="00CE29EE"/>
    <w:rsid w:val="00CE2D8F"/>
    <w:rsid w:val="00CE3E48"/>
    <w:rsid w:val="00CE47B8"/>
    <w:rsid w:val="00CE4B4F"/>
    <w:rsid w:val="00CE62FA"/>
    <w:rsid w:val="00CE670B"/>
    <w:rsid w:val="00CE6833"/>
    <w:rsid w:val="00CF0257"/>
    <w:rsid w:val="00CF03A8"/>
    <w:rsid w:val="00CF2E4D"/>
    <w:rsid w:val="00CF4205"/>
    <w:rsid w:val="00CF4908"/>
    <w:rsid w:val="00CF51EC"/>
    <w:rsid w:val="00CF521C"/>
    <w:rsid w:val="00CF545D"/>
    <w:rsid w:val="00CF5873"/>
    <w:rsid w:val="00CF73AE"/>
    <w:rsid w:val="00D0085A"/>
    <w:rsid w:val="00D0242D"/>
    <w:rsid w:val="00D02651"/>
    <w:rsid w:val="00D02716"/>
    <w:rsid w:val="00D0332D"/>
    <w:rsid w:val="00D03A72"/>
    <w:rsid w:val="00D040DD"/>
    <w:rsid w:val="00D04134"/>
    <w:rsid w:val="00D05C65"/>
    <w:rsid w:val="00D065FC"/>
    <w:rsid w:val="00D06B56"/>
    <w:rsid w:val="00D06D68"/>
    <w:rsid w:val="00D075BE"/>
    <w:rsid w:val="00D107EE"/>
    <w:rsid w:val="00D10C15"/>
    <w:rsid w:val="00D11476"/>
    <w:rsid w:val="00D12C25"/>
    <w:rsid w:val="00D133B4"/>
    <w:rsid w:val="00D13986"/>
    <w:rsid w:val="00D14C5B"/>
    <w:rsid w:val="00D15FED"/>
    <w:rsid w:val="00D16712"/>
    <w:rsid w:val="00D208FD"/>
    <w:rsid w:val="00D20FFB"/>
    <w:rsid w:val="00D214EF"/>
    <w:rsid w:val="00D215B0"/>
    <w:rsid w:val="00D218B6"/>
    <w:rsid w:val="00D21A0D"/>
    <w:rsid w:val="00D21D6D"/>
    <w:rsid w:val="00D21D83"/>
    <w:rsid w:val="00D22142"/>
    <w:rsid w:val="00D235B7"/>
    <w:rsid w:val="00D23FAE"/>
    <w:rsid w:val="00D24853"/>
    <w:rsid w:val="00D25098"/>
    <w:rsid w:val="00D2554F"/>
    <w:rsid w:val="00D25F28"/>
    <w:rsid w:val="00D26071"/>
    <w:rsid w:val="00D269B9"/>
    <w:rsid w:val="00D27973"/>
    <w:rsid w:val="00D27F47"/>
    <w:rsid w:val="00D31537"/>
    <w:rsid w:val="00D31E1E"/>
    <w:rsid w:val="00D3222A"/>
    <w:rsid w:val="00D322A0"/>
    <w:rsid w:val="00D32824"/>
    <w:rsid w:val="00D334E2"/>
    <w:rsid w:val="00D35AD6"/>
    <w:rsid w:val="00D35BBB"/>
    <w:rsid w:val="00D35E1A"/>
    <w:rsid w:val="00D36DFB"/>
    <w:rsid w:val="00D36E1C"/>
    <w:rsid w:val="00D373AF"/>
    <w:rsid w:val="00D40556"/>
    <w:rsid w:val="00D419C9"/>
    <w:rsid w:val="00D41F74"/>
    <w:rsid w:val="00D42FF0"/>
    <w:rsid w:val="00D43ED2"/>
    <w:rsid w:val="00D442B3"/>
    <w:rsid w:val="00D44896"/>
    <w:rsid w:val="00D464E4"/>
    <w:rsid w:val="00D46B51"/>
    <w:rsid w:val="00D478B9"/>
    <w:rsid w:val="00D50F46"/>
    <w:rsid w:val="00D5238B"/>
    <w:rsid w:val="00D5384E"/>
    <w:rsid w:val="00D544E7"/>
    <w:rsid w:val="00D5560A"/>
    <w:rsid w:val="00D56FBF"/>
    <w:rsid w:val="00D57677"/>
    <w:rsid w:val="00D57B8D"/>
    <w:rsid w:val="00D60415"/>
    <w:rsid w:val="00D60516"/>
    <w:rsid w:val="00D60E3C"/>
    <w:rsid w:val="00D63BE5"/>
    <w:rsid w:val="00D6475F"/>
    <w:rsid w:val="00D653A0"/>
    <w:rsid w:val="00D66223"/>
    <w:rsid w:val="00D667B8"/>
    <w:rsid w:val="00D70289"/>
    <w:rsid w:val="00D70822"/>
    <w:rsid w:val="00D70A58"/>
    <w:rsid w:val="00D72076"/>
    <w:rsid w:val="00D726A9"/>
    <w:rsid w:val="00D743E0"/>
    <w:rsid w:val="00D75AC1"/>
    <w:rsid w:val="00D77252"/>
    <w:rsid w:val="00D77807"/>
    <w:rsid w:val="00D8084C"/>
    <w:rsid w:val="00D81809"/>
    <w:rsid w:val="00D82435"/>
    <w:rsid w:val="00D82EF1"/>
    <w:rsid w:val="00D83C22"/>
    <w:rsid w:val="00D84F43"/>
    <w:rsid w:val="00D85114"/>
    <w:rsid w:val="00D85821"/>
    <w:rsid w:val="00D8598C"/>
    <w:rsid w:val="00D87C06"/>
    <w:rsid w:val="00D915EA"/>
    <w:rsid w:val="00D919ED"/>
    <w:rsid w:val="00D922A1"/>
    <w:rsid w:val="00D928BE"/>
    <w:rsid w:val="00D95302"/>
    <w:rsid w:val="00D95C5D"/>
    <w:rsid w:val="00D97D00"/>
    <w:rsid w:val="00DA096C"/>
    <w:rsid w:val="00DA0FE3"/>
    <w:rsid w:val="00DA1AB6"/>
    <w:rsid w:val="00DA544C"/>
    <w:rsid w:val="00DA5F8E"/>
    <w:rsid w:val="00DA6364"/>
    <w:rsid w:val="00DA7114"/>
    <w:rsid w:val="00DA7C0C"/>
    <w:rsid w:val="00DB08A9"/>
    <w:rsid w:val="00DB2DFA"/>
    <w:rsid w:val="00DB2EC8"/>
    <w:rsid w:val="00DB3419"/>
    <w:rsid w:val="00DB459B"/>
    <w:rsid w:val="00DB47FD"/>
    <w:rsid w:val="00DB5E9A"/>
    <w:rsid w:val="00DB657E"/>
    <w:rsid w:val="00DB6DFF"/>
    <w:rsid w:val="00DB7342"/>
    <w:rsid w:val="00DB7486"/>
    <w:rsid w:val="00DB7F95"/>
    <w:rsid w:val="00DC17D0"/>
    <w:rsid w:val="00DC2390"/>
    <w:rsid w:val="00DC2B41"/>
    <w:rsid w:val="00DC435B"/>
    <w:rsid w:val="00DC53D8"/>
    <w:rsid w:val="00DC56FE"/>
    <w:rsid w:val="00DC5B3B"/>
    <w:rsid w:val="00DC6C2D"/>
    <w:rsid w:val="00DC75F3"/>
    <w:rsid w:val="00DC7B1A"/>
    <w:rsid w:val="00DD04B0"/>
    <w:rsid w:val="00DD07EC"/>
    <w:rsid w:val="00DD129F"/>
    <w:rsid w:val="00DD18CA"/>
    <w:rsid w:val="00DD1A3F"/>
    <w:rsid w:val="00DD29B5"/>
    <w:rsid w:val="00DD32DD"/>
    <w:rsid w:val="00DD5287"/>
    <w:rsid w:val="00DD7944"/>
    <w:rsid w:val="00DE0D8B"/>
    <w:rsid w:val="00DE1237"/>
    <w:rsid w:val="00DE140F"/>
    <w:rsid w:val="00DE2491"/>
    <w:rsid w:val="00DE586E"/>
    <w:rsid w:val="00DE7AC8"/>
    <w:rsid w:val="00DF1FFF"/>
    <w:rsid w:val="00DF2C5D"/>
    <w:rsid w:val="00DF3643"/>
    <w:rsid w:val="00DF42FF"/>
    <w:rsid w:val="00DF4369"/>
    <w:rsid w:val="00DF4423"/>
    <w:rsid w:val="00DF4ADF"/>
    <w:rsid w:val="00DF5D1E"/>
    <w:rsid w:val="00DF6CA7"/>
    <w:rsid w:val="00DF77E4"/>
    <w:rsid w:val="00DF7F88"/>
    <w:rsid w:val="00E01C0E"/>
    <w:rsid w:val="00E0368F"/>
    <w:rsid w:val="00E03D73"/>
    <w:rsid w:val="00E03DEA"/>
    <w:rsid w:val="00E03F9A"/>
    <w:rsid w:val="00E04694"/>
    <w:rsid w:val="00E04EE2"/>
    <w:rsid w:val="00E129E7"/>
    <w:rsid w:val="00E12ABE"/>
    <w:rsid w:val="00E12B1E"/>
    <w:rsid w:val="00E12C45"/>
    <w:rsid w:val="00E1444C"/>
    <w:rsid w:val="00E17262"/>
    <w:rsid w:val="00E17D21"/>
    <w:rsid w:val="00E20016"/>
    <w:rsid w:val="00E2009B"/>
    <w:rsid w:val="00E20BB9"/>
    <w:rsid w:val="00E20BCC"/>
    <w:rsid w:val="00E2207E"/>
    <w:rsid w:val="00E2251C"/>
    <w:rsid w:val="00E22D9E"/>
    <w:rsid w:val="00E2363D"/>
    <w:rsid w:val="00E23C6A"/>
    <w:rsid w:val="00E24DEF"/>
    <w:rsid w:val="00E253A2"/>
    <w:rsid w:val="00E25809"/>
    <w:rsid w:val="00E260F6"/>
    <w:rsid w:val="00E27127"/>
    <w:rsid w:val="00E27233"/>
    <w:rsid w:val="00E31771"/>
    <w:rsid w:val="00E31A3E"/>
    <w:rsid w:val="00E31FEC"/>
    <w:rsid w:val="00E32080"/>
    <w:rsid w:val="00E32D52"/>
    <w:rsid w:val="00E3309D"/>
    <w:rsid w:val="00E343C7"/>
    <w:rsid w:val="00E3724A"/>
    <w:rsid w:val="00E375EC"/>
    <w:rsid w:val="00E378B1"/>
    <w:rsid w:val="00E404B9"/>
    <w:rsid w:val="00E404FD"/>
    <w:rsid w:val="00E417BE"/>
    <w:rsid w:val="00E4186B"/>
    <w:rsid w:val="00E41CD5"/>
    <w:rsid w:val="00E426FA"/>
    <w:rsid w:val="00E43133"/>
    <w:rsid w:val="00E4372D"/>
    <w:rsid w:val="00E43A9E"/>
    <w:rsid w:val="00E453F9"/>
    <w:rsid w:val="00E45D7D"/>
    <w:rsid w:val="00E4623F"/>
    <w:rsid w:val="00E4665D"/>
    <w:rsid w:val="00E47854"/>
    <w:rsid w:val="00E47EBA"/>
    <w:rsid w:val="00E50156"/>
    <w:rsid w:val="00E5076C"/>
    <w:rsid w:val="00E50D2E"/>
    <w:rsid w:val="00E53470"/>
    <w:rsid w:val="00E539F6"/>
    <w:rsid w:val="00E54698"/>
    <w:rsid w:val="00E54FB4"/>
    <w:rsid w:val="00E55791"/>
    <w:rsid w:val="00E55E1A"/>
    <w:rsid w:val="00E578A2"/>
    <w:rsid w:val="00E60043"/>
    <w:rsid w:val="00E601BA"/>
    <w:rsid w:val="00E61740"/>
    <w:rsid w:val="00E61EB5"/>
    <w:rsid w:val="00E6324D"/>
    <w:rsid w:val="00E64F0C"/>
    <w:rsid w:val="00E65084"/>
    <w:rsid w:val="00E6519D"/>
    <w:rsid w:val="00E66062"/>
    <w:rsid w:val="00E6660E"/>
    <w:rsid w:val="00E66F7C"/>
    <w:rsid w:val="00E67305"/>
    <w:rsid w:val="00E67696"/>
    <w:rsid w:val="00E702BD"/>
    <w:rsid w:val="00E71A58"/>
    <w:rsid w:val="00E71C23"/>
    <w:rsid w:val="00E72A26"/>
    <w:rsid w:val="00E72A7A"/>
    <w:rsid w:val="00E7335A"/>
    <w:rsid w:val="00E747DC"/>
    <w:rsid w:val="00E74A2D"/>
    <w:rsid w:val="00E75C94"/>
    <w:rsid w:val="00E76B9B"/>
    <w:rsid w:val="00E76E61"/>
    <w:rsid w:val="00E80CA3"/>
    <w:rsid w:val="00E8209B"/>
    <w:rsid w:val="00E82618"/>
    <w:rsid w:val="00E845C1"/>
    <w:rsid w:val="00E84A1C"/>
    <w:rsid w:val="00E84E09"/>
    <w:rsid w:val="00E90CA8"/>
    <w:rsid w:val="00E90FF9"/>
    <w:rsid w:val="00E91301"/>
    <w:rsid w:val="00E930A1"/>
    <w:rsid w:val="00E93820"/>
    <w:rsid w:val="00E94A86"/>
    <w:rsid w:val="00E953F6"/>
    <w:rsid w:val="00E96143"/>
    <w:rsid w:val="00E96833"/>
    <w:rsid w:val="00E97506"/>
    <w:rsid w:val="00EA0C68"/>
    <w:rsid w:val="00EA1D0E"/>
    <w:rsid w:val="00EA2841"/>
    <w:rsid w:val="00EA29D4"/>
    <w:rsid w:val="00EA32BC"/>
    <w:rsid w:val="00EA35A7"/>
    <w:rsid w:val="00EA3868"/>
    <w:rsid w:val="00EA3B32"/>
    <w:rsid w:val="00EA3D05"/>
    <w:rsid w:val="00EA4402"/>
    <w:rsid w:val="00EA4B8D"/>
    <w:rsid w:val="00EA513E"/>
    <w:rsid w:val="00EA7419"/>
    <w:rsid w:val="00EB0E32"/>
    <w:rsid w:val="00EB1DE7"/>
    <w:rsid w:val="00EB1E61"/>
    <w:rsid w:val="00EB2251"/>
    <w:rsid w:val="00EB267D"/>
    <w:rsid w:val="00EB4511"/>
    <w:rsid w:val="00EB48D7"/>
    <w:rsid w:val="00EB4A8E"/>
    <w:rsid w:val="00EB4ABD"/>
    <w:rsid w:val="00EB4BC5"/>
    <w:rsid w:val="00EB5BF7"/>
    <w:rsid w:val="00EB5E79"/>
    <w:rsid w:val="00EB663E"/>
    <w:rsid w:val="00EB6FAC"/>
    <w:rsid w:val="00EB7BAC"/>
    <w:rsid w:val="00EC03D7"/>
    <w:rsid w:val="00EC13A7"/>
    <w:rsid w:val="00EC2EB6"/>
    <w:rsid w:val="00ED0EF0"/>
    <w:rsid w:val="00ED12B9"/>
    <w:rsid w:val="00ED16B8"/>
    <w:rsid w:val="00ED19F0"/>
    <w:rsid w:val="00ED1BDE"/>
    <w:rsid w:val="00ED1DF0"/>
    <w:rsid w:val="00ED2386"/>
    <w:rsid w:val="00ED2EA1"/>
    <w:rsid w:val="00ED3F10"/>
    <w:rsid w:val="00ED4604"/>
    <w:rsid w:val="00ED4D04"/>
    <w:rsid w:val="00ED5907"/>
    <w:rsid w:val="00ED5F5B"/>
    <w:rsid w:val="00ED62C6"/>
    <w:rsid w:val="00ED64C1"/>
    <w:rsid w:val="00ED7A13"/>
    <w:rsid w:val="00ED7D0E"/>
    <w:rsid w:val="00EE1D34"/>
    <w:rsid w:val="00EE3446"/>
    <w:rsid w:val="00EE3E78"/>
    <w:rsid w:val="00EE41FD"/>
    <w:rsid w:val="00EE460E"/>
    <w:rsid w:val="00EE46FE"/>
    <w:rsid w:val="00EE4B1B"/>
    <w:rsid w:val="00EE5FBA"/>
    <w:rsid w:val="00EE6648"/>
    <w:rsid w:val="00EE6E06"/>
    <w:rsid w:val="00EE7179"/>
    <w:rsid w:val="00EF0626"/>
    <w:rsid w:val="00EF150D"/>
    <w:rsid w:val="00EF1F5A"/>
    <w:rsid w:val="00EF3C94"/>
    <w:rsid w:val="00EF47BF"/>
    <w:rsid w:val="00EF59B1"/>
    <w:rsid w:val="00EF5A13"/>
    <w:rsid w:val="00EF5FF9"/>
    <w:rsid w:val="00EF7CC7"/>
    <w:rsid w:val="00F00866"/>
    <w:rsid w:val="00F0160B"/>
    <w:rsid w:val="00F0193E"/>
    <w:rsid w:val="00F021DA"/>
    <w:rsid w:val="00F0293D"/>
    <w:rsid w:val="00F03F8D"/>
    <w:rsid w:val="00F04811"/>
    <w:rsid w:val="00F0488C"/>
    <w:rsid w:val="00F073ED"/>
    <w:rsid w:val="00F07C4C"/>
    <w:rsid w:val="00F10F11"/>
    <w:rsid w:val="00F11159"/>
    <w:rsid w:val="00F12CFB"/>
    <w:rsid w:val="00F13FDB"/>
    <w:rsid w:val="00F15AAA"/>
    <w:rsid w:val="00F15BEF"/>
    <w:rsid w:val="00F17898"/>
    <w:rsid w:val="00F2079F"/>
    <w:rsid w:val="00F207C2"/>
    <w:rsid w:val="00F20FCA"/>
    <w:rsid w:val="00F21337"/>
    <w:rsid w:val="00F215AC"/>
    <w:rsid w:val="00F219A1"/>
    <w:rsid w:val="00F231DB"/>
    <w:rsid w:val="00F23826"/>
    <w:rsid w:val="00F23E20"/>
    <w:rsid w:val="00F24407"/>
    <w:rsid w:val="00F24CDD"/>
    <w:rsid w:val="00F24FAA"/>
    <w:rsid w:val="00F24FBC"/>
    <w:rsid w:val="00F25040"/>
    <w:rsid w:val="00F27071"/>
    <w:rsid w:val="00F27331"/>
    <w:rsid w:val="00F27797"/>
    <w:rsid w:val="00F27EE5"/>
    <w:rsid w:val="00F307CB"/>
    <w:rsid w:val="00F30C65"/>
    <w:rsid w:val="00F32649"/>
    <w:rsid w:val="00F33523"/>
    <w:rsid w:val="00F3364D"/>
    <w:rsid w:val="00F349BF"/>
    <w:rsid w:val="00F34DDC"/>
    <w:rsid w:val="00F36596"/>
    <w:rsid w:val="00F37A39"/>
    <w:rsid w:val="00F37EDC"/>
    <w:rsid w:val="00F37F05"/>
    <w:rsid w:val="00F414BC"/>
    <w:rsid w:val="00F421A3"/>
    <w:rsid w:val="00F437CC"/>
    <w:rsid w:val="00F44537"/>
    <w:rsid w:val="00F46185"/>
    <w:rsid w:val="00F46423"/>
    <w:rsid w:val="00F4696A"/>
    <w:rsid w:val="00F47067"/>
    <w:rsid w:val="00F51B5B"/>
    <w:rsid w:val="00F525EB"/>
    <w:rsid w:val="00F52CB5"/>
    <w:rsid w:val="00F52E3F"/>
    <w:rsid w:val="00F53652"/>
    <w:rsid w:val="00F53A68"/>
    <w:rsid w:val="00F54330"/>
    <w:rsid w:val="00F5487D"/>
    <w:rsid w:val="00F54934"/>
    <w:rsid w:val="00F55890"/>
    <w:rsid w:val="00F55A92"/>
    <w:rsid w:val="00F62BFF"/>
    <w:rsid w:val="00F6393F"/>
    <w:rsid w:val="00F63AAE"/>
    <w:rsid w:val="00F63D70"/>
    <w:rsid w:val="00F63DDE"/>
    <w:rsid w:val="00F63FB7"/>
    <w:rsid w:val="00F6421B"/>
    <w:rsid w:val="00F647F1"/>
    <w:rsid w:val="00F649D2"/>
    <w:rsid w:val="00F6602B"/>
    <w:rsid w:val="00F67C31"/>
    <w:rsid w:val="00F7150B"/>
    <w:rsid w:val="00F717E4"/>
    <w:rsid w:val="00F71DE6"/>
    <w:rsid w:val="00F72D71"/>
    <w:rsid w:val="00F7381C"/>
    <w:rsid w:val="00F73A0C"/>
    <w:rsid w:val="00F7549F"/>
    <w:rsid w:val="00F756DB"/>
    <w:rsid w:val="00F767A8"/>
    <w:rsid w:val="00F839D3"/>
    <w:rsid w:val="00F84E7D"/>
    <w:rsid w:val="00F85066"/>
    <w:rsid w:val="00F8565E"/>
    <w:rsid w:val="00F86333"/>
    <w:rsid w:val="00F87A4D"/>
    <w:rsid w:val="00F90CF1"/>
    <w:rsid w:val="00F910B3"/>
    <w:rsid w:val="00F9354B"/>
    <w:rsid w:val="00F93688"/>
    <w:rsid w:val="00F939F3"/>
    <w:rsid w:val="00F9644E"/>
    <w:rsid w:val="00F97A39"/>
    <w:rsid w:val="00FA0105"/>
    <w:rsid w:val="00FA05A0"/>
    <w:rsid w:val="00FA17CC"/>
    <w:rsid w:val="00FA1F01"/>
    <w:rsid w:val="00FA26DF"/>
    <w:rsid w:val="00FA32BC"/>
    <w:rsid w:val="00FA4CB7"/>
    <w:rsid w:val="00FA5112"/>
    <w:rsid w:val="00FA523B"/>
    <w:rsid w:val="00FA5526"/>
    <w:rsid w:val="00FA5D4D"/>
    <w:rsid w:val="00FA6489"/>
    <w:rsid w:val="00FA6CB6"/>
    <w:rsid w:val="00FA70D3"/>
    <w:rsid w:val="00FA7AEC"/>
    <w:rsid w:val="00FB01A3"/>
    <w:rsid w:val="00FB0AEA"/>
    <w:rsid w:val="00FB0EE2"/>
    <w:rsid w:val="00FB1A79"/>
    <w:rsid w:val="00FB208B"/>
    <w:rsid w:val="00FB2B2D"/>
    <w:rsid w:val="00FB4505"/>
    <w:rsid w:val="00FB542E"/>
    <w:rsid w:val="00FB564F"/>
    <w:rsid w:val="00FB6D71"/>
    <w:rsid w:val="00FB7DBB"/>
    <w:rsid w:val="00FC05F8"/>
    <w:rsid w:val="00FC0E5F"/>
    <w:rsid w:val="00FC1266"/>
    <w:rsid w:val="00FC1A95"/>
    <w:rsid w:val="00FC1ED4"/>
    <w:rsid w:val="00FC2C40"/>
    <w:rsid w:val="00FC3BEC"/>
    <w:rsid w:val="00FC440B"/>
    <w:rsid w:val="00FC56DE"/>
    <w:rsid w:val="00FC64DE"/>
    <w:rsid w:val="00FC684B"/>
    <w:rsid w:val="00FC7D98"/>
    <w:rsid w:val="00FD025C"/>
    <w:rsid w:val="00FD0F85"/>
    <w:rsid w:val="00FD1135"/>
    <w:rsid w:val="00FD3265"/>
    <w:rsid w:val="00FD3CF7"/>
    <w:rsid w:val="00FD4916"/>
    <w:rsid w:val="00FD4D12"/>
    <w:rsid w:val="00FD4F73"/>
    <w:rsid w:val="00FD595E"/>
    <w:rsid w:val="00FD67AF"/>
    <w:rsid w:val="00FD6CA9"/>
    <w:rsid w:val="00FE27C7"/>
    <w:rsid w:val="00FE2C7E"/>
    <w:rsid w:val="00FE2F78"/>
    <w:rsid w:val="00FE3137"/>
    <w:rsid w:val="00FE346B"/>
    <w:rsid w:val="00FE48E4"/>
    <w:rsid w:val="00FE494D"/>
    <w:rsid w:val="00FE634C"/>
    <w:rsid w:val="00FE6E69"/>
    <w:rsid w:val="00FE6F59"/>
    <w:rsid w:val="00FF1136"/>
    <w:rsid w:val="00FF3D76"/>
    <w:rsid w:val="00FF3F14"/>
    <w:rsid w:val="00FF5B8C"/>
    <w:rsid w:val="00FF63E6"/>
    <w:rsid w:val="00FF7B0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4AD56707-B834-43C7-B213-46CC73DE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character" w:customStyle="1" w:styleId="tlid-translation">
    <w:name w:val="tlid-translation"/>
    <w:basedOn w:val="Standardnpsmoodstavce"/>
    <w:rsid w:val="0016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4427001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967394828">
      <w:bodyDiv w:val="1"/>
      <w:marLeft w:val="0"/>
      <w:marRight w:val="0"/>
      <w:marTop w:val="0"/>
      <w:marBottom w:val="0"/>
      <w:divBdr>
        <w:top w:val="none" w:sz="0" w:space="0" w:color="auto"/>
        <w:left w:val="none" w:sz="0" w:space="0" w:color="auto"/>
        <w:bottom w:val="none" w:sz="0" w:space="0" w:color="auto"/>
        <w:right w:val="none" w:sz="0" w:space="0" w:color="auto"/>
      </w:divBdr>
    </w:div>
    <w:div w:id="111845364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3379615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6055724">
      <w:bodyDiv w:val="1"/>
      <w:marLeft w:val="0"/>
      <w:marRight w:val="0"/>
      <w:marTop w:val="0"/>
      <w:marBottom w:val="0"/>
      <w:divBdr>
        <w:top w:val="none" w:sz="0" w:space="0" w:color="auto"/>
        <w:left w:val="none" w:sz="0" w:space="0" w:color="auto"/>
        <w:bottom w:val="none" w:sz="0" w:space="0" w:color="auto"/>
        <w:right w:val="none" w:sz="0" w:space="0" w:color="auto"/>
      </w:divBdr>
    </w:div>
    <w:div w:id="1467579904">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35038106">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36" Type="http://schemas.microsoft.com/office/2016/09/relationships/commentsIds" Target="commentsId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9\QMakro\1.pololet&#237;%202019\ENGL-verze-1.pol\Grafy-trh%20pr&#225;ce-rok-2019-1.pol-ENG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9\QMakro\1.pololet&#237;%202019\ENGL-verze-1.pol\Grafy-trh%20pr&#225;ce-rok-2019-1.pol-ENG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19\QMakro\1.pololet&#237;%202019\ENGL-verze-1.pol\Grafy-trh%20pr&#225;ce-rok-2019-1.pol-ENG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306663279993532E-2"/>
          <c:y val="1.6549886621315374E-2"/>
          <c:w val="0.92612532736853692"/>
          <c:h val="0.72078134940108141"/>
        </c:manualLayout>
      </c:layout>
      <c:barChart>
        <c:barDir val="col"/>
        <c:grouping val="stacked"/>
        <c:varyColors val="0"/>
        <c:ser>
          <c:idx val="0"/>
          <c:order val="0"/>
          <c:tx>
            <c:strRef>
              <c:f>'Trh práce 1'!$AC$7</c:f>
              <c:strCache>
                <c:ptCount val="1"/>
                <c:pt idx="0">
                  <c:v>Agriculture, forestry and fishing</c:v>
                </c:pt>
              </c:strCache>
            </c:strRef>
          </c:tx>
          <c:spPr>
            <a:solidFill>
              <a:srgbClr val="7DBB2D"/>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1'!$AC$8:$AC$46</c:f>
              <c:numCache>
                <c:formatCode>#\ ##0.0</c:formatCode>
                <c:ptCount val="39"/>
                <c:pt idx="0">
                  <c:v>-0.23222275006944557</c:v>
                </c:pt>
                <c:pt idx="1">
                  <c:v>-0.17702219112179116</c:v>
                </c:pt>
                <c:pt idx="2">
                  <c:v>-0.14250343705609567</c:v>
                </c:pt>
                <c:pt idx="3">
                  <c:v>-0.13702544848549181</c:v>
                </c:pt>
                <c:pt idx="4">
                  <c:v>0.1037453953799244</c:v>
                </c:pt>
                <c:pt idx="5">
                  <c:v>9.5690938460221905E-2</c:v>
                </c:pt>
                <c:pt idx="6">
                  <c:v>5.9112721211504203E-2</c:v>
                </c:pt>
                <c:pt idx="7">
                  <c:v>4.0223421388449539E-2</c:v>
                </c:pt>
                <c:pt idx="8">
                  <c:v>2.8804620165849455E-2</c:v>
                </c:pt>
                <c:pt idx="9">
                  <c:v>3.177048919427123E-2</c:v>
                </c:pt>
                <c:pt idx="10">
                  <c:v>6.2378779484277516E-2</c:v>
                </c:pt>
                <c:pt idx="11">
                  <c:v>7.8876524967668338E-2</c:v>
                </c:pt>
                <c:pt idx="12">
                  <c:v>3.4897043795591033E-2</c:v>
                </c:pt>
                <c:pt idx="13">
                  <c:v>7.6139985329269355E-2</c:v>
                </c:pt>
                <c:pt idx="14">
                  <c:v>1.9508115947107659E-2</c:v>
                </c:pt>
                <c:pt idx="15">
                  <c:v>9.8416227024961307E-4</c:v>
                </c:pt>
                <c:pt idx="16">
                  <c:v>-9.9577605233673473E-3</c:v>
                </c:pt>
                <c:pt idx="17">
                  <c:v>-7.2593422082177242E-2</c:v>
                </c:pt>
                <c:pt idx="18">
                  <c:v>-3.1543675502894435E-2</c:v>
                </c:pt>
                <c:pt idx="19">
                  <c:v>-7.4973080531714944E-3</c:v>
                </c:pt>
                <c:pt idx="20">
                  <c:v>-2.5406394237287376E-2</c:v>
                </c:pt>
                <c:pt idx="21">
                  <c:v>-3.2519642707587761E-2</c:v>
                </c:pt>
                <c:pt idx="22">
                  <c:v>-4.274637755234708E-2</c:v>
                </c:pt>
                <c:pt idx="23">
                  <c:v>-7.634560591871406E-2</c:v>
                </c:pt>
                <c:pt idx="24">
                  <c:v>-0.12683499341762042</c:v>
                </c:pt>
                <c:pt idx="25">
                  <c:v>-5.8796404821536856E-2</c:v>
                </c:pt>
                <c:pt idx="26">
                  <c:v>-5.7660818239794312E-2</c:v>
                </c:pt>
                <c:pt idx="27">
                  <c:v>5.9750731023664044E-2</c:v>
                </c:pt>
                <c:pt idx="28">
                  <c:v>0.10980047025694589</c:v>
                </c:pt>
                <c:pt idx="29">
                  <c:v>3.9673148008215947E-2</c:v>
                </c:pt>
                <c:pt idx="30">
                  <c:v>4.4749740495190864E-2</c:v>
                </c:pt>
                <c:pt idx="31">
                  <c:v>-8.0513245505165212E-2</c:v>
                </c:pt>
                <c:pt idx="32">
                  <c:v>-4.9161515718039762E-2</c:v>
                </c:pt>
                <c:pt idx="33">
                  <c:v>-3.5837548449139993E-2</c:v>
                </c:pt>
                <c:pt idx="34">
                  <c:v>-3.36987100603224E-2</c:v>
                </c:pt>
                <c:pt idx="35">
                  <c:v>8.5649612277238097E-3</c:v>
                </c:pt>
                <c:pt idx="36">
                  <c:v>2.1084112815023665E-2</c:v>
                </c:pt>
                <c:pt idx="37">
                  <c:v>-2.8290869979292695E-2</c:v>
                </c:pt>
              </c:numCache>
            </c:numRef>
          </c:val>
          <c:extLst>
            <c:ext xmlns:c16="http://schemas.microsoft.com/office/drawing/2014/chart" uri="{C3380CC4-5D6E-409C-BE32-E72D297353CC}">
              <c16:uniqueId val="{00000000-5E74-4D9B-BC02-A44CAC1C1B0B}"/>
            </c:ext>
          </c:extLst>
        </c:ser>
        <c:ser>
          <c:idx val="1"/>
          <c:order val="1"/>
          <c:tx>
            <c:strRef>
              <c:f>'Trh práce 1'!$AD$7</c:f>
              <c:strCache>
                <c:ptCount val="1"/>
                <c:pt idx="0">
                  <c:v>Manufacturing</c:v>
                </c:pt>
              </c:strCache>
            </c:strRef>
          </c:tx>
          <c:spPr>
            <a:solidFill>
              <a:srgbClr val="A6CDE8"/>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1'!$AD$8:$AD$46</c:f>
              <c:numCache>
                <c:formatCode>#\ ##0.0</c:formatCode>
                <c:ptCount val="39"/>
                <c:pt idx="0">
                  <c:v>-1.8445397057469493</c:v>
                </c:pt>
                <c:pt idx="1">
                  <c:v>-0.84745414755720294</c:v>
                </c:pt>
                <c:pt idx="2">
                  <c:v>-0.30166542154199055</c:v>
                </c:pt>
                <c:pt idx="3">
                  <c:v>-0.14324221591641934</c:v>
                </c:pt>
                <c:pt idx="4">
                  <c:v>0.97895076203027398</c:v>
                </c:pt>
                <c:pt idx="5">
                  <c:v>1.0641212428356823</c:v>
                </c:pt>
                <c:pt idx="6">
                  <c:v>0.95618180752734194</c:v>
                </c:pt>
                <c:pt idx="7">
                  <c:v>0.57685118438258809</c:v>
                </c:pt>
                <c:pt idx="8">
                  <c:v>0.15618372903976085</c:v>
                </c:pt>
                <c:pt idx="9">
                  <c:v>0.13240673035543943</c:v>
                </c:pt>
                <c:pt idx="10">
                  <c:v>0.31011051427221825</c:v>
                </c:pt>
                <c:pt idx="11">
                  <c:v>0.41899305405892617</c:v>
                </c:pt>
                <c:pt idx="12">
                  <c:v>-4.4405396456619534E-2</c:v>
                </c:pt>
                <c:pt idx="13">
                  <c:v>4.3158507126686806E-2</c:v>
                </c:pt>
                <c:pt idx="14">
                  <c:v>-0.10553280483596787</c:v>
                </c:pt>
                <c:pt idx="15">
                  <c:v>-5.7317610619337468E-2</c:v>
                </c:pt>
                <c:pt idx="16">
                  <c:v>0.20769043377309038</c:v>
                </c:pt>
                <c:pt idx="17">
                  <c:v>0.1994111278121122</c:v>
                </c:pt>
                <c:pt idx="18">
                  <c:v>0.39457126264967202</c:v>
                </c:pt>
                <c:pt idx="19">
                  <c:v>0.53106915941992727</c:v>
                </c:pt>
                <c:pt idx="20">
                  <c:v>0.90470735488586451</c:v>
                </c:pt>
                <c:pt idx="21">
                  <c:v>0.96187925091846294</c:v>
                </c:pt>
                <c:pt idx="22">
                  <c:v>0.80659111223260482</c:v>
                </c:pt>
                <c:pt idx="23">
                  <c:v>0.97639755522586125</c:v>
                </c:pt>
                <c:pt idx="24">
                  <c:v>0.88338166621127856</c:v>
                </c:pt>
                <c:pt idx="25">
                  <c:v>0.66590302024601566</c:v>
                </c:pt>
                <c:pt idx="26">
                  <c:v>0.72234156147423922</c:v>
                </c:pt>
                <c:pt idx="27">
                  <c:v>0.58981738346396817</c:v>
                </c:pt>
                <c:pt idx="28">
                  <c:v>0.19983341803764565</c:v>
                </c:pt>
                <c:pt idx="29">
                  <c:v>0.32012257424933233</c:v>
                </c:pt>
                <c:pt idx="30">
                  <c:v>0.43319496242521982</c:v>
                </c:pt>
                <c:pt idx="31">
                  <c:v>0.42405404961421206</c:v>
                </c:pt>
                <c:pt idx="32">
                  <c:v>0.45816951651004673</c:v>
                </c:pt>
                <c:pt idx="33">
                  <c:v>0.37332186131712708</c:v>
                </c:pt>
                <c:pt idx="34">
                  <c:v>0.1992303505224699</c:v>
                </c:pt>
                <c:pt idx="35">
                  <c:v>0.17982694682034031</c:v>
                </c:pt>
                <c:pt idx="36">
                  <c:v>0.26873435612605362</c:v>
                </c:pt>
                <c:pt idx="37">
                  <c:v>0.15849526506000094</c:v>
                </c:pt>
              </c:numCache>
            </c:numRef>
          </c:val>
          <c:extLst>
            <c:ext xmlns:c16="http://schemas.microsoft.com/office/drawing/2014/chart" uri="{C3380CC4-5D6E-409C-BE32-E72D297353CC}">
              <c16:uniqueId val="{00000001-5E74-4D9B-BC02-A44CAC1C1B0B}"/>
            </c:ext>
          </c:extLst>
        </c:ser>
        <c:ser>
          <c:idx val="2"/>
          <c:order val="2"/>
          <c:tx>
            <c:strRef>
              <c:f>'Trh práce 1'!$AE$7</c:f>
              <c:strCache>
                <c:ptCount val="1"/>
                <c:pt idx="0">
                  <c:v>Construction</c:v>
                </c:pt>
              </c:strCache>
            </c:strRef>
          </c:tx>
          <c:spPr>
            <a:solidFill>
              <a:srgbClr val="48AEE7"/>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1'!$AE$8:$AE$46</c:f>
              <c:numCache>
                <c:formatCode>#\ ##0.0</c:formatCode>
                <c:ptCount val="39"/>
                <c:pt idx="0">
                  <c:v>9.3873585501888082E-2</c:v>
                </c:pt>
                <c:pt idx="1">
                  <c:v>0.14259143360406704</c:v>
                </c:pt>
                <c:pt idx="2">
                  <c:v>0.18371660463360132</c:v>
                </c:pt>
                <c:pt idx="3">
                  <c:v>0.1878450552621217</c:v>
                </c:pt>
                <c:pt idx="4">
                  <c:v>-0.46459117644017811</c:v>
                </c:pt>
                <c:pt idx="5">
                  <c:v>-0.4616879929060313</c:v>
                </c:pt>
                <c:pt idx="6">
                  <c:v>-0.50318816056641913</c:v>
                </c:pt>
                <c:pt idx="7">
                  <c:v>-0.48534290072386538</c:v>
                </c:pt>
                <c:pt idx="8">
                  <c:v>-8.5917913180643235E-2</c:v>
                </c:pt>
                <c:pt idx="9">
                  <c:v>-5.8137026020918761E-2</c:v>
                </c:pt>
                <c:pt idx="10">
                  <c:v>-0.14837747801088627</c:v>
                </c:pt>
                <c:pt idx="11">
                  <c:v>-0.16295719235324882</c:v>
                </c:pt>
                <c:pt idx="12">
                  <c:v>-0.2112283521210945</c:v>
                </c:pt>
                <c:pt idx="13">
                  <c:v>-0.32386665444105772</c:v>
                </c:pt>
                <c:pt idx="14">
                  <c:v>-0.19405752472914967</c:v>
                </c:pt>
                <c:pt idx="15">
                  <c:v>-9.30623842748034E-2</c:v>
                </c:pt>
                <c:pt idx="16">
                  <c:v>-0.43150295601258509</c:v>
                </c:pt>
                <c:pt idx="17">
                  <c:v>-0.30664293593782627</c:v>
                </c:pt>
                <c:pt idx="18">
                  <c:v>-0.36558411945062813</c:v>
                </c:pt>
                <c:pt idx="19">
                  <c:v>-0.44482059984761585</c:v>
                </c:pt>
                <c:pt idx="20">
                  <c:v>-9.9424868399593299E-3</c:v>
                </c:pt>
                <c:pt idx="21">
                  <c:v>-3.3539559125437316E-3</c:v>
                </c:pt>
                <c:pt idx="22">
                  <c:v>-5.6760622044817514E-2</c:v>
                </c:pt>
                <c:pt idx="23">
                  <c:v>-7.8859282070708484E-2</c:v>
                </c:pt>
                <c:pt idx="24">
                  <c:v>-0.17401000397426594</c:v>
                </c:pt>
                <c:pt idx="25">
                  <c:v>-0.19657276720170863</c:v>
                </c:pt>
                <c:pt idx="26">
                  <c:v>-9.6037081884339681E-2</c:v>
                </c:pt>
                <c:pt idx="27">
                  <c:v>-6.2672903197279528E-2</c:v>
                </c:pt>
                <c:pt idx="28">
                  <c:v>-3.5906224401297321E-3</c:v>
                </c:pt>
                <c:pt idx="29">
                  <c:v>3.1746122268193882E-3</c:v>
                </c:pt>
                <c:pt idx="30">
                  <c:v>5.6715927469711339E-2</c:v>
                </c:pt>
                <c:pt idx="31">
                  <c:v>-8.3930904378625562E-2</c:v>
                </c:pt>
                <c:pt idx="32">
                  <c:v>9.0738004317254872E-2</c:v>
                </c:pt>
                <c:pt idx="33">
                  <c:v>3.6006328112165767E-2</c:v>
                </c:pt>
                <c:pt idx="34">
                  <c:v>3.049463149184509E-2</c:v>
                </c:pt>
                <c:pt idx="35">
                  <c:v>0.10318916331314207</c:v>
                </c:pt>
                <c:pt idx="36">
                  <c:v>6.429078199620672E-2</c:v>
                </c:pt>
                <c:pt idx="37">
                  <c:v>9.0921765969956325E-2</c:v>
                </c:pt>
              </c:numCache>
            </c:numRef>
          </c:val>
          <c:extLst>
            <c:ext xmlns:c16="http://schemas.microsoft.com/office/drawing/2014/chart" uri="{C3380CC4-5D6E-409C-BE32-E72D297353CC}">
              <c16:uniqueId val="{00000002-5E74-4D9B-BC02-A44CAC1C1B0B}"/>
            </c:ext>
          </c:extLst>
        </c:ser>
        <c:ser>
          <c:idx val="3"/>
          <c:order val="3"/>
          <c:tx>
            <c:strRef>
              <c:f>'Trh práce 1'!$AF$7</c:f>
              <c:strCache>
                <c:ptCount val="1"/>
                <c:pt idx="0">
                  <c:v>Trade, transport., accommod.&amp; food service</c:v>
                </c:pt>
              </c:strCache>
            </c:strRef>
          </c:tx>
          <c:spPr>
            <a:solidFill>
              <a:srgbClr val="FDDEB3"/>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1'!$AF$8:$AF$46</c:f>
              <c:numCache>
                <c:formatCode>#\ ##0.0</c:formatCode>
                <c:ptCount val="39"/>
                <c:pt idx="0">
                  <c:v>-0.36020586170372848</c:v>
                </c:pt>
                <c:pt idx="1">
                  <c:v>-0.12853367400426938</c:v>
                </c:pt>
                <c:pt idx="2">
                  <c:v>0.13275641462376636</c:v>
                </c:pt>
                <c:pt idx="3">
                  <c:v>0.29832589360603401</c:v>
                </c:pt>
                <c:pt idx="4">
                  <c:v>-6.8329822215403707E-2</c:v>
                </c:pt>
                <c:pt idx="5">
                  <c:v>-7.5578817344047824E-2</c:v>
                </c:pt>
                <c:pt idx="6">
                  <c:v>-9.226004151702058E-2</c:v>
                </c:pt>
                <c:pt idx="7">
                  <c:v>-0.1522180456464855</c:v>
                </c:pt>
                <c:pt idx="8">
                  <c:v>-0.13386609977903038</c:v>
                </c:pt>
                <c:pt idx="9">
                  <c:v>-9.5588593345255934E-2</c:v>
                </c:pt>
                <c:pt idx="10">
                  <c:v>-9.2577400810211111E-2</c:v>
                </c:pt>
                <c:pt idx="11">
                  <c:v>-0.19122243914977163</c:v>
                </c:pt>
                <c:pt idx="12">
                  <c:v>0.21176431354457628</c:v>
                </c:pt>
                <c:pt idx="13">
                  <c:v>0.14567972277377983</c:v>
                </c:pt>
                <c:pt idx="14">
                  <c:v>1.7303364195265018E-2</c:v>
                </c:pt>
                <c:pt idx="15">
                  <c:v>2.2222384062236263E-2</c:v>
                </c:pt>
                <c:pt idx="16">
                  <c:v>-7.053413704051871E-2</c:v>
                </c:pt>
                <c:pt idx="17">
                  <c:v>-0.25891457624497549</c:v>
                </c:pt>
                <c:pt idx="18">
                  <c:v>-0.10855429474811551</c:v>
                </c:pt>
                <c:pt idx="19">
                  <c:v>0.17354005176094334</c:v>
                </c:pt>
                <c:pt idx="20">
                  <c:v>0.11952598309777195</c:v>
                </c:pt>
                <c:pt idx="21">
                  <c:v>0.37489773866877718</c:v>
                </c:pt>
                <c:pt idx="22">
                  <c:v>0.24119355235297801</c:v>
                </c:pt>
                <c:pt idx="23">
                  <c:v>7.7144526246092138E-2</c:v>
                </c:pt>
                <c:pt idx="24">
                  <c:v>0.14837520802801801</c:v>
                </c:pt>
                <c:pt idx="25">
                  <c:v>0.19616793949638001</c:v>
                </c:pt>
                <c:pt idx="26">
                  <c:v>1.7240391808152546E-2</c:v>
                </c:pt>
                <c:pt idx="27">
                  <c:v>6.7594456331789815E-2</c:v>
                </c:pt>
                <c:pt idx="28">
                  <c:v>0.34445146653053038</c:v>
                </c:pt>
                <c:pt idx="29">
                  <c:v>0.15720983901674454</c:v>
                </c:pt>
                <c:pt idx="30">
                  <c:v>0.48991088989493115</c:v>
                </c:pt>
                <c:pt idx="31">
                  <c:v>0.35079152790688539</c:v>
                </c:pt>
                <c:pt idx="32">
                  <c:v>0.23807198021343226</c:v>
                </c:pt>
                <c:pt idx="33">
                  <c:v>0.49561210382724846</c:v>
                </c:pt>
                <c:pt idx="34">
                  <c:v>0.33069071364889069</c:v>
                </c:pt>
                <c:pt idx="35">
                  <c:v>0.36335917034571769</c:v>
                </c:pt>
                <c:pt idx="36">
                  <c:v>0.44030006568154961</c:v>
                </c:pt>
                <c:pt idx="37">
                  <c:v>0.12153639710791321</c:v>
                </c:pt>
              </c:numCache>
            </c:numRef>
          </c:val>
          <c:extLst>
            <c:ext xmlns:c16="http://schemas.microsoft.com/office/drawing/2014/chart" uri="{C3380CC4-5D6E-409C-BE32-E72D297353CC}">
              <c16:uniqueId val="{00000003-5E74-4D9B-BC02-A44CAC1C1B0B}"/>
            </c:ext>
          </c:extLst>
        </c:ser>
        <c:ser>
          <c:idx val="4"/>
          <c:order val="4"/>
          <c:tx>
            <c:strRef>
              <c:f>'Trh práce 1'!$AG$7</c:f>
              <c:strCache>
                <c:ptCount val="1"/>
                <c:pt idx="0">
                  <c:v>Information and communication activities</c:v>
                </c:pt>
              </c:strCache>
            </c:strRef>
          </c:tx>
          <c:spPr>
            <a:solidFill>
              <a:srgbClr val="F8A124"/>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1'!$AG$8:$AG$46</c:f>
              <c:numCache>
                <c:formatCode>#\ ##0.0</c:formatCode>
                <c:ptCount val="39"/>
                <c:pt idx="0">
                  <c:v>-6.5149774021976622E-2</c:v>
                </c:pt>
                <c:pt idx="1">
                  <c:v>-7.6291207174423364E-2</c:v>
                </c:pt>
                <c:pt idx="2">
                  <c:v>-6.7461209804364208E-2</c:v>
                </c:pt>
                <c:pt idx="3">
                  <c:v>-8.1706086235047687E-2</c:v>
                </c:pt>
                <c:pt idx="4">
                  <c:v>-4.2740879497316725E-2</c:v>
                </c:pt>
                <c:pt idx="5">
                  <c:v>-8.5021220663353964E-2</c:v>
                </c:pt>
                <c:pt idx="6">
                  <c:v>-0.13312200601268986</c:v>
                </c:pt>
                <c:pt idx="7">
                  <c:v>-0.16262881353526068</c:v>
                </c:pt>
                <c:pt idx="8">
                  <c:v>2.0452867349167209E-2</c:v>
                </c:pt>
                <c:pt idx="9">
                  <c:v>3.5175177132847339E-2</c:v>
                </c:pt>
                <c:pt idx="10">
                  <c:v>5.3501494475079188E-2</c:v>
                </c:pt>
                <c:pt idx="11">
                  <c:v>7.2421004792777327E-2</c:v>
                </c:pt>
                <c:pt idx="12">
                  <c:v>4.0772769030798621E-2</c:v>
                </c:pt>
                <c:pt idx="13">
                  <c:v>7.3946489774753682E-2</c:v>
                </c:pt>
                <c:pt idx="14">
                  <c:v>3.1102747927780124E-2</c:v>
                </c:pt>
                <c:pt idx="15">
                  <c:v>3.2260839218782318E-2</c:v>
                </c:pt>
                <c:pt idx="16">
                  <c:v>0.10151383644655047</c:v>
                </c:pt>
                <c:pt idx="17">
                  <c:v>6.5783495760870003E-2</c:v>
                </c:pt>
                <c:pt idx="18">
                  <c:v>8.4444228559494211E-2</c:v>
                </c:pt>
                <c:pt idx="19">
                  <c:v>8.3631389044563909E-2</c:v>
                </c:pt>
                <c:pt idx="20">
                  <c:v>8.1544111434449038E-3</c:v>
                </c:pt>
                <c:pt idx="21">
                  <c:v>5.1741144428598625E-2</c:v>
                </c:pt>
                <c:pt idx="22">
                  <c:v>7.4410360924456034E-2</c:v>
                </c:pt>
                <c:pt idx="23">
                  <c:v>0.10021578643183933</c:v>
                </c:pt>
                <c:pt idx="24">
                  <c:v>0.13486891129933629</c:v>
                </c:pt>
                <c:pt idx="25">
                  <c:v>0.11759280964307371</c:v>
                </c:pt>
                <c:pt idx="26">
                  <c:v>0.14031441923503121</c:v>
                </c:pt>
                <c:pt idx="27">
                  <c:v>0.17559947785397276</c:v>
                </c:pt>
                <c:pt idx="28">
                  <c:v>9.0644117557743126E-2</c:v>
                </c:pt>
                <c:pt idx="29">
                  <c:v>7.406161218975052E-2</c:v>
                </c:pt>
                <c:pt idx="30">
                  <c:v>8.9214571776702653E-2</c:v>
                </c:pt>
                <c:pt idx="31">
                  <c:v>6.8674173054006998E-2</c:v>
                </c:pt>
                <c:pt idx="32">
                  <c:v>8.6936080054221168E-2</c:v>
                </c:pt>
                <c:pt idx="33">
                  <c:v>0.10033013302087858</c:v>
                </c:pt>
                <c:pt idx="34">
                  <c:v>0.10094710327080546</c:v>
                </c:pt>
                <c:pt idx="35">
                  <c:v>0.12648213395636487</c:v>
                </c:pt>
                <c:pt idx="36">
                  <c:v>0.15426449824818106</c:v>
                </c:pt>
                <c:pt idx="37">
                  <c:v>8.2272210546039587E-2</c:v>
                </c:pt>
              </c:numCache>
            </c:numRef>
          </c:val>
          <c:extLst>
            <c:ext xmlns:c16="http://schemas.microsoft.com/office/drawing/2014/chart" uri="{C3380CC4-5D6E-409C-BE32-E72D297353CC}">
              <c16:uniqueId val="{00000004-5E74-4D9B-BC02-A44CAC1C1B0B}"/>
            </c:ext>
          </c:extLst>
        </c:ser>
        <c:ser>
          <c:idx val="5"/>
          <c:order val="5"/>
          <c:tx>
            <c:strRef>
              <c:f>'Trh práce 1'!$AH$7</c:f>
              <c:strCache>
                <c:ptCount val="1"/>
                <c:pt idx="0">
                  <c:v>Professional, scientific, technic. &amp; admin.act.</c:v>
                </c:pt>
              </c:strCache>
            </c:strRef>
          </c:tx>
          <c:spPr>
            <a:solidFill>
              <a:srgbClr val="E8C0BE"/>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1'!$AH$8:$AH$46</c:f>
              <c:numCache>
                <c:formatCode>#\ ##0.0</c:formatCode>
                <c:ptCount val="39"/>
                <c:pt idx="0">
                  <c:v>-0.14466145378390899</c:v>
                </c:pt>
                <c:pt idx="1">
                  <c:v>-5.9633055325984431E-2</c:v>
                </c:pt>
                <c:pt idx="2">
                  <c:v>-1.1086007332124065E-2</c:v>
                </c:pt>
                <c:pt idx="3">
                  <c:v>-4.801712749030701E-2</c:v>
                </c:pt>
                <c:pt idx="4">
                  <c:v>-0.20814589945627768</c:v>
                </c:pt>
                <c:pt idx="5">
                  <c:v>-0.2444929211671909</c:v>
                </c:pt>
                <c:pt idx="6">
                  <c:v>-0.38620574265486762</c:v>
                </c:pt>
                <c:pt idx="7">
                  <c:v>-0.28641442112187154</c:v>
                </c:pt>
                <c:pt idx="8">
                  <c:v>0.11845205716961922</c:v>
                </c:pt>
                <c:pt idx="9">
                  <c:v>0.13220878338226638</c:v>
                </c:pt>
                <c:pt idx="10">
                  <c:v>0.20877472066275349</c:v>
                </c:pt>
                <c:pt idx="11">
                  <c:v>0.25063308789776856</c:v>
                </c:pt>
                <c:pt idx="12">
                  <c:v>4.9745160268345349E-2</c:v>
                </c:pt>
                <c:pt idx="13">
                  <c:v>0.1597497122766191</c:v>
                </c:pt>
                <c:pt idx="14">
                  <c:v>0.21476644296967162</c:v>
                </c:pt>
                <c:pt idx="15">
                  <c:v>0.19659625510506271</c:v>
                </c:pt>
                <c:pt idx="16">
                  <c:v>0.32279740363249149</c:v>
                </c:pt>
                <c:pt idx="17">
                  <c:v>0.2331663822001481</c:v>
                </c:pt>
                <c:pt idx="18">
                  <c:v>0.12619436764468428</c:v>
                </c:pt>
                <c:pt idx="19">
                  <c:v>7.9184166944782391E-2</c:v>
                </c:pt>
                <c:pt idx="20">
                  <c:v>0.1111161325691107</c:v>
                </c:pt>
                <c:pt idx="21">
                  <c:v>0.1162900854121157</c:v>
                </c:pt>
                <c:pt idx="22">
                  <c:v>0.22348517646709487</c:v>
                </c:pt>
                <c:pt idx="23">
                  <c:v>0.33878119053158823</c:v>
                </c:pt>
                <c:pt idx="24">
                  <c:v>0.28107069226756642</c:v>
                </c:pt>
                <c:pt idx="25">
                  <c:v>0.26149942013250738</c:v>
                </c:pt>
                <c:pt idx="26">
                  <c:v>0.25212626677828454</c:v>
                </c:pt>
                <c:pt idx="27">
                  <c:v>0.25247952076376445</c:v>
                </c:pt>
                <c:pt idx="28">
                  <c:v>0.21874148301492455</c:v>
                </c:pt>
                <c:pt idx="29">
                  <c:v>0.15224831930896096</c:v>
                </c:pt>
                <c:pt idx="30">
                  <c:v>9.8996454779683676E-2</c:v>
                </c:pt>
                <c:pt idx="31">
                  <c:v>-3.5385042700909849E-2</c:v>
                </c:pt>
                <c:pt idx="32">
                  <c:v>0.34358478921623892</c:v>
                </c:pt>
                <c:pt idx="33">
                  <c:v>0.33864701721327578</c:v>
                </c:pt>
                <c:pt idx="34">
                  <c:v>0.27368792051202695</c:v>
                </c:pt>
                <c:pt idx="35">
                  <c:v>0.40067261012910577</c:v>
                </c:pt>
                <c:pt idx="36">
                  <c:v>2.8167781324556683E-2</c:v>
                </c:pt>
                <c:pt idx="37">
                  <c:v>5.698747603390771E-3</c:v>
                </c:pt>
              </c:numCache>
            </c:numRef>
          </c:val>
          <c:extLst>
            <c:ext xmlns:c16="http://schemas.microsoft.com/office/drawing/2014/chart" uri="{C3380CC4-5D6E-409C-BE32-E72D297353CC}">
              <c16:uniqueId val="{00000005-5E74-4D9B-BC02-A44CAC1C1B0B}"/>
            </c:ext>
          </c:extLst>
        </c:ser>
        <c:ser>
          <c:idx val="6"/>
          <c:order val="6"/>
          <c:tx>
            <c:strRef>
              <c:f>'Trh práce 1'!$AI$7</c:f>
              <c:strCache>
                <c:ptCount val="1"/>
                <c:pt idx="0">
                  <c:v>Public admin, education, health &amp; soc.work</c:v>
                </c:pt>
              </c:strCache>
            </c:strRef>
          </c:tx>
          <c:spPr>
            <a:solidFill>
              <a:srgbClr val="D58D8B"/>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1'!$AI$8:$AI$46</c:f>
              <c:numCache>
                <c:formatCode>#\ ##0.0</c:formatCode>
                <c:ptCount val="39"/>
                <c:pt idx="0">
                  <c:v>-1.6350180324922723E-2</c:v>
                </c:pt>
                <c:pt idx="1">
                  <c:v>-4.5849021226043764E-2</c:v>
                </c:pt>
                <c:pt idx="2">
                  <c:v>-4.0523984173199516E-2</c:v>
                </c:pt>
                <c:pt idx="3">
                  <c:v>-3.1932475248383371E-2</c:v>
                </c:pt>
                <c:pt idx="4">
                  <c:v>-9.5506907227863799E-2</c:v>
                </c:pt>
                <c:pt idx="5">
                  <c:v>-0.1383104234632955</c:v>
                </c:pt>
                <c:pt idx="6">
                  <c:v>-0.17645028898347198</c:v>
                </c:pt>
                <c:pt idx="7">
                  <c:v>-0.12798540599628724</c:v>
                </c:pt>
                <c:pt idx="8">
                  <c:v>-0.43655266623256417</c:v>
                </c:pt>
                <c:pt idx="9">
                  <c:v>-0.32948273684650758</c:v>
                </c:pt>
                <c:pt idx="10">
                  <c:v>-6.1942841381147237E-2</c:v>
                </c:pt>
                <c:pt idx="11">
                  <c:v>4.6658513510212267E-2</c:v>
                </c:pt>
                <c:pt idx="12">
                  <c:v>0.15564716746372539</c:v>
                </c:pt>
                <c:pt idx="13">
                  <c:v>0.36566163730412671</c:v>
                </c:pt>
                <c:pt idx="14">
                  <c:v>0.18966770650896297</c:v>
                </c:pt>
                <c:pt idx="15">
                  <c:v>0.15604876957077865</c:v>
                </c:pt>
                <c:pt idx="16">
                  <c:v>0.27053891834616883</c:v>
                </c:pt>
                <c:pt idx="17">
                  <c:v>0.15953282727926976</c:v>
                </c:pt>
                <c:pt idx="18">
                  <c:v>0.34979261606607442</c:v>
                </c:pt>
                <c:pt idx="19">
                  <c:v>0.35300317366363104</c:v>
                </c:pt>
                <c:pt idx="20">
                  <c:v>0.24091863862597104</c:v>
                </c:pt>
                <c:pt idx="21">
                  <c:v>0.23116797886105511</c:v>
                </c:pt>
                <c:pt idx="22">
                  <c:v>0.10859573556508476</c:v>
                </c:pt>
                <c:pt idx="23">
                  <c:v>0.11701259916842215</c:v>
                </c:pt>
                <c:pt idx="24">
                  <c:v>0.35147420452569478</c:v>
                </c:pt>
                <c:pt idx="25">
                  <c:v>0.3579255240398278</c:v>
                </c:pt>
                <c:pt idx="26">
                  <c:v>0.45544332587599401</c:v>
                </c:pt>
                <c:pt idx="27">
                  <c:v>0.56982357385502003</c:v>
                </c:pt>
                <c:pt idx="28">
                  <c:v>0.51153000432975859</c:v>
                </c:pt>
                <c:pt idx="29">
                  <c:v>0.56363624266583745</c:v>
                </c:pt>
                <c:pt idx="30">
                  <c:v>0.64341997422520814</c:v>
                </c:pt>
                <c:pt idx="31">
                  <c:v>0.65113010272047778</c:v>
                </c:pt>
                <c:pt idx="32">
                  <c:v>0.2383731227293161</c:v>
                </c:pt>
                <c:pt idx="33">
                  <c:v>0.26982242129054224</c:v>
                </c:pt>
                <c:pt idx="34">
                  <c:v>0.15850874732077574</c:v>
                </c:pt>
                <c:pt idx="35">
                  <c:v>0.13506571466501852</c:v>
                </c:pt>
                <c:pt idx="36">
                  <c:v>0.46040136584996261</c:v>
                </c:pt>
                <c:pt idx="37">
                  <c:v>0.38380788470603672</c:v>
                </c:pt>
              </c:numCache>
            </c:numRef>
          </c:val>
          <c:extLst>
            <c:ext xmlns:c16="http://schemas.microsoft.com/office/drawing/2014/chart" uri="{C3380CC4-5D6E-409C-BE32-E72D297353CC}">
              <c16:uniqueId val="{00000006-5E74-4D9B-BC02-A44CAC1C1B0B}"/>
            </c:ext>
          </c:extLst>
        </c:ser>
        <c:ser>
          <c:idx val="7"/>
          <c:order val="7"/>
          <c:tx>
            <c:strRef>
              <c:f>'Trh práce 1'!$AJ$7</c:f>
              <c:strCache>
                <c:ptCount val="1"/>
                <c:pt idx="0">
                  <c:v>Other branches*</c:v>
                </c:pt>
              </c:strCache>
            </c:strRef>
          </c:tx>
          <c:spPr>
            <a:solidFill>
              <a:schemeClr val="bg1">
                <a:lumMod val="85000"/>
              </a:schemeClr>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1'!$AJ$8:$AJ$46</c:f>
              <c:numCache>
                <c:formatCode>#\ ##0.0</c:formatCode>
                <c:ptCount val="39"/>
                <c:pt idx="0">
                  <c:v>-0.19191675654118268</c:v>
                </c:pt>
                <c:pt idx="1">
                  <c:v>-3.8262914515721801E-2</c:v>
                </c:pt>
                <c:pt idx="2">
                  <c:v>4.6096524270874649E-2</c:v>
                </c:pt>
                <c:pt idx="3">
                  <c:v>4.9102594819516579E-2</c:v>
                </c:pt>
                <c:pt idx="4">
                  <c:v>-0.13338410094866282</c:v>
                </c:pt>
                <c:pt idx="5">
                  <c:v>-0.15119722547769443</c:v>
                </c:pt>
                <c:pt idx="6">
                  <c:v>-0.15212252354495906</c:v>
                </c:pt>
                <c:pt idx="7">
                  <c:v>-0.13638500281563992</c:v>
                </c:pt>
                <c:pt idx="8">
                  <c:v>0.26931923097215715</c:v>
                </c:pt>
                <c:pt idx="9">
                  <c:v>0.32105019578933652</c:v>
                </c:pt>
                <c:pt idx="10">
                  <c:v>0.32895492954844058</c:v>
                </c:pt>
                <c:pt idx="11">
                  <c:v>0.4005401979282377</c:v>
                </c:pt>
                <c:pt idx="12">
                  <c:v>0.23332187302239873</c:v>
                </c:pt>
                <c:pt idx="13">
                  <c:v>0.15289256851610616</c:v>
                </c:pt>
                <c:pt idx="14">
                  <c:v>-7.2835548944801556E-2</c:v>
                </c:pt>
                <c:pt idx="15">
                  <c:v>-0.23094351833677418</c:v>
                </c:pt>
                <c:pt idx="16">
                  <c:v>0.16050961605523084</c:v>
                </c:pt>
                <c:pt idx="17">
                  <c:v>3.8229788109240673E-2</c:v>
                </c:pt>
                <c:pt idx="18">
                  <c:v>0.16444402403690977</c:v>
                </c:pt>
                <c:pt idx="19">
                  <c:v>0.21779581504593726</c:v>
                </c:pt>
                <c:pt idx="20">
                  <c:v>-9.3844500291790034E-2</c:v>
                </c:pt>
                <c:pt idx="21">
                  <c:v>4.4248681512857657E-2</c:v>
                </c:pt>
                <c:pt idx="22">
                  <c:v>-7.6228108118039234E-4</c:v>
                </c:pt>
                <c:pt idx="23">
                  <c:v>-9.6493986857956113E-2</c:v>
                </c:pt>
                <c:pt idx="24">
                  <c:v>0.10669198191708645</c:v>
                </c:pt>
                <c:pt idx="25">
                  <c:v>6.5331480636127356E-2</c:v>
                </c:pt>
                <c:pt idx="26">
                  <c:v>9.622992743029217E-2</c:v>
                </c:pt>
                <c:pt idx="27">
                  <c:v>0.16268040087588326</c:v>
                </c:pt>
                <c:pt idx="28">
                  <c:v>3.7625139399231761E-3</c:v>
                </c:pt>
                <c:pt idx="29">
                  <c:v>5.6876884926009626E-2</c:v>
                </c:pt>
                <c:pt idx="30">
                  <c:v>0.10630912459744618</c:v>
                </c:pt>
                <c:pt idx="31">
                  <c:v>0.11559617471449846</c:v>
                </c:pt>
                <c:pt idx="32">
                  <c:v>9.1227360905566143E-2</c:v>
                </c:pt>
                <c:pt idx="33">
                  <c:v>0.10704381295012616</c:v>
                </c:pt>
                <c:pt idx="34">
                  <c:v>-9.1018185381279842E-2</c:v>
                </c:pt>
                <c:pt idx="35">
                  <c:v>-7.6172296483952406E-2</c:v>
                </c:pt>
                <c:pt idx="36">
                  <c:v>-3.8088625964871239E-2</c:v>
                </c:pt>
                <c:pt idx="37">
                  <c:v>2.9544963303016234E-2</c:v>
                </c:pt>
              </c:numCache>
            </c:numRef>
          </c:val>
          <c:extLst>
            <c:ext xmlns:c16="http://schemas.microsoft.com/office/drawing/2014/chart" uri="{C3380CC4-5D6E-409C-BE32-E72D297353CC}">
              <c16:uniqueId val="{00000007-5E74-4D9B-BC02-A44CAC1C1B0B}"/>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1'!$AK$7</c:f>
              <c:strCache>
                <c:ptCount val="1"/>
                <c:pt idx="0">
                  <c:v>Total employment</c:v>
                </c:pt>
              </c:strCache>
            </c:strRef>
          </c:tx>
          <c:spPr>
            <a:ln w="22225">
              <a:solidFill>
                <a:schemeClr val="tx1">
                  <a:lumMod val="95000"/>
                  <a:lumOff val="5000"/>
                </a:schemeClr>
              </a:solidFill>
            </a:ln>
          </c:spPr>
          <c:marker>
            <c:symbol val="none"/>
          </c:marker>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1'!$AK$8:$AK$46</c:f>
              <c:numCache>
                <c:formatCode>#\ ##0.0</c:formatCode>
                <c:ptCount val="39"/>
                <c:pt idx="0">
                  <c:v>-2.7611728966902263</c:v>
                </c:pt>
                <c:pt idx="1">
                  <c:v>-1.2304547773213699</c:v>
                </c:pt>
                <c:pt idx="2">
                  <c:v>-0.2006705163795317</c:v>
                </c:pt>
                <c:pt idx="3">
                  <c:v>9.3350190312023074E-2</c:v>
                </c:pt>
                <c:pt idx="4">
                  <c:v>6.9997371624495486E-2</c:v>
                </c:pt>
                <c:pt idx="5">
                  <c:v>3.5235802742903388E-3</c:v>
                </c:pt>
                <c:pt idx="6">
                  <c:v>-0.428054234540582</c:v>
                </c:pt>
                <c:pt idx="7">
                  <c:v>-0.73389998406837265</c:v>
                </c:pt>
                <c:pt idx="8">
                  <c:v>-6.312417449568386E-2</c:v>
                </c:pt>
                <c:pt idx="9">
                  <c:v>0.16940301964147864</c:v>
                </c:pt>
                <c:pt idx="10">
                  <c:v>0.66082271824052441</c:v>
                </c:pt>
                <c:pt idx="11">
                  <c:v>0.91394275165257</c:v>
                </c:pt>
                <c:pt idx="12">
                  <c:v>0.47051457854772138</c:v>
                </c:pt>
                <c:pt idx="13">
                  <c:v>0.69336196866028388</c:v>
                </c:pt>
                <c:pt idx="14">
                  <c:v>9.9922499038868295E-2</c:v>
                </c:pt>
                <c:pt idx="15">
                  <c:v>2.6788896996194467E-2</c:v>
                </c:pt>
                <c:pt idx="16">
                  <c:v>0.5510553546770609</c:v>
                </c:pt>
                <c:pt idx="17">
                  <c:v>5.7972686896661685E-2</c:v>
                </c:pt>
                <c:pt idx="18">
                  <c:v>0.6137644092551966</c:v>
                </c:pt>
                <c:pt idx="19">
                  <c:v>0.98590584797899794</c:v>
                </c:pt>
                <c:pt idx="20">
                  <c:v>1.2552291389531263</c:v>
                </c:pt>
                <c:pt idx="21">
                  <c:v>1.7443512811817357</c:v>
                </c:pt>
                <c:pt idx="22">
                  <c:v>1.3540066568638736</c:v>
                </c:pt>
                <c:pt idx="23">
                  <c:v>1.3578527827564244</c:v>
                </c:pt>
                <c:pt idx="24">
                  <c:v>1.6050176668570941</c:v>
                </c:pt>
                <c:pt idx="25">
                  <c:v>1.4090510221706865</c:v>
                </c:pt>
                <c:pt idx="26">
                  <c:v>1.5299979924778597</c:v>
                </c:pt>
                <c:pt idx="27">
                  <c:v>1.8150726409707829</c:v>
                </c:pt>
                <c:pt idx="28">
                  <c:v>1.4751728512273417</c:v>
                </c:pt>
                <c:pt idx="29">
                  <c:v>1.3670032325916708</c:v>
                </c:pt>
                <c:pt idx="30">
                  <c:v>1.9625116456640939</c:v>
                </c:pt>
                <c:pt idx="31">
                  <c:v>1.4104168354253801</c:v>
                </c:pt>
                <c:pt idx="32">
                  <c:v>1.4979393382280364</c:v>
                </c:pt>
                <c:pt idx="33">
                  <c:v>1.6849461292822241</c:v>
                </c:pt>
                <c:pt idx="34">
                  <c:v>0.96884257132521157</c:v>
                </c:pt>
                <c:pt idx="35">
                  <c:v>1.2409884039734607</c:v>
                </c:pt>
                <c:pt idx="36">
                  <c:v>1.3991543360766627</c:v>
                </c:pt>
                <c:pt idx="37">
                  <c:v>0.84398636431706109</c:v>
                </c:pt>
              </c:numCache>
            </c:numRef>
          </c:val>
          <c:smooth val="0"/>
          <c:extLst>
            <c:ext xmlns:c16="http://schemas.microsoft.com/office/drawing/2014/chart" uri="{C3380CC4-5D6E-409C-BE32-E72D297353CC}">
              <c16:uniqueId val="{00000008-5E74-4D9B-BC02-A44CAC1C1B0B}"/>
            </c:ext>
          </c:extLst>
        </c:ser>
        <c:dLbls>
          <c:showLegendKey val="0"/>
          <c:showVal val="0"/>
          <c:showCatName val="0"/>
          <c:showSerName val="0"/>
          <c:showPercent val="0"/>
          <c:showBubbleSize val="0"/>
        </c:dLbls>
        <c:marker val="1"/>
        <c:smooth val="0"/>
        <c:axId val="101898496"/>
        <c:axId val="101781504"/>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3"/>
        </c:scaling>
        <c:delete val="0"/>
        <c:axPos val="l"/>
        <c:majorGridlines>
          <c:spPr>
            <a:ln w="6350">
              <a:solidFill>
                <a:schemeClr val="bg1">
                  <a:lumMod val="75000"/>
                </a:schemeClr>
              </a:solidFill>
            </a:ln>
          </c:spPr>
        </c:majorGridlines>
        <c:numFmt formatCode="0.0" sourceLinked="0"/>
        <c:majorTickMark val="out"/>
        <c:minorTickMark val="none"/>
        <c:tickLblPos val="nextTo"/>
        <c:spPr>
          <a:ln>
            <a:solidFill>
              <a:schemeClr val="tx1"/>
            </a:solidFill>
          </a:ln>
        </c:spPr>
        <c:crossAx val="101898496"/>
        <c:crosses val="autoZero"/>
        <c:crossBetween val="between"/>
        <c:majorUnit val="0.5"/>
      </c:valAx>
      <c:spPr>
        <a:ln>
          <a:solidFill>
            <a:schemeClr val="tx1"/>
          </a:solidFill>
        </a:ln>
      </c:spPr>
    </c:plotArea>
    <c:legend>
      <c:legendPos val="b"/>
      <c:layout>
        <c:manualLayout>
          <c:xMode val="edge"/>
          <c:yMode val="edge"/>
          <c:x val="7.3541427644293108E-3"/>
          <c:y val="0.83458955395312773"/>
          <c:w val="0.98614317530373086"/>
          <c:h val="0.1618145565003873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320339467771775E-2"/>
          <c:y val="1.6432481201459917E-2"/>
          <c:w val="0.93326558329929998"/>
          <c:h val="0.7575347819089191"/>
        </c:manualLayout>
      </c:layout>
      <c:areaChart>
        <c:grouping val="standard"/>
        <c:varyColors val="0"/>
        <c:ser>
          <c:idx val="0"/>
          <c:order val="0"/>
          <c:tx>
            <c:strRef>
              <c:f>'Trh práce-2'!$A$29</c:f>
              <c:strCache>
                <c:ptCount val="1"/>
                <c:pt idx="0">
                  <c:v>EU28</c:v>
                </c:pt>
              </c:strCache>
            </c:strRef>
          </c:tx>
          <c:spPr>
            <a:solidFill>
              <a:schemeClr val="bg2">
                <a:lumMod val="90000"/>
              </a:schemeClr>
            </a:solidFill>
            <a:ln>
              <a:noFill/>
            </a:ln>
          </c:spP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práce-2'!$B$29:$AU$29</c:f>
              <c:numCache>
                <c:formatCode>#\ ##0.0</c:formatCode>
                <c:ptCount val="46"/>
                <c:pt idx="0">
                  <c:v>6.8</c:v>
                </c:pt>
                <c:pt idx="1">
                  <c:v>6.9</c:v>
                </c:pt>
                <c:pt idx="2">
                  <c:v>7</c:v>
                </c:pt>
                <c:pt idx="3">
                  <c:v>7.4</c:v>
                </c:pt>
                <c:pt idx="4">
                  <c:v>8.3000000000000007</c:v>
                </c:pt>
                <c:pt idx="5">
                  <c:v>8.9</c:v>
                </c:pt>
                <c:pt idx="6">
                  <c:v>9.1999999999999993</c:v>
                </c:pt>
                <c:pt idx="7">
                  <c:v>9.4</c:v>
                </c:pt>
                <c:pt idx="8">
                  <c:v>9.6999999999999993</c:v>
                </c:pt>
                <c:pt idx="9">
                  <c:v>9.6999999999999993</c:v>
                </c:pt>
                <c:pt idx="10">
                  <c:v>9.6</c:v>
                </c:pt>
                <c:pt idx="11">
                  <c:v>9.6</c:v>
                </c:pt>
                <c:pt idx="12">
                  <c:v>9.5</c:v>
                </c:pt>
                <c:pt idx="13">
                  <c:v>9.5</c:v>
                </c:pt>
                <c:pt idx="14">
                  <c:v>9.6999999999999993</c:v>
                </c:pt>
                <c:pt idx="15">
                  <c:v>10</c:v>
                </c:pt>
                <c:pt idx="16">
                  <c:v>10.199999999999999</c:v>
                </c:pt>
                <c:pt idx="17">
                  <c:v>10.4</c:v>
                </c:pt>
                <c:pt idx="18">
                  <c:v>10.6</c:v>
                </c:pt>
                <c:pt idx="19">
                  <c:v>10.8</c:v>
                </c:pt>
                <c:pt idx="20">
                  <c:v>11</c:v>
                </c:pt>
                <c:pt idx="21">
                  <c:v>11</c:v>
                </c:pt>
                <c:pt idx="22">
                  <c:v>10.9</c:v>
                </c:pt>
                <c:pt idx="23">
                  <c:v>10.7</c:v>
                </c:pt>
                <c:pt idx="24">
                  <c:v>10.6</c:v>
                </c:pt>
                <c:pt idx="25">
                  <c:v>10.3</c:v>
                </c:pt>
                <c:pt idx="26">
                  <c:v>10.1</c:v>
                </c:pt>
                <c:pt idx="27">
                  <c:v>10</c:v>
                </c:pt>
                <c:pt idx="28">
                  <c:v>9.8000000000000007</c:v>
                </c:pt>
                <c:pt idx="29">
                  <c:v>9.6</c:v>
                </c:pt>
                <c:pt idx="30">
                  <c:v>9.3000000000000007</c:v>
                </c:pt>
                <c:pt idx="31">
                  <c:v>9</c:v>
                </c:pt>
                <c:pt idx="32">
                  <c:v>8.8000000000000007</c:v>
                </c:pt>
                <c:pt idx="33">
                  <c:v>8.6999999999999993</c:v>
                </c:pt>
                <c:pt idx="34">
                  <c:v>8.5</c:v>
                </c:pt>
                <c:pt idx="35">
                  <c:v>8.1999999999999993</c:v>
                </c:pt>
                <c:pt idx="36">
                  <c:v>8</c:v>
                </c:pt>
                <c:pt idx="37">
                  <c:v>7.7</c:v>
                </c:pt>
                <c:pt idx="38">
                  <c:v>7.5</c:v>
                </c:pt>
                <c:pt idx="39">
                  <c:v>7.3</c:v>
                </c:pt>
                <c:pt idx="40">
                  <c:v>7.1</c:v>
                </c:pt>
                <c:pt idx="41">
                  <c:v>6.9</c:v>
                </c:pt>
                <c:pt idx="42">
                  <c:v>6.7</c:v>
                </c:pt>
                <c:pt idx="43">
                  <c:v>6.6</c:v>
                </c:pt>
                <c:pt idx="44">
                  <c:v>6.5</c:v>
                </c:pt>
                <c:pt idx="45">
                  <c:v>6.3</c:v>
                </c:pt>
              </c:numCache>
            </c:numRef>
          </c:val>
          <c:extLst>
            <c:ext xmlns:c16="http://schemas.microsoft.com/office/drawing/2014/chart" uri="{C3380CC4-5D6E-409C-BE32-E72D297353CC}">
              <c16:uniqueId val="{00000000-CE75-4DCE-A74F-0FB440B305A2}"/>
            </c:ext>
          </c:extLst>
        </c:ser>
        <c:dLbls>
          <c:showLegendKey val="0"/>
          <c:showVal val="0"/>
          <c:showCatName val="0"/>
          <c:showSerName val="0"/>
          <c:showPercent val="0"/>
          <c:showBubbleSize val="0"/>
        </c:dLbls>
        <c:axId val="100654464"/>
        <c:axId val="101647488"/>
      </c:areaChart>
      <c:lineChart>
        <c:grouping val="standard"/>
        <c:varyColors val="0"/>
        <c:ser>
          <c:idx val="1"/>
          <c:order val="1"/>
          <c:tx>
            <c:strRef>
              <c:f>'Trh práce-2'!$A$30</c:f>
              <c:strCache>
                <c:ptCount val="1"/>
                <c:pt idx="0">
                  <c:v>CR (Czechia)</c:v>
                </c:pt>
              </c:strCache>
            </c:strRef>
          </c:tx>
          <c:spPr>
            <a:ln w="19050"/>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práce-2'!$B$30:$AU$30</c:f>
              <c:numCache>
                <c:formatCode>#\ ##0.0</c:formatCode>
                <c:ptCount val="46"/>
                <c:pt idx="0">
                  <c:v>4.5</c:v>
                </c:pt>
                <c:pt idx="1">
                  <c:v>4.3</c:v>
                </c:pt>
                <c:pt idx="2">
                  <c:v>4.2</c:v>
                </c:pt>
                <c:pt idx="3">
                  <c:v>4.4000000000000004</c:v>
                </c:pt>
                <c:pt idx="4">
                  <c:v>5.6</c:v>
                </c:pt>
                <c:pt idx="5">
                  <c:v>6.5</c:v>
                </c:pt>
                <c:pt idx="6">
                  <c:v>7.3</c:v>
                </c:pt>
                <c:pt idx="7">
                  <c:v>7.4</c:v>
                </c:pt>
                <c:pt idx="8">
                  <c:v>7.7</c:v>
                </c:pt>
                <c:pt idx="9">
                  <c:v>7.3</c:v>
                </c:pt>
                <c:pt idx="10">
                  <c:v>7.1</c:v>
                </c:pt>
                <c:pt idx="11">
                  <c:v>7</c:v>
                </c:pt>
                <c:pt idx="12">
                  <c:v>6.9</c:v>
                </c:pt>
                <c:pt idx="13">
                  <c:v>6.9</c:v>
                </c:pt>
                <c:pt idx="14">
                  <c:v>6.6</c:v>
                </c:pt>
                <c:pt idx="15">
                  <c:v>6.5</c:v>
                </c:pt>
                <c:pt idx="16">
                  <c:v>6.9</c:v>
                </c:pt>
                <c:pt idx="17">
                  <c:v>6.9</c:v>
                </c:pt>
                <c:pt idx="18">
                  <c:v>7</c:v>
                </c:pt>
                <c:pt idx="19">
                  <c:v>7.2</c:v>
                </c:pt>
                <c:pt idx="20">
                  <c:v>7.2</c:v>
                </c:pt>
                <c:pt idx="21">
                  <c:v>7</c:v>
                </c:pt>
                <c:pt idx="22">
                  <c:v>6.9</c:v>
                </c:pt>
                <c:pt idx="23">
                  <c:v>6.8</c:v>
                </c:pt>
                <c:pt idx="24">
                  <c:v>6.6</c:v>
                </c:pt>
                <c:pt idx="25">
                  <c:v>6.2</c:v>
                </c:pt>
                <c:pt idx="26">
                  <c:v>5.9</c:v>
                </c:pt>
                <c:pt idx="27">
                  <c:v>5.8</c:v>
                </c:pt>
                <c:pt idx="28">
                  <c:v>5.8</c:v>
                </c:pt>
                <c:pt idx="29">
                  <c:v>5.0999999999999996</c:v>
                </c:pt>
                <c:pt idx="30">
                  <c:v>4.8</c:v>
                </c:pt>
                <c:pt idx="31">
                  <c:v>4.5</c:v>
                </c:pt>
                <c:pt idx="32">
                  <c:v>4.2</c:v>
                </c:pt>
                <c:pt idx="33">
                  <c:v>4.0999999999999996</c:v>
                </c:pt>
                <c:pt idx="34">
                  <c:v>3.9</c:v>
                </c:pt>
                <c:pt idx="35">
                  <c:v>3.6</c:v>
                </c:pt>
                <c:pt idx="36">
                  <c:v>3.3</c:v>
                </c:pt>
                <c:pt idx="37">
                  <c:v>3.1</c:v>
                </c:pt>
                <c:pt idx="38">
                  <c:v>2.7</c:v>
                </c:pt>
                <c:pt idx="39">
                  <c:v>2.4</c:v>
                </c:pt>
                <c:pt idx="40">
                  <c:v>2.2999999999999998</c:v>
                </c:pt>
                <c:pt idx="41">
                  <c:v>2.2999999999999998</c:v>
                </c:pt>
                <c:pt idx="42">
                  <c:v>2.2999999999999998</c:v>
                </c:pt>
                <c:pt idx="43">
                  <c:v>2.1</c:v>
                </c:pt>
                <c:pt idx="44">
                  <c:v>2</c:v>
                </c:pt>
                <c:pt idx="45">
                  <c:v>2</c:v>
                </c:pt>
              </c:numCache>
            </c:numRef>
          </c:val>
          <c:smooth val="0"/>
          <c:extLst>
            <c:ext xmlns:c16="http://schemas.microsoft.com/office/drawing/2014/chart" uri="{C3380CC4-5D6E-409C-BE32-E72D297353CC}">
              <c16:uniqueId val="{00000001-CE75-4DCE-A74F-0FB440B305A2}"/>
            </c:ext>
          </c:extLst>
        </c:ser>
        <c:ser>
          <c:idx val="2"/>
          <c:order val="2"/>
          <c:tx>
            <c:strRef>
              <c:f>'Trh práce-2'!$A$31</c:f>
              <c:strCache>
                <c:ptCount val="1"/>
                <c:pt idx="0">
                  <c:v>Slovakia</c:v>
                </c:pt>
              </c:strCache>
            </c:strRef>
          </c:tx>
          <c:spPr>
            <a:ln w="19050">
              <a:solidFill>
                <a:srgbClr val="C00000"/>
              </a:solidFill>
              <a:prstDash val="sysDash"/>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práce-2'!$B$31:$AU$31</c:f>
              <c:numCache>
                <c:formatCode>#\ ##0.0</c:formatCode>
                <c:ptCount val="46"/>
                <c:pt idx="0">
                  <c:v>10.3</c:v>
                </c:pt>
                <c:pt idx="1">
                  <c:v>10.1</c:v>
                </c:pt>
                <c:pt idx="2">
                  <c:v>9.1</c:v>
                </c:pt>
                <c:pt idx="3">
                  <c:v>8.9</c:v>
                </c:pt>
                <c:pt idx="4">
                  <c:v>10.199999999999999</c:v>
                </c:pt>
                <c:pt idx="5">
                  <c:v>11.4</c:v>
                </c:pt>
                <c:pt idx="6">
                  <c:v>12.8</c:v>
                </c:pt>
                <c:pt idx="7">
                  <c:v>14.1</c:v>
                </c:pt>
                <c:pt idx="8">
                  <c:v>15</c:v>
                </c:pt>
                <c:pt idx="9">
                  <c:v>14.7</c:v>
                </c:pt>
                <c:pt idx="10">
                  <c:v>14.3</c:v>
                </c:pt>
                <c:pt idx="11">
                  <c:v>13.9</c:v>
                </c:pt>
                <c:pt idx="12">
                  <c:v>13.9</c:v>
                </c:pt>
                <c:pt idx="13">
                  <c:v>13.6</c:v>
                </c:pt>
                <c:pt idx="14">
                  <c:v>13.5</c:v>
                </c:pt>
                <c:pt idx="15">
                  <c:v>13.8</c:v>
                </c:pt>
                <c:pt idx="16">
                  <c:v>13.9</c:v>
                </c:pt>
                <c:pt idx="17">
                  <c:v>13.9</c:v>
                </c:pt>
                <c:pt idx="18">
                  <c:v>13.9</c:v>
                </c:pt>
                <c:pt idx="19">
                  <c:v>14.2</c:v>
                </c:pt>
                <c:pt idx="20">
                  <c:v>14.4</c:v>
                </c:pt>
                <c:pt idx="21">
                  <c:v>14.3</c:v>
                </c:pt>
                <c:pt idx="22">
                  <c:v>14.2</c:v>
                </c:pt>
                <c:pt idx="23">
                  <c:v>14</c:v>
                </c:pt>
                <c:pt idx="24">
                  <c:v>13.8</c:v>
                </c:pt>
                <c:pt idx="25">
                  <c:v>13.4</c:v>
                </c:pt>
                <c:pt idx="26">
                  <c:v>13</c:v>
                </c:pt>
                <c:pt idx="27">
                  <c:v>12.5</c:v>
                </c:pt>
                <c:pt idx="28">
                  <c:v>12.2</c:v>
                </c:pt>
                <c:pt idx="29">
                  <c:v>11.6</c:v>
                </c:pt>
                <c:pt idx="30">
                  <c:v>11.3</c:v>
                </c:pt>
                <c:pt idx="31">
                  <c:v>10.8</c:v>
                </c:pt>
                <c:pt idx="32">
                  <c:v>10.3</c:v>
                </c:pt>
                <c:pt idx="33">
                  <c:v>9.9</c:v>
                </c:pt>
                <c:pt idx="34">
                  <c:v>9.5</c:v>
                </c:pt>
                <c:pt idx="35">
                  <c:v>9</c:v>
                </c:pt>
                <c:pt idx="36">
                  <c:v>8.6</c:v>
                </c:pt>
                <c:pt idx="37">
                  <c:v>8.3000000000000007</c:v>
                </c:pt>
                <c:pt idx="38">
                  <c:v>7.9</c:v>
                </c:pt>
                <c:pt idx="39">
                  <c:v>7.7</c:v>
                </c:pt>
                <c:pt idx="40">
                  <c:v>7</c:v>
                </c:pt>
                <c:pt idx="41">
                  <c:v>6.8</c:v>
                </c:pt>
                <c:pt idx="42">
                  <c:v>6.4</c:v>
                </c:pt>
                <c:pt idx="43">
                  <c:v>6</c:v>
                </c:pt>
                <c:pt idx="44">
                  <c:v>5.7</c:v>
                </c:pt>
                <c:pt idx="45">
                  <c:v>5.4</c:v>
                </c:pt>
              </c:numCache>
            </c:numRef>
          </c:val>
          <c:smooth val="0"/>
          <c:extLst>
            <c:ext xmlns:c16="http://schemas.microsoft.com/office/drawing/2014/chart" uri="{C3380CC4-5D6E-409C-BE32-E72D297353CC}">
              <c16:uniqueId val="{00000002-CE75-4DCE-A74F-0FB440B305A2}"/>
            </c:ext>
          </c:extLst>
        </c:ser>
        <c:ser>
          <c:idx val="3"/>
          <c:order val="3"/>
          <c:tx>
            <c:strRef>
              <c:f>'Trh práce-2'!$A$32</c:f>
              <c:strCache>
                <c:ptCount val="1"/>
                <c:pt idx="0">
                  <c:v>Poland</c:v>
                </c:pt>
              </c:strCache>
            </c:strRef>
          </c:tx>
          <c:spPr>
            <a:ln w="19050">
              <a:solidFill>
                <a:srgbClr val="F8A124"/>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práce-2'!$B$32:$AU$32</c:f>
              <c:numCache>
                <c:formatCode>#\ ##0.0</c:formatCode>
                <c:ptCount val="46"/>
                <c:pt idx="0">
                  <c:v>7.5</c:v>
                </c:pt>
                <c:pt idx="1">
                  <c:v>7.2</c:v>
                </c:pt>
                <c:pt idx="2">
                  <c:v>6.8</c:v>
                </c:pt>
                <c:pt idx="3">
                  <c:v>6.8</c:v>
                </c:pt>
                <c:pt idx="4">
                  <c:v>7.6</c:v>
                </c:pt>
                <c:pt idx="5">
                  <c:v>7.9</c:v>
                </c:pt>
                <c:pt idx="6">
                  <c:v>8.3000000000000007</c:v>
                </c:pt>
                <c:pt idx="7">
                  <c:v>8.6999999999999993</c:v>
                </c:pt>
                <c:pt idx="8">
                  <c:v>9.8000000000000007</c:v>
                </c:pt>
                <c:pt idx="9">
                  <c:v>9.8000000000000007</c:v>
                </c:pt>
                <c:pt idx="10">
                  <c:v>9.6</c:v>
                </c:pt>
                <c:pt idx="11">
                  <c:v>9.5</c:v>
                </c:pt>
                <c:pt idx="12">
                  <c:v>9.4</c:v>
                </c:pt>
                <c:pt idx="13">
                  <c:v>9.6999999999999993</c:v>
                </c:pt>
                <c:pt idx="14">
                  <c:v>9.8000000000000007</c:v>
                </c:pt>
                <c:pt idx="15">
                  <c:v>9.9</c:v>
                </c:pt>
                <c:pt idx="16">
                  <c:v>9.8000000000000007</c:v>
                </c:pt>
                <c:pt idx="17">
                  <c:v>10.1</c:v>
                </c:pt>
                <c:pt idx="18">
                  <c:v>10.3</c:v>
                </c:pt>
                <c:pt idx="19">
                  <c:v>10.3</c:v>
                </c:pt>
                <c:pt idx="20">
                  <c:v>10.5</c:v>
                </c:pt>
                <c:pt idx="21">
                  <c:v>10.7</c:v>
                </c:pt>
                <c:pt idx="22">
                  <c:v>10.3</c:v>
                </c:pt>
                <c:pt idx="23">
                  <c:v>10</c:v>
                </c:pt>
                <c:pt idx="24">
                  <c:v>9.8000000000000007</c:v>
                </c:pt>
                <c:pt idx="25">
                  <c:v>9.3000000000000007</c:v>
                </c:pt>
                <c:pt idx="26">
                  <c:v>8.6</c:v>
                </c:pt>
                <c:pt idx="27">
                  <c:v>8.1999999999999993</c:v>
                </c:pt>
                <c:pt idx="28">
                  <c:v>8</c:v>
                </c:pt>
                <c:pt idx="29">
                  <c:v>7.6</c:v>
                </c:pt>
                <c:pt idx="30">
                  <c:v>7.4</c:v>
                </c:pt>
                <c:pt idx="31">
                  <c:v>7</c:v>
                </c:pt>
                <c:pt idx="32">
                  <c:v>6.6</c:v>
                </c:pt>
                <c:pt idx="33">
                  <c:v>6.3</c:v>
                </c:pt>
                <c:pt idx="34">
                  <c:v>6.1</c:v>
                </c:pt>
                <c:pt idx="35">
                  <c:v>5.6</c:v>
                </c:pt>
                <c:pt idx="36">
                  <c:v>5.2</c:v>
                </c:pt>
                <c:pt idx="37">
                  <c:v>5.0999999999999996</c:v>
                </c:pt>
                <c:pt idx="38">
                  <c:v>4.8</c:v>
                </c:pt>
                <c:pt idx="39">
                  <c:v>4.5</c:v>
                </c:pt>
                <c:pt idx="40">
                  <c:v>4</c:v>
                </c:pt>
                <c:pt idx="41">
                  <c:v>3.8</c:v>
                </c:pt>
                <c:pt idx="42">
                  <c:v>3.8</c:v>
                </c:pt>
                <c:pt idx="43">
                  <c:v>3.8</c:v>
                </c:pt>
                <c:pt idx="44">
                  <c:v>3.8</c:v>
                </c:pt>
                <c:pt idx="45">
                  <c:v>3.4</c:v>
                </c:pt>
              </c:numCache>
            </c:numRef>
          </c:val>
          <c:smooth val="0"/>
          <c:extLst>
            <c:ext xmlns:c16="http://schemas.microsoft.com/office/drawing/2014/chart" uri="{C3380CC4-5D6E-409C-BE32-E72D297353CC}">
              <c16:uniqueId val="{00000003-CE75-4DCE-A74F-0FB440B305A2}"/>
            </c:ext>
          </c:extLst>
        </c:ser>
        <c:ser>
          <c:idx val="4"/>
          <c:order val="4"/>
          <c:tx>
            <c:strRef>
              <c:f>'Trh práce-2'!$A$33</c:f>
              <c:strCache>
                <c:ptCount val="1"/>
                <c:pt idx="0">
                  <c:v>Hungary</c:v>
                </c:pt>
              </c:strCache>
            </c:strRef>
          </c:tx>
          <c:spPr>
            <a:ln w="19050">
              <a:solidFill>
                <a:srgbClr val="F8A124"/>
              </a:solidFill>
              <a:prstDash val="sysDash"/>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práce-2'!$B$33:$AU$33</c:f>
              <c:numCache>
                <c:formatCode>#\ ##0.0</c:formatCode>
                <c:ptCount val="46"/>
                <c:pt idx="0">
                  <c:v>7.6</c:v>
                </c:pt>
                <c:pt idx="1">
                  <c:v>7.6</c:v>
                </c:pt>
                <c:pt idx="2">
                  <c:v>7.8</c:v>
                </c:pt>
                <c:pt idx="3">
                  <c:v>8.1999999999999993</c:v>
                </c:pt>
                <c:pt idx="4">
                  <c:v>9.3000000000000007</c:v>
                </c:pt>
                <c:pt idx="5">
                  <c:v>9.8000000000000007</c:v>
                </c:pt>
                <c:pt idx="6">
                  <c:v>10.4</c:v>
                </c:pt>
                <c:pt idx="7">
                  <c:v>10.7</c:v>
                </c:pt>
                <c:pt idx="8">
                  <c:v>11.2</c:v>
                </c:pt>
                <c:pt idx="9">
                  <c:v>11.3</c:v>
                </c:pt>
                <c:pt idx="10">
                  <c:v>11.1</c:v>
                </c:pt>
                <c:pt idx="11">
                  <c:v>11</c:v>
                </c:pt>
                <c:pt idx="12">
                  <c:v>11.2</c:v>
                </c:pt>
                <c:pt idx="13">
                  <c:v>11</c:v>
                </c:pt>
                <c:pt idx="14">
                  <c:v>11</c:v>
                </c:pt>
                <c:pt idx="15">
                  <c:v>11</c:v>
                </c:pt>
                <c:pt idx="16">
                  <c:v>11.4</c:v>
                </c:pt>
                <c:pt idx="17">
                  <c:v>11.1</c:v>
                </c:pt>
                <c:pt idx="18">
                  <c:v>10.7</c:v>
                </c:pt>
                <c:pt idx="19">
                  <c:v>10.9</c:v>
                </c:pt>
                <c:pt idx="20">
                  <c:v>10.9</c:v>
                </c:pt>
                <c:pt idx="21">
                  <c:v>10.3</c:v>
                </c:pt>
                <c:pt idx="22">
                  <c:v>10</c:v>
                </c:pt>
                <c:pt idx="23">
                  <c:v>9.1999999999999993</c:v>
                </c:pt>
                <c:pt idx="24">
                  <c:v>8</c:v>
                </c:pt>
                <c:pt idx="25">
                  <c:v>8.1</c:v>
                </c:pt>
                <c:pt idx="26">
                  <c:v>7.5</c:v>
                </c:pt>
                <c:pt idx="27">
                  <c:v>7.3</c:v>
                </c:pt>
                <c:pt idx="28">
                  <c:v>7.4</c:v>
                </c:pt>
                <c:pt idx="29">
                  <c:v>7</c:v>
                </c:pt>
                <c:pt idx="30">
                  <c:v>6.6</c:v>
                </c:pt>
                <c:pt idx="31">
                  <c:v>6.3</c:v>
                </c:pt>
                <c:pt idx="32">
                  <c:v>5.8</c:v>
                </c:pt>
                <c:pt idx="33">
                  <c:v>5.2</c:v>
                </c:pt>
                <c:pt idx="34">
                  <c:v>4.9000000000000004</c:v>
                </c:pt>
                <c:pt idx="35">
                  <c:v>4.5</c:v>
                </c:pt>
                <c:pt idx="36">
                  <c:v>4.3</c:v>
                </c:pt>
                <c:pt idx="37">
                  <c:v>4.3</c:v>
                </c:pt>
                <c:pt idx="38">
                  <c:v>4.0999999999999996</c:v>
                </c:pt>
                <c:pt idx="39">
                  <c:v>3.9</c:v>
                </c:pt>
                <c:pt idx="40">
                  <c:v>3.7</c:v>
                </c:pt>
                <c:pt idx="41">
                  <c:v>3.7</c:v>
                </c:pt>
                <c:pt idx="42">
                  <c:v>3.8</c:v>
                </c:pt>
                <c:pt idx="43">
                  <c:v>3.7</c:v>
                </c:pt>
                <c:pt idx="44">
                  <c:v>3.4</c:v>
                </c:pt>
                <c:pt idx="45">
                  <c:v>3.5</c:v>
                </c:pt>
              </c:numCache>
            </c:numRef>
          </c:val>
          <c:smooth val="0"/>
          <c:extLst>
            <c:ext xmlns:c16="http://schemas.microsoft.com/office/drawing/2014/chart" uri="{C3380CC4-5D6E-409C-BE32-E72D297353CC}">
              <c16:uniqueId val="{00000004-CE75-4DCE-A74F-0FB440B305A2}"/>
            </c:ext>
          </c:extLst>
        </c:ser>
        <c:ser>
          <c:idx val="5"/>
          <c:order val="5"/>
          <c:tx>
            <c:strRef>
              <c:f>'Trh práce-2'!$A$34</c:f>
              <c:strCache>
                <c:ptCount val="1"/>
                <c:pt idx="0">
                  <c:v>Latvia</c:v>
                </c:pt>
              </c:strCache>
            </c:strRef>
          </c:tx>
          <c:spPr>
            <a:ln w="19050">
              <a:solidFill>
                <a:srgbClr val="F6F000"/>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práce-2'!$B$34:$AU$34</c:f>
              <c:numCache>
                <c:formatCode>#\ ##0.0</c:formatCode>
                <c:ptCount val="46"/>
                <c:pt idx="0">
                  <c:v>6.4</c:v>
                </c:pt>
                <c:pt idx="1">
                  <c:v>6.5</c:v>
                </c:pt>
                <c:pt idx="2">
                  <c:v>7.7</c:v>
                </c:pt>
                <c:pt idx="3">
                  <c:v>10.5</c:v>
                </c:pt>
                <c:pt idx="4">
                  <c:v>13.7</c:v>
                </c:pt>
                <c:pt idx="5">
                  <c:v>17.100000000000001</c:v>
                </c:pt>
                <c:pt idx="6">
                  <c:v>19.399999999999999</c:v>
                </c:pt>
                <c:pt idx="7">
                  <c:v>20.2</c:v>
                </c:pt>
                <c:pt idx="8">
                  <c:v>20.5</c:v>
                </c:pt>
                <c:pt idx="9">
                  <c:v>20.2</c:v>
                </c:pt>
                <c:pt idx="10">
                  <c:v>19.100000000000001</c:v>
                </c:pt>
                <c:pt idx="11">
                  <c:v>18.100000000000001</c:v>
                </c:pt>
                <c:pt idx="12">
                  <c:v>17</c:v>
                </c:pt>
                <c:pt idx="13">
                  <c:v>17</c:v>
                </c:pt>
                <c:pt idx="14">
                  <c:v>15.5</c:v>
                </c:pt>
                <c:pt idx="15">
                  <c:v>15.3</c:v>
                </c:pt>
                <c:pt idx="16">
                  <c:v>15.8</c:v>
                </c:pt>
                <c:pt idx="17">
                  <c:v>16.2</c:v>
                </c:pt>
                <c:pt idx="18">
                  <c:v>14</c:v>
                </c:pt>
                <c:pt idx="19">
                  <c:v>14.2</c:v>
                </c:pt>
                <c:pt idx="20">
                  <c:v>12.6</c:v>
                </c:pt>
                <c:pt idx="21">
                  <c:v>11.4</c:v>
                </c:pt>
                <c:pt idx="22">
                  <c:v>11.9</c:v>
                </c:pt>
                <c:pt idx="23">
                  <c:v>11.4</c:v>
                </c:pt>
                <c:pt idx="24">
                  <c:v>11.4</c:v>
                </c:pt>
                <c:pt idx="25">
                  <c:v>10.7</c:v>
                </c:pt>
                <c:pt idx="26">
                  <c:v>10.8</c:v>
                </c:pt>
                <c:pt idx="27">
                  <c:v>10.4</c:v>
                </c:pt>
                <c:pt idx="28">
                  <c:v>9.9</c:v>
                </c:pt>
                <c:pt idx="29">
                  <c:v>9.8000000000000007</c:v>
                </c:pt>
                <c:pt idx="30">
                  <c:v>9.9</c:v>
                </c:pt>
                <c:pt idx="31">
                  <c:v>9.9</c:v>
                </c:pt>
                <c:pt idx="32">
                  <c:v>9.9</c:v>
                </c:pt>
                <c:pt idx="33">
                  <c:v>9.6</c:v>
                </c:pt>
                <c:pt idx="34">
                  <c:v>9.8000000000000007</c:v>
                </c:pt>
                <c:pt idx="35">
                  <c:v>9.4</c:v>
                </c:pt>
                <c:pt idx="36">
                  <c:v>9</c:v>
                </c:pt>
                <c:pt idx="37">
                  <c:v>9</c:v>
                </c:pt>
                <c:pt idx="38">
                  <c:v>8.6999999999999993</c:v>
                </c:pt>
                <c:pt idx="39">
                  <c:v>8.1999999999999993</c:v>
                </c:pt>
                <c:pt idx="40">
                  <c:v>7.8</c:v>
                </c:pt>
                <c:pt idx="41">
                  <c:v>7.7</c:v>
                </c:pt>
                <c:pt idx="42">
                  <c:v>7.1</c:v>
                </c:pt>
                <c:pt idx="43">
                  <c:v>6.9</c:v>
                </c:pt>
                <c:pt idx="44">
                  <c:v>6.6</c:v>
                </c:pt>
                <c:pt idx="45">
                  <c:v>6.4</c:v>
                </c:pt>
              </c:numCache>
            </c:numRef>
          </c:val>
          <c:smooth val="0"/>
          <c:extLst>
            <c:ext xmlns:c16="http://schemas.microsoft.com/office/drawing/2014/chart" uri="{C3380CC4-5D6E-409C-BE32-E72D297353CC}">
              <c16:uniqueId val="{00000005-CE75-4DCE-A74F-0FB440B305A2}"/>
            </c:ext>
          </c:extLst>
        </c:ser>
        <c:ser>
          <c:idx val="6"/>
          <c:order val="6"/>
          <c:tx>
            <c:strRef>
              <c:f>'Trh práce-2'!$A$35</c:f>
              <c:strCache>
                <c:ptCount val="1"/>
                <c:pt idx="0">
                  <c:v>Germany</c:v>
                </c:pt>
              </c:strCache>
            </c:strRef>
          </c:tx>
          <c:spPr>
            <a:ln w="19050">
              <a:solidFill>
                <a:srgbClr val="0071BC"/>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práce-2'!$B$35:$AU$35</c:f>
              <c:numCache>
                <c:formatCode>#\ ##0.0</c:formatCode>
                <c:ptCount val="46"/>
                <c:pt idx="0">
                  <c:v>7.8</c:v>
                </c:pt>
                <c:pt idx="1">
                  <c:v>7.5</c:v>
                </c:pt>
                <c:pt idx="2">
                  <c:v>7.1</c:v>
                </c:pt>
                <c:pt idx="3">
                  <c:v>7.1</c:v>
                </c:pt>
                <c:pt idx="4">
                  <c:v>7.5</c:v>
                </c:pt>
                <c:pt idx="5">
                  <c:v>7.8</c:v>
                </c:pt>
                <c:pt idx="6">
                  <c:v>7.8</c:v>
                </c:pt>
                <c:pt idx="7">
                  <c:v>7.6</c:v>
                </c:pt>
                <c:pt idx="8">
                  <c:v>7.3</c:v>
                </c:pt>
                <c:pt idx="9">
                  <c:v>7</c:v>
                </c:pt>
                <c:pt idx="10">
                  <c:v>6.8</c:v>
                </c:pt>
                <c:pt idx="11">
                  <c:v>6.6</c:v>
                </c:pt>
                <c:pt idx="12">
                  <c:v>6.2</c:v>
                </c:pt>
                <c:pt idx="13">
                  <c:v>5.9</c:v>
                </c:pt>
                <c:pt idx="14">
                  <c:v>5.7</c:v>
                </c:pt>
                <c:pt idx="15">
                  <c:v>5.6</c:v>
                </c:pt>
                <c:pt idx="16">
                  <c:v>5.4</c:v>
                </c:pt>
                <c:pt idx="17">
                  <c:v>5.4</c:v>
                </c:pt>
                <c:pt idx="18">
                  <c:v>5.3</c:v>
                </c:pt>
                <c:pt idx="19">
                  <c:v>5.3</c:v>
                </c:pt>
                <c:pt idx="20">
                  <c:v>5.4</c:v>
                </c:pt>
                <c:pt idx="21">
                  <c:v>5.3</c:v>
                </c:pt>
                <c:pt idx="22">
                  <c:v>5.2</c:v>
                </c:pt>
                <c:pt idx="23">
                  <c:v>5.0999999999999996</c:v>
                </c:pt>
                <c:pt idx="24">
                  <c:v>5.0999999999999996</c:v>
                </c:pt>
                <c:pt idx="25">
                  <c:v>5</c:v>
                </c:pt>
                <c:pt idx="26">
                  <c:v>5</c:v>
                </c:pt>
                <c:pt idx="27">
                  <c:v>4.9000000000000004</c:v>
                </c:pt>
                <c:pt idx="28">
                  <c:v>4.8</c:v>
                </c:pt>
                <c:pt idx="29">
                  <c:v>4.7</c:v>
                </c:pt>
                <c:pt idx="30">
                  <c:v>4.5999999999999996</c:v>
                </c:pt>
                <c:pt idx="31">
                  <c:v>4.5</c:v>
                </c:pt>
                <c:pt idx="32">
                  <c:v>4.3</c:v>
                </c:pt>
                <c:pt idx="33">
                  <c:v>4.3</c:v>
                </c:pt>
                <c:pt idx="34">
                  <c:v>4.0999999999999996</c:v>
                </c:pt>
                <c:pt idx="35">
                  <c:v>3.9</c:v>
                </c:pt>
                <c:pt idx="36">
                  <c:v>3.9</c:v>
                </c:pt>
                <c:pt idx="37">
                  <c:v>3.8</c:v>
                </c:pt>
                <c:pt idx="38">
                  <c:v>3.7</c:v>
                </c:pt>
                <c:pt idx="39">
                  <c:v>3.6</c:v>
                </c:pt>
                <c:pt idx="40">
                  <c:v>3.5</c:v>
                </c:pt>
                <c:pt idx="41">
                  <c:v>3.4</c:v>
                </c:pt>
                <c:pt idx="42">
                  <c:v>3.4</c:v>
                </c:pt>
                <c:pt idx="43">
                  <c:v>3.3</c:v>
                </c:pt>
                <c:pt idx="44">
                  <c:v>3.2</c:v>
                </c:pt>
                <c:pt idx="45">
                  <c:v>3.1</c:v>
                </c:pt>
              </c:numCache>
            </c:numRef>
          </c:val>
          <c:smooth val="0"/>
          <c:extLst>
            <c:ext xmlns:c16="http://schemas.microsoft.com/office/drawing/2014/chart" uri="{C3380CC4-5D6E-409C-BE32-E72D297353CC}">
              <c16:uniqueId val="{00000006-CE75-4DCE-A74F-0FB440B305A2}"/>
            </c:ext>
          </c:extLst>
        </c:ser>
        <c:ser>
          <c:idx val="7"/>
          <c:order val="7"/>
          <c:tx>
            <c:strRef>
              <c:f>'Trh práce-2'!$A$36</c:f>
              <c:strCache>
                <c:ptCount val="1"/>
                <c:pt idx="0">
                  <c:v>France</c:v>
                </c:pt>
              </c:strCache>
            </c:strRef>
          </c:tx>
          <c:spPr>
            <a:ln w="19050">
              <a:solidFill>
                <a:srgbClr val="48AEE7"/>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práce-2'!$B$36:$AU$36</c:f>
              <c:numCache>
                <c:formatCode>#\ ##0.0</c:formatCode>
                <c:ptCount val="46"/>
                <c:pt idx="0">
                  <c:v>7.3</c:v>
                </c:pt>
                <c:pt idx="1">
                  <c:v>7.3</c:v>
                </c:pt>
                <c:pt idx="2">
                  <c:v>7.5</c:v>
                </c:pt>
                <c:pt idx="3">
                  <c:v>7.8</c:v>
                </c:pt>
                <c:pt idx="4">
                  <c:v>8.5</c:v>
                </c:pt>
                <c:pt idx="5">
                  <c:v>9.1</c:v>
                </c:pt>
                <c:pt idx="6">
                  <c:v>9.1999999999999993</c:v>
                </c:pt>
                <c:pt idx="7">
                  <c:v>9.5</c:v>
                </c:pt>
                <c:pt idx="8">
                  <c:v>9.3000000000000007</c:v>
                </c:pt>
                <c:pt idx="9">
                  <c:v>9.3000000000000007</c:v>
                </c:pt>
                <c:pt idx="10">
                  <c:v>9.1999999999999993</c:v>
                </c:pt>
                <c:pt idx="11">
                  <c:v>9.1999999999999993</c:v>
                </c:pt>
                <c:pt idx="12">
                  <c:v>9.1</c:v>
                </c:pt>
                <c:pt idx="13">
                  <c:v>9.1</c:v>
                </c:pt>
                <c:pt idx="14">
                  <c:v>9.1999999999999993</c:v>
                </c:pt>
                <c:pt idx="15">
                  <c:v>9.4</c:v>
                </c:pt>
                <c:pt idx="16">
                  <c:v>9.5</c:v>
                </c:pt>
                <c:pt idx="17">
                  <c:v>9.6999999999999993</c:v>
                </c:pt>
                <c:pt idx="18">
                  <c:v>9.8000000000000007</c:v>
                </c:pt>
                <c:pt idx="19">
                  <c:v>10.1</c:v>
                </c:pt>
                <c:pt idx="20">
                  <c:v>10.3</c:v>
                </c:pt>
                <c:pt idx="21">
                  <c:v>10.4</c:v>
                </c:pt>
                <c:pt idx="22">
                  <c:v>10.3</c:v>
                </c:pt>
                <c:pt idx="23">
                  <c:v>10.199999999999999</c:v>
                </c:pt>
                <c:pt idx="24">
                  <c:v>10.199999999999999</c:v>
                </c:pt>
                <c:pt idx="25">
                  <c:v>10.199999999999999</c:v>
                </c:pt>
                <c:pt idx="26">
                  <c:v>10.3</c:v>
                </c:pt>
                <c:pt idx="27">
                  <c:v>10.4</c:v>
                </c:pt>
                <c:pt idx="28">
                  <c:v>10.4</c:v>
                </c:pt>
                <c:pt idx="29">
                  <c:v>10.5</c:v>
                </c:pt>
                <c:pt idx="30">
                  <c:v>10.4</c:v>
                </c:pt>
                <c:pt idx="31">
                  <c:v>10.199999999999999</c:v>
                </c:pt>
                <c:pt idx="32">
                  <c:v>10.199999999999999</c:v>
                </c:pt>
                <c:pt idx="33">
                  <c:v>10.1</c:v>
                </c:pt>
                <c:pt idx="34">
                  <c:v>9.9</c:v>
                </c:pt>
                <c:pt idx="35">
                  <c:v>10</c:v>
                </c:pt>
                <c:pt idx="36">
                  <c:v>9.6</c:v>
                </c:pt>
                <c:pt idx="37">
                  <c:v>9.5</c:v>
                </c:pt>
                <c:pt idx="38">
                  <c:v>9.5</c:v>
                </c:pt>
                <c:pt idx="39">
                  <c:v>9.1</c:v>
                </c:pt>
                <c:pt idx="40">
                  <c:v>9.1999999999999993</c:v>
                </c:pt>
                <c:pt idx="41">
                  <c:v>9.1</c:v>
                </c:pt>
                <c:pt idx="42">
                  <c:v>9</c:v>
                </c:pt>
                <c:pt idx="43">
                  <c:v>8.9</c:v>
                </c:pt>
                <c:pt idx="44">
                  <c:v>8.6999999999999993</c:v>
                </c:pt>
                <c:pt idx="45">
                  <c:v>8.5</c:v>
                </c:pt>
              </c:numCache>
            </c:numRef>
          </c:val>
          <c:smooth val="0"/>
          <c:extLst>
            <c:ext xmlns:c16="http://schemas.microsoft.com/office/drawing/2014/chart" uri="{C3380CC4-5D6E-409C-BE32-E72D297353CC}">
              <c16:uniqueId val="{00000007-CE75-4DCE-A74F-0FB440B305A2}"/>
            </c:ext>
          </c:extLst>
        </c:ser>
        <c:ser>
          <c:idx val="8"/>
          <c:order val="8"/>
          <c:tx>
            <c:strRef>
              <c:f>'Trh práce-2'!$A$37</c:f>
              <c:strCache>
                <c:ptCount val="1"/>
                <c:pt idx="0">
                  <c:v>Italy</c:v>
                </c:pt>
              </c:strCache>
            </c:strRef>
          </c:tx>
          <c:spPr>
            <a:ln w="19050">
              <a:solidFill>
                <a:srgbClr val="00B050"/>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práce-2'!$B$37:$AU$37</c:f>
              <c:numCache>
                <c:formatCode>#\ ##0.0</c:formatCode>
                <c:ptCount val="46"/>
                <c:pt idx="0">
                  <c:v>6.6</c:v>
                </c:pt>
                <c:pt idx="1">
                  <c:v>6.8</c:v>
                </c:pt>
                <c:pt idx="2">
                  <c:v>6.7</c:v>
                </c:pt>
                <c:pt idx="3">
                  <c:v>6.9</c:v>
                </c:pt>
                <c:pt idx="4">
                  <c:v>7.3</c:v>
                </c:pt>
                <c:pt idx="5">
                  <c:v>7.5</c:v>
                </c:pt>
                <c:pt idx="6">
                  <c:v>7.9</c:v>
                </c:pt>
                <c:pt idx="7">
                  <c:v>8.1999999999999993</c:v>
                </c:pt>
                <c:pt idx="8">
                  <c:v>8.4</c:v>
                </c:pt>
                <c:pt idx="9">
                  <c:v>8.5</c:v>
                </c:pt>
                <c:pt idx="10">
                  <c:v>8.1999999999999993</c:v>
                </c:pt>
                <c:pt idx="11">
                  <c:v>8.1999999999999993</c:v>
                </c:pt>
                <c:pt idx="12">
                  <c:v>8</c:v>
                </c:pt>
                <c:pt idx="13">
                  <c:v>8</c:v>
                </c:pt>
                <c:pt idx="14">
                  <c:v>8.5</c:v>
                </c:pt>
                <c:pt idx="15">
                  <c:v>9.1999999999999993</c:v>
                </c:pt>
                <c:pt idx="16">
                  <c:v>10</c:v>
                </c:pt>
                <c:pt idx="17">
                  <c:v>10.6</c:v>
                </c:pt>
                <c:pt idx="18">
                  <c:v>10.8</c:v>
                </c:pt>
                <c:pt idx="19">
                  <c:v>11.4</c:v>
                </c:pt>
                <c:pt idx="20">
                  <c:v>11.8</c:v>
                </c:pt>
                <c:pt idx="21">
                  <c:v>12.1</c:v>
                </c:pt>
                <c:pt idx="22">
                  <c:v>12.2</c:v>
                </c:pt>
                <c:pt idx="23">
                  <c:v>12.4</c:v>
                </c:pt>
                <c:pt idx="24">
                  <c:v>12.7</c:v>
                </c:pt>
                <c:pt idx="25">
                  <c:v>12.4</c:v>
                </c:pt>
                <c:pt idx="26">
                  <c:v>12.6</c:v>
                </c:pt>
                <c:pt idx="27">
                  <c:v>12.7</c:v>
                </c:pt>
                <c:pt idx="28">
                  <c:v>12.4</c:v>
                </c:pt>
                <c:pt idx="29">
                  <c:v>12.2</c:v>
                </c:pt>
                <c:pt idx="30">
                  <c:v>11.5</c:v>
                </c:pt>
                <c:pt idx="31">
                  <c:v>11.5</c:v>
                </c:pt>
                <c:pt idx="32">
                  <c:v>11.6</c:v>
                </c:pt>
                <c:pt idx="33">
                  <c:v>11.6</c:v>
                </c:pt>
                <c:pt idx="34">
                  <c:v>11.7</c:v>
                </c:pt>
                <c:pt idx="35">
                  <c:v>11.8</c:v>
                </c:pt>
                <c:pt idx="36">
                  <c:v>11.5</c:v>
                </c:pt>
                <c:pt idx="37">
                  <c:v>11.2</c:v>
                </c:pt>
                <c:pt idx="38">
                  <c:v>11.3</c:v>
                </c:pt>
                <c:pt idx="39">
                  <c:v>11</c:v>
                </c:pt>
                <c:pt idx="40">
                  <c:v>10.9</c:v>
                </c:pt>
                <c:pt idx="41">
                  <c:v>10.8</c:v>
                </c:pt>
                <c:pt idx="42">
                  <c:v>10.3</c:v>
                </c:pt>
                <c:pt idx="43">
                  <c:v>10.5</c:v>
                </c:pt>
                <c:pt idx="44">
                  <c:v>10.3</c:v>
                </c:pt>
                <c:pt idx="45">
                  <c:v>10</c:v>
                </c:pt>
              </c:numCache>
            </c:numRef>
          </c:val>
          <c:smooth val="0"/>
          <c:extLst>
            <c:ext xmlns:c16="http://schemas.microsoft.com/office/drawing/2014/chart" uri="{C3380CC4-5D6E-409C-BE32-E72D297353CC}">
              <c16:uniqueId val="{00000008-CE75-4DCE-A74F-0FB440B305A2}"/>
            </c:ext>
          </c:extLst>
        </c:ser>
        <c:ser>
          <c:idx val="9"/>
          <c:order val="9"/>
          <c:tx>
            <c:strRef>
              <c:f>'Trh práce-2'!$A$38</c:f>
              <c:strCache>
                <c:ptCount val="1"/>
                <c:pt idx="0">
                  <c:v>Spain</c:v>
                </c:pt>
              </c:strCache>
            </c:strRef>
          </c:tx>
          <c:spPr>
            <a:ln w="19050">
              <a:solidFill>
                <a:srgbClr val="92D050"/>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práce-2'!$B$38:$AU$38</c:f>
              <c:numCache>
                <c:formatCode>#\ ##0.0</c:formatCode>
                <c:ptCount val="46"/>
                <c:pt idx="0">
                  <c:v>9.3000000000000007</c:v>
                </c:pt>
                <c:pt idx="1">
                  <c:v>10.4</c:v>
                </c:pt>
                <c:pt idx="2">
                  <c:v>11.5</c:v>
                </c:pt>
                <c:pt idx="3">
                  <c:v>13.8</c:v>
                </c:pt>
                <c:pt idx="4">
                  <c:v>16.7</c:v>
                </c:pt>
                <c:pt idx="5">
                  <c:v>17.899999999999999</c:v>
                </c:pt>
                <c:pt idx="6">
                  <c:v>18.2</c:v>
                </c:pt>
                <c:pt idx="7">
                  <c:v>18.7</c:v>
                </c:pt>
                <c:pt idx="8">
                  <c:v>19.3</c:v>
                </c:pt>
                <c:pt idx="9">
                  <c:v>20</c:v>
                </c:pt>
                <c:pt idx="10">
                  <c:v>20.100000000000001</c:v>
                </c:pt>
                <c:pt idx="11">
                  <c:v>20.2</c:v>
                </c:pt>
                <c:pt idx="12">
                  <c:v>20.5</c:v>
                </c:pt>
                <c:pt idx="13">
                  <c:v>20.7</c:v>
                </c:pt>
                <c:pt idx="14">
                  <c:v>21.8</c:v>
                </c:pt>
                <c:pt idx="15">
                  <c:v>22.6</c:v>
                </c:pt>
                <c:pt idx="16">
                  <c:v>23.5</c:v>
                </c:pt>
                <c:pt idx="17">
                  <c:v>24.5</c:v>
                </c:pt>
                <c:pt idx="18">
                  <c:v>25.3</c:v>
                </c:pt>
                <c:pt idx="19">
                  <c:v>25.9</c:v>
                </c:pt>
                <c:pt idx="20">
                  <c:v>26.2</c:v>
                </c:pt>
                <c:pt idx="21">
                  <c:v>26.2</c:v>
                </c:pt>
                <c:pt idx="22">
                  <c:v>26.2</c:v>
                </c:pt>
                <c:pt idx="23">
                  <c:v>25.8</c:v>
                </c:pt>
                <c:pt idx="24">
                  <c:v>25.2</c:v>
                </c:pt>
                <c:pt idx="25">
                  <c:v>24.6</c:v>
                </c:pt>
                <c:pt idx="26">
                  <c:v>24.2</c:v>
                </c:pt>
                <c:pt idx="27">
                  <c:v>23.8</c:v>
                </c:pt>
                <c:pt idx="28">
                  <c:v>23.1</c:v>
                </c:pt>
                <c:pt idx="29">
                  <c:v>22.5</c:v>
                </c:pt>
                <c:pt idx="30">
                  <c:v>21.7</c:v>
                </c:pt>
                <c:pt idx="31">
                  <c:v>21</c:v>
                </c:pt>
                <c:pt idx="32">
                  <c:v>20.399999999999999</c:v>
                </c:pt>
                <c:pt idx="33">
                  <c:v>20.100000000000001</c:v>
                </c:pt>
                <c:pt idx="34">
                  <c:v>19.399999999999999</c:v>
                </c:pt>
                <c:pt idx="35">
                  <c:v>18.7</c:v>
                </c:pt>
                <c:pt idx="36">
                  <c:v>18.2</c:v>
                </c:pt>
                <c:pt idx="37">
                  <c:v>17.3</c:v>
                </c:pt>
                <c:pt idx="38">
                  <c:v>16.8</c:v>
                </c:pt>
                <c:pt idx="39">
                  <c:v>16.600000000000001</c:v>
                </c:pt>
                <c:pt idx="40">
                  <c:v>16.2</c:v>
                </c:pt>
                <c:pt idx="41">
                  <c:v>15.4</c:v>
                </c:pt>
                <c:pt idx="42">
                  <c:v>14.9</c:v>
                </c:pt>
                <c:pt idx="43">
                  <c:v>14.5</c:v>
                </c:pt>
                <c:pt idx="44">
                  <c:v>14.2</c:v>
                </c:pt>
                <c:pt idx="45">
                  <c:v>14.1</c:v>
                </c:pt>
              </c:numCache>
            </c:numRef>
          </c:val>
          <c:smooth val="0"/>
          <c:extLst>
            <c:ext xmlns:c16="http://schemas.microsoft.com/office/drawing/2014/chart" uri="{C3380CC4-5D6E-409C-BE32-E72D297353CC}">
              <c16:uniqueId val="{00000009-CE75-4DCE-A74F-0FB440B305A2}"/>
            </c:ext>
          </c:extLst>
        </c:ser>
        <c:ser>
          <c:idx val="10"/>
          <c:order val="10"/>
          <c:tx>
            <c:strRef>
              <c:f>'Trh práce-2'!$A$39</c:f>
              <c:strCache>
                <c:ptCount val="1"/>
                <c:pt idx="0">
                  <c:v>Ireland</c:v>
                </c:pt>
              </c:strCache>
            </c:strRef>
          </c:tx>
          <c:spPr>
            <a:ln w="19050">
              <a:solidFill>
                <a:schemeClr val="tx1">
                  <a:lumMod val="95000"/>
                  <a:lumOff val="5000"/>
                </a:schemeClr>
              </a:solidFill>
              <a:prstDash val="solid"/>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práce-2'!$B$39:$AU$39</c:f>
              <c:numCache>
                <c:formatCode>#\ ##0.0</c:formatCode>
                <c:ptCount val="46"/>
                <c:pt idx="0">
                  <c:v>5.4</c:v>
                </c:pt>
                <c:pt idx="1">
                  <c:v>5.9</c:v>
                </c:pt>
                <c:pt idx="2">
                  <c:v>7.4</c:v>
                </c:pt>
                <c:pt idx="3">
                  <c:v>8.6</c:v>
                </c:pt>
                <c:pt idx="4">
                  <c:v>10.9</c:v>
                </c:pt>
                <c:pt idx="5">
                  <c:v>12.6</c:v>
                </c:pt>
                <c:pt idx="6">
                  <c:v>13.3</c:v>
                </c:pt>
                <c:pt idx="7">
                  <c:v>13.8</c:v>
                </c:pt>
                <c:pt idx="8">
                  <c:v>13.9</c:v>
                </c:pt>
                <c:pt idx="9">
                  <c:v>14.3</c:v>
                </c:pt>
                <c:pt idx="10">
                  <c:v>14.6</c:v>
                </c:pt>
                <c:pt idx="11">
                  <c:v>15.6</c:v>
                </c:pt>
                <c:pt idx="12">
                  <c:v>15.2</c:v>
                </c:pt>
                <c:pt idx="13">
                  <c:v>15.1</c:v>
                </c:pt>
                <c:pt idx="14">
                  <c:v>15.6</c:v>
                </c:pt>
                <c:pt idx="15">
                  <c:v>15.8</c:v>
                </c:pt>
                <c:pt idx="16">
                  <c:v>16</c:v>
                </c:pt>
                <c:pt idx="17">
                  <c:v>15.5</c:v>
                </c:pt>
                <c:pt idx="18">
                  <c:v>15.5</c:v>
                </c:pt>
                <c:pt idx="19">
                  <c:v>15</c:v>
                </c:pt>
                <c:pt idx="20">
                  <c:v>14.6</c:v>
                </c:pt>
                <c:pt idx="21">
                  <c:v>14.4</c:v>
                </c:pt>
                <c:pt idx="22">
                  <c:v>13.4</c:v>
                </c:pt>
                <c:pt idx="23">
                  <c:v>12.9</c:v>
                </c:pt>
                <c:pt idx="24">
                  <c:v>12.9</c:v>
                </c:pt>
                <c:pt idx="25">
                  <c:v>12.2</c:v>
                </c:pt>
                <c:pt idx="26">
                  <c:v>11.7</c:v>
                </c:pt>
                <c:pt idx="27">
                  <c:v>10.9</c:v>
                </c:pt>
                <c:pt idx="28">
                  <c:v>10.7</c:v>
                </c:pt>
                <c:pt idx="29">
                  <c:v>10.1</c:v>
                </c:pt>
                <c:pt idx="30">
                  <c:v>9.6</c:v>
                </c:pt>
                <c:pt idx="31">
                  <c:v>9.5</c:v>
                </c:pt>
                <c:pt idx="32">
                  <c:v>9</c:v>
                </c:pt>
                <c:pt idx="33">
                  <c:v>8.9</c:v>
                </c:pt>
                <c:pt idx="34">
                  <c:v>8.1999999999999993</c:v>
                </c:pt>
                <c:pt idx="35">
                  <c:v>7.6</c:v>
                </c:pt>
                <c:pt idx="36">
                  <c:v>7.3</c:v>
                </c:pt>
                <c:pt idx="37">
                  <c:v>6.7</c:v>
                </c:pt>
                <c:pt idx="38">
                  <c:v>6.6</c:v>
                </c:pt>
                <c:pt idx="39">
                  <c:v>6.4</c:v>
                </c:pt>
                <c:pt idx="40">
                  <c:v>6</c:v>
                </c:pt>
                <c:pt idx="41">
                  <c:v>5.9</c:v>
                </c:pt>
                <c:pt idx="42">
                  <c:v>5.6</c:v>
                </c:pt>
                <c:pt idx="43">
                  <c:v>5.6</c:v>
                </c:pt>
                <c:pt idx="44">
                  <c:v>5.0999999999999996</c:v>
                </c:pt>
                <c:pt idx="45">
                  <c:v>5.2</c:v>
                </c:pt>
              </c:numCache>
            </c:numRef>
          </c:val>
          <c:smooth val="0"/>
          <c:extLst>
            <c:ext xmlns:c16="http://schemas.microsoft.com/office/drawing/2014/chart" uri="{C3380CC4-5D6E-409C-BE32-E72D297353CC}">
              <c16:uniqueId val="{0000000A-CE75-4DCE-A74F-0FB440B305A2}"/>
            </c:ext>
          </c:extLst>
        </c:ser>
        <c:ser>
          <c:idx val="11"/>
          <c:order val="11"/>
          <c:tx>
            <c:strRef>
              <c:f>'Trh práce-2'!$A$40</c:f>
              <c:strCache>
                <c:ptCount val="1"/>
                <c:pt idx="0">
                  <c:v>Greece</c:v>
                </c:pt>
              </c:strCache>
            </c:strRef>
          </c:tx>
          <c:spPr>
            <a:ln w="19050">
              <a:solidFill>
                <a:schemeClr val="bg1">
                  <a:lumMod val="50000"/>
                </a:schemeClr>
              </a:solidFill>
              <a:prstDash val="sysDash"/>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práce-2'!$B$40:$AU$40</c:f>
              <c:numCache>
                <c:formatCode>#\ ##0.0</c:formatCode>
                <c:ptCount val="46"/>
                <c:pt idx="0">
                  <c:v>8</c:v>
                </c:pt>
                <c:pt idx="1">
                  <c:v>7.6</c:v>
                </c:pt>
                <c:pt idx="2">
                  <c:v>7.6</c:v>
                </c:pt>
                <c:pt idx="3">
                  <c:v>8</c:v>
                </c:pt>
                <c:pt idx="4">
                  <c:v>9.1</c:v>
                </c:pt>
                <c:pt idx="5">
                  <c:v>9.3000000000000007</c:v>
                </c:pt>
                <c:pt idx="6">
                  <c:v>9.8000000000000007</c:v>
                </c:pt>
                <c:pt idx="7">
                  <c:v>10.4</c:v>
                </c:pt>
                <c:pt idx="8">
                  <c:v>11.3</c:v>
                </c:pt>
                <c:pt idx="9">
                  <c:v>12.2</c:v>
                </c:pt>
                <c:pt idx="10">
                  <c:v>13</c:v>
                </c:pt>
                <c:pt idx="11">
                  <c:v>14.3</c:v>
                </c:pt>
                <c:pt idx="12">
                  <c:v>15.5</c:v>
                </c:pt>
                <c:pt idx="13">
                  <c:v>16.899999999999999</c:v>
                </c:pt>
                <c:pt idx="14">
                  <c:v>18.5</c:v>
                </c:pt>
                <c:pt idx="15">
                  <c:v>20.6</c:v>
                </c:pt>
                <c:pt idx="16">
                  <c:v>22.2</c:v>
                </c:pt>
                <c:pt idx="17">
                  <c:v>24.1</c:v>
                </c:pt>
                <c:pt idx="18">
                  <c:v>25.6</c:v>
                </c:pt>
                <c:pt idx="19">
                  <c:v>26.3</c:v>
                </c:pt>
                <c:pt idx="20">
                  <c:v>26.9</c:v>
                </c:pt>
                <c:pt idx="21">
                  <c:v>27.7</c:v>
                </c:pt>
                <c:pt idx="22">
                  <c:v>27.7</c:v>
                </c:pt>
                <c:pt idx="23">
                  <c:v>27.6</c:v>
                </c:pt>
                <c:pt idx="24">
                  <c:v>27.1</c:v>
                </c:pt>
                <c:pt idx="25">
                  <c:v>26.9</c:v>
                </c:pt>
                <c:pt idx="26">
                  <c:v>26.2</c:v>
                </c:pt>
                <c:pt idx="27">
                  <c:v>25.9</c:v>
                </c:pt>
                <c:pt idx="28">
                  <c:v>25.8</c:v>
                </c:pt>
                <c:pt idx="29">
                  <c:v>25</c:v>
                </c:pt>
                <c:pt idx="30">
                  <c:v>24.7</c:v>
                </c:pt>
                <c:pt idx="31">
                  <c:v>24.3</c:v>
                </c:pt>
                <c:pt idx="32">
                  <c:v>24</c:v>
                </c:pt>
                <c:pt idx="33">
                  <c:v>23.5</c:v>
                </c:pt>
                <c:pt idx="34">
                  <c:v>23.3</c:v>
                </c:pt>
                <c:pt idx="35">
                  <c:v>23.4</c:v>
                </c:pt>
                <c:pt idx="36">
                  <c:v>22.6</c:v>
                </c:pt>
                <c:pt idx="37">
                  <c:v>21.5</c:v>
                </c:pt>
                <c:pt idx="38">
                  <c:v>20.9</c:v>
                </c:pt>
                <c:pt idx="39">
                  <c:v>21</c:v>
                </c:pt>
                <c:pt idx="40">
                  <c:v>20.399999999999999</c:v>
                </c:pt>
                <c:pt idx="41">
                  <c:v>19.5</c:v>
                </c:pt>
                <c:pt idx="42">
                  <c:v>18.899999999999999</c:v>
                </c:pt>
                <c:pt idx="43">
                  <c:v>18.600000000000001</c:v>
                </c:pt>
                <c:pt idx="44">
                  <c:v>18.399999999999999</c:v>
                </c:pt>
                <c:pt idx="45">
                  <c:v>17.299999999999997</c:v>
                </c:pt>
              </c:numCache>
            </c:numRef>
          </c:val>
          <c:smooth val="0"/>
          <c:extLst>
            <c:ext xmlns:c16="http://schemas.microsoft.com/office/drawing/2014/chart" uri="{C3380CC4-5D6E-409C-BE32-E72D297353CC}">
              <c16:uniqueId val="{0000000B-CE75-4DCE-A74F-0FB440B305A2}"/>
            </c:ext>
          </c:extLst>
        </c:ser>
        <c:dLbls>
          <c:showLegendKey val="0"/>
          <c:showVal val="0"/>
          <c:showCatName val="0"/>
          <c:showSerName val="0"/>
          <c:showPercent val="0"/>
          <c:showBubbleSize val="0"/>
        </c:dLbls>
        <c:marker val="1"/>
        <c:smooth val="0"/>
        <c:axId val="100654464"/>
        <c:axId val="10164748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28"/>
          <c:min val="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00654464"/>
        <c:crosses val="autoZero"/>
        <c:crossBetween val="midCat"/>
        <c:majorUnit val="2"/>
      </c:valAx>
      <c:spPr>
        <a:ln>
          <a:solidFill>
            <a:schemeClr val="tx1"/>
          </a:solidFill>
        </a:ln>
      </c:spPr>
    </c:plotArea>
    <c:legend>
      <c:legendPos val="b"/>
      <c:layout>
        <c:manualLayout>
          <c:xMode val="edge"/>
          <c:yMode val="edge"/>
          <c:x val="4.4644781189683583E-2"/>
          <c:y val="0.87358822741120723"/>
          <c:w val="0.93397790842348205"/>
          <c:h val="0.10825866470974503"/>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8195096371882089"/>
        </c:manualLayout>
      </c:layout>
      <c:barChart>
        <c:barDir val="col"/>
        <c:grouping val="clustered"/>
        <c:varyColors val="0"/>
        <c:ser>
          <c:idx val="4"/>
          <c:order val="1"/>
          <c:tx>
            <c:strRef>
              <c:f>'Trh práce 3'!$D$8</c:f>
              <c:strCache>
                <c:ptCount val="1"/>
                <c:pt idx="0">
                  <c:v>Wage (real)</c:v>
                </c:pt>
              </c:strCache>
            </c:strRef>
          </c:tx>
          <c:spPr>
            <a:solidFill>
              <a:srgbClr val="DBDBDB"/>
            </a:solidFill>
            <a:ln w="19050">
              <a:noFill/>
            </a:ln>
          </c:spPr>
          <c:invertIfNegative val="0"/>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3'!$D$9:$D$46</c:f>
              <c:numCache>
                <c:formatCode>#\ ##0.0</c:formatCode>
                <c:ptCount val="38"/>
                <c:pt idx="0">
                  <c:v>2.0999999999999943</c:v>
                </c:pt>
                <c:pt idx="1">
                  <c:v>1.9000000000000057</c:v>
                </c:pt>
                <c:pt idx="2">
                  <c:v>0.29999999999999716</c:v>
                </c:pt>
                <c:pt idx="3">
                  <c:v>-1.4000000000000057</c:v>
                </c:pt>
                <c:pt idx="4">
                  <c:v>1.0999999999999943</c:v>
                </c:pt>
                <c:pt idx="5">
                  <c:v>0.79999999999999716</c:v>
                </c:pt>
                <c:pt idx="6">
                  <c:v>0.29999999999999716</c:v>
                </c:pt>
                <c:pt idx="7">
                  <c:v>0</c:v>
                </c:pt>
                <c:pt idx="8">
                  <c:v>-0.5</c:v>
                </c:pt>
                <c:pt idx="9">
                  <c:v>-1.2999999999999972</c:v>
                </c:pt>
                <c:pt idx="10">
                  <c:v>-1.7999999999999972</c:v>
                </c:pt>
                <c:pt idx="11">
                  <c:v>0.40000000000000568</c:v>
                </c:pt>
                <c:pt idx="12">
                  <c:v>-2.4000000000000057</c:v>
                </c:pt>
                <c:pt idx="13">
                  <c:v>-0.5</c:v>
                </c:pt>
                <c:pt idx="14">
                  <c:v>0</c:v>
                </c:pt>
                <c:pt idx="15">
                  <c:v>-3.0999999999999943</c:v>
                </c:pt>
                <c:pt idx="16">
                  <c:v>3.7000000000000028</c:v>
                </c:pt>
                <c:pt idx="17">
                  <c:v>2.5999999999999943</c:v>
                </c:pt>
                <c:pt idx="18">
                  <c:v>1.5999999999999943</c:v>
                </c:pt>
                <c:pt idx="19">
                  <c:v>2.2999999999999972</c:v>
                </c:pt>
                <c:pt idx="20">
                  <c:v>2.2000000000000028</c:v>
                </c:pt>
                <c:pt idx="21">
                  <c:v>2.5999999999999943</c:v>
                </c:pt>
                <c:pt idx="22">
                  <c:v>3.0999999999999943</c:v>
                </c:pt>
                <c:pt idx="23">
                  <c:v>3.5999999999999943</c:v>
                </c:pt>
                <c:pt idx="24">
                  <c:v>4.2000000000000028</c:v>
                </c:pt>
                <c:pt idx="25">
                  <c:v>3.7999999999999972</c:v>
                </c:pt>
                <c:pt idx="26">
                  <c:v>4.2000000000000028</c:v>
                </c:pt>
                <c:pt idx="27">
                  <c:v>3</c:v>
                </c:pt>
                <c:pt idx="28">
                  <c:v>2.5999999999999943</c:v>
                </c:pt>
                <c:pt idx="29">
                  <c:v>4.9000000000000057</c:v>
                </c:pt>
                <c:pt idx="30">
                  <c:v>4.0999999999999943</c:v>
                </c:pt>
                <c:pt idx="31">
                  <c:v>5.0999999999999943</c:v>
                </c:pt>
                <c:pt idx="32">
                  <c:v>5.7999999999999972</c:v>
                </c:pt>
                <c:pt idx="33">
                  <c:v>5.7000000000000028</c:v>
                </c:pt>
                <c:pt idx="34">
                  <c:v>5.4000000000000057</c:v>
                </c:pt>
                <c:pt idx="35">
                  <c:v>4.2999999999999972</c:v>
                </c:pt>
                <c:pt idx="36">
                  <c:v>4.7000000000000028</c:v>
                </c:pt>
                <c:pt idx="37">
                  <c:v>4.2999999999999972</c:v>
                </c:pt>
              </c:numCache>
            </c:numRef>
          </c:val>
          <c:extLst>
            <c:ext xmlns:c16="http://schemas.microsoft.com/office/drawing/2014/chart" uri="{C3380CC4-5D6E-409C-BE32-E72D297353CC}">
              <c16:uniqueId val="{00000000-67C3-4569-AB4B-1128865CF0AA}"/>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Wage (nominal)</c:v>
                </c:pt>
              </c:strCache>
            </c:strRef>
          </c:tx>
          <c:spPr>
            <a:ln w="19050">
              <a:solidFill>
                <a:schemeClr val="tx1">
                  <a:lumMod val="95000"/>
                  <a:lumOff val="5000"/>
                </a:schemeClr>
              </a:solidFill>
            </a:ln>
          </c:spPr>
          <c:marker>
            <c:symbol val="none"/>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3'!$C$9:$C$46</c:f>
              <c:numCache>
                <c:formatCode>0.0</c:formatCode>
                <c:ptCount val="38"/>
                <c:pt idx="0">
                  <c:v>2.7999999999999972</c:v>
                </c:pt>
                <c:pt idx="1">
                  <c:v>3.0999999999999943</c:v>
                </c:pt>
                <c:pt idx="2">
                  <c:v>2.2000000000000028</c:v>
                </c:pt>
                <c:pt idx="3">
                  <c:v>0.70000000000000284</c:v>
                </c:pt>
                <c:pt idx="4">
                  <c:v>2.7999999999999972</c:v>
                </c:pt>
                <c:pt idx="5">
                  <c:v>2.5999999999999943</c:v>
                </c:pt>
                <c:pt idx="6">
                  <c:v>2.0999999999999943</c:v>
                </c:pt>
                <c:pt idx="7">
                  <c:v>2.4000000000000057</c:v>
                </c:pt>
                <c:pt idx="8">
                  <c:v>3.2000000000000028</c:v>
                </c:pt>
                <c:pt idx="9">
                  <c:v>2.0999999999999943</c:v>
                </c:pt>
                <c:pt idx="10">
                  <c:v>1.4000000000000057</c:v>
                </c:pt>
                <c:pt idx="11">
                  <c:v>3.2000000000000028</c:v>
                </c:pt>
                <c:pt idx="12">
                  <c:v>-0.59999999999999432</c:v>
                </c:pt>
                <c:pt idx="13">
                  <c:v>1</c:v>
                </c:pt>
                <c:pt idx="14">
                  <c:v>1.2000000000000028</c:v>
                </c:pt>
                <c:pt idx="15">
                  <c:v>-2</c:v>
                </c:pt>
                <c:pt idx="16">
                  <c:v>3.9000000000000057</c:v>
                </c:pt>
                <c:pt idx="17">
                  <c:v>2.7999999999999972</c:v>
                </c:pt>
                <c:pt idx="18">
                  <c:v>2.2000000000000028</c:v>
                </c:pt>
                <c:pt idx="19">
                  <c:v>2.7999999999999972</c:v>
                </c:pt>
                <c:pt idx="20">
                  <c:v>2.2999999999999972</c:v>
                </c:pt>
                <c:pt idx="21">
                  <c:v>3.2999999999999972</c:v>
                </c:pt>
                <c:pt idx="22">
                  <c:v>3.5</c:v>
                </c:pt>
                <c:pt idx="23">
                  <c:v>3.7000000000000028</c:v>
                </c:pt>
                <c:pt idx="24">
                  <c:v>4.7000000000000028</c:v>
                </c:pt>
                <c:pt idx="25">
                  <c:v>4</c:v>
                </c:pt>
                <c:pt idx="26">
                  <c:v>4.7000000000000028</c:v>
                </c:pt>
                <c:pt idx="27">
                  <c:v>4.4000000000000057</c:v>
                </c:pt>
                <c:pt idx="28">
                  <c:v>5.0999999999999943</c:v>
                </c:pt>
                <c:pt idx="29">
                  <c:v>7.2000000000000028</c:v>
                </c:pt>
                <c:pt idx="30">
                  <c:v>6.7000000000000028</c:v>
                </c:pt>
                <c:pt idx="31">
                  <c:v>7.7999999999999972</c:v>
                </c:pt>
                <c:pt idx="32">
                  <c:v>7.7999999999999972</c:v>
                </c:pt>
                <c:pt idx="33">
                  <c:v>8.0999999999999943</c:v>
                </c:pt>
                <c:pt idx="34">
                  <c:v>7.9000000000000057</c:v>
                </c:pt>
                <c:pt idx="35">
                  <c:v>6.5</c:v>
                </c:pt>
                <c:pt idx="36">
                  <c:v>7.5</c:v>
                </c:pt>
                <c:pt idx="37">
                  <c:v>7.2000000000000028</c:v>
                </c:pt>
              </c:numCache>
            </c:numRef>
          </c:val>
          <c:smooth val="0"/>
          <c:extLst>
            <c:ext xmlns:c16="http://schemas.microsoft.com/office/drawing/2014/chart" uri="{C3380CC4-5D6E-409C-BE32-E72D297353CC}">
              <c16:uniqueId val="{00000001-67C3-4569-AB4B-1128865CF0AA}"/>
            </c:ext>
          </c:extLst>
        </c:ser>
        <c:ser>
          <c:idx val="5"/>
          <c:order val="2"/>
          <c:tx>
            <c:strRef>
              <c:f>'Trh práce 3'!$E$8</c:f>
              <c:strCache>
                <c:ptCount val="1"/>
                <c:pt idx="0">
                  <c:v>Wage in manufacturing (nominal)</c:v>
                </c:pt>
              </c:strCache>
            </c:strRef>
          </c:tx>
          <c:spPr>
            <a:ln w="15875">
              <a:prstDash val="sysDash"/>
            </a:ln>
          </c:spPr>
          <c:marker>
            <c:symbol val="none"/>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3'!$E$9:$E$46</c:f>
              <c:numCache>
                <c:formatCode>0.0</c:formatCode>
                <c:ptCount val="38"/>
                <c:pt idx="0">
                  <c:v>5.5741522340270677</c:v>
                </c:pt>
                <c:pt idx="1">
                  <c:v>4.6596136154553705</c:v>
                </c:pt>
                <c:pt idx="2">
                  <c:v>3.4155684253727827</c:v>
                </c:pt>
                <c:pt idx="3">
                  <c:v>4.1331027793007422</c:v>
                </c:pt>
                <c:pt idx="4">
                  <c:v>4.0529363110008347</c:v>
                </c:pt>
                <c:pt idx="5">
                  <c:v>4.5092954775194301</c:v>
                </c:pt>
                <c:pt idx="6">
                  <c:v>3.2013405062174769</c:v>
                </c:pt>
                <c:pt idx="7">
                  <c:v>2.3814345308006892</c:v>
                </c:pt>
                <c:pt idx="8">
                  <c:v>3.8288288288288186</c:v>
                </c:pt>
                <c:pt idx="9">
                  <c:v>3.0152655704613238</c:v>
                </c:pt>
                <c:pt idx="10">
                  <c:v>1.9056571526234762</c:v>
                </c:pt>
                <c:pt idx="11">
                  <c:v>2.9589778076664572</c:v>
                </c:pt>
                <c:pt idx="12">
                  <c:v>0.506146059291396</c:v>
                </c:pt>
                <c:pt idx="13">
                  <c:v>1.9962442847811843</c:v>
                </c:pt>
                <c:pt idx="14">
                  <c:v>2.259958071278831</c:v>
                </c:pt>
                <c:pt idx="15">
                  <c:v>0.53021861912630186</c:v>
                </c:pt>
                <c:pt idx="16">
                  <c:v>4.7947524333474405</c:v>
                </c:pt>
                <c:pt idx="17">
                  <c:v>3.366019611767058</c:v>
                </c:pt>
                <c:pt idx="18">
                  <c:v>2.8824470047972568</c:v>
                </c:pt>
                <c:pt idx="19">
                  <c:v>3.6690235046818316</c:v>
                </c:pt>
                <c:pt idx="20">
                  <c:v>1.9747203489076384</c:v>
                </c:pt>
                <c:pt idx="21">
                  <c:v>3.0821652598156817</c:v>
                </c:pt>
                <c:pt idx="22">
                  <c:v>3.263988522238165</c:v>
                </c:pt>
                <c:pt idx="23">
                  <c:v>3.2258064516128968</c:v>
                </c:pt>
                <c:pt idx="24">
                  <c:v>4.9619832092507465</c:v>
                </c:pt>
                <c:pt idx="25">
                  <c:v>4.2070468033956985</c:v>
                </c:pt>
                <c:pt idx="26">
                  <c:v>4.939986878159857</c:v>
                </c:pt>
                <c:pt idx="27">
                  <c:v>4.4500000000000028</c:v>
                </c:pt>
                <c:pt idx="28">
                  <c:v>5.3386153555932765</c:v>
                </c:pt>
                <c:pt idx="29">
                  <c:v>8.1825391103741651</c:v>
                </c:pt>
                <c:pt idx="30">
                  <c:v>6.9545070059946283</c:v>
                </c:pt>
                <c:pt idx="31">
                  <c:v>6.9958284893660618</c:v>
                </c:pt>
                <c:pt idx="32">
                  <c:v>7.0128939828080235</c:v>
                </c:pt>
                <c:pt idx="33">
                  <c:v>7.5503132080501132</c:v>
                </c:pt>
                <c:pt idx="34">
                  <c:v>6.6914242486761424</c:v>
                </c:pt>
                <c:pt idx="35">
                  <c:v>7.0241595295922394</c:v>
                </c:pt>
                <c:pt idx="36">
                  <c:v>6.6838476470981902</c:v>
                </c:pt>
                <c:pt idx="37">
                  <c:v>6.462606109424371</c:v>
                </c:pt>
              </c:numCache>
            </c:numRef>
          </c:val>
          <c:smooth val="0"/>
          <c:extLst>
            <c:ext xmlns:c16="http://schemas.microsoft.com/office/drawing/2014/chart" uri="{C3380CC4-5D6E-409C-BE32-E72D297353CC}">
              <c16:uniqueId val="{00000002-67C3-4569-AB4B-1128865CF0AA}"/>
            </c:ext>
          </c:extLst>
        </c:ser>
        <c:ser>
          <c:idx val="1"/>
          <c:order val="3"/>
          <c:tx>
            <c:strRef>
              <c:f>'Trh práce 3'!$F$8</c:f>
              <c:strCache>
                <c:ptCount val="1"/>
                <c:pt idx="0">
                  <c:v>Wage in trade (nominal)</c:v>
                </c:pt>
              </c:strCache>
            </c:strRef>
          </c:tx>
          <c:spPr>
            <a:ln w="15875">
              <a:solidFill>
                <a:schemeClr val="accent1"/>
              </a:solidFill>
              <a:prstDash val="sysDash"/>
            </a:ln>
          </c:spPr>
          <c:marker>
            <c:symbol val="none"/>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3'!$F$9:$F$46</c:f>
              <c:numCache>
                <c:formatCode>0.0</c:formatCode>
                <c:ptCount val="38"/>
                <c:pt idx="0">
                  <c:v>2.4757068216221541</c:v>
                </c:pt>
                <c:pt idx="1">
                  <c:v>3.7727708533077617</c:v>
                </c:pt>
                <c:pt idx="2">
                  <c:v>2.8297025064417909</c:v>
                </c:pt>
                <c:pt idx="3">
                  <c:v>3.460238001141704</c:v>
                </c:pt>
                <c:pt idx="4">
                  <c:v>3.2593157342990509</c:v>
                </c:pt>
                <c:pt idx="5">
                  <c:v>3.7187601053263677</c:v>
                </c:pt>
                <c:pt idx="6">
                  <c:v>2.6743815207982209</c:v>
                </c:pt>
                <c:pt idx="7">
                  <c:v>4.3291880650227199</c:v>
                </c:pt>
                <c:pt idx="8">
                  <c:v>4.0793724042454897</c:v>
                </c:pt>
                <c:pt idx="9">
                  <c:v>0.74380901478710371</c:v>
                </c:pt>
                <c:pt idx="10">
                  <c:v>0.80315938942136711</c:v>
                </c:pt>
                <c:pt idx="11">
                  <c:v>3.3521825800414859</c:v>
                </c:pt>
                <c:pt idx="12">
                  <c:v>-0.36357187195176266</c:v>
                </c:pt>
                <c:pt idx="13">
                  <c:v>0.83115964454663072</c:v>
                </c:pt>
                <c:pt idx="14">
                  <c:v>1.2941849716071658</c:v>
                </c:pt>
                <c:pt idx="15">
                  <c:v>-4.6290100373942096</c:v>
                </c:pt>
                <c:pt idx="16">
                  <c:v>3.4576361694553128</c:v>
                </c:pt>
                <c:pt idx="17">
                  <c:v>4.1785416758012985</c:v>
                </c:pt>
                <c:pt idx="18">
                  <c:v>2.8899222111164136</c:v>
                </c:pt>
                <c:pt idx="19">
                  <c:v>2.761153989021409</c:v>
                </c:pt>
                <c:pt idx="20">
                  <c:v>3.1055099144049194</c:v>
                </c:pt>
                <c:pt idx="21">
                  <c:v>3.9141414141414117</c:v>
                </c:pt>
                <c:pt idx="22">
                  <c:v>3.949146815340427</c:v>
                </c:pt>
                <c:pt idx="23">
                  <c:v>5.7916298497871423</c:v>
                </c:pt>
                <c:pt idx="24">
                  <c:v>5.6443202202661524</c:v>
                </c:pt>
                <c:pt idx="25">
                  <c:v>3.9570676387201189</c:v>
                </c:pt>
                <c:pt idx="26">
                  <c:v>4.9977652269310511</c:v>
                </c:pt>
                <c:pt idx="27">
                  <c:v>4.4950645406226215</c:v>
                </c:pt>
                <c:pt idx="28">
                  <c:v>5.6231243089559229</c:v>
                </c:pt>
                <c:pt idx="29">
                  <c:v>7.9284684614485457</c:v>
                </c:pt>
                <c:pt idx="30">
                  <c:v>7.693200727526019</c:v>
                </c:pt>
                <c:pt idx="31">
                  <c:v>8.3926754832146457</c:v>
                </c:pt>
                <c:pt idx="32">
                  <c:v>7.2416629280693883</c:v>
                </c:pt>
                <c:pt idx="33">
                  <c:v>6.9272976680384062</c:v>
                </c:pt>
                <c:pt idx="34">
                  <c:v>6.7016421718351324</c:v>
                </c:pt>
                <c:pt idx="35">
                  <c:v>6.4389622578266312</c:v>
                </c:pt>
                <c:pt idx="36">
                  <c:v>8.1261983615129765</c:v>
                </c:pt>
                <c:pt idx="37">
                  <c:v>5.8066911988116487</c:v>
                </c:pt>
              </c:numCache>
            </c:numRef>
          </c:val>
          <c:smooth val="0"/>
          <c:extLst>
            <c:ext xmlns:c16="http://schemas.microsoft.com/office/drawing/2014/chart" uri="{C3380CC4-5D6E-409C-BE32-E72D297353CC}">
              <c16:uniqueId val="{00000003-67C3-4569-AB4B-1128865CF0AA}"/>
            </c:ext>
          </c:extLst>
        </c:ser>
        <c:ser>
          <c:idx val="2"/>
          <c:order val="4"/>
          <c:tx>
            <c:strRef>
              <c:f>'Trh práce 3'!$G$8</c:f>
              <c:strCache>
                <c:ptCount val="1"/>
                <c:pt idx="0">
                  <c:v>Wage in public services (nominal)*</c:v>
                </c:pt>
              </c:strCache>
            </c:strRef>
          </c:tx>
          <c:spPr>
            <a:ln w="15875">
              <a:prstDash val="sysDash"/>
            </a:ln>
          </c:spPr>
          <c:marker>
            <c:symbol val="none"/>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3'!$G$9:$G$46</c:f>
              <c:numCache>
                <c:formatCode>0.0</c:formatCode>
                <c:ptCount val="38"/>
                <c:pt idx="0">
                  <c:v>4.0490391739471931</c:v>
                </c:pt>
                <c:pt idx="1">
                  <c:v>1.6283315509305112</c:v>
                </c:pt>
                <c:pt idx="2">
                  <c:v>-0.55283553368845162</c:v>
                </c:pt>
                <c:pt idx="3">
                  <c:v>-3.7979173937266069</c:v>
                </c:pt>
                <c:pt idx="4">
                  <c:v>-0.36529704002306573</c:v>
                </c:pt>
                <c:pt idx="5">
                  <c:v>0.75226666267364806</c:v>
                </c:pt>
                <c:pt idx="6">
                  <c:v>2.1176725674165766</c:v>
                </c:pt>
                <c:pt idx="7">
                  <c:v>2.8398131342035384</c:v>
                </c:pt>
                <c:pt idx="8">
                  <c:v>3.2279568792093158</c:v>
                </c:pt>
                <c:pt idx="9">
                  <c:v>1.7574406830760836</c:v>
                </c:pt>
                <c:pt idx="10">
                  <c:v>1.8920783570674899</c:v>
                </c:pt>
                <c:pt idx="11">
                  <c:v>1.0598177996607347</c:v>
                </c:pt>
                <c:pt idx="12">
                  <c:v>2.4966291616905778E-2</c:v>
                </c:pt>
                <c:pt idx="13">
                  <c:v>1.6016040487050844</c:v>
                </c:pt>
                <c:pt idx="14">
                  <c:v>0.63880459502811959</c:v>
                </c:pt>
                <c:pt idx="15">
                  <c:v>0.17964165062377901</c:v>
                </c:pt>
                <c:pt idx="16">
                  <c:v>2.280760005771441</c:v>
                </c:pt>
                <c:pt idx="17">
                  <c:v>1.7741806147294312</c:v>
                </c:pt>
                <c:pt idx="18">
                  <c:v>2.0112509376191809</c:v>
                </c:pt>
                <c:pt idx="19">
                  <c:v>4.0222566728863427</c:v>
                </c:pt>
                <c:pt idx="20">
                  <c:v>3.2925091204843113</c:v>
                </c:pt>
                <c:pt idx="21">
                  <c:v>4.3135889286729565</c:v>
                </c:pt>
                <c:pt idx="22">
                  <c:v>3.8145419077079765</c:v>
                </c:pt>
                <c:pt idx="23">
                  <c:v>3.6381766938736746</c:v>
                </c:pt>
                <c:pt idx="24">
                  <c:v>4.64178325585614</c:v>
                </c:pt>
                <c:pt idx="25">
                  <c:v>3.8061258933532116</c:v>
                </c:pt>
                <c:pt idx="26">
                  <c:v>4.8526374704253925</c:v>
                </c:pt>
                <c:pt idx="27">
                  <c:v>6.1351981806606375</c:v>
                </c:pt>
                <c:pt idx="28">
                  <c:v>5.4566112929361736</c:v>
                </c:pt>
                <c:pt idx="29">
                  <c:v>7.3192456135908941</c:v>
                </c:pt>
                <c:pt idx="30">
                  <c:v>7.9981713137873669</c:v>
                </c:pt>
                <c:pt idx="31">
                  <c:v>10.484072576559413</c:v>
                </c:pt>
                <c:pt idx="32">
                  <c:v>11.633239761769048</c:v>
                </c:pt>
                <c:pt idx="33">
                  <c:v>11.426031898018365</c:v>
                </c:pt>
                <c:pt idx="34">
                  <c:v>10.917120973616747</c:v>
                </c:pt>
                <c:pt idx="35">
                  <c:v>5.6896822744079429</c:v>
                </c:pt>
                <c:pt idx="36">
                  <c:v>8.8372973382255395</c:v>
                </c:pt>
                <c:pt idx="37">
                  <c:v>8.6669754799301018</c:v>
                </c:pt>
              </c:numCache>
            </c:numRef>
          </c:val>
          <c:smooth val="0"/>
          <c:extLst>
            <c:ext xmlns:c16="http://schemas.microsoft.com/office/drawing/2014/chart" uri="{C3380CC4-5D6E-409C-BE32-E72D297353CC}">
              <c16:uniqueId val="{00000004-67C3-4569-AB4B-1128865CF0AA}"/>
            </c:ext>
          </c:extLst>
        </c:ser>
        <c:ser>
          <c:idx val="3"/>
          <c:order val="5"/>
          <c:tx>
            <c:strRef>
              <c:f>'Trh práce 3'!$H$8</c:f>
              <c:strCache>
                <c:ptCount val="1"/>
                <c:pt idx="0">
                  <c:v>Labour productivity in economy (real)**</c:v>
                </c:pt>
              </c:strCache>
            </c:strRef>
          </c:tx>
          <c:spPr>
            <a:ln w="19050">
              <a:noFill/>
            </a:ln>
          </c:spPr>
          <c:marker>
            <c:symbol val="diamond"/>
            <c:size val="5"/>
            <c:spPr>
              <a:solidFill>
                <a:srgbClr val="F6F000"/>
              </a:solidFill>
              <a:ln w="6350">
                <a:solidFill>
                  <a:schemeClr val="tx1">
                    <a:lumMod val="95000"/>
                    <a:lumOff val="5000"/>
                  </a:schemeClr>
                </a:solidFill>
              </a:ln>
            </c:spPr>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3'!$H$9:$H$46</c:f>
              <c:numCache>
                <c:formatCode>0.0</c:formatCode>
                <c:ptCount val="38"/>
                <c:pt idx="0">
                  <c:v>3.5332846838865208</c:v>
                </c:pt>
                <c:pt idx="1">
                  <c:v>4.425122650740704</c:v>
                </c:pt>
                <c:pt idx="2">
                  <c:v>2.3152819998793319</c:v>
                </c:pt>
                <c:pt idx="3">
                  <c:v>2.9717863026053948</c:v>
                </c:pt>
                <c:pt idx="4">
                  <c:v>2.9527260280244576</c:v>
                </c:pt>
                <c:pt idx="5">
                  <c:v>2.0923191727528945</c:v>
                </c:pt>
                <c:pt idx="6">
                  <c:v>1.8080251400873806</c:v>
                </c:pt>
                <c:pt idx="7">
                  <c:v>1.5019620723850409</c:v>
                </c:pt>
                <c:pt idx="8">
                  <c:v>0.41537995919813397</c:v>
                </c:pt>
                <c:pt idx="9">
                  <c:v>-1.2819231607881107</c:v>
                </c:pt>
                <c:pt idx="10">
                  <c:v>-1.8249350322319771</c:v>
                </c:pt>
                <c:pt idx="11">
                  <c:v>-2.0588258996494346</c:v>
                </c:pt>
                <c:pt idx="12">
                  <c:v>-2.8802810421720295</c:v>
                </c:pt>
                <c:pt idx="13">
                  <c:v>-1.8279480046633836</c:v>
                </c:pt>
                <c:pt idx="14">
                  <c:v>0.4046193699375209</c:v>
                </c:pt>
                <c:pt idx="15">
                  <c:v>0.95515229453815209</c:v>
                </c:pt>
                <c:pt idx="16">
                  <c:v>1.7448585072078089</c:v>
                </c:pt>
                <c:pt idx="17">
                  <c:v>2.7515963261383547</c:v>
                </c:pt>
                <c:pt idx="18">
                  <c:v>3.0294730201186439</c:v>
                </c:pt>
                <c:pt idx="19">
                  <c:v>1.0840279704352724</c:v>
                </c:pt>
                <c:pt idx="20">
                  <c:v>3.7518410336967918</c:v>
                </c:pt>
                <c:pt idx="21">
                  <c:v>4.1202609165826658</c:v>
                </c:pt>
                <c:pt idx="22">
                  <c:v>3.76028698995718</c:v>
                </c:pt>
                <c:pt idx="23">
                  <c:v>3.6745015563024737</c:v>
                </c:pt>
                <c:pt idx="24">
                  <c:v>1.4752745888902723</c:v>
                </c:pt>
                <c:pt idx="25">
                  <c:v>2.0687313721092977</c:v>
                </c:pt>
                <c:pt idx="26">
                  <c:v>6.7689948363209851E-2</c:v>
                </c:pt>
                <c:pt idx="27">
                  <c:v>-0.12588932224844029</c:v>
                </c:pt>
                <c:pt idx="28">
                  <c:v>2.1906602546173986</c:v>
                </c:pt>
                <c:pt idx="29">
                  <c:v>2.4032448321291326</c:v>
                </c:pt>
                <c:pt idx="30">
                  <c:v>2.7730189049163272</c:v>
                </c:pt>
                <c:pt idx="31">
                  <c:v>3.598660449921212</c:v>
                </c:pt>
                <c:pt idx="32">
                  <c:v>1.9711231502793822</c:v>
                </c:pt>
                <c:pt idx="33">
                  <c:v>1.0416773737980378</c:v>
                </c:pt>
                <c:pt idx="34">
                  <c:v>1.5570017997824692</c:v>
                </c:pt>
                <c:pt idx="35">
                  <c:v>1.8257488602716734</c:v>
                </c:pt>
                <c:pt idx="36">
                  <c:v>1.3014328722822768</c:v>
                </c:pt>
                <c:pt idx="37">
                  <c:v>1.5840908001048888</c:v>
                </c:pt>
              </c:numCache>
            </c:numRef>
          </c:val>
          <c:smooth val="0"/>
          <c:extLst>
            <c:ext xmlns:c16="http://schemas.microsoft.com/office/drawing/2014/chart" uri="{C3380CC4-5D6E-409C-BE32-E72D297353CC}">
              <c16:uniqueId val="{00000005-67C3-4569-AB4B-1128865CF0AA}"/>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2"/>
          <c:min val="-5"/>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4.1991900121069334E-2"/>
          <c:y val="0.89378061224489791"/>
          <c:w val="0.94189432216274505"/>
          <c:h val="0.10261961451247163"/>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1D5D-2ED7-4374-8DB8-27B5437812C9}">
  <ds:schemaRefs>
    <ds:schemaRef ds:uri="http://schemas.openxmlformats.org/officeDocument/2006/bibliography"/>
  </ds:schemaRefs>
</ds:datastoreItem>
</file>

<file path=customXml/itemProps2.xml><?xml version="1.0" encoding="utf-8"?>
<ds:datastoreItem xmlns:ds="http://schemas.openxmlformats.org/officeDocument/2006/customXml" ds:itemID="{BC6E2CA6-3F04-4FD3-ABD7-725F6B86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3</TotalTime>
  <Pages>5</Pages>
  <Words>2004</Words>
  <Characters>11824</Characters>
  <Application>Microsoft Office Word</Application>
  <DocSecurity>0</DocSecurity>
  <Lines>98</Lines>
  <Paragraphs>27</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13801</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3</cp:revision>
  <cp:lastPrinted>2019-10-10T11:46:00Z</cp:lastPrinted>
  <dcterms:created xsi:type="dcterms:W3CDTF">2019-10-11T13:27:00Z</dcterms:created>
  <dcterms:modified xsi:type="dcterms:W3CDTF">2019-10-11T13:50:00Z</dcterms:modified>
</cp:coreProperties>
</file>