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Eurostat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For some representatives, the average consumer prices for the Czech Republic are taken account (e.g. therapeutic stays at a spa, ski lift ticket, catering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38948215"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5E" w:rsidRDefault="00AF645E" w:rsidP="00E71A58">
      <w:r>
        <w:separator/>
      </w:r>
    </w:p>
  </w:endnote>
  <w:endnote w:type="continuationSeparator" w:id="0">
    <w:p w:rsidR="00AF645E" w:rsidRDefault="00AF645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294E23">
      <w:rPr>
        <w:szCs w:val="16"/>
      </w:rPr>
      <w:t>prosinec</w:t>
    </w:r>
    <w:r>
      <w:rPr>
        <w:rStyle w:val="ZpatChar"/>
        <w:szCs w:val="16"/>
      </w:rPr>
      <w:t xml:space="preserve"> 201</w:t>
    </w:r>
    <w:r w:rsidR="00AF3934">
      <w:rPr>
        <w:rStyle w:val="ZpatChar"/>
        <w:szCs w:val="16"/>
      </w:rPr>
      <w:t>9</w:t>
    </w:r>
    <w:r w:rsidRPr="00F1639F">
      <w:rPr>
        <w:rStyle w:val="ZpatChar"/>
        <w:szCs w:val="16"/>
      </w:rPr>
      <w:t xml:space="preserve"> / </w:t>
    </w:r>
    <w:r w:rsidR="00294E23">
      <w:rPr>
        <w:rStyle w:val="ZpatChar"/>
        <w:i/>
        <w:szCs w:val="16"/>
      </w:rPr>
      <w:t>Decem</w:t>
    </w:r>
    <w:r w:rsidR="0077288C">
      <w:rPr>
        <w:rStyle w:val="ZpatChar"/>
        <w:i/>
        <w:szCs w:val="16"/>
      </w:rPr>
      <w:t>ber</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5E" w:rsidRDefault="00AF645E" w:rsidP="00E71A58">
      <w:r>
        <w:separator/>
      </w:r>
    </w:p>
  </w:footnote>
  <w:footnote w:type="continuationSeparator" w:id="0">
    <w:p w:rsidR="00AF645E" w:rsidRDefault="00AF645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34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C16FB"/>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4E23"/>
    <w:rsid w:val="00296AB6"/>
    <w:rsid w:val="002A07E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AF645E"/>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76D43"/>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CF28-05D9-444E-9518-88374330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49</cp:revision>
  <cp:lastPrinted>2018-02-20T13:36:00Z</cp:lastPrinted>
  <dcterms:created xsi:type="dcterms:W3CDTF">2018-02-23T08:04:00Z</dcterms:created>
  <dcterms:modified xsi:type="dcterms:W3CDTF">2019-12-27T09:37:00Z</dcterms:modified>
</cp:coreProperties>
</file>