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>Meziroční růst spotřebitelských cen 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36FBD">
        <w:t>srpen</w:t>
      </w:r>
      <w:r w:rsidR="00250429">
        <w:t> 2019</w:t>
      </w:r>
    </w:p>
    <w:p w:rsidR="00C031B4" w:rsidRPr="0072569E" w:rsidRDefault="00836FBD" w:rsidP="00C031B4">
      <w:pPr>
        <w:pStyle w:val="Perex"/>
        <w:rPr>
          <w:b w:val="0"/>
        </w:rPr>
      </w:pPr>
      <w:r w:rsidRPr="00836FBD">
        <w:t>Spotřebitelské ceny vzrostly v srpnu proti červenci o 0,1 %. Tento vývoj ovlivnilo zvýšení cen v oddíle alkoholické nápoje, tabák a v oddíle bydlení. Meziročně vzrostly spotřebitelské ceny v srpnu stejně jako v červenci o 2,9 %.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36FBD" w:rsidRPr="00836FBD" w:rsidRDefault="00836FBD" w:rsidP="00836FBD">
      <w:pPr>
        <w:jc w:val="both"/>
        <w:rPr>
          <w:szCs w:val="20"/>
        </w:rPr>
      </w:pPr>
      <w:r w:rsidRPr="002E7BAD">
        <w:rPr>
          <w:rFonts w:cs="Arial"/>
          <w:szCs w:val="20"/>
        </w:rPr>
        <w:t>Růst cen v oddíle alkoholické nápoje, tabák byl způsoben vyššími cenami lihovin o 3,7 %. V oddíle rekreace a kultura vzrostly ceny dovolených s komplexními službami o 2,8 %. V</w:t>
      </w:r>
      <w:r w:rsidRPr="002E7BAD">
        <w:rPr>
          <w:rFonts w:cs="Arial"/>
          <w:szCs w:val="18"/>
        </w:rPr>
        <w:t xml:space="preserve"> oddíle stravování a ubytování se zvýšily ceny stravovacích služeb o 0,3 %. </w:t>
      </w:r>
      <w:r w:rsidRPr="002E7BAD">
        <w:rPr>
          <w:rFonts w:cs="Arial"/>
          <w:szCs w:val="20"/>
        </w:rPr>
        <w:t>Z potravin vzrostly především ceny masa o 1,1 %, z čehož ceny uzenin byly vyšší o 1,7 %. Ceny nealkoholických nápojů byly vyšší o 0,7 %.</w:t>
      </w:r>
    </w:p>
    <w:p w:rsidR="00836FBD" w:rsidRP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srpnu především pokles cen v oddíle potraviny a nealkoholické nápoje. Ceny zeleniny byly nižší o 4,6 %, z toho ceny brambor klesly o 14,5 %. Ceny pekárenských výrobků a</w:t>
      </w:r>
      <w:r>
        <w:rPr>
          <w:rFonts w:eastAsia="Calibri" w:cs="Arial"/>
          <w:szCs w:val="20"/>
        </w:rPr>
        <w:t> </w:t>
      </w:r>
      <w:r w:rsidRPr="002E7BAD">
        <w:rPr>
          <w:rFonts w:eastAsia="Calibri" w:cs="Arial"/>
          <w:szCs w:val="20"/>
        </w:rPr>
        <w:t>obilovin se snížily o 0,7 %, sýrů a tvarohů o 0,8 %</w:t>
      </w:r>
      <w:r>
        <w:rPr>
          <w:rFonts w:eastAsia="Calibri" w:cs="Arial"/>
          <w:szCs w:val="20"/>
        </w:rPr>
        <w:t xml:space="preserve"> a </w:t>
      </w:r>
      <w:r w:rsidRPr="002E7BAD">
        <w:rPr>
          <w:rFonts w:eastAsia="Calibri" w:cs="Arial"/>
          <w:szCs w:val="20"/>
        </w:rPr>
        <w:t xml:space="preserve">ovoce též o 0,8 %. V oddíle odívání a obuv klesly ceny oděvů o 0,8 %. Pokles cen v oddíle bytové vybavení, zařízení domácnosti byl důsledkem nižších </w:t>
      </w:r>
      <w:r>
        <w:rPr>
          <w:rFonts w:eastAsia="Calibri" w:cs="Arial"/>
          <w:szCs w:val="20"/>
        </w:rPr>
        <w:t>cen nářadí a nástrojů pro dům a zahradu o 4,0 % a zboží a </w:t>
      </w:r>
      <w:r w:rsidRPr="002E7BAD">
        <w:rPr>
          <w:rFonts w:eastAsia="Calibri" w:cs="Arial"/>
          <w:szCs w:val="20"/>
        </w:rPr>
        <w:t>služeb pro běžnou údržbu domácnosti o 1,4 %.</w:t>
      </w:r>
    </w:p>
    <w:p w:rsidR="00836FBD" w:rsidRPr="002E7BAD" w:rsidRDefault="00836FBD" w:rsidP="00836FB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2E7BAD">
        <w:rPr>
          <w:rFonts w:cs="Arial"/>
          <w:szCs w:val="20"/>
        </w:rPr>
        <w:t>Ceny zboží úhrnem klesly o 0,1 %, zatímco ceny služeb vzrostly o 0,5 %.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E7BAD">
        <w:rPr>
          <w:rFonts w:cs="Arial"/>
          <w:szCs w:val="20"/>
        </w:rPr>
        <w:t>Meziročně vzrostly spotřebitelské ceny v srpnu stejně jako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červenci o 2,9 %</w:t>
      </w:r>
      <w:r w:rsidRPr="002E7BAD">
        <w:rPr>
          <w:rFonts w:eastAsia="Calibri" w:cs="Arial"/>
          <w:szCs w:val="20"/>
        </w:rPr>
        <w:t xml:space="preserve">. </w:t>
      </w:r>
      <w:r w:rsidRPr="002E7BAD">
        <w:rPr>
          <w:rFonts w:cs="Arial"/>
          <w:szCs w:val="20"/>
        </w:rPr>
        <w:t xml:space="preserve">Vývoj cen v jednotlivých oddílech spotřebního koše byl však v srpnu rozdílný. </w:t>
      </w:r>
      <w:r>
        <w:rPr>
          <w:rFonts w:cs="Arial"/>
          <w:szCs w:val="20"/>
        </w:rPr>
        <w:t>Ke </w:t>
      </w:r>
      <w:r w:rsidRPr="002E7BAD">
        <w:rPr>
          <w:rFonts w:cs="Arial"/>
          <w:szCs w:val="20"/>
        </w:rPr>
        <w:t xml:space="preserve">zmírnění meziročního cenového růstu došlo zejména </w:t>
      </w:r>
      <w:r>
        <w:rPr>
          <w:rFonts w:cs="Arial"/>
          <w:szCs w:val="20"/>
        </w:rPr>
        <w:t>v oddílech potraviny a </w:t>
      </w:r>
      <w:r w:rsidRPr="002E7BAD">
        <w:rPr>
          <w:rFonts w:cs="Arial"/>
          <w:szCs w:val="20"/>
        </w:rPr>
        <w:t>nealkoholické n</w:t>
      </w:r>
      <w:r>
        <w:rPr>
          <w:rFonts w:cs="Arial"/>
          <w:szCs w:val="20"/>
        </w:rPr>
        <w:t>ápoje, bydlení, ostatní zboží a </w:t>
      </w:r>
      <w:r w:rsidRPr="002E7BAD">
        <w:rPr>
          <w:rFonts w:cs="Arial"/>
          <w:szCs w:val="20"/>
        </w:rPr>
        <w:t xml:space="preserve">služby. V oddíle potraviny a nealkoholické nápoje se zvýšily především </w:t>
      </w:r>
      <w:r>
        <w:rPr>
          <w:rFonts w:cs="Arial"/>
          <w:szCs w:val="20"/>
        </w:rPr>
        <w:t>ceny brambor o 38,2 % (v </w:t>
      </w:r>
      <w:r w:rsidRPr="002E7BAD">
        <w:rPr>
          <w:rFonts w:cs="Arial"/>
          <w:szCs w:val="20"/>
        </w:rPr>
        <w:t>červenci o 65,7 %). V oddíle</w:t>
      </w:r>
      <w:r w:rsidRPr="002739C1">
        <w:rPr>
          <w:rFonts w:cs="Arial"/>
          <w:szCs w:val="20"/>
        </w:rPr>
        <w:t xml:space="preserve"> bydlení</w:t>
      </w:r>
      <w:r>
        <w:rPr>
          <w:rFonts w:cs="Arial"/>
          <w:szCs w:val="20"/>
        </w:rPr>
        <w:t xml:space="preserve"> došlo ke </w:t>
      </w:r>
      <w:r w:rsidRPr="002739C1">
        <w:rPr>
          <w:rFonts w:cs="Arial"/>
          <w:szCs w:val="20"/>
        </w:rPr>
        <w:t xml:space="preserve">zpomalení meziročního cenového růstu </w:t>
      </w:r>
      <w:r>
        <w:rPr>
          <w:rFonts w:cs="Arial"/>
          <w:szCs w:val="20"/>
        </w:rPr>
        <w:t>zejména důsledkem</w:t>
      </w:r>
      <w:r w:rsidRPr="002739C1">
        <w:rPr>
          <w:rFonts w:cs="Arial"/>
          <w:szCs w:val="20"/>
        </w:rPr>
        <w:t xml:space="preserve"> nižšího meziměsíčního růstu cen v srpnu 2019 než v srpnu</w:t>
      </w:r>
      <w:r>
        <w:rPr>
          <w:rFonts w:cs="Arial"/>
          <w:szCs w:val="20"/>
        </w:rPr>
        <w:t xml:space="preserve"> 2018. Ceny elektřiny </w:t>
      </w:r>
      <w:r w:rsidRPr="002739C1">
        <w:rPr>
          <w:rFonts w:cs="Arial"/>
          <w:szCs w:val="20"/>
        </w:rPr>
        <w:t>v srpnu meziročně</w:t>
      </w:r>
      <w:r>
        <w:rPr>
          <w:rFonts w:cs="Arial"/>
          <w:szCs w:val="20"/>
        </w:rPr>
        <w:t xml:space="preserve"> vzrostly o 9,9 % (v červenci o 10,4 %), tuhých paliv o 1,2 % (v červenci</w:t>
      </w:r>
      <w:r w:rsidRPr="002C41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1,5 %), tepla a teplé vody o 4,9 % (v červenci o 5,2 %). </w:t>
      </w:r>
      <w:r w:rsidRPr="00EA393E">
        <w:rPr>
          <w:rFonts w:cs="Arial"/>
          <w:szCs w:val="20"/>
        </w:rPr>
        <w:t>V oddíle ostatní zboží a služby</w:t>
      </w:r>
      <w:r>
        <w:rPr>
          <w:rFonts w:cs="Arial"/>
          <w:szCs w:val="20"/>
        </w:rPr>
        <w:t xml:space="preserve"> byly vyšší ceny výrobků a služeb pro osobní péči o 3,1 % (v červenci</w:t>
      </w:r>
      <w:r w:rsidRPr="002C41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3,8 %). Naopak ke zrychlení meziročního cenového růstu došlo v oddíle alkoholické nápoje, tabák vlivem cen lihovin, které byly v srpnu vyšší o 6,2 %, zatímco v červenci měly cenový růst nulový. </w:t>
      </w:r>
      <w:r w:rsidRPr="00F3172E">
        <w:rPr>
          <w:rFonts w:cs="Arial"/>
          <w:szCs w:val="20"/>
        </w:rPr>
        <w:t>V oddíle rekreace a kultura zrychlil růst cen dovolených s komplexními službami na </w:t>
      </w:r>
      <w:r>
        <w:rPr>
          <w:rFonts w:cs="Arial"/>
          <w:szCs w:val="20"/>
        </w:rPr>
        <w:t>7,8</w:t>
      </w:r>
      <w:r w:rsidRPr="00F3172E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F3172E">
        <w:rPr>
          <w:rFonts w:cs="Arial"/>
          <w:szCs w:val="20"/>
        </w:rPr>
        <w:t> </w:t>
      </w:r>
      <w:r>
        <w:rPr>
          <w:rFonts w:cs="Arial"/>
          <w:szCs w:val="20"/>
        </w:rPr>
        <w:t>7,1</w:t>
      </w:r>
      <w:r w:rsidRPr="00F3172E">
        <w:rPr>
          <w:rFonts w:cs="Arial"/>
          <w:szCs w:val="20"/>
        </w:rPr>
        <w:t> %).</w:t>
      </w:r>
    </w:p>
    <w:p w:rsidR="00836FBD" w:rsidRPr="00836FBD" w:rsidRDefault="00836FBD" w:rsidP="00836FBD">
      <w:pPr>
        <w:jc w:val="both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srpnu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kde se </w:t>
      </w:r>
      <w:r w:rsidRPr="00783940">
        <w:t xml:space="preserve">zvýšily ceny </w:t>
      </w:r>
      <w:r>
        <w:t xml:space="preserve">nájemného z bytu o 3,9 %,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 xml:space="preserve"> a ceny zemního plynu o 3,6 %</w:t>
      </w:r>
      <w:r w:rsidRPr="008A4A8C">
        <w:t>.</w:t>
      </w:r>
      <w:r>
        <w:t xml:space="preserve"> </w:t>
      </w:r>
      <w:r w:rsidRPr="00F50370">
        <w:t>D</w:t>
      </w:r>
      <w:r>
        <w:t xml:space="preserve">alší </w:t>
      </w:r>
      <w:r w:rsidRPr="00F50370">
        <w:t xml:space="preserve">v pořadí vlivu byly ceny v oddíle </w:t>
      </w:r>
      <w:r w:rsidRPr="00F50370">
        <w:rPr>
          <w:rFonts w:cs="Arial"/>
          <w:szCs w:val="20"/>
        </w:rPr>
        <w:t>potraviny a nealkoholické nápoje (nárůst o </w:t>
      </w:r>
      <w:r>
        <w:rPr>
          <w:rFonts w:cs="Arial"/>
          <w:szCs w:val="20"/>
        </w:rPr>
        <w:t>3,9</w:t>
      </w:r>
      <w:r w:rsidRPr="00F50370">
        <w:rPr>
          <w:rFonts w:cs="Arial"/>
          <w:szCs w:val="20"/>
        </w:rPr>
        <w:t> %).</w:t>
      </w:r>
      <w:r w:rsidRPr="00F50370">
        <w:t xml:space="preserve"> </w:t>
      </w:r>
      <w:r w:rsidRPr="00F50370">
        <w:rPr>
          <w:rFonts w:cs="Arial"/>
          <w:szCs w:val="20"/>
        </w:rPr>
        <w:t>Vliv na zvýšení celkové cenové hladiny měly také ceny</w:t>
      </w:r>
      <w:r w:rsidRPr="00F50370"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4,7 % a ceny ubytovacích služeb o 2,3 %.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srpnu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3,0 %. Pokles cen pokračoval též v oddíle doprava, kde byly ceny pohonných hmot a olejů meziročně nižší o 1,9 %.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ceny klesly o 1,4 %.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102,8</w:t>
      </w:r>
      <w:r w:rsidRPr="00916640">
        <w:rPr>
          <w:rFonts w:cs="Arial"/>
          <w:szCs w:val="20"/>
        </w:rPr>
        <w:t> %.</w:t>
      </w:r>
    </w:p>
    <w:p w:rsidR="00836FBD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srpnu 2,6</w:t>
      </w:r>
      <w:r w:rsidRPr="00576E20">
        <w:rPr>
          <w:rFonts w:cs="Arial"/>
          <w:szCs w:val="20"/>
        </w:rPr>
        <w:t> %.</w:t>
      </w:r>
    </w:p>
    <w:p w:rsidR="00D20C94" w:rsidRPr="0072569E" w:rsidRDefault="00836FBD" w:rsidP="00836FB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Eurostatu </w:t>
      </w:r>
      <w:r>
        <w:rPr>
          <w:rFonts w:cs="Arial"/>
          <w:b/>
          <w:szCs w:val="20"/>
        </w:rPr>
        <w:t xml:space="preserve">v červenci </w:t>
      </w:r>
      <w:r w:rsidRPr="00112ABB">
        <w:rPr>
          <w:rFonts w:cs="Arial"/>
          <w:szCs w:val="20"/>
        </w:rPr>
        <w:t>1,</w:t>
      </w:r>
      <w:r>
        <w:rPr>
          <w:rFonts w:cs="Arial"/>
          <w:szCs w:val="20"/>
        </w:rPr>
        <w:t>4</w:t>
      </w:r>
      <w:r w:rsidRPr="00112ABB">
        <w:rPr>
          <w:rFonts w:cs="Arial"/>
          <w:szCs w:val="20"/>
        </w:rPr>
        <w:t> %,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v červnu.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4,1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Naopak v Portugalsku, jako jediné zemi EU, ceny klesly o 0,7 %.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červenci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3,0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2,7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červnu.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1,1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srpnu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 xml:space="preserve">HICP </w:t>
      </w:r>
      <w:r w:rsidRPr="00BF4B4C">
        <w:rPr>
          <w:rFonts w:cs="Arial"/>
          <w:szCs w:val="20"/>
        </w:rPr>
        <w:t xml:space="preserve">v ČR </w:t>
      </w:r>
      <w:r w:rsidRPr="007C69AE">
        <w:rPr>
          <w:rFonts w:cs="Arial"/>
          <w:szCs w:val="20"/>
        </w:rPr>
        <w:t>0,1 % a </w:t>
      </w:r>
      <w:r w:rsidRPr="007C69AE">
        <w:rPr>
          <w:rFonts w:cs="Arial"/>
          <w:b/>
          <w:szCs w:val="20"/>
        </w:rPr>
        <w:t xml:space="preserve">meziroční </w:t>
      </w:r>
      <w:r w:rsidRPr="007C69AE">
        <w:rPr>
          <w:rFonts w:cs="Arial"/>
          <w:szCs w:val="20"/>
        </w:rPr>
        <w:t xml:space="preserve">2,6 %. Bleskový odhad meziroční změny HICP </w:t>
      </w:r>
      <w:r w:rsidRPr="007C69AE">
        <w:rPr>
          <w:rFonts w:cs="Arial"/>
          <w:b/>
          <w:szCs w:val="20"/>
        </w:rPr>
        <w:t>pro</w:t>
      </w:r>
      <w:r w:rsidRPr="007C69AE">
        <w:rPr>
          <w:rFonts w:cs="Arial"/>
          <w:b/>
          <w:bCs/>
          <w:szCs w:val="20"/>
        </w:rPr>
        <w:t xml:space="preserve"> eurozónu </w:t>
      </w:r>
      <w:r w:rsidRPr="007C69AE">
        <w:rPr>
          <w:rFonts w:cs="Arial"/>
          <w:b/>
          <w:szCs w:val="20"/>
        </w:rPr>
        <w:t>za</w:t>
      </w:r>
      <w:r w:rsidRPr="007C69AE">
        <w:rPr>
          <w:rFonts w:cs="Arial"/>
          <w:b/>
          <w:bCs/>
          <w:szCs w:val="20"/>
        </w:rPr>
        <w:t> srpen 2019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>je 1,</w:t>
      </w:r>
      <w:r>
        <w:rPr>
          <w:rFonts w:cs="Arial"/>
          <w:szCs w:val="20"/>
        </w:rPr>
        <w:t>0</w:t>
      </w:r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72569E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B7" w:rsidRDefault="001356B7" w:rsidP="00E71A58">
      <w:r>
        <w:separator/>
      </w:r>
    </w:p>
  </w:endnote>
  <w:endnote w:type="continuationSeparator" w:id="0">
    <w:p w:rsidR="001356B7" w:rsidRDefault="001356B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162C">
      <w:rPr>
        <w:szCs w:val="16"/>
      </w:rPr>
      <w:t>srpen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B162C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B7" w:rsidRDefault="001356B7" w:rsidP="00E71A58">
      <w:r>
        <w:separator/>
      </w:r>
    </w:p>
  </w:footnote>
  <w:footnote w:type="continuationSeparator" w:id="0">
    <w:p w:rsidR="001356B7" w:rsidRDefault="001356B7" w:rsidP="00E71A58">
      <w:r>
        <w:continuationSeparator/>
      </w:r>
    </w:p>
  </w:footnote>
  <w:footnote w:id="1">
    <w:p w:rsidR="00836FBD" w:rsidRDefault="00836FBD" w:rsidP="00836FB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67BE-213A-43B4-89FE-F266B4E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171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97</cp:revision>
  <cp:lastPrinted>2017-01-18T13:33:00Z</cp:lastPrinted>
  <dcterms:created xsi:type="dcterms:W3CDTF">2017-02-09T16:27:00Z</dcterms:created>
  <dcterms:modified xsi:type="dcterms:W3CDTF">2019-09-09T09:10:00Z</dcterms:modified>
</cp:coreProperties>
</file>