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růst </w:t>
      </w:r>
      <w:r w:rsidR="00DE40E0">
        <w:t>spotřebitelských cen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E40E0">
        <w:t>listopad</w:t>
      </w:r>
      <w:r w:rsidR="00250429">
        <w:t> 2019</w:t>
      </w:r>
    </w:p>
    <w:p w:rsidR="00C031B4" w:rsidRPr="0072569E" w:rsidRDefault="00DE40E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listopadu</w:t>
      </w:r>
      <w:r w:rsidRPr="002E7BAD">
        <w:t xml:space="preserve"> proti </w:t>
      </w:r>
      <w:r>
        <w:t>říjnu</w:t>
      </w:r>
      <w:r w:rsidRPr="002E7BAD">
        <w:t xml:space="preserve"> o 0,</w:t>
      </w:r>
      <w:r>
        <w:t>3</w:t>
      </w:r>
      <w:r w:rsidRPr="002E7BAD">
        <w:t> %</w:t>
      </w:r>
      <w:r>
        <w:t xml:space="preserve">. </w:t>
      </w:r>
      <w:r w:rsidRPr="005478A9">
        <w:t>Tento</w:t>
      </w:r>
      <w:r w:rsidRPr="00186648">
        <w:t xml:space="preserve"> </w:t>
      </w:r>
      <w:r>
        <w:t xml:space="preserve">vývoj </w:t>
      </w:r>
      <w:r w:rsidRPr="00186648">
        <w:t xml:space="preserve">ovlivnil </w:t>
      </w:r>
      <w:r>
        <w:t xml:space="preserve">zejména růst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 a v oddíle bydlení.</w:t>
      </w:r>
      <w:r w:rsidRPr="00186648">
        <w:t xml:space="preserve"> </w:t>
      </w:r>
      <w:r w:rsidRPr="002E7BAD">
        <w:t>Meziročně vzrostly spotřebitelské ceny v </w:t>
      </w:r>
      <w:r>
        <w:t>listopadu</w:t>
      </w:r>
      <w:r w:rsidRPr="002E7BAD">
        <w:t xml:space="preserve"> o </w:t>
      </w:r>
      <w:r>
        <w:t>3,1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>více než </w:t>
      </w:r>
      <w:r w:rsidRPr="00895A77">
        <w:t>v</w:t>
      </w:r>
      <w:r>
        <w:t xml:space="preserve"> říjnu. </w:t>
      </w:r>
      <w:r w:rsidRPr="00FC7031">
        <w:t>Jednalo se o nejvyšší meziroční růst cen od října 2012.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49363E">
        <w:rPr>
          <w:rFonts w:cs="Arial"/>
          <w:szCs w:val="20"/>
        </w:rPr>
        <w:t xml:space="preserve">Růst 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ovlivněn především vyššími cenami zeleniny o 4,5 %, ovoce o 3,4 %, vepřového masa o </w:t>
      </w:r>
      <w:r w:rsidRPr="00E841E7">
        <w:rPr>
          <w:rFonts w:cs="Arial"/>
          <w:szCs w:val="20"/>
        </w:rPr>
        <w:t>4,1</w:t>
      </w:r>
      <w:r>
        <w:rPr>
          <w:rFonts w:cs="Arial"/>
          <w:szCs w:val="20"/>
        </w:rPr>
        <w:t> %, sýrů a tvarohů o 2,0 %, uzenin o 1,4 % a cukru o 11,3 %. V oddíle bydlení vzrostly zejména ceny elektřiny o 1,4 %.</w:t>
      </w:r>
    </w:p>
    <w:p w:rsid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listopadu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pošty a telekomunikace, kde byly nižší ceny telefonních a faxových služeb</w:t>
      </w:r>
      <w:r w:rsidRPr="00215B3B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2,2</w:t>
      </w:r>
      <w:r w:rsidRPr="00215B3B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doprava se snížily ceny pohonných hmot a olejů o 0,6 %. Cena benzinu </w:t>
      </w:r>
      <w:proofErr w:type="spellStart"/>
      <w:r>
        <w:rPr>
          <w:rFonts w:eastAsia="Calibri" w:cs="Arial"/>
          <w:szCs w:val="20"/>
        </w:rPr>
        <w:t>Natural</w:t>
      </w:r>
      <w:proofErr w:type="spellEnd"/>
      <w:r>
        <w:rPr>
          <w:rFonts w:eastAsia="Calibri" w:cs="Arial"/>
          <w:szCs w:val="20"/>
        </w:rPr>
        <w:t> 95, po pěti měsících poklesu, dosáhla hodnoty 31,95 Kč/l a byla tak nejnižší od letošního března. Z potravin klesly zejména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>nealkoholických nápojů o 1,6 %, olejů a tuků o 3,3 %.</w:t>
      </w:r>
    </w:p>
    <w:p w:rsidR="0007482F" w:rsidRDefault="00DE40E0" w:rsidP="00DE40E0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D554D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října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Meziročně vzrostly spotřebitelské ceny v listopadu o 3,1 %, což bylo o 0,4 procentního bodu více než v říjnu. Toto zrychlení meziročního cenového růstu bylo ovlivněno především cenami v oddíle potraviny a nealkoholické nápoje, a to částečně i vlivem jejich meziměsíčního poklesu v listopadu 2018. U řady potravin došlo buď k přechodu v růst z jejich říjnového poklesu, nebo ke zrychlení cenového růstu. Ceny mouky byly vyšší o 7,1 % (v říjnu pokles o 0,2 %) a ceny cukru o 13,6 % (v říjnu pokles o 6,9 %). Ceny vepřového masa v listopadu vzrostly o 13,3 % (v říjnu o 5,7 %), uzenin o 10,2 % (v říjnu o 8,4 %), ovoce o 16,2 % (v říjnu o 5,3 %) a zeleniny o 11,8 % (v říjnu o 2,5 %). Ke zmírnění meziročního cenového růstu došlo v oddíle alkoholické nápoje, tabák, kde ceny lihovin vzrostly o 2,2 % (v říjnu o 4,1 %).</w:t>
      </w:r>
    </w:p>
    <w:p w:rsidR="00DE40E0" w:rsidRPr="00DE40E0" w:rsidRDefault="00DE40E0" w:rsidP="00DE40E0">
      <w:pPr>
        <w:jc w:val="both"/>
        <w:rPr>
          <w:rFonts w:cs="Arial"/>
          <w:szCs w:val="20"/>
        </w:rPr>
      </w:pPr>
      <w:r w:rsidRPr="00DE40E0">
        <w:rPr>
          <w:rFonts w:cs="Arial"/>
          <w:szCs w:val="20"/>
        </w:rPr>
        <w:t xml:space="preserve">Na meziroční zvyšování cenové hladiny měly v listopadu opět </w:t>
      </w:r>
      <w:r w:rsidRPr="00DE40E0">
        <w:rPr>
          <w:szCs w:val="20"/>
        </w:rPr>
        <w:t xml:space="preserve">největší vliv ceny v oddíle bydlení, kde se zvýšily ceny nájemného z bytu o 3,8 %, vodného a stočného shodně o 2,6 %, elektřiny o 11,5 %, zemního plynu o 3,4 %, tuhých paliv o 1,0 %, tepla a teplé vody o 4,0 %. Další v pořadí vlivu byly ceny v oddíle </w:t>
      </w:r>
      <w:r w:rsidRPr="00DE40E0">
        <w:rPr>
          <w:rFonts w:cs="Arial"/>
          <w:szCs w:val="20"/>
        </w:rPr>
        <w:t>potraviny a nealkoholické nápoje, kde vzrostly ceny masa o 7,8 %, jogurtů o 5,7 % a brambor o 23,5 %. Vliv na zvýšení celkové cenové hladiny měly také ceny</w:t>
      </w:r>
      <w:r w:rsidRPr="00DE40E0">
        <w:rPr>
          <w:szCs w:val="20"/>
        </w:rPr>
        <w:t xml:space="preserve"> v</w:t>
      </w:r>
      <w:r w:rsidRPr="00DE40E0">
        <w:rPr>
          <w:rFonts w:cs="Arial"/>
          <w:szCs w:val="20"/>
        </w:rPr>
        <w:t> oddíle stravování a ubytování, kde byly vyšší ceny stravovacích služeb o 4,8 % a ceny ubytovacích služeb o 3,3 %.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DE40E0">
        <w:rPr>
          <w:rFonts w:eastAsia="Calibri"/>
          <w:szCs w:val="20"/>
        </w:rPr>
        <w:t>Na meziroční snižování celkové cenové hladiny v listopadu nadále působily ceny v oddíle pošty a telekomunikace především vlivem cen telefonních a faxových služeb, které byly nižší o 4,1 %. Ceny v oddíle odívání a obuv klesly o 0,8 % a ceny v oddíle doprava o 0,1 %.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Ceny zboží úhrnem vzrostly o 2,9 % a ceny služeb o 3,7 %. Úhrnný index spotřebitelských cen bez započtení imputovaného nájemného (nákladů vlastnického bydlení) byl meziročně 103,1 %.</w:t>
      </w:r>
    </w:p>
    <w:p w:rsidR="00DE40E0" w:rsidRPr="00DE40E0" w:rsidRDefault="00DE40E0" w:rsidP="00DE40E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E40E0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listopadu 2,7 %.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E40E0">
        <w:rPr>
          <w:rFonts w:cs="Arial"/>
          <w:b/>
          <w:sz w:val="20"/>
          <w:szCs w:val="20"/>
        </w:rPr>
        <w:lastRenderedPageBreak/>
        <w:t>Meziroční</w:t>
      </w:r>
      <w:r w:rsidRPr="00DE40E0">
        <w:rPr>
          <w:rFonts w:cs="Arial"/>
          <w:sz w:val="20"/>
          <w:szCs w:val="20"/>
        </w:rPr>
        <w:t xml:space="preserve"> změna průměrného </w:t>
      </w:r>
      <w:r w:rsidRPr="00DE40E0">
        <w:rPr>
          <w:rFonts w:cs="Arial"/>
          <w:b/>
          <w:bCs/>
          <w:sz w:val="20"/>
          <w:szCs w:val="20"/>
        </w:rPr>
        <w:t>harmonizovaného indexu spotřebitelských cen</w:t>
      </w:r>
      <w:r w:rsidRPr="00DE40E0">
        <w:rPr>
          <w:rFonts w:cs="Arial"/>
          <w:sz w:val="20"/>
          <w:szCs w:val="20"/>
        </w:rPr>
        <w:t xml:space="preserve"> (HICP)</w:t>
      </w:r>
      <w:r w:rsidRPr="00DE40E0">
        <w:rPr>
          <w:rStyle w:val="Znakapoznpodarou"/>
          <w:rFonts w:cs="Arial"/>
          <w:sz w:val="20"/>
          <w:szCs w:val="20"/>
        </w:rPr>
        <w:footnoteReference w:id="1"/>
      </w:r>
      <w:r w:rsidRPr="00DE40E0">
        <w:rPr>
          <w:rFonts w:cs="Arial"/>
          <w:sz w:val="20"/>
          <w:szCs w:val="20"/>
          <w:vertAlign w:val="superscript"/>
        </w:rPr>
        <w:t>)</w:t>
      </w:r>
      <w:r w:rsidRPr="00DE40E0">
        <w:rPr>
          <w:rFonts w:cs="Arial"/>
          <w:sz w:val="20"/>
          <w:szCs w:val="20"/>
        </w:rPr>
        <w:t xml:space="preserve"> </w:t>
      </w:r>
      <w:r w:rsidRPr="00DE40E0">
        <w:rPr>
          <w:rFonts w:cs="Arial"/>
          <w:b/>
          <w:bCs/>
          <w:sz w:val="20"/>
          <w:szCs w:val="20"/>
        </w:rPr>
        <w:t>28 členských zemí EU</w:t>
      </w:r>
      <w:r w:rsidRPr="00DE40E0">
        <w:rPr>
          <w:rFonts w:cs="Arial"/>
          <w:sz w:val="20"/>
          <w:szCs w:val="20"/>
        </w:rPr>
        <w:t xml:space="preserve"> byla podle předběžných údajů Eurostatu </w:t>
      </w:r>
      <w:r w:rsidRPr="00DE40E0">
        <w:rPr>
          <w:rFonts w:cs="Arial"/>
          <w:b/>
          <w:sz w:val="20"/>
          <w:szCs w:val="20"/>
        </w:rPr>
        <w:t xml:space="preserve">v říjnu </w:t>
      </w:r>
      <w:r w:rsidRPr="00DE40E0">
        <w:rPr>
          <w:rFonts w:cs="Arial"/>
          <w:sz w:val="20"/>
          <w:szCs w:val="20"/>
        </w:rPr>
        <w:t xml:space="preserve">1,1 %, což bylo o 0,1 procentního bodu méně než v září. </w:t>
      </w:r>
      <w:r w:rsidRPr="00DE40E0">
        <w:rPr>
          <w:rFonts w:cs="Arial"/>
          <w:bCs/>
          <w:sz w:val="20"/>
          <w:szCs w:val="20"/>
        </w:rPr>
        <w:t xml:space="preserve">Nejvíce ceny vzrostly v Rumunsku (o 3,2 %). </w:t>
      </w:r>
      <w:r w:rsidRPr="00DE40E0">
        <w:rPr>
          <w:rFonts w:cs="Arial"/>
          <w:sz w:val="20"/>
          <w:szCs w:val="20"/>
        </w:rPr>
        <w:t>Naopak ve třech zemích EU ceny klesly, z toho nejvíce na Kypru (</w:t>
      </w:r>
      <w:r w:rsidRPr="00DE40E0">
        <w:rPr>
          <w:rFonts w:cs="Arial"/>
          <w:bCs/>
          <w:sz w:val="20"/>
          <w:szCs w:val="20"/>
        </w:rPr>
        <w:t>o 0,5 %). Na Slovensku</w:t>
      </w:r>
      <w:r w:rsidRPr="00DE40E0">
        <w:rPr>
          <w:rFonts w:cs="Arial"/>
          <w:sz w:val="20"/>
          <w:szCs w:val="20"/>
        </w:rPr>
        <w:t xml:space="preserve"> se ceny v říjnu zvýšily o 2,9 % (v září o 3,0 %). V Německu byly ceny v říjnu i v září vyšší o 0,9 %. Podle předběžných výpočtů vzrostl </w:t>
      </w:r>
      <w:r w:rsidRPr="00DE40E0">
        <w:rPr>
          <w:rFonts w:cs="Arial"/>
          <w:b/>
          <w:sz w:val="20"/>
          <w:szCs w:val="20"/>
        </w:rPr>
        <w:t xml:space="preserve">v listopadu </w:t>
      </w:r>
      <w:r w:rsidRPr="00DE40E0">
        <w:rPr>
          <w:rFonts w:cs="Arial"/>
          <w:sz w:val="20"/>
          <w:szCs w:val="20"/>
        </w:rPr>
        <w:t>HICP v ČR</w:t>
      </w:r>
      <w:r w:rsidRPr="00DE40E0">
        <w:rPr>
          <w:rFonts w:cs="Arial"/>
          <w:b/>
          <w:sz w:val="20"/>
          <w:szCs w:val="20"/>
        </w:rPr>
        <w:t xml:space="preserve"> meziměsíčně</w:t>
      </w:r>
      <w:r w:rsidRPr="00DE40E0">
        <w:rPr>
          <w:rFonts w:cs="Arial"/>
          <w:sz w:val="20"/>
          <w:szCs w:val="20"/>
        </w:rPr>
        <w:t xml:space="preserve"> o 0,1 % a </w:t>
      </w:r>
      <w:r w:rsidRPr="00DE40E0">
        <w:rPr>
          <w:rFonts w:cs="Arial"/>
          <w:b/>
          <w:sz w:val="20"/>
          <w:szCs w:val="20"/>
        </w:rPr>
        <w:t>meziročně</w:t>
      </w:r>
      <w:r w:rsidRPr="00DE40E0">
        <w:rPr>
          <w:rFonts w:cs="Arial"/>
          <w:sz w:val="20"/>
          <w:szCs w:val="20"/>
        </w:rPr>
        <w:t xml:space="preserve"> o 3,0 %. Bleskový odhad meziroční změny HICP </w:t>
      </w:r>
      <w:r w:rsidRPr="00DE40E0">
        <w:rPr>
          <w:rFonts w:cs="Arial"/>
          <w:b/>
          <w:sz w:val="20"/>
          <w:szCs w:val="20"/>
        </w:rPr>
        <w:t>pro</w:t>
      </w:r>
      <w:r w:rsidRPr="00DE40E0">
        <w:rPr>
          <w:rFonts w:cs="Arial"/>
          <w:b/>
          <w:bCs/>
          <w:sz w:val="20"/>
          <w:szCs w:val="20"/>
        </w:rPr>
        <w:t xml:space="preserve"> eurozónu </w:t>
      </w:r>
      <w:r w:rsidRPr="00DE40E0">
        <w:rPr>
          <w:rFonts w:cs="Arial"/>
          <w:b/>
          <w:sz w:val="20"/>
          <w:szCs w:val="20"/>
        </w:rPr>
        <w:t>za</w:t>
      </w:r>
      <w:r w:rsidRPr="00DE40E0">
        <w:rPr>
          <w:rFonts w:cs="Arial"/>
          <w:b/>
          <w:bCs/>
          <w:sz w:val="20"/>
          <w:szCs w:val="20"/>
        </w:rPr>
        <w:t> listopad 2019</w:t>
      </w:r>
      <w:r w:rsidRPr="00DE40E0">
        <w:rPr>
          <w:rFonts w:cs="Arial"/>
          <w:sz w:val="20"/>
          <w:szCs w:val="20"/>
        </w:rPr>
        <w:t xml:space="preserve"> je 1,0 %, jak uvedl Eurostat. (Více informací na internetových stránkách Eurostatu: </w:t>
      </w:r>
      <w:hyperlink r:id="rId8" w:history="1">
        <w:r w:rsidRPr="00DE40E0">
          <w:rPr>
            <w:rStyle w:val="Hypertextovodkaz"/>
            <w:sz w:val="20"/>
            <w:szCs w:val="20"/>
          </w:rPr>
          <w:t>HICP</w:t>
        </w:r>
      </w:hyperlink>
      <w:r w:rsidRPr="00DE40E0">
        <w:rPr>
          <w:sz w:val="20"/>
          <w:szCs w:val="20"/>
        </w:rPr>
        <w:t>.</w:t>
      </w:r>
      <w:r w:rsidRPr="00DE40E0">
        <w:rPr>
          <w:rFonts w:cs="Arial"/>
          <w:sz w:val="20"/>
          <w:szCs w:val="20"/>
        </w:rPr>
        <w:t>)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20C94" w:rsidRPr="00DE40E0" w:rsidRDefault="00DE40E0" w:rsidP="00DE40E0">
      <w:pPr>
        <w:jc w:val="both"/>
        <w:rPr>
          <w:rFonts w:cs="Arial"/>
          <w:iCs/>
          <w:szCs w:val="20"/>
        </w:rPr>
      </w:pPr>
      <w:r w:rsidRPr="00DE40E0">
        <w:rPr>
          <w:rFonts w:cs="Arial"/>
          <w:iCs/>
          <w:szCs w:val="20"/>
        </w:rPr>
        <w:t>Od ledna 2020 budou indexy spotřebitelských cen počítány na aktualizovaných vahách, které budou vycházet z výdajů domácností v roce 2018.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E40E0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F0" w:rsidRDefault="00A462F0" w:rsidP="00E71A58">
      <w:r>
        <w:separator/>
      </w:r>
    </w:p>
  </w:endnote>
  <w:endnote w:type="continuationSeparator" w:id="0">
    <w:p w:rsidR="00A462F0" w:rsidRDefault="00A462F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CA2A0E">
      <w:rPr>
        <w:szCs w:val="16"/>
      </w:rPr>
      <w:t>listopad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CA2A0E">
      <w:rPr>
        <w:rStyle w:val="ZpatChar"/>
        <w:i/>
        <w:szCs w:val="16"/>
      </w:rPr>
      <w:t>Novem</w:t>
    </w:r>
    <w:r w:rsidR="007A2B58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F0" w:rsidRDefault="00A462F0" w:rsidP="00E71A58">
      <w:r>
        <w:separator/>
      </w:r>
    </w:p>
  </w:footnote>
  <w:footnote w:type="continuationSeparator" w:id="0">
    <w:p w:rsidR="00A462F0" w:rsidRDefault="00A462F0" w:rsidP="00E71A58">
      <w:r>
        <w:continuationSeparator/>
      </w:r>
    </w:p>
  </w:footnote>
  <w:footnote w:id="1">
    <w:p w:rsidR="00DE40E0" w:rsidRDefault="00DE40E0" w:rsidP="00DE40E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FE59-E59F-4EDF-AE71-99B9DFD4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179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106</cp:revision>
  <cp:lastPrinted>2017-01-18T13:33:00Z</cp:lastPrinted>
  <dcterms:created xsi:type="dcterms:W3CDTF">2017-02-09T16:27:00Z</dcterms:created>
  <dcterms:modified xsi:type="dcterms:W3CDTF">2019-12-10T09:04:00Z</dcterms:modified>
</cp:coreProperties>
</file>