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D" w:rsidRPr="001A57EA" w:rsidRDefault="00F2609D" w:rsidP="00B35CF2">
      <w:pPr>
        <w:spacing w:after="240"/>
        <w:rPr>
          <w:rFonts w:ascii="Arial" w:hAnsi="Arial" w:cs="Arial"/>
          <w:b/>
          <w:sz w:val="24"/>
          <w:szCs w:val="24"/>
        </w:rPr>
      </w:pPr>
      <w:bookmarkStart w:id="0" w:name="_GoBack"/>
      <w:bookmarkEnd w:id="0"/>
      <w:r w:rsidRPr="001A57EA">
        <w:rPr>
          <w:rFonts w:ascii="Arial" w:hAnsi="Arial" w:cs="Arial"/>
          <w:b/>
          <w:sz w:val="24"/>
          <w:szCs w:val="24"/>
        </w:rPr>
        <w:t xml:space="preserve">Zahraniční obchod České republiky </w:t>
      </w:r>
      <w:r w:rsidR="00A42047" w:rsidRPr="001A57EA">
        <w:rPr>
          <w:rFonts w:ascii="Arial" w:hAnsi="Arial" w:cs="Arial"/>
          <w:b/>
          <w:sz w:val="24"/>
          <w:szCs w:val="24"/>
        </w:rPr>
        <w:t>se zbožím</w:t>
      </w:r>
      <w:r w:rsidR="00246346" w:rsidRPr="001A57EA">
        <w:rPr>
          <w:rStyle w:val="Znakapoznpodarou"/>
          <w:rFonts w:ascii="Arial" w:hAnsi="Arial" w:cs="Arial"/>
          <w:b/>
          <w:sz w:val="24"/>
          <w:szCs w:val="24"/>
        </w:rPr>
        <w:footnoteReference w:id="1"/>
      </w:r>
      <w:r w:rsidRPr="001A57EA">
        <w:rPr>
          <w:rFonts w:ascii="Arial" w:hAnsi="Arial" w:cs="Arial"/>
          <w:b/>
          <w:sz w:val="24"/>
          <w:szCs w:val="24"/>
        </w:rPr>
        <w:t xml:space="preserve"> v roce 201</w:t>
      </w:r>
      <w:r w:rsidR="001A57EA">
        <w:rPr>
          <w:rFonts w:ascii="Arial" w:hAnsi="Arial" w:cs="Arial"/>
          <w:b/>
          <w:sz w:val="24"/>
          <w:szCs w:val="24"/>
        </w:rPr>
        <w:t>8</w:t>
      </w:r>
    </w:p>
    <w:p w:rsidR="00F2609D" w:rsidRPr="001D6C2A" w:rsidRDefault="00353F09" w:rsidP="00B35CF2">
      <w:pPr>
        <w:numPr>
          <w:ilvl w:val="0"/>
          <w:numId w:val="1"/>
        </w:numPr>
        <w:spacing w:after="120"/>
        <w:ind w:left="284" w:hanging="284"/>
        <w:rPr>
          <w:rFonts w:ascii="Arial" w:hAnsi="Arial" w:cs="Arial"/>
          <w:b/>
        </w:rPr>
      </w:pPr>
      <w:r w:rsidRPr="001D6C2A">
        <w:rPr>
          <w:rFonts w:ascii="Arial" w:hAnsi="Arial" w:cs="Arial"/>
          <w:b/>
        </w:rPr>
        <w:t>V</w:t>
      </w:r>
      <w:r w:rsidR="00F2609D" w:rsidRPr="001D6C2A">
        <w:rPr>
          <w:rFonts w:ascii="Arial" w:hAnsi="Arial" w:cs="Arial"/>
          <w:b/>
        </w:rPr>
        <w:t xml:space="preserve">ývoj zahraničního obchodu </w:t>
      </w:r>
    </w:p>
    <w:p w:rsidR="002838CC" w:rsidRPr="002838CC" w:rsidRDefault="002838CC" w:rsidP="003448F8">
      <w:pPr>
        <w:spacing w:after="160"/>
        <w:jc w:val="both"/>
        <w:rPr>
          <w:rFonts w:ascii="Arial" w:hAnsi="Arial" w:cs="Arial"/>
          <w:sz w:val="18"/>
          <w:szCs w:val="18"/>
        </w:rPr>
      </w:pPr>
      <w:r>
        <w:rPr>
          <w:rFonts w:ascii="Arial" w:hAnsi="Arial" w:cs="Arial"/>
          <w:sz w:val="18"/>
          <w:szCs w:val="18"/>
        </w:rPr>
        <w:t xml:space="preserve">Zahraniční obchod České republiky se zbožím </w:t>
      </w:r>
      <w:r w:rsidR="000E2147">
        <w:rPr>
          <w:rFonts w:ascii="Arial" w:hAnsi="Arial" w:cs="Arial"/>
          <w:sz w:val="18"/>
          <w:szCs w:val="18"/>
        </w:rPr>
        <w:t xml:space="preserve">pokračoval </w:t>
      </w:r>
      <w:r w:rsidR="008A6258">
        <w:rPr>
          <w:rFonts w:ascii="Arial" w:hAnsi="Arial" w:cs="Arial"/>
          <w:sz w:val="18"/>
          <w:szCs w:val="18"/>
        </w:rPr>
        <w:t xml:space="preserve">v roce 2018 </w:t>
      </w:r>
      <w:r w:rsidR="000E2147">
        <w:rPr>
          <w:rFonts w:ascii="Arial" w:hAnsi="Arial" w:cs="Arial"/>
          <w:sz w:val="18"/>
          <w:szCs w:val="18"/>
        </w:rPr>
        <w:t>v růstu</w:t>
      </w:r>
      <w:r>
        <w:rPr>
          <w:rFonts w:ascii="Arial" w:hAnsi="Arial" w:cs="Arial"/>
          <w:sz w:val="18"/>
          <w:szCs w:val="18"/>
        </w:rPr>
        <w:t xml:space="preserve">. </w:t>
      </w:r>
      <w:r w:rsidR="00072739" w:rsidRPr="007B17C1">
        <w:rPr>
          <w:rFonts w:ascii="Arial" w:hAnsi="Arial" w:cs="Arial"/>
          <w:b/>
          <w:sz w:val="18"/>
          <w:szCs w:val="18"/>
        </w:rPr>
        <w:t>Obrat zahraničního obchodu</w:t>
      </w:r>
      <w:r w:rsidR="00072739">
        <w:rPr>
          <w:rFonts w:ascii="Arial" w:hAnsi="Arial" w:cs="Arial"/>
          <w:sz w:val="18"/>
          <w:szCs w:val="18"/>
        </w:rPr>
        <w:t xml:space="preserve"> se meziročně zvýšil o 4,7 %, přičemž absolutní přírůstek 381,0 mld. Kč byl ve srovnání s loňským rokem o 196,3 mld. Kč nižší. Souč</w:t>
      </w:r>
      <w:r w:rsidR="008A6258">
        <w:rPr>
          <w:rFonts w:ascii="Arial" w:hAnsi="Arial" w:cs="Arial"/>
          <w:sz w:val="18"/>
          <w:szCs w:val="18"/>
        </w:rPr>
        <w:t>et</w:t>
      </w:r>
      <w:r w:rsidR="00072739">
        <w:rPr>
          <w:rFonts w:ascii="Arial" w:hAnsi="Arial" w:cs="Arial"/>
          <w:sz w:val="18"/>
          <w:szCs w:val="18"/>
        </w:rPr>
        <w:t xml:space="preserve"> vývozu a dovozu</w:t>
      </w:r>
      <w:r w:rsidR="00A77FA1">
        <w:rPr>
          <w:rFonts w:ascii="Arial" w:hAnsi="Arial" w:cs="Arial"/>
          <w:sz w:val="18"/>
          <w:szCs w:val="18"/>
        </w:rPr>
        <w:t xml:space="preserve"> </w:t>
      </w:r>
      <w:r w:rsidR="008A6258">
        <w:rPr>
          <w:rFonts w:ascii="Arial" w:hAnsi="Arial" w:cs="Arial"/>
          <w:sz w:val="18"/>
          <w:szCs w:val="18"/>
        </w:rPr>
        <w:t>v hodnot</w:t>
      </w:r>
      <w:r w:rsidR="005170AC">
        <w:rPr>
          <w:rFonts w:ascii="Arial" w:hAnsi="Arial" w:cs="Arial"/>
          <w:sz w:val="18"/>
          <w:szCs w:val="18"/>
        </w:rPr>
        <w:t>ě</w:t>
      </w:r>
      <w:r w:rsidR="00A77FA1">
        <w:rPr>
          <w:rFonts w:ascii="Arial" w:hAnsi="Arial" w:cs="Arial"/>
          <w:sz w:val="18"/>
          <w:szCs w:val="18"/>
        </w:rPr>
        <w:t xml:space="preserve"> 8 427,0 mld. Kč</w:t>
      </w:r>
      <w:r w:rsidR="005170AC">
        <w:rPr>
          <w:rFonts w:ascii="Arial" w:hAnsi="Arial" w:cs="Arial"/>
          <w:sz w:val="18"/>
          <w:szCs w:val="18"/>
        </w:rPr>
        <w:t xml:space="preserve"> </w:t>
      </w:r>
      <w:r w:rsidR="00486F77">
        <w:rPr>
          <w:rFonts w:ascii="Arial" w:hAnsi="Arial" w:cs="Arial"/>
          <w:sz w:val="18"/>
          <w:szCs w:val="18"/>
        </w:rPr>
        <w:t>se stal nejvyšším</w:t>
      </w:r>
      <w:r w:rsidR="005170AC">
        <w:rPr>
          <w:rFonts w:ascii="Arial" w:hAnsi="Arial" w:cs="Arial"/>
          <w:sz w:val="18"/>
          <w:szCs w:val="18"/>
        </w:rPr>
        <w:t xml:space="preserve"> od vzniku České republiky</w:t>
      </w:r>
      <w:r w:rsidR="00A77FA1">
        <w:rPr>
          <w:rFonts w:ascii="Arial" w:hAnsi="Arial" w:cs="Arial"/>
          <w:sz w:val="18"/>
          <w:szCs w:val="18"/>
        </w:rPr>
        <w:t>.</w:t>
      </w:r>
    </w:p>
    <w:p w:rsidR="004C07BE" w:rsidRPr="00F36FA2" w:rsidRDefault="00F2609D" w:rsidP="00ED48FA">
      <w:pPr>
        <w:spacing w:after="80"/>
        <w:rPr>
          <w:rFonts w:ascii="Arial" w:hAnsi="Arial" w:cs="Arial"/>
          <w:b/>
          <w:sz w:val="18"/>
          <w:szCs w:val="18"/>
        </w:rPr>
      </w:pPr>
      <w:r w:rsidRPr="00F36FA2">
        <w:rPr>
          <w:rFonts w:ascii="Arial" w:hAnsi="Arial" w:cs="Arial"/>
          <w:b/>
          <w:sz w:val="18"/>
          <w:szCs w:val="18"/>
        </w:rPr>
        <w:t xml:space="preserve">Graf 1 </w:t>
      </w:r>
      <w:r w:rsidR="005654EF" w:rsidRPr="00F36FA2">
        <w:rPr>
          <w:rFonts w:ascii="Arial" w:hAnsi="Arial" w:cs="Arial"/>
          <w:b/>
          <w:sz w:val="18"/>
          <w:szCs w:val="18"/>
        </w:rPr>
        <w:t>-</w:t>
      </w:r>
      <w:r w:rsidRPr="00F36FA2">
        <w:rPr>
          <w:rFonts w:ascii="Arial" w:hAnsi="Arial" w:cs="Arial"/>
          <w:b/>
          <w:sz w:val="18"/>
          <w:szCs w:val="18"/>
        </w:rPr>
        <w:t xml:space="preserve"> </w:t>
      </w:r>
      <w:r w:rsidR="005654EF" w:rsidRPr="00F36FA2">
        <w:rPr>
          <w:rFonts w:ascii="Arial" w:hAnsi="Arial" w:cs="Arial"/>
          <w:b/>
          <w:sz w:val="18"/>
          <w:szCs w:val="18"/>
        </w:rPr>
        <w:t>Meziroční změny obratu zahraničního obchodu</w:t>
      </w:r>
      <w:r w:rsidRPr="00F36FA2">
        <w:rPr>
          <w:rFonts w:ascii="Arial" w:hAnsi="Arial" w:cs="Arial"/>
          <w:b/>
          <w:sz w:val="18"/>
          <w:szCs w:val="18"/>
        </w:rPr>
        <w:t xml:space="preserve"> </w:t>
      </w:r>
    </w:p>
    <w:p w:rsidR="005654EF" w:rsidRPr="001A57EA" w:rsidRDefault="00676458" w:rsidP="00DB1D98">
      <w:pPr>
        <w:spacing w:after="0"/>
        <w:rPr>
          <w:rFonts w:ascii="Arial" w:hAnsi="Arial" w:cs="Arial"/>
          <w:b/>
          <w:color w:val="FF0000"/>
          <w:sz w:val="18"/>
          <w:szCs w:val="18"/>
        </w:rPr>
      </w:pPr>
      <w:r>
        <w:rPr>
          <w:rFonts w:ascii="Arial" w:hAnsi="Arial" w:cs="Arial"/>
          <w:b/>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49.25pt">
            <v:imagedata r:id="rId9" o:title=""/>
          </v:shape>
        </w:pict>
      </w:r>
    </w:p>
    <w:p w:rsidR="00765D26" w:rsidRPr="001A57EA" w:rsidRDefault="00765D26" w:rsidP="00765D26">
      <w:pPr>
        <w:spacing w:after="0"/>
        <w:jc w:val="both"/>
        <w:rPr>
          <w:rFonts w:ascii="Arial" w:hAnsi="Arial" w:cs="Arial"/>
          <w:b/>
          <w:color w:val="FF0000"/>
          <w:sz w:val="6"/>
          <w:szCs w:val="6"/>
        </w:rPr>
      </w:pPr>
    </w:p>
    <w:p w:rsidR="003C2F5C" w:rsidRPr="0030726C" w:rsidRDefault="003C2F5C" w:rsidP="0042621D">
      <w:pPr>
        <w:spacing w:before="200" w:after="160"/>
        <w:jc w:val="both"/>
        <w:rPr>
          <w:rFonts w:ascii="Arial" w:hAnsi="Arial" w:cs="Arial"/>
          <w:sz w:val="18"/>
          <w:szCs w:val="18"/>
        </w:rPr>
      </w:pPr>
      <w:r w:rsidRPr="0030726C">
        <w:rPr>
          <w:rFonts w:ascii="Arial" w:hAnsi="Arial" w:cs="Arial"/>
          <w:sz w:val="18"/>
          <w:szCs w:val="18"/>
        </w:rPr>
        <w:t xml:space="preserve">Celková hodnota </w:t>
      </w:r>
      <w:r w:rsidRPr="0030726C">
        <w:rPr>
          <w:rFonts w:ascii="Arial" w:hAnsi="Arial" w:cs="Arial"/>
          <w:b/>
          <w:sz w:val="18"/>
          <w:szCs w:val="18"/>
        </w:rPr>
        <w:t>zboží vyvezeného</w:t>
      </w:r>
      <w:r w:rsidRPr="0030726C">
        <w:rPr>
          <w:rFonts w:ascii="Arial" w:hAnsi="Arial" w:cs="Arial"/>
          <w:sz w:val="18"/>
          <w:szCs w:val="18"/>
        </w:rPr>
        <w:t xml:space="preserve"> z České republiky v roce 201</w:t>
      </w:r>
      <w:r w:rsidR="0030726C">
        <w:rPr>
          <w:rFonts w:ascii="Arial" w:hAnsi="Arial" w:cs="Arial"/>
          <w:sz w:val="18"/>
          <w:szCs w:val="18"/>
        </w:rPr>
        <w:t>8</w:t>
      </w:r>
      <w:r w:rsidRPr="0030726C">
        <w:rPr>
          <w:rFonts w:ascii="Arial" w:hAnsi="Arial" w:cs="Arial"/>
          <w:sz w:val="18"/>
          <w:szCs w:val="18"/>
        </w:rPr>
        <w:t xml:space="preserve"> </w:t>
      </w:r>
      <w:r w:rsidR="00966DB9" w:rsidRPr="0030726C">
        <w:rPr>
          <w:rFonts w:ascii="Arial" w:hAnsi="Arial" w:cs="Arial"/>
          <w:sz w:val="18"/>
          <w:szCs w:val="18"/>
        </w:rPr>
        <w:t>se rovnala</w:t>
      </w:r>
      <w:r w:rsidRPr="0030726C">
        <w:rPr>
          <w:rFonts w:ascii="Arial" w:hAnsi="Arial" w:cs="Arial"/>
          <w:sz w:val="18"/>
          <w:szCs w:val="18"/>
        </w:rPr>
        <w:t xml:space="preserve"> 4</w:t>
      </w:r>
      <w:r w:rsidR="0030726C">
        <w:rPr>
          <w:rFonts w:ascii="Arial" w:hAnsi="Arial" w:cs="Arial"/>
          <w:sz w:val="18"/>
          <w:szCs w:val="18"/>
        </w:rPr>
        <w:t> 403,8</w:t>
      </w:r>
      <w:r w:rsidRPr="0030726C">
        <w:rPr>
          <w:rFonts w:ascii="Arial" w:hAnsi="Arial" w:cs="Arial"/>
          <w:sz w:val="18"/>
          <w:szCs w:val="18"/>
        </w:rPr>
        <w:t xml:space="preserve"> mld. Kč.</w:t>
      </w:r>
      <w:r w:rsidR="0041343F">
        <w:rPr>
          <w:rFonts w:ascii="Arial" w:hAnsi="Arial" w:cs="Arial"/>
          <w:sz w:val="18"/>
          <w:szCs w:val="18"/>
        </w:rPr>
        <w:t xml:space="preserve"> V porovnání s rokem </w:t>
      </w:r>
      <w:r w:rsidR="00802784" w:rsidRPr="0030726C">
        <w:rPr>
          <w:rFonts w:ascii="Arial" w:hAnsi="Arial" w:cs="Arial"/>
          <w:sz w:val="18"/>
          <w:szCs w:val="18"/>
        </w:rPr>
        <w:t>201</w:t>
      </w:r>
      <w:r w:rsidR="0030726C">
        <w:rPr>
          <w:rFonts w:ascii="Arial" w:hAnsi="Arial" w:cs="Arial"/>
          <w:sz w:val="18"/>
          <w:szCs w:val="18"/>
        </w:rPr>
        <w:t>7</w:t>
      </w:r>
      <w:r w:rsidR="00802784" w:rsidRPr="0030726C">
        <w:rPr>
          <w:rFonts w:ascii="Arial" w:hAnsi="Arial" w:cs="Arial"/>
          <w:sz w:val="18"/>
          <w:szCs w:val="18"/>
        </w:rPr>
        <w:t xml:space="preserve"> vývoz vzrostl o </w:t>
      </w:r>
      <w:r w:rsidR="0030726C">
        <w:rPr>
          <w:rFonts w:ascii="Arial" w:hAnsi="Arial" w:cs="Arial"/>
          <w:sz w:val="18"/>
          <w:szCs w:val="18"/>
        </w:rPr>
        <w:t>3,8</w:t>
      </w:r>
      <w:r w:rsidR="00802784" w:rsidRPr="0030726C">
        <w:rPr>
          <w:rFonts w:ascii="Arial" w:hAnsi="Arial" w:cs="Arial"/>
          <w:sz w:val="18"/>
          <w:szCs w:val="18"/>
        </w:rPr>
        <w:t xml:space="preserve"> %, tj. o </w:t>
      </w:r>
      <w:r w:rsidR="0030726C">
        <w:rPr>
          <w:rFonts w:ascii="Arial" w:hAnsi="Arial" w:cs="Arial"/>
          <w:sz w:val="18"/>
          <w:szCs w:val="18"/>
        </w:rPr>
        <w:t>159,3</w:t>
      </w:r>
      <w:r w:rsidR="00802784" w:rsidRPr="0030726C">
        <w:rPr>
          <w:rFonts w:ascii="Arial" w:hAnsi="Arial" w:cs="Arial"/>
          <w:sz w:val="18"/>
          <w:szCs w:val="18"/>
        </w:rPr>
        <w:t xml:space="preserve"> mld. Kč</w:t>
      </w:r>
      <w:r w:rsidR="00965DF0" w:rsidRPr="0030726C">
        <w:rPr>
          <w:rFonts w:ascii="Arial" w:hAnsi="Arial" w:cs="Arial"/>
          <w:sz w:val="18"/>
          <w:szCs w:val="18"/>
        </w:rPr>
        <w:t xml:space="preserve">. Tento </w:t>
      </w:r>
      <w:r w:rsidR="00797F99" w:rsidRPr="0030726C">
        <w:rPr>
          <w:rFonts w:ascii="Arial" w:hAnsi="Arial" w:cs="Arial"/>
          <w:sz w:val="18"/>
          <w:szCs w:val="18"/>
        </w:rPr>
        <w:t>relativní</w:t>
      </w:r>
      <w:r w:rsidR="00802784" w:rsidRPr="0030726C">
        <w:rPr>
          <w:rFonts w:ascii="Arial" w:hAnsi="Arial" w:cs="Arial"/>
          <w:sz w:val="18"/>
          <w:szCs w:val="18"/>
        </w:rPr>
        <w:t xml:space="preserve"> i </w:t>
      </w:r>
      <w:r w:rsidR="00797F99" w:rsidRPr="0030726C">
        <w:rPr>
          <w:rFonts w:ascii="Arial" w:hAnsi="Arial" w:cs="Arial"/>
          <w:sz w:val="18"/>
          <w:szCs w:val="18"/>
        </w:rPr>
        <w:t>absolutní</w:t>
      </w:r>
      <w:r w:rsidR="00802784" w:rsidRPr="0030726C">
        <w:rPr>
          <w:rFonts w:ascii="Arial" w:hAnsi="Arial" w:cs="Arial"/>
          <w:sz w:val="18"/>
          <w:szCs w:val="18"/>
        </w:rPr>
        <w:t xml:space="preserve"> meziroční přírůstek byl </w:t>
      </w:r>
      <w:r w:rsidR="0030726C">
        <w:rPr>
          <w:rFonts w:ascii="Arial" w:hAnsi="Arial" w:cs="Arial"/>
          <w:sz w:val="18"/>
          <w:szCs w:val="18"/>
        </w:rPr>
        <w:t>ale nižší</w:t>
      </w:r>
      <w:r w:rsidR="00802784" w:rsidRPr="0030726C">
        <w:rPr>
          <w:rFonts w:ascii="Arial" w:hAnsi="Arial" w:cs="Arial"/>
          <w:sz w:val="18"/>
          <w:szCs w:val="18"/>
        </w:rPr>
        <w:t xml:space="preserve"> než v minulém roce</w:t>
      </w:r>
      <w:r w:rsidR="00965DF0" w:rsidRPr="0030726C">
        <w:rPr>
          <w:rFonts w:ascii="Arial" w:hAnsi="Arial" w:cs="Arial"/>
          <w:sz w:val="18"/>
          <w:szCs w:val="18"/>
        </w:rPr>
        <w:t xml:space="preserve">, kdy </w:t>
      </w:r>
      <w:r w:rsidR="00107F81">
        <w:rPr>
          <w:rFonts w:ascii="Arial" w:hAnsi="Arial" w:cs="Arial"/>
          <w:sz w:val="18"/>
          <w:szCs w:val="18"/>
        </w:rPr>
        <w:t xml:space="preserve">se </w:t>
      </w:r>
      <w:r w:rsidR="00965DF0" w:rsidRPr="0030726C">
        <w:rPr>
          <w:rFonts w:ascii="Arial" w:hAnsi="Arial" w:cs="Arial"/>
          <w:sz w:val="18"/>
          <w:szCs w:val="18"/>
        </w:rPr>
        <w:t xml:space="preserve">vývoz navýšil </w:t>
      </w:r>
      <w:r w:rsidR="00797F99" w:rsidRPr="0030726C">
        <w:rPr>
          <w:rFonts w:ascii="Arial" w:hAnsi="Arial" w:cs="Arial"/>
          <w:sz w:val="18"/>
          <w:szCs w:val="18"/>
        </w:rPr>
        <w:t xml:space="preserve">o </w:t>
      </w:r>
      <w:r w:rsidR="0030726C">
        <w:rPr>
          <w:rFonts w:ascii="Arial" w:hAnsi="Arial" w:cs="Arial"/>
          <w:sz w:val="18"/>
          <w:szCs w:val="18"/>
        </w:rPr>
        <w:t>6,8</w:t>
      </w:r>
      <w:r w:rsidR="00797F99" w:rsidRPr="0030726C">
        <w:rPr>
          <w:rFonts w:ascii="Arial" w:hAnsi="Arial" w:cs="Arial"/>
          <w:sz w:val="18"/>
          <w:szCs w:val="18"/>
        </w:rPr>
        <w:t xml:space="preserve"> % (</w:t>
      </w:r>
      <w:r w:rsidR="00965DF0" w:rsidRPr="0030726C">
        <w:rPr>
          <w:rFonts w:ascii="Arial" w:hAnsi="Arial" w:cs="Arial"/>
          <w:sz w:val="18"/>
          <w:szCs w:val="18"/>
        </w:rPr>
        <w:t xml:space="preserve">o </w:t>
      </w:r>
      <w:r w:rsidR="0030726C">
        <w:rPr>
          <w:rFonts w:ascii="Arial" w:hAnsi="Arial" w:cs="Arial"/>
          <w:sz w:val="18"/>
          <w:szCs w:val="18"/>
        </w:rPr>
        <w:t>270,5</w:t>
      </w:r>
      <w:r w:rsidR="00965DF0" w:rsidRPr="0030726C">
        <w:rPr>
          <w:rFonts w:ascii="Arial" w:hAnsi="Arial" w:cs="Arial"/>
          <w:sz w:val="18"/>
          <w:szCs w:val="18"/>
        </w:rPr>
        <w:t xml:space="preserve"> mld. Kč).</w:t>
      </w:r>
    </w:p>
    <w:p w:rsidR="002D1D26" w:rsidRPr="0041343F" w:rsidRDefault="002D1D26" w:rsidP="00702897">
      <w:pPr>
        <w:spacing w:before="120" w:after="80"/>
        <w:jc w:val="both"/>
        <w:rPr>
          <w:rFonts w:ascii="Arial" w:hAnsi="Arial" w:cs="Arial"/>
          <w:b/>
          <w:sz w:val="18"/>
          <w:szCs w:val="18"/>
        </w:rPr>
      </w:pPr>
      <w:r w:rsidRPr="0041343F">
        <w:rPr>
          <w:rFonts w:ascii="Arial" w:hAnsi="Arial" w:cs="Arial"/>
          <w:b/>
          <w:sz w:val="18"/>
          <w:szCs w:val="18"/>
        </w:rPr>
        <w:t xml:space="preserve">Graf </w:t>
      </w:r>
      <w:r w:rsidR="00FA6C0C" w:rsidRPr="0041343F">
        <w:rPr>
          <w:rFonts w:ascii="Arial" w:hAnsi="Arial" w:cs="Arial"/>
          <w:b/>
          <w:sz w:val="18"/>
          <w:szCs w:val="18"/>
        </w:rPr>
        <w:t>2</w:t>
      </w:r>
      <w:r w:rsidRPr="0041343F">
        <w:rPr>
          <w:rFonts w:ascii="Arial" w:hAnsi="Arial" w:cs="Arial"/>
          <w:b/>
          <w:sz w:val="18"/>
          <w:szCs w:val="18"/>
        </w:rPr>
        <w:t xml:space="preserve"> - Meziroční změny vývozu a dovozu v % </w:t>
      </w:r>
    </w:p>
    <w:p w:rsidR="002D1D26" w:rsidRPr="0041343F" w:rsidRDefault="002D1D26" w:rsidP="0042621D">
      <w:pPr>
        <w:spacing w:after="80"/>
        <w:jc w:val="both"/>
        <w:rPr>
          <w:rFonts w:ascii="Arial" w:hAnsi="Arial" w:cs="Arial"/>
          <w:sz w:val="18"/>
          <w:szCs w:val="18"/>
        </w:rPr>
      </w:pPr>
      <w:r w:rsidRPr="0041343F">
        <w:rPr>
          <w:rFonts w:ascii="Arial" w:hAnsi="Arial" w:cs="Arial"/>
          <w:sz w:val="18"/>
          <w:szCs w:val="18"/>
        </w:rPr>
        <w:tab/>
      </w:r>
      <w:r w:rsidRPr="0041343F">
        <w:rPr>
          <w:rFonts w:ascii="Arial" w:hAnsi="Arial" w:cs="Arial"/>
          <w:sz w:val="18"/>
          <w:szCs w:val="18"/>
        </w:rPr>
        <w:tab/>
      </w:r>
      <w:r w:rsidRPr="0041343F">
        <w:rPr>
          <w:rFonts w:ascii="Arial" w:hAnsi="Arial" w:cs="Arial"/>
          <w:sz w:val="18"/>
          <w:szCs w:val="18"/>
        </w:rPr>
        <w:tab/>
        <w:t xml:space="preserve"> vývoz</w:t>
      </w:r>
      <w:r w:rsidRPr="0041343F">
        <w:rPr>
          <w:rFonts w:ascii="Arial" w:hAnsi="Arial" w:cs="Arial"/>
          <w:sz w:val="18"/>
          <w:szCs w:val="18"/>
        </w:rPr>
        <w:tab/>
      </w:r>
      <w:r w:rsidRPr="0041343F">
        <w:rPr>
          <w:rFonts w:ascii="Arial" w:hAnsi="Arial" w:cs="Arial"/>
          <w:sz w:val="18"/>
          <w:szCs w:val="18"/>
        </w:rPr>
        <w:tab/>
      </w:r>
      <w:r w:rsidRPr="0041343F">
        <w:rPr>
          <w:rFonts w:ascii="Arial" w:hAnsi="Arial" w:cs="Arial"/>
          <w:sz w:val="18"/>
          <w:szCs w:val="18"/>
        </w:rPr>
        <w:tab/>
      </w:r>
      <w:r w:rsidRPr="0041343F">
        <w:rPr>
          <w:rFonts w:ascii="Arial" w:hAnsi="Arial" w:cs="Arial"/>
          <w:sz w:val="18"/>
          <w:szCs w:val="18"/>
        </w:rPr>
        <w:tab/>
      </w:r>
      <w:r w:rsidRPr="0041343F">
        <w:rPr>
          <w:rFonts w:ascii="Arial" w:hAnsi="Arial" w:cs="Arial"/>
          <w:sz w:val="18"/>
          <w:szCs w:val="18"/>
        </w:rPr>
        <w:tab/>
      </w:r>
      <w:r w:rsidRPr="0041343F">
        <w:rPr>
          <w:rFonts w:ascii="Arial" w:hAnsi="Arial" w:cs="Arial"/>
          <w:sz w:val="18"/>
          <w:szCs w:val="18"/>
        </w:rPr>
        <w:tab/>
      </w:r>
      <w:r w:rsidRPr="0041343F">
        <w:rPr>
          <w:rFonts w:ascii="Arial" w:hAnsi="Arial" w:cs="Arial"/>
          <w:sz w:val="18"/>
          <w:szCs w:val="18"/>
        </w:rPr>
        <w:tab/>
        <w:t>dovoz</w:t>
      </w:r>
    </w:p>
    <w:p w:rsidR="002D1D26" w:rsidRPr="001A57EA" w:rsidRDefault="00676458" w:rsidP="0041343F">
      <w:pPr>
        <w:spacing w:after="120"/>
        <w:rPr>
          <w:rFonts w:ascii="Arial" w:hAnsi="Arial" w:cs="Arial"/>
          <w:color w:val="FF0000"/>
        </w:rPr>
      </w:pPr>
      <w:r>
        <w:rPr>
          <w:rFonts w:ascii="Arial" w:hAnsi="Arial" w:cs="Arial"/>
          <w:noProof/>
          <w:color w:val="FF0000"/>
          <w:lang w:eastAsia="cs-CZ"/>
        </w:rPr>
        <w:pict>
          <v:shape id="_x0000_i1026" type="#_x0000_t75" style="width:237.75pt;height:180.75pt">
            <v:imagedata r:id="rId10" o:title=""/>
          </v:shape>
        </w:pict>
      </w:r>
      <w:r w:rsidR="0041343F">
        <w:rPr>
          <w:rFonts w:ascii="Arial" w:hAnsi="Arial" w:cs="Arial"/>
          <w:noProof/>
          <w:color w:val="FF0000"/>
          <w:lang w:eastAsia="cs-CZ"/>
        </w:rPr>
        <w:t xml:space="preserve">  </w:t>
      </w:r>
      <w:r>
        <w:rPr>
          <w:rFonts w:ascii="Arial" w:hAnsi="Arial" w:cs="Arial"/>
          <w:noProof/>
          <w:color w:val="FF0000"/>
          <w:lang w:eastAsia="cs-CZ"/>
        </w:rPr>
        <w:pict>
          <v:shape id="_x0000_i1027" type="#_x0000_t75" style="width:237.75pt;height:180.75pt">
            <v:imagedata r:id="rId11" o:title=""/>
          </v:shape>
        </w:pict>
      </w:r>
      <w:r w:rsidR="007C3E3C" w:rsidRPr="001A57EA">
        <w:rPr>
          <w:rFonts w:ascii="Arial" w:hAnsi="Arial" w:cs="Arial"/>
          <w:noProof/>
          <w:color w:val="FF0000"/>
          <w:lang w:eastAsia="cs-CZ"/>
        </w:rPr>
        <w:t xml:space="preserve">  </w:t>
      </w:r>
    </w:p>
    <w:p w:rsidR="000A6F26" w:rsidRPr="00526451" w:rsidRDefault="002D1D26" w:rsidP="0041343F">
      <w:pPr>
        <w:spacing w:before="240" w:after="160"/>
        <w:jc w:val="both"/>
        <w:rPr>
          <w:rFonts w:ascii="Arial" w:hAnsi="Arial" w:cs="Arial"/>
          <w:sz w:val="18"/>
          <w:szCs w:val="18"/>
        </w:rPr>
      </w:pPr>
      <w:r w:rsidRPr="00526451">
        <w:rPr>
          <w:rFonts w:ascii="Arial" w:hAnsi="Arial" w:cs="Arial"/>
          <w:sz w:val="18"/>
          <w:szCs w:val="18"/>
        </w:rPr>
        <w:t xml:space="preserve">Vývoz </w:t>
      </w:r>
      <w:r w:rsidR="00F56A8F" w:rsidRPr="00526451">
        <w:rPr>
          <w:rFonts w:ascii="Arial" w:hAnsi="Arial" w:cs="Arial"/>
          <w:sz w:val="18"/>
          <w:szCs w:val="18"/>
        </w:rPr>
        <w:t xml:space="preserve">i dovoz </w:t>
      </w:r>
      <w:r w:rsidRPr="00526451">
        <w:rPr>
          <w:rFonts w:ascii="Arial" w:hAnsi="Arial" w:cs="Arial"/>
          <w:sz w:val="18"/>
          <w:szCs w:val="18"/>
        </w:rPr>
        <w:t xml:space="preserve">vyjádřený </w:t>
      </w:r>
      <w:r w:rsidRPr="00015B5E">
        <w:rPr>
          <w:rFonts w:ascii="Arial" w:hAnsi="Arial" w:cs="Arial"/>
          <w:b/>
          <w:sz w:val="18"/>
          <w:szCs w:val="18"/>
        </w:rPr>
        <w:t>v eurech</w:t>
      </w:r>
      <w:r w:rsidRPr="00526451">
        <w:rPr>
          <w:rFonts w:ascii="Arial" w:hAnsi="Arial" w:cs="Arial"/>
          <w:sz w:val="18"/>
          <w:szCs w:val="18"/>
        </w:rPr>
        <w:t xml:space="preserve"> zaznamenal v roce 201</w:t>
      </w:r>
      <w:r w:rsidR="00526451" w:rsidRPr="00526451">
        <w:rPr>
          <w:rFonts w:ascii="Arial" w:hAnsi="Arial" w:cs="Arial"/>
          <w:sz w:val="18"/>
          <w:szCs w:val="18"/>
        </w:rPr>
        <w:t>8</w:t>
      </w:r>
      <w:r w:rsidR="001E37C4" w:rsidRPr="00526451">
        <w:rPr>
          <w:rFonts w:ascii="Arial" w:hAnsi="Arial" w:cs="Arial"/>
          <w:sz w:val="18"/>
          <w:szCs w:val="18"/>
        </w:rPr>
        <w:t xml:space="preserve"> </w:t>
      </w:r>
      <w:r w:rsidRPr="00526451">
        <w:rPr>
          <w:rFonts w:ascii="Arial" w:hAnsi="Arial" w:cs="Arial"/>
          <w:sz w:val="18"/>
          <w:szCs w:val="18"/>
        </w:rPr>
        <w:t>meziroční navýšení o </w:t>
      </w:r>
      <w:r w:rsidR="00526451" w:rsidRPr="00526451">
        <w:rPr>
          <w:rFonts w:ascii="Arial" w:hAnsi="Arial" w:cs="Arial"/>
          <w:sz w:val="18"/>
          <w:szCs w:val="18"/>
        </w:rPr>
        <w:t>6,5</w:t>
      </w:r>
      <w:r w:rsidRPr="00526451">
        <w:rPr>
          <w:rFonts w:ascii="Arial" w:hAnsi="Arial" w:cs="Arial"/>
          <w:sz w:val="18"/>
          <w:szCs w:val="18"/>
        </w:rPr>
        <w:t xml:space="preserve"> % a </w:t>
      </w:r>
      <w:r w:rsidR="00526451" w:rsidRPr="00526451">
        <w:rPr>
          <w:rFonts w:ascii="Arial" w:hAnsi="Arial" w:cs="Arial"/>
          <w:sz w:val="18"/>
          <w:szCs w:val="18"/>
        </w:rPr>
        <w:t>8,6</w:t>
      </w:r>
      <w:r w:rsidR="00F56A8F" w:rsidRPr="00526451">
        <w:rPr>
          <w:rFonts w:ascii="Arial" w:hAnsi="Arial" w:cs="Arial"/>
          <w:sz w:val="18"/>
          <w:szCs w:val="18"/>
        </w:rPr>
        <w:t xml:space="preserve"> %. </w:t>
      </w:r>
      <w:r w:rsidR="00965DF0" w:rsidRPr="00526451">
        <w:rPr>
          <w:rFonts w:ascii="Arial" w:hAnsi="Arial" w:cs="Arial"/>
          <w:sz w:val="18"/>
          <w:szCs w:val="18"/>
        </w:rPr>
        <w:t>Rychleji</w:t>
      </w:r>
      <w:r w:rsidR="00215FA5" w:rsidRPr="00526451">
        <w:rPr>
          <w:rFonts w:ascii="Arial" w:hAnsi="Arial" w:cs="Arial"/>
          <w:sz w:val="18"/>
          <w:szCs w:val="18"/>
        </w:rPr>
        <w:t xml:space="preserve"> rostl vývoz a </w:t>
      </w:r>
      <w:r w:rsidR="000A6F26" w:rsidRPr="00526451">
        <w:rPr>
          <w:rFonts w:ascii="Arial" w:hAnsi="Arial" w:cs="Arial"/>
          <w:sz w:val="18"/>
          <w:szCs w:val="18"/>
        </w:rPr>
        <w:t>dovoz vyjádřený v</w:t>
      </w:r>
      <w:r w:rsidR="00A8529B" w:rsidRPr="00526451">
        <w:rPr>
          <w:rFonts w:ascii="Arial" w:hAnsi="Arial" w:cs="Arial"/>
          <w:sz w:val="18"/>
          <w:szCs w:val="18"/>
        </w:rPr>
        <w:t xml:space="preserve"> amerických </w:t>
      </w:r>
      <w:r w:rsidR="00A8529B" w:rsidRPr="00015B5E">
        <w:rPr>
          <w:rFonts w:ascii="Arial" w:hAnsi="Arial" w:cs="Arial"/>
          <w:b/>
          <w:sz w:val="18"/>
          <w:szCs w:val="18"/>
        </w:rPr>
        <w:t>dolarech</w:t>
      </w:r>
      <w:r w:rsidR="00A8529B" w:rsidRPr="00526451">
        <w:rPr>
          <w:rStyle w:val="Znakapoznpodarou"/>
          <w:rFonts w:ascii="Arial" w:hAnsi="Arial" w:cs="Arial"/>
          <w:sz w:val="18"/>
          <w:szCs w:val="18"/>
        </w:rPr>
        <w:footnoteReference w:id="2"/>
      </w:r>
      <w:r w:rsidR="000A6F26" w:rsidRPr="00526451">
        <w:rPr>
          <w:rFonts w:ascii="Arial" w:hAnsi="Arial" w:cs="Arial"/>
          <w:sz w:val="18"/>
          <w:szCs w:val="18"/>
        </w:rPr>
        <w:t xml:space="preserve"> </w:t>
      </w:r>
      <w:r w:rsidR="00965DF0" w:rsidRPr="00526451">
        <w:rPr>
          <w:rFonts w:ascii="Arial" w:hAnsi="Arial" w:cs="Arial"/>
          <w:sz w:val="18"/>
          <w:szCs w:val="18"/>
        </w:rPr>
        <w:t>(</w:t>
      </w:r>
      <w:r w:rsidR="000A6F26" w:rsidRPr="00526451">
        <w:rPr>
          <w:rFonts w:ascii="Arial" w:hAnsi="Arial" w:cs="Arial"/>
          <w:sz w:val="18"/>
          <w:szCs w:val="18"/>
        </w:rPr>
        <w:t xml:space="preserve">o </w:t>
      </w:r>
      <w:r w:rsidR="00526451" w:rsidRPr="00526451">
        <w:rPr>
          <w:rFonts w:ascii="Arial" w:hAnsi="Arial" w:cs="Arial"/>
          <w:sz w:val="18"/>
          <w:szCs w:val="18"/>
        </w:rPr>
        <w:t>11,3</w:t>
      </w:r>
      <w:r w:rsidR="000A6F26" w:rsidRPr="00526451">
        <w:rPr>
          <w:rFonts w:ascii="Arial" w:hAnsi="Arial" w:cs="Arial"/>
          <w:sz w:val="18"/>
          <w:szCs w:val="18"/>
        </w:rPr>
        <w:t xml:space="preserve"> % a o </w:t>
      </w:r>
      <w:r w:rsidR="00526451" w:rsidRPr="00526451">
        <w:rPr>
          <w:rFonts w:ascii="Arial" w:hAnsi="Arial" w:cs="Arial"/>
          <w:sz w:val="18"/>
          <w:szCs w:val="18"/>
        </w:rPr>
        <w:t>13,3</w:t>
      </w:r>
      <w:r w:rsidR="000A6F26" w:rsidRPr="00526451">
        <w:rPr>
          <w:rFonts w:ascii="Arial" w:hAnsi="Arial" w:cs="Arial"/>
          <w:sz w:val="18"/>
          <w:szCs w:val="18"/>
        </w:rPr>
        <w:t xml:space="preserve"> %</w:t>
      </w:r>
      <w:r w:rsidR="00965DF0" w:rsidRPr="00526451">
        <w:rPr>
          <w:rFonts w:ascii="Arial" w:hAnsi="Arial" w:cs="Arial"/>
          <w:sz w:val="18"/>
          <w:szCs w:val="18"/>
        </w:rPr>
        <w:t>)</w:t>
      </w:r>
      <w:r w:rsidR="000A6F26" w:rsidRPr="00526451">
        <w:rPr>
          <w:rFonts w:ascii="Arial" w:hAnsi="Arial" w:cs="Arial"/>
          <w:sz w:val="18"/>
          <w:szCs w:val="18"/>
        </w:rPr>
        <w:t>.</w:t>
      </w:r>
    </w:p>
    <w:p w:rsidR="0030726C" w:rsidRDefault="00966DB9" w:rsidP="0041343F">
      <w:pPr>
        <w:spacing w:after="0"/>
        <w:jc w:val="both"/>
        <w:rPr>
          <w:rFonts w:ascii="Arial" w:hAnsi="Arial" w:cs="Arial"/>
          <w:sz w:val="18"/>
          <w:szCs w:val="18"/>
        </w:rPr>
      </w:pPr>
      <w:r w:rsidRPr="0030726C">
        <w:rPr>
          <w:rFonts w:ascii="Arial" w:hAnsi="Arial" w:cs="Arial"/>
          <w:b/>
          <w:sz w:val="18"/>
          <w:szCs w:val="18"/>
        </w:rPr>
        <w:t>Dovoz zboží</w:t>
      </w:r>
      <w:r w:rsidRPr="0030726C">
        <w:rPr>
          <w:rFonts w:ascii="Arial" w:hAnsi="Arial" w:cs="Arial"/>
          <w:sz w:val="18"/>
          <w:szCs w:val="18"/>
        </w:rPr>
        <w:t xml:space="preserve"> v roce 201</w:t>
      </w:r>
      <w:r w:rsidR="0030726C">
        <w:rPr>
          <w:rFonts w:ascii="Arial" w:hAnsi="Arial" w:cs="Arial"/>
          <w:sz w:val="18"/>
          <w:szCs w:val="18"/>
        </w:rPr>
        <w:t>8</w:t>
      </w:r>
      <w:r w:rsidRPr="0030726C">
        <w:rPr>
          <w:rFonts w:ascii="Arial" w:hAnsi="Arial" w:cs="Arial"/>
          <w:sz w:val="18"/>
          <w:szCs w:val="18"/>
        </w:rPr>
        <w:t xml:space="preserve"> </w:t>
      </w:r>
      <w:r w:rsidR="003124A0" w:rsidRPr="0030726C">
        <w:rPr>
          <w:rFonts w:ascii="Arial" w:hAnsi="Arial" w:cs="Arial"/>
          <w:sz w:val="18"/>
          <w:szCs w:val="18"/>
        </w:rPr>
        <w:t xml:space="preserve">byl stejně jako vývoz </w:t>
      </w:r>
      <w:r w:rsidR="0030726C">
        <w:rPr>
          <w:rFonts w:ascii="Arial" w:hAnsi="Arial" w:cs="Arial"/>
          <w:sz w:val="18"/>
          <w:szCs w:val="18"/>
        </w:rPr>
        <w:t xml:space="preserve">nejvyšší od </w:t>
      </w:r>
      <w:r w:rsidR="00591368">
        <w:rPr>
          <w:rFonts w:ascii="Arial" w:hAnsi="Arial" w:cs="Arial"/>
          <w:sz w:val="18"/>
          <w:szCs w:val="18"/>
        </w:rPr>
        <w:t>vzniku samostatné České republiky</w:t>
      </w:r>
      <w:r w:rsidR="0030726C">
        <w:rPr>
          <w:rFonts w:ascii="Arial" w:hAnsi="Arial" w:cs="Arial"/>
          <w:sz w:val="18"/>
          <w:szCs w:val="18"/>
        </w:rPr>
        <w:t>.</w:t>
      </w:r>
      <w:r w:rsidR="00C54D5F">
        <w:rPr>
          <w:rFonts w:ascii="Arial" w:hAnsi="Arial" w:cs="Arial"/>
          <w:sz w:val="18"/>
          <w:szCs w:val="18"/>
        </w:rPr>
        <w:t xml:space="preserve"> Celková hodnota dovozu 4 023,2 </w:t>
      </w:r>
      <w:r w:rsidR="0030726C">
        <w:rPr>
          <w:rFonts w:ascii="Arial" w:hAnsi="Arial" w:cs="Arial"/>
          <w:sz w:val="18"/>
          <w:szCs w:val="18"/>
        </w:rPr>
        <w:t xml:space="preserve">mld. Kč byla sice v porovnání s hodnotou vývozu ve stejném roce nižší, nicméně meziročně dovoz rostl rychleji než vývoz. </w:t>
      </w:r>
      <w:r w:rsidR="00526451">
        <w:rPr>
          <w:rFonts w:ascii="Arial" w:hAnsi="Arial" w:cs="Arial"/>
          <w:sz w:val="18"/>
          <w:szCs w:val="18"/>
        </w:rPr>
        <w:t>V absolutním vyjádření se dovoz meziročně navýšil o 221,7 mld. Kč a relativně o 5,8 %.</w:t>
      </w:r>
    </w:p>
    <w:p w:rsidR="002D1D26" w:rsidRPr="00C94C63" w:rsidRDefault="003124A0" w:rsidP="00C54D5F">
      <w:pPr>
        <w:spacing w:after="80"/>
        <w:jc w:val="both"/>
        <w:rPr>
          <w:rFonts w:ascii="Arial" w:hAnsi="Arial" w:cs="Arial"/>
          <w:b/>
          <w:sz w:val="18"/>
          <w:szCs w:val="18"/>
        </w:rPr>
      </w:pPr>
      <w:r w:rsidRPr="00C94C63">
        <w:rPr>
          <w:rFonts w:ascii="Arial" w:hAnsi="Arial" w:cs="Arial"/>
          <w:sz w:val="18"/>
          <w:szCs w:val="18"/>
        </w:rPr>
        <w:lastRenderedPageBreak/>
        <w:t xml:space="preserve"> </w:t>
      </w:r>
      <w:r w:rsidR="002D1D26" w:rsidRPr="00C94C63">
        <w:rPr>
          <w:rFonts w:ascii="Arial" w:hAnsi="Arial" w:cs="Arial"/>
          <w:b/>
          <w:sz w:val="18"/>
          <w:szCs w:val="18"/>
        </w:rPr>
        <w:t xml:space="preserve">Graf 3 - Meziroční změny vývozu a dovozu v % </w:t>
      </w:r>
    </w:p>
    <w:p w:rsidR="002D1D26" w:rsidRPr="001A57EA" w:rsidRDefault="00676458" w:rsidP="002D1D26">
      <w:pPr>
        <w:spacing w:after="80"/>
        <w:jc w:val="both"/>
        <w:rPr>
          <w:rFonts w:ascii="Arial" w:hAnsi="Arial" w:cs="Arial"/>
          <w:b/>
          <w:color w:val="FF0000"/>
          <w:sz w:val="18"/>
          <w:szCs w:val="18"/>
        </w:rPr>
      </w:pPr>
      <w:r>
        <w:rPr>
          <w:rFonts w:ascii="Arial" w:hAnsi="Arial" w:cs="Arial"/>
          <w:b/>
          <w:noProof/>
          <w:color w:val="FF0000"/>
          <w:sz w:val="18"/>
          <w:szCs w:val="18"/>
          <w:lang w:eastAsia="cs-CZ"/>
        </w:rPr>
        <w:pict>
          <v:shape id="_x0000_i1028" type="#_x0000_t75" style="width:477.75pt;height:143.25pt">
            <v:imagedata r:id="rId12" o:title=""/>
          </v:shape>
        </w:pict>
      </w:r>
    </w:p>
    <w:p w:rsidR="00DA61FA" w:rsidRDefault="00CD41EB" w:rsidP="00454DD8">
      <w:pPr>
        <w:spacing w:before="240" w:after="240"/>
        <w:jc w:val="both"/>
        <w:rPr>
          <w:rFonts w:ascii="Arial" w:hAnsi="Arial" w:cs="Arial"/>
          <w:sz w:val="18"/>
          <w:szCs w:val="18"/>
        </w:rPr>
      </w:pPr>
      <w:r w:rsidRPr="00526451">
        <w:rPr>
          <w:rFonts w:ascii="Arial" w:hAnsi="Arial" w:cs="Arial"/>
          <w:sz w:val="18"/>
          <w:szCs w:val="18"/>
        </w:rPr>
        <w:t xml:space="preserve">Z krátkodobějšího pohledu na vývoj zahraničního obchodu </w:t>
      </w:r>
      <w:r w:rsidRPr="00526451">
        <w:rPr>
          <w:rFonts w:ascii="Arial" w:hAnsi="Arial" w:cs="Arial"/>
          <w:b/>
          <w:sz w:val="18"/>
          <w:szCs w:val="18"/>
        </w:rPr>
        <w:t>v jednotlivých měsících</w:t>
      </w:r>
      <w:r w:rsidRPr="00526451">
        <w:rPr>
          <w:rFonts w:ascii="Arial" w:hAnsi="Arial" w:cs="Arial"/>
          <w:sz w:val="18"/>
          <w:szCs w:val="18"/>
        </w:rPr>
        <w:t xml:space="preserve"> roku 201</w:t>
      </w:r>
      <w:r w:rsidR="00526451">
        <w:rPr>
          <w:rFonts w:ascii="Arial" w:hAnsi="Arial" w:cs="Arial"/>
          <w:sz w:val="18"/>
          <w:szCs w:val="18"/>
        </w:rPr>
        <w:t>8</w:t>
      </w:r>
      <w:r w:rsidRPr="00526451">
        <w:rPr>
          <w:rFonts w:ascii="Arial" w:hAnsi="Arial" w:cs="Arial"/>
          <w:sz w:val="18"/>
          <w:szCs w:val="18"/>
        </w:rPr>
        <w:t xml:space="preserve"> vyplývá, že nejvíce se </w:t>
      </w:r>
      <w:r w:rsidR="00DA61FA">
        <w:rPr>
          <w:rFonts w:ascii="Arial" w:hAnsi="Arial" w:cs="Arial"/>
          <w:sz w:val="18"/>
          <w:szCs w:val="18"/>
        </w:rPr>
        <w:t xml:space="preserve">shodně </w:t>
      </w:r>
      <w:r w:rsidRPr="00526451">
        <w:rPr>
          <w:rFonts w:ascii="Arial" w:hAnsi="Arial" w:cs="Arial"/>
          <w:sz w:val="18"/>
          <w:szCs w:val="18"/>
        </w:rPr>
        <w:t xml:space="preserve">vyváželo </w:t>
      </w:r>
      <w:r w:rsidR="00DA61FA">
        <w:rPr>
          <w:rFonts w:ascii="Arial" w:hAnsi="Arial" w:cs="Arial"/>
          <w:sz w:val="18"/>
          <w:szCs w:val="18"/>
        </w:rPr>
        <w:t xml:space="preserve">a dováželo </w:t>
      </w:r>
      <w:r w:rsidR="000E788F" w:rsidRPr="00DA61FA">
        <w:rPr>
          <w:rFonts w:ascii="Arial" w:hAnsi="Arial" w:cs="Arial"/>
          <w:sz w:val="18"/>
          <w:szCs w:val="18"/>
        </w:rPr>
        <w:t>zboží v </w:t>
      </w:r>
      <w:r w:rsidR="00DA61FA" w:rsidRPr="00DA61FA">
        <w:rPr>
          <w:rFonts w:ascii="Arial" w:hAnsi="Arial" w:cs="Arial"/>
          <w:sz w:val="18"/>
          <w:szCs w:val="18"/>
        </w:rPr>
        <w:t>říjnu</w:t>
      </w:r>
      <w:r w:rsidR="000E788F" w:rsidRPr="00DA61FA">
        <w:rPr>
          <w:rFonts w:ascii="Arial" w:hAnsi="Arial" w:cs="Arial"/>
          <w:sz w:val="18"/>
          <w:szCs w:val="18"/>
        </w:rPr>
        <w:t xml:space="preserve"> (</w:t>
      </w:r>
      <w:r w:rsidR="00DA61FA" w:rsidRPr="00DA61FA">
        <w:rPr>
          <w:rFonts w:ascii="Arial" w:hAnsi="Arial" w:cs="Arial"/>
          <w:sz w:val="18"/>
          <w:szCs w:val="18"/>
        </w:rPr>
        <w:t>434,</w:t>
      </w:r>
      <w:r w:rsidR="003B1BA5">
        <w:rPr>
          <w:rFonts w:ascii="Arial" w:hAnsi="Arial" w:cs="Arial"/>
          <w:sz w:val="18"/>
          <w:szCs w:val="18"/>
        </w:rPr>
        <w:t>6</w:t>
      </w:r>
      <w:r w:rsidR="000E788F" w:rsidRPr="00DA61FA">
        <w:rPr>
          <w:rFonts w:ascii="Arial" w:hAnsi="Arial" w:cs="Arial"/>
          <w:sz w:val="18"/>
          <w:szCs w:val="18"/>
        </w:rPr>
        <w:t xml:space="preserve"> mld. Kč</w:t>
      </w:r>
      <w:r w:rsidR="00DA61FA">
        <w:rPr>
          <w:rFonts w:ascii="Arial" w:hAnsi="Arial" w:cs="Arial"/>
          <w:sz w:val="18"/>
          <w:szCs w:val="18"/>
        </w:rPr>
        <w:t xml:space="preserve"> a 400,7 mld. Kč). </w:t>
      </w:r>
      <w:r w:rsidR="00A0548A">
        <w:rPr>
          <w:rFonts w:ascii="Arial" w:hAnsi="Arial" w:cs="Arial"/>
          <w:sz w:val="18"/>
          <w:szCs w:val="18"/>
        </w:rPr>
        <w:t>Naopak n</w:t>
      </w:r>
      <w:r w:rsidR="00DA61FA">
        <w:rPr>
          <w:rFonts w:ascii="Arial" w:hAnsi="Arial" w:cs="Arial"/>
          <w:sz w:val="18"/>
          <w:szCs w:val="18"/>
        </w:rPr>
        <w:t>ejnižší měsíční vývoz byl zaznam</w:t>
      </w:r>
      <w:r w:rsidR="00BB4838">
        <w:rPr>
          <w:rFonts w:ascii="Arial" w:hAnsi="Arial" w:cs="Arial"/>
          <w:sz w:val="18"/>
          <w:szCs w:val="18"/>
        </w:rPr>
        <w:t>enán v prosinci (316,5 mld. Kč)</w:t>
      </w:r>
      <w:r w:rsidR="0003560C">
        <w:rPr>
          <w:rFonts w:ascii="Arial" w:hAnsi="Arial" w:cs="Arial"/>
          <w:sz w:val="18"/>
          <w:szCs w:val="18"/>
        </w:rPr>
        <w:t>.</w:t>
      </w:r>
      <w:r w:rsidR="00A0548A">
        <w:rPr>
          <w:rFonts w:ascii="Arial" w:hAnsi="Arial" w:cs="Arial"/>
          <w:sz w:val="18"/>
          <w:szCs w:val="18"/>
        </w:rPr>
        <w:t xml:space="preserve"> Na straně dovozu mezi hodnotově nejnižší měsíc patřil</w:t>
      </w:r>
      <w:r w:rsidR="00DA61FA">
        <w:rPr>
          <w:rFonts w:ascii="Arial" w:hAnsi="Arial" w:cs="Arial"/>
          <w:sz w:val="18"/>
          <w:szCs w:val="18"/>
        </w:rPr>
        <w:t> únor (298,6</w:t>
      </w:r>
      <w:r w:rsidR="00486F77">
        <w:rPr>
          <w:rFonts w:ascii="Arial" w:hAnsi="Arial" w:cs="Arial"/>
          <w:sz w:val="18"/>
          <w:szCs w:val="18"/>
        </w:rPr>
        <w:t>03</w:t>
      </w:r>
      <w:r w:rsidR="00DA61FA">
        <w:rPr>
          <w:rFonts w:ascii="Arial" w:hAnsi="Arial" w:cs="Arial"/>
          <w:sz w:val="18"/>
          <w:szCs w:val="18"/>
        </w:rPr>
        <w:t xml:space="preserve"> mld. Kč)</w:t>
      </w:r>
      <w:r w:rsidR="00A0548A">
        <w:rPr>
          <w:rFonts w:ascii="Arial" w:hAnsi="Arial" w:cs="Arial"/>
          <w:sz w:val="18"/>
          <w:szCs w:val="18"/>
        </w:rPr>
        <w:t xml:space="preserve"> a </w:t>
      </w:r>
      <w:r w:rsidR="0003560C">
        <w:rPr>
          <w:rFonts w:ascii="Arial" w:hAnsi="Arial" w:cs="Arial"/>
          <w:sz w:val="18"/>
          <w:szCs w:val="18"/>
        </w:rPr>
        <w:t>téměř</w:t>
      </w:r>
      <w:r w:rsidR="00486F77">
        <w:rPr>
          <w:rFonts w:ascii="Arial" w:hAnsi="Arial" w:cs="Arial"/>
          <w:sz w:val="18"/>
          <w:szCs w:val="18"/>
        </w:rPr>
        <w:t xml:space="preserve"> shodn</w:t>
      </w:r>
      <w:r w:rsidR="00A0548A">
        <w:rPr>
          <w:rFonts w:ascii="Arial" w:hAnsi="Arial" w:cs="Arial"/>
          <w:sz w:val="18"/>
          <w:szCs w:val="18"/>
        </w:rPr>
        <w:t>ý</w:t>
      </w:r>
      <w:r w:rsidR="00486F77">
        <w:rPr>
          <w:rFonts w:ascii="Arial" w:hAnsi="Arial" w:cs="Arial"/>
          <w:sz w:val="18"/>
          <w:szCs w:val="18"/>
        </w:rPr>
        <w:t xml:space="preserve"> prosin</w:t>
      </w:r>
      <w:r w:rsidR="00A0548A">
        <w:rPr>
          <w:rFonts w:ascii="Arial" w:hAnsi="Arial" w:cs="Arial"/>
          <w:sz w:val="18"/>
          <w:szCs w:val="18"/>
        </w:rPr>
        <w:t>e</w:t>
      </w:r>
      <w:r w:rsidR="00486F77">
        <w:rPr>
          <w:rFonts w:ascii="Arial" w:hAnsi="Arial" w:cs="Arial"/>
          <w:sz w:val="18"/>
          <w:szCs w:val="18"/>
        </w:rPr>
        <w:t>c (298,648 mld. Kč).</w:t>
      </w:r>
    </w:p>
    <w:p w:rsidR="002D1D26" w:rsidRPr="00C54D5F" w:rsidRDefault="002D1D26" w:rsidP="002D1D26">
      <w:pPr>
        <w:spacing w:after="80"/>
        <w:jc w:val="both"/>
        <w:rPr>
          <w:rFonts w:ascii="Arial" w:hAnsi="Arial" w:cs="Arial"/>
          <w:b/>
          <w:sz w:val="18"/>
          <w:szCs w:val="18"/>
        </w:rPr>
      </w:pPr>
      <w:r w:rsidRPr="00C54D5F">
        <w:rPr>
          <w:rFonts w:ascii="Arial" w:hAnsi="Arial" w:cs="Arial"/>
          <w:b/>
          <w:sz w:val="18"/>
          <w:szCs w:val="18"/>
        </w:rPr>
        <w:t xml:space="preserve">Graf </w:t>
      </w:r>
      <w:r w:rsidR="00FA6C0C" w:rsidRPr="00C54D5F">
        <w:rPr>
          <w:rFonts w:ascii="Arial" w:hAnsi="Arial" w:cs="Arial"/>
          <w:b/>
          <w:sz w:val="18"/>
          <w:szCs w:val="18"/>
        </w:rPr>
        <w:t>4</w:t>
      </w:r>
      <w:r w:rsidRPr="00C54D5F">
        <w:rPr>
          <w:rFonts w:ascii="Arial" w:hAnsi="Arial" w:cs="Arial"/>
          <w:b/>
          <w:sz w:val="18"/>
          <w:szCs w:val="18"/>
        </w:rPr>
        <w:t xml:space="preserve"> - Zahraniční obchod v jednotlivých měsících roku 201</w:t>
      </w:r>
      <w:r w:rsidR="005E3E23">
        <w:rPr>
          <w:rFonts w:ascii="Arial" w:hAnsi="Arial" w:cs="Arial"/>
          <w:b/>
          <w:sz w:val="18"/>
          <w:szCs w:val="18"/>
        </w:rPr>
        <w:t>8</w:t>
      </w:r>
      <w:r w:rsidRPr="00C54D5F">
        <w:rPr>
          <w:rFonts w:ascii="Arial" w:hAnsi="Arial" w:cs="Arial"/>
          <w:b/>
          <w:sz w:val="18"/>
          <w:szCs w:val="18"/>
        </w:rPr>
        <w:t xml:space="preserve"> (v mld. Kč)</w:t>
      </w:r>
    </w:p>
    <w:p w:rsidR="00124501" w:rsidRPr="001A57EA" w:rsidRDefault="00676458" w:rsidP="00124501">
      <w:pPr>
        <w:spacing w:before="120" w:after="0"/>
        <w:jc w:val="both"/>
        <w:rPr>
          <w:rFonts w:ascii="Arial" w:hAnsi="Arial" w:cs="Arial"/>
          <w:b/>
          <w:noProof/>
          <w:color w:val="FF0000"/>
          <w:sz w:val="18"/>
          <w:szCs w:val="18"/>
          <w:lang w:eastAsia="cs-CZ"/>
        </w:rPr>
      </w:pPr>
      <w:r>
        <w:rPr>
          <w:rFonts w:ascii="Arial" w:hAnsi="Arial" w:cs="Arial"/>
          <w:b/>
          <w:noProof/>
          <w:color w:val="FF0000"/>
          <w:sz w:val="18"/>
          <w:szCs w:val="18"/>
          <w:lang w:eastAsia="cs-CZ"/>
        </w:rPr>
        <w:pict>
          <v:shape id="_x0000_i1029" type="#_x0000_t75" style="width:482.25pt;height:226.5pt">
            <v:imagedata r:id="rId13" o:title=""/>
          </v:shape>
        </w:pict>
      </w:r>
    </w:p>
    <w:p w:rsidR="004354AC" w:rsidRPr="00DA61FA" w:rsidRDefault="004354AC" w:rsidP="00AF084D">
      <w:pPr>
        <w:spacing w:before="240" w:after="240"/>
        <w:jc w:val="both"/>
        <w:rPr>
          <w:rFonts w:ascii="Arial" w:hAnsi="Arial" w:cs="Arial"/>
          <w:sz w:val="18"/>
          <w:szCs w:val="18"/>
        </w:rPr>
      </w:pPr>
      <w:r w:rsidRPr="00DA61FA">
        <w:rPr>
          <w:rFonts w:ascii="Arial" w:hAnsi="Arial" w:cs="Arial"/>
          <w:sz w:val="18"/>
          <w:szCs w:val="18"/>
        </w:rPr>
        <w:t xml:space="preserve">Celoroční vývoj vývozu </w:t>
      </w:r>
      <w:r w:rsidR="00856D9C" w:rsidRPr="00DA61FA">
        <w:rPr>
          <w:rFonts w:ascii="Arial" w:hAnsi="Arial" w:cs="Arial"/>
          <w:sz w:val="18"/>
          <w:szCs w:val="18"/>
        </w:rPr>
        <w:t xml:space="preserve">a dovozu </w:t>
      </w:r>
      <w:r w:rsidRPr="00DA61FA">
        <w:rPr>
          <w:rFonts w:ascii="Arial" w:hAnsi="Arial" w:cs="Arial"/>
          <w:sz w:val="18"/>
          <w:szCs w:val="18"/>
        </w:rPr>
        <w:t>by</w:t>
      </w:r>
      <w:r w:rsidR="005F30D1" w:rsidRPr="00DA61FA">
        <w:rPr>
          <w:rFonts w:ascii="Arial" w:hAnsi="Arial" w:cs="Arial"/>
          <w:sz w:val="18"/>
          <w:szCs w:val="18"/>
        </w:rPr>
        <w:t>l</w:t>
      </w:r>
      <w:r w:rsidRPr="00DA61FA">
        <w:rPr>
          <w:rFonts w:ascii="Arial" w:hAnsi="Arial" w:cs="Arial"/>
          <w:sz w:val="18"/>
          <w:szCs w:val="18"/>
        </w:rPr>
        <w:t xml:space="preserve"> ovlivněn rozdílnou dynamikou </w:t>
      </w:r>
      <w:r w:rsidRPr="00DA61FA">
        <w:rPr>
          <w:rFonts w:ascii="Arial" w:hAnsi="Arial" w:cs="Arial"/>
          <w:b/>
          <w:sz w:val="18"/>
          <w:szCs w:val="18"/>
        </w:rPr>
        <w:t>v jednotlivých čtvrtletích</w:t>
      </w:r>
      <w:r w:rsidRPr="00DA61FA">
        <w:rPr>
          <w:rFonts w:ascii="Arial" w:hAnsi="Arial" w:cs="Arial"/>
          <w:sz w:val="18"/>
          <w:szCs w:val="18"/>
        </w:rPr>
        <w:t xml:space="preserve"> roku 201</w:t>
      </w:r>
      <w:r w:rsidR="00DA61FA">
        <w:rPr>
          <w:rFonts w:ascii="Arial" w:hAnsi="Arial" w:cs="Arial"/>
          <w:sz w:val="18"/>
          <w:szCs w:val="18"/>
        </w:rPr>
        <w:t>8</w:t>
      </w:r>
      <w:r w:rsidR="007110F8">
        <w:rPr>
          <w:rFonts w:ascii="Arial" w:hAnsi="Arial" w:cs="Arial"/>
          <w:sz w:val="18"/>
          <w:szCs w:val="18"/>
        </w:rPr>
        <w:t>.</w:t>
      </w:r>
      <w:r w:rsidR="00856D9C" w:rsidRPr="00DA61FA">
        <w:rPr>
          <w:rFonts w:ascii="Arial" w:hAnsi="Arial" w:cs="Arial"/>
          <w:sz w:val="18"/>
          <w:szCs w:val="18"/>
        </w:rPr>
        <w:t xml:space="preserve"> </w:t>
      </w:r>
      <w:r w:rsidR="007110F8">
        <w:rPr>
          <w:rFonts w:ascii="Arial" w:hAnsi="Arial" w:cs="Arial"/>
          <w:sz w:val="18"/>
          <w:szCs w:val="18"/>
        </w:rPr>
        <w:t>T</w:t>
      </w:r>
      <w:r w:rsidR="00DA61FA">
        <w:rPr>
          <w:rFonts w:ascii="Arial" w:hAnsi="Arial" w:cs="Arial"/>
          <w:sz w:val="18"/>
          <w:szCs w:val="18"/>
        </w:rPr>
        <w:t xml:space="preserve">éměř </w:t>
      </w:r>
      <w:r w:rsidR="00856D9C" w:rsidRPr="00DA61FA">
        <w:rPr>
          <w:rFonts w:ascii="Arial" w:hAnsi="Arial" w:cs="Arial"/>
          <w:sz w:val="18"/>
          <w:szCs w:val="18"/>
        </w:rPr>
        <w:t>všechna ob</w:t>
      </w:r>
      <w:r w:rsidR="005F30D1" w:rsidRPr="00DA61FA">
        <w:rPr>
          <w:rFonts w:ascii="Arial" w:hAnsi="Arial" w:cs="Arial"/>
          <w:sz w:val="18"/>
          <w:szCs w:val="18"/>
        </w:rPr>
        <w:t>d</w:t>
      </w:r>
      <w:r w:rsidR="00856D9C" w:rsidRPr="00DA61FA">
        <w:rPr>
          <w:rFonts w:ascii="Arial" w:hAnsi="Arial" w:cs="Arial"/>
          <w:sz w:val="18"/>
          <w:szCs w:val="18"/>
        </w:rPr>
        <w:t>o</w:t>
      </w:r>
      <w:r w:rsidR="00110939" w:rsidRPr="00DA61FA">
        <w:rPr>
          <w:rFonts w:ascii="Arial" w:hAnsi="Arial" w:cs="Arial"/>
          <w:sz w:val="18"/>
          <w:szCs w:val="18"/>
        </w:rPr>
        <w:t>b</w:t>
      </w:r>
      <w:r w:rsidR="00856D9C" w:rsidRPr="00DA61FA">
        <w:rPr>
          <w:rFonts w:ascii="Arial" w:hAnsi="Arial" w:cs="Arial"/>
          <w:sz w:val="18"/>
          <w:szCs w:val="18"/>
        </w:rPr>
        <w:t xml:space="preserve">í </w:t>
      </w:r>
      <w:r w:rsidR="00732CDC" w:rsidRPr="00DA61FA">
        <w:rPr>
          <w:rFonts w:ascii="Arial" w:hAnsi="Arial" w:cs="Arial"/>
          <w:sz w:val="18"/>
          <w:szCs w:val="18"/>
        </w:rPr>
        <w:t xml:space="preserve">zaznamenala </w:t>
      </w:r>
      <w:r w:rsidR="00856D9C" w:rsidRPr="00DA61FA">
        <w:rPr>
          <w:rFonts w:ascii="Arial" w:hAnsi="Arial" w:cs="Arial"/>
          <w:sz w:val="18"/>
          <w:szCs w:val="18"/>
        </w:rPr>
        <w:t>meziroční růst</w:t>
      </w:r>
      <w:r w:rsidR="007110F8">
        <w:rPr>
          <w:rFonts w:ascii="Arial" w:hAnsi="Arial" w:cs="Arial"/>
          <w:sz w:val="18"/>
          <w:szCs w:val="18"/>
        </w:rPr>
        <w:t>, p</w:t>
      </w:r>
      <w:r w:rsidR="00DA61FA">
        <w:rPr>
          <w:rFonts w:ascii="Arial" w:hAnsi="Arial" w:cs="Arial"/>
          <w:sz w:val="18"/>
          <w:szCs w:val="18"/>
        </w:rPr>
        <w:t xml:space="preserve">ouze v prvním čtvrtletí 2018 vývoz meziročně klesl o 0,9 %. </w:t>
      </w:r>
      <w:r w:rsidR="007110F8">
        <w:rPr>
          <w:rFonts w:ascii="Arial" w:hAnsi="Arial" w:cs="Arial"/>
          <w:sz w:val="18"/>
          <w:szCs w:val="18"/>
        </w:rPr>
        <w:t>Nejvyšší meziroční přírůstky byly shodně dosaženy v závěru roku, tj. ve čtvrtém čtvrtletí.</w:t>
      </w:r>
    </w:p>
    <w:p w:rsidR="00D645F5" w:rsidRPr="00C54D5F" w:rsidRDefault="009E4E62" w:rsidP="009E4E62">
      <w:pPr>
        <w:spacing w:before="120" w:after="80"/>
        <w:rPr>
          <w:rFonts w:ascii="Arial" w:hAnsi="Arial" w:cs="Arial"/>
          <w:b/>
          <w:sz w:val="18"/>
          <w:szCs w:val="18"/>
        </w:rPr>
      </w:pPr>
      <w:r w:rsidRPr="00C54D5F">
        <w:rPr>
          <w:rFonts w:ascii="Arial" w:hAnsi="Arial" w:cs="Arial"/>
          <w:b/>
          <w:sz w:val="18"/>
          <w:szCs w:val="18"/>
        </w:rPr>
        <w:t xml:space="preserve">Graf </w:t>
      </w:r>
      <w:r w:rsidR="00F12CFB" w:rsidRPr="00C54D5F">
        <w:rPr>
          <w:rFonts w:ascii="Arial" w:hAnsi="Arial" w:cs="Arial"/>
          <w:b/>
          <w:sz w:val="18"/>
          <w:szCs w:val="18"/>
        </w:rPr>
        <w:t>5</w:t>
      </w:r>
      <w:r w:rsidRPr="00C54D5F">
        <w:rPr>
          <w:rFonts w:ascii="Arial" w:hAnsi="Arial" w:cs="Arial"/>
          <w:b/>
          <w:sz w:val="18"/>
          <w:szCs w:val="18"/>
        </w:rPr>
        <w:t xml:space="preserve"> </w:t>
      </w:r>
      <w:r w:rsidR="00D645F5" w:rsidRPr="00C54D5F">
        <w:rPr>
          <w:rFonts w:ascii="Arial" w:hAnsi="Arial" w:cs="Arial"/>
          <w:b/>
          <w:sz w:val="18"/>
          <w:szCs w:val="18"/>
        </w:rPr>
        <w:t>-</w:t>
      </w:r>
      <w:r w:rsidRPr="00C54D5F">
        <w:rPr>
          <w:rFonts w:ascii="Arial" w:hAnsi="Arial" w:cs="Arial"/>
          <w:b/>
          <w:sz w:val="18"/>
          <w:szCs w:val="18"/>
        </w:rPr>
        <w:t xml:space="preserve"> </w:t>
      </w:r>
      <w:r w:rsidR="00D645F5" w:rsidRPr="00C54D5F">
        <w:rPr>
          <w:rFonts w:ascii="Arial" w:hAnsi="Arial" w:cs="Arial"/>
          <w:b/>
          <w:sz w:val="18"/>
          <w:szCs w:val="18"/>
        </w:rPr>
        <w:t>Zahraniční obchod</w:t>
      </w:r>
      <w:r w:rsidR="004D0CA0" w:rsidRPr="00C54D5F">
        <w:rPr>
          <w:rFonts w:ascii="Arial" w:hAnsi="Arial" w:cs="Arial"/>
          <w:b/>
          <w:sz w:val="18"/>
          <w:szCs w:val="18"/>
        </w:rPr>
        <w:t xml:space="preserve"> České republiky</w:t>
      </w:r>
      <w:r w:rsidR="00D645F5" w:rsidRPr="00C54D5F">
        <w:rPr>
          <w:rFonts w:ascii="Arial" w:hAnsi="Arial" w:cs="Arial"/>
          <w:b/>
          <w:sz w:val="18"/>
          <w:szCs w:val="18"/>
        </w:rPr>
        <w:t xml:space="preserve"> v jednotlivých čtvrtletích </w:t>
      </w:r>
    </w:p>
    <w:p w:rsidR="00454DD8" w:rsidRPr="001A57EA" w:rsidRDefault="00015B5E" w:rsidP="00A0548A">
      <w:pPr>
        <w:spacing w:after="40"/>
        <w:rPr>
          <w:rFonts w:ascii="Arial" w:hAnsi="Arial" w:cs="Arial"/>
          <w:noProof/>
          <w:color w:val="FF0000"/>
          <w:lang w:eastAsia="cs-CZ"/>
        </w:rPr>
      </w:pPr>
      <w:r>
        <w:rPr>
          <w:rFonts w:ascii="Arial" w:hAnsi="Arial" w:cs="Arial"/>
          <w:color w:val="FF0000"/>
          <w:sz w:val="18"/>
          <w:szCs w:val="18"/>
        </w:rPr>
        <w:pict>
          <v:shape id="_x0000_i1030" type="#_x0000_t75" style="width:477.75pt;height:151.5pt">
            <v:imagedata r:id="rId14" o:title=""/>
          </v:shape>
        </w:pict>
      </w:r>
    </w:p>
    <w:p w:rsidR="000759EC" w:rsidRPr="00836A75" w:rsidRDefault="000759EC" w:rsidP="000759EC">
      <w:pPr>
        <w:numPr>
          <w:ilvl w:val="0"/>
          <w:numId w:val="1"/>
        </w:numPr>
        <w:spacing w:after="120"/>
        <w:ind w:left="284" w:hanging="284"/>
        <w:rPr>
          <w:rFonts w:ascii="Arial" w:hAnsi="Arial" w:cs="Arial"/>
          <w:b/>
        </w:rPr>
      </w:pPr>
      <w:r w:rsidRPr="00836A75">
        <w:rPr>
          <w:rFonts w:ascii="Arial" w:hAnsi="Arial" w:cs="Arial"/>
          <w:b/>
        </w:rPr>
        <w:lastRenderedPageBreak/>
        <w:t>Teritoriální struktura</w:t>
      </w:r>
    </w:p>
    <w:p w:rsidR="000759EC" w:rsidRPr="00836A75" w:rsidRDefault="000759EC" w:rsidP="000759EC">
      <w:pPr>
        <w:numPr>
          <w:ilvl w:val="1"/>
          <w:numId w:val="1"/>
        </w:numPr>
        <w:spacing w:after="120"/>
        <w:ind w:left="426"/>
        <w:rPr>
          <w:rFonts w:ascii="Arial" w:hAnsi="Arial" w:cs="Arial"/>
          <w:b/>
          <w:sz w:val="21"/>
          <w:szCs w:val="21"/>
        </w:rPr>
      </w:pPr>
      <w:r w:rsidRPr="00836A75">
        <w:rPr>
          <w:rFonts w:ascii="Arial" w:hAnsi="Arial" w:cs="Arial"/>
          <w:b/>
          <w:sz w:val="19"/>
          <w:szCs w:val="19"/>
        </w:rPr>
        <w:t xml:space="preserve"> </w:t>
      </w:r>
      <w:r w:rsidRPr="00836A75">
        <w:rPr>
          <w:rFonts w:ascii="Arial" w:hAnsi="Arial" w:cs="Arial"/>
          <w:b/>
          <w:sz w:val="21"/>
          <w:szCs w:val="21"/>
        </w:rPr>
        <w:t>Zahraniční obchod České republiky se státy EU</w:t>
      </w:r>
      <w:r w:rsidRPr="00836A75">
        <w:rPr>
          <w:rStyle w:val="Znakapoznpodarou"/>
          <w:rFonts w:ascii="Arial" w:hAnsi="Arial" w:cs="Arial"/>
          <w:sz w:val="21"/>
          <w:szCs w:val="21"/>
        </w:rPr>
        <w:footnoteReference w:id="3"/>
      </w:r>
      <w:r w:rsidRPr="00836A75">
        <w:rPr>
          <w:rFonts w:ascii="Arial" w:hAnsi="Arial" w:cs="Arial"/>
          <w:b/>
          <w:sz w:val="21"/>
          <w:szCs w:val="21"/>
        </w:rPr>
        <w:t xml:space="preserve"> a mimo EU</w:t>
      </w:r>
    </w:p>
    <w:p w:rsidR="000759EC" w:rsidRPr="00A0548A" w:rsidRDefault="000759EC" w:rsidP="008438BB">
      <w:pPr>
        <w:jc w:val="both"/>
        <w:rPr>
          <w:rFonts w:ascii="Arial" w:hAnsi="Arial" w:cs="Arial"/>
          <w:sz w:val="18"/>
          <w:szCs w:val="18"/>
        </w:rPr>
      </w:pPr>
      <w:r w:rsidRPr="00836A75">
        <w:rPr>
          <w:rFonts w:ascii="Arial" w:hAnsi="Arial" w:cs="Arial"/>
          <w:sz w:val="18"/>
          <w:szCs w:val="18"/>
        </w:rPr>
        <w:t xml:space="preserve">Podíl zahraničního obchodu se státy EU na celkovém </w:t>
      </w:r>
      <w:r w:rsidRPr="007B17C1">
        <w:rPr>
          <w:rFonts w:ascii="Arial" w:hAnsi="Arial" w:cs="Arial"/>
          <w:b/>
          <w:sz w:val="18"/>
          <w:szCs w:val="18"/>
        </w:rPr>
        <w:t>obratu zahraničního obchodu</w:t>
      </w:r>
      <w:r w:rsidRPr="00836A75">
        <w:rPr>
          <w:rFonts w:ascii="Arial" w:hAnsi="Arial" w:cs="Arial"/>
          <w:sz w:val="18"/>
          <w:szCs w:val="18"/>
        </w:rPr>
        <w:t xml:space="preserve"> České republiky v roce 201</w:t>
      </w:r>
      <w:r w:rsidR="00836A75" w:rsidRPr="00836A75">
        <w:rPr>
          <w:rFonts w:ascii="Arial" w:hAnsi="Arial" w:cs="Arial"/>
          <w:sz w:val="18"/>
          <w:szCs w:val="18"/>
        </w:rPr>
        <w:t>8</w:t>
      </w:r>
      <w:r w:rsidRPr="00836A75">
        <w:rPr>
          <w:rFonts w:ascii="Arial" w:hAnsi="Arial" w:cs="Arial"/>
          <w:sz w:val="18"/>
          <w:szCs w:val="18"/>
        </w:rPr>
        <w:t xml:space="preserve"> dosáhl </w:t>
      </w:r>
      <w:r w:rsidR="00836A75" w:rsidRPr="00836A75">
        <w:rPr>
          <w:rFonts w:ascii="Arial" w:hAnsi="Arial" w:cs="Arial"/>
          <w:sz w:val="18"/>
          <w:szCs w:val="18"/>
        </w:rPr>
        <w:t>74,7</w:t>
      </w:r>
      <w:r w:rsidRPr="00836A75">
        <w:rPr>
          <w:rFonts w:ascii="Arial" w:hAnsi="Arial" w:cs="Arial"/>
          <w:sz w:val="18"/>
          <w:szCs w:val="18"/>
        </w:rPr>
        <w:t xml:space="preserve"> % (</w:t>
      </w:r>
      <w:r w:rsidR="00167048" w:rsidRPr="00836A75">
        <w:rPr>
          <w:rFonts w:ascii="Arial" w:hAnsi="Arial" w:cs="Arial"/>
          <w:sz w:val="18"/>
          <w:szCs w:val="18"/>
        </w:rPr>
        <w:t>6</w:t>
      </w:r>
      <w:r w:rsidR="00836A75" w:rsidRPr="00836A75">
        <w:rPr>
          <w:rFonts w:ascii="Arial" w:hAnsi="Arial" w:cs="Arial"/>
          <w:sz w:val="18"/>
          <w:szCs w:val="18"/>
        </w:rPr>
        <w:t> 295,2</w:t>
      </w:r>
      <w:r w:rsidRPr="00836A75">
        <w:rPr>
          <w:rFonts w:ascii="Arial" w:hAnsi="Arial" w:cs="Arial"/>
          <w:sz w:val="18"/>
          <w:szCs w:val="18"/>
        </w:rPr>
        <w:t xml:space="preserve"> mld. Kč) proti podílu předchozího roku </w:t>
      </w:r>
      <w:r w:rsidR="00836A75" w:rsidRPr="00836A75">
        <w:rPr>
          <w:rFonts w:ascii="Arial" w:hAnsi="Arial" w:cs="Arial"/>
          <w:sz w:val="18"/>
          <w:szCs w:val="18"/>
        </w:rPr>
        <w:t>75,4</w:t>
      </w:r>
      <w:r w:rsidRPr="00836A75">
        <w:rPr>
          <w:rFonts w:ascii="Arial" w:hAnsi="Arial" w:cs="Arial"/>
          <w:sz w:val="18"/>
          <w:szCs w:val="18"/>
        </w:rPr>
        <w:t xml:space="preserve"> % (</w:t>
      </w:r>
      <w:r w:rsidR="00836A75" w:rsidRPr="00836A75">
        <w:rPr>
          <w:rFonts w:ascii="Arial" w:hAnsi="Arial" w:cs="Arial"/>
          <w:sz w:val="18"/>
          <w:szCs w:val="18"/>
        </w:rPr>
        <w:t xml:space="preserve">6 063,0 </w:t>
      </w:r>
      <w:r w:rsidRPr="00836A75">
        <w:rPr>
          <w:rFonts w:ascii="Arial" w:hAnsi="Arial" w:cs="Arial"/>
          <w:sz w:val="18"/>
          <w:szCs w:val="18"/>
        </w:rPr>
        <w:t xml:space="preserve">mld. Kč), přičemž na obchod se státy mimo EU </w:t>
      </w:r>
      <w:r w:rsidRPr="00E32B0F">
        <w:rPr>
          <w:rFonts w:ascii="Arial" w:hAnsi="Arial" w:cs="Arial"/>
          <w:sz w:val="18"/>
          <w:szCs w:val="18"/>
        </w:rPr>
        <w:t xml:space="preserve">připadlo </w:t>
      </w:r>
      <w:r w:rsidR="00836A75" w:rsidRPr="00E32B0F">
        <w:rPr>
          <w:rFonts w:ascii="Arial" w:hAnsi="Arial" w:cs="Arial"/>
          <w:sz w:val="18"/>
          <w:szCs w:val="18"/>
        </w:rPr>
        <w:t>25</w:t>
      </w:r>
      <w:r w:rsidR="00836A75" w:rsidRPr="00A0548A">
        <w:rPr>
          <w:rFonts w:ascii="Arial" w:hAnsi="Arial" w:cs="Arial"/>
          <w:sz w:val="18"/>
          <w:szCs w:val="18"/>
        </w:rPr>
        <w:t>,1</w:t>
      </w:r>
      <w:r w:rsidRPr="00A0548A">
        <w:rPr>
          <w:rFonts w:ascii="Arial" w:hAnsi="Arial" w:cs="Arial"/>
          <w:sz w:val="18"/>
          <w:szCs w:val="18"/>
        </w:rPr>
        <w:t xml:space="preserve"> %</w:t>
      </w:r>
      <w:r w:rsidR="00B26EB3" w:rsidRPr="00A0548A">
        <w:rPr>
          <w:rStyle w:val="Znakapoznpodarou"/>
          <w:rFonts w:ascii="Arial" w:hAnsi="Arial" w:cs="Arial"/>
          <w:sz w:val="18"/>
          <w:szCs w:val="18"/>
        </w:rPr>
        <w:footnoteReference w:id="4"/>
      </w:r>
      <w:r w:rsidR="000C6001" w:rsidRPr="00A0548A">
        <w:rPr>
          <w:rFonts w:ascii="Arial" w:hAnsi="Arial" w:cs="Arial"/>
          <w:sz w:val="18"/>
          <w:szCs w:val="18"/>
        </w:rPr>
        <w:t xml:space="preserve"> </w:t>
      </w:r>
      <w:r w:rsidRPr="00A0548A">
        <w:rPr>
          <w:rFonts w:ascii="Arial" w:hAnsi="Arial" w:cs="Arial"/>
          <w:sz w:val="18"/>
          <w:szCs w:val="18"/>
        </w:rPr>
        <w:t>(</w:t>
      </w:r>
      <w:r w:rsidR="00836A75" w:rsidRPr="00A0548A">
        <w:rPr>
          <w:rFonts w:ascii="Arial" w:hAnsi="Arial" w:cs="Arial"/>
          <w:sz w:val="18"/>
          <w:szCs w:val="18"/>
        </w:rPr>
        <w:t>2</w:t>
      </w:r>
      <w:r w:rsidR="00E32B0F" w:rsidRPr="00A0548A">
        <w:rPr>
          <w:rFonts w:ascii="Arial" w:hAnsi="Arial" w:cs="Arial"/>
          <w:sz w:val="18"/>
          <w:szCs w:val="18"/>
        </w:rPr>
        <w:t> 111,3</w:t>
      </w:r>
      <w:r w:rsidRPr="00A0548A">
        <w:rPr>
          <w:rFonts w:ascii="Arial" w:hAnsi="Arial" w:cs="Arial"/>
          <w:sz w:val="18"/>
          <w:szCs w:val="18"/>
        </w:rPr>
        <w:t xml:space="preserve"> mld. Kč) </w:t>
      </w:r>
      <w:r w:rsidR="0099171C" w:rsidRPr="00A0548A">
        <w:rPr>
          <w:rFonts w:ascii="Arial" w:hAnsi="Arial" w:cs="Arial"/>
          <w:sz w:val="18"/>
          <w:szCs w:val="18"/>
        </w:rPr>
        <w:t>ve srovnání s</w:t>
      </w:r>
      <w:r w:rsidR="00836A75" w:rsidRPr="00A0548A">
        <w:rPr>
          <w:rFonts w:ascii="Arial" w:hAnsi="Arial" w:cs="Arial"/>
          <w:sz w:val="18"/>
          <w:szCs w:val="18"/>
        </w:rPr>
        <w:t> 24,3</w:t>
      </w:r>
      <w:r w:rsidR="00C06206" w:rsidRPr="00A0548A">
        <w:rPr>
          <w:rFonts w:ascii="Arial" w:hAnsi="Arial" w:cs="Arial"/>
          <w:sz w:val="18"/>
          <w:szCs w:val="18"/>
        </w:rPr>
        <w:t xml:space="preserve"> % (</w:t>
      </w:r>
      <w:r w:rsidR="00836A75" w:rsidRPr="00A0548A">
        <w:rPr>
          <w:rFonts w:ascii="Arial" w:hAnsi="Arial" w:cs="Arial"/>
          <w:sz w:val="18"/>
          <w:szCs w:val="18"/>
        </w:rPr>
        <w:t xml:space="preserve">1 958,2 </w:t>
      </w:r>
      <w:r w:rsidR="00C06206" w:rsidRPr="00A0548A">
        <w:rPr>
          <w:rFonts w:ascii="Arial" w:hAnsi="Arial" w:cs="Arial"/>
          <w:sz w:val="18"/>
          <w:szCs w:val="18"/>
        </w:rPr>
        <w:t xml:space="preserve">mld. Kč) </w:t>
      </w:r>
      <w:r w:rsidRPr="00A0548A">
        <w:rPr>
          <w:rFonts w:ascii="Arial" w:hAnsi="Arial" w:cs="Arial"/>
          <w:sz w:val="18"/>
          <w:szCs w:val="18"/>
        </w:rPr>
        <w:t>v roce 201</w:t>
      </w:r>
      <w:r w:rsidR="00836A75" w:rsidRPr="00A0548A">
        <w:rPr>
          <w:rFonts w:ascii="Arial" w:hAnsi="Arial" w:cs="Arial"/>
          <w:sz w:val="18"/>
          <w:szCs w:val="18"/>
        </w:rPr>
        <w:t>7</w:t>
      </w:r>
      <w:r w:rsidRPr="00A0548A">
        <w:rPr>
          <w:rFonts w:ascii="Arial" w:hAnsi="Arial" w:cs="Arial"/>
          <w:sz w:val="18"/>
          <w:szCs w:val="18"/>
        </w:rPr>
        <w:t>.</w:t>
      </w:r>
    </w:p>
    <w:p w:rsidR="000759EC" w:rsidRPr="00A0548A" w:rsidRDefault="000759EC" w:rsidP="000759EC">
      <w:pPr>
        <w:spacing w:after="80"/>
        <w:jc w:val="both"/>
        <w:rPr>
          <w:rFonts w:ascii="Arial" w:hAnsi="Arial" w:cs="Arial"/>
          <w:b/>
          <w:sz w:val="18"/>
          <w:szCs w:val="18"/>
        </w:rPr>
      </w:pPr>
      <w:r w:rsidRPr="00A0548A">
        <w:rPr>
          <w:rFonts w:ascii="Arial" w:hAnsi="Arial" w:cs="Arial"/>
          <w:b/>
          <w:sz w:val="18"/>
          <w:szCs w:val="18"/>
        </w:rPr>
        <w:t xml:space="preserve">Graf </w:t>
      </w:r>
      <w:r w:rsidR="003602C2" w:rsidRPr="00A0548A">
        <w:rPr>
          <w:rFonts w:ascii="Arial" w:hAnsi="Arial" w:cs="Arial"/>
          <w:b/>
          <w:sz w:val="18"/>
          <w:szCs w:val="18"/>
        </w:rPr>
        <w:t>6</w:t>
      </w:r>
      <w:r w:rsidRPr="00A0548A">
        <w:rPr>
          <w:rFonts w:ascii="Arial" w:hAnsi="Arial" w:cs="Arial"/>
          <w:b/>
          <w:sz w:val="18"/>
          <w:szCs w:val="18"/>
        </w:rPr>
        <w:t xml:space="preserve"> - Teritoriální struktura </w:t>
      </w:r>
      <w:r w:rsidR="00C00A67" w:rsidRPr="00A0548A">
        <w:rPr>
          <w:rFonts w:ascii="Arial" w:hAnsi="Arial" w:cs="Arial"/>
          <w:b/>
          <w:sz w:val="18"/>
          <w:szCs w:val="18"/>
        </w:rPr>
        <w:t>zahraničního obchodu</w:t>
      </w:r>
      <w:r w:rsidRPr="00A0548A">
        <w:rPr>
          <w:rFonts w:ascii="Arial" w:hAnsi="Arial" w:cs="Arial"/>
          <w:b/>
          <w:sz w:val="18"/>
          <w:szCs w:val="18"/>
        </w:rPr>
        <w:t xml:space="preserve"> v roce 201</w:t>
      </w:r>
      <w:r w:rsidR="00A0548A" w:rsidRPr="00A0548A">
        <w:rPr>
          <w:rFonts w:ascii="Arial" w:hAnsi="Arial" w:cs="Arial"/>
          <w:b/>
          <w:sz w:val="18"/>
          <w:szCs w:val="18"/>
        </w:rPr>
        <w:t>8</w:t>
      </w:r>
      <w:r w:rsidRPr="00A0548A">
        <w:rPr>
          <w:rFonts w:ascii="Arial" w:hAnsi="Arial" w:cs="Arial"/>
          <w:b/>
          <w:sz w:val="18"/>
          <w:szCs w:val="18"/>
        </w:rPr>
        <w:t xml:space="preserve"> (podíly v %)</w:t>
      </w:r>
    </w:p>
    <w:p w:rsidR="000759EC" w:rsidRPr="001A57EA" w:rsidRDefault="00676458" w:rsidP="008438BB">
      <w:pPr>
        <w:spacing w:after="0"/>
        <w:jc w:val="both"/>
        <w:rPr>
          <w:rFonts w:ascii="Arial" w:hAnsi="Arial" w:cs="Arial"/>
          <w:color w:val="FF0000"/>
          <w:sz w:val="18"/>
          <w:szCs w:val="18"/>
        </w:rPr>
      </w:pPr>
      <w:r>
        <w:rPr>
          <w:rFonts w:ascii="Arial" w:hAnsi="Arial" w:cs="Arial"/>
          <w:color w:val="FF0000"/>
          <w:sz w:val="18"/>
          <w:szCs w:val="18"/>
        </w:rPr>
        <w:pict>
          <v:shape id="_x0000_i1031" type="#_x0000_t75" style="width:483.75pt;height:152.25pt">
            <v:imagedata r:id="rId15" o:title=""/>
          </v:shape>
        </w:pict>
      </w:r>
      <w:r w:rsidR="000759EC" w:rsidRPr="001A57EA">
        <w:rPr>
          <w:rFonts w:ascii="Arial" w:hAnsi="Arial" w:cs="Arial"/>
          <w:color w:val="FF0000"/>
          <w:sz w:val="18"/>
          <w:szCs w:val="18"/>
        </w:rPr>
        <w:tab/>
      </w:r>
      <w:r w:rsidR="000759EC" w:rsidRPr="001A57EA">
        <w:rPr>
          <w:rFonts w:ascii="Arial" w:hAnsi="Arial" w:cs="Arial"/>
          <w:color w:val="FF0000"/>
          <w:sz w:val="18"/>
          <w:szCs w:val="18"/>
        </w:rPr>
        <w:tab/>
      </w:r>
      <w:r w:rsidR="000759EC" w:rsidRPr="001A57EA">
        <w:rPr>
          <w:rFonts w:ascii="Arial" w:hAnsi="Arial" w:cs="Arial"/>
          <w:color w:val="FF0000"/>
          <w:sz w:val="18"/>
          <w:szCs w:val="18"/>
        </w:rPr>
        <w:tab/>
      </w:r>
    </w:p>
    <w:p w:rsidR="00B56094" w:rsidRDefault="00E87EC7" w:rsidP="00B56094">
      <w:pPr>
        <w:spacing w:after="120"/>
        <w:jc w:val="both"/>
        <w:rPr>
          <w:rFonts w:ascii="Arial" w:hAnsi="Arial" w:cs="Arial"/>
          <w:spacing w:val="4"/>
          <w:sz w:val="18"/>
          <w:szCs w:val="18"/>
        </w:rPr>
      </w:pPr>
      <w:r w:rsidRPr="00E32B0F">
        <w:rPr>
          <w:rFonts w:ascii="Arial" w:hAnsi="Arial" w:cs="Arial"/>
          <w:b/>
          <w:spacing w:val="4"/>
          <w:sz w:val="18"/>
          <w:szCs w:val="18"/>
        </w:rPr>
        <w:t xml:space="preserve">Vývoz </w:t>
      </w:r>
      <w:r w:rsidRPr="00E32B0F">
        <w:rPr>
          <w:rFonts w:ascii="Arial" w:hAnsi="Arial" w:cs="Arial"/>
          <w:spacing w:val="4"/>
          <w:sz w:val="18"/>
          <w:szCs w:val="18"/>
        </w:rPr>
        <w:t xml:space="preserve">zboží do </w:t>
      </w:r>
      <w:r w:rsidRPr="00E32B0F">
        <w:rPr>
          <w:rFonts w:ascii="Arial" w:hAnsi="Arial" w:cs="Arial"/>
          <w:b/>
          <w:spacing w:val="4"/>
          <w:sz w:val="18"/>
          <w:szCs w:val="18"/>
        </w:rPr>
        <w:t>států EU</w:t>
      </w:r>
      <w:r w:rsidRPr="00E32B0F">
        <w:rPr>
          <w:rFonts w:ascii="Arial" w:hAnsi="Arial" w:cs="Arial"/>
          <w:spacing w:val="4"/>
          <w:sz w:val="18"/>
          <w:szCs w:val="18"/>
        </w:rPr>
        <w:t xml:space="preserve"> v roce 201</w:t>
      </w:r>
      <w:r w:rsidR="00E32B0F">
        <w:rPr>
          <w:rFonts w:ascii="Arial" w:hAnsi="Arial" w:cs="Arial"/>
          <w:spacing w:val="4"/>
          <w:sz w:val="18"/>
          <w:szCs w:val="18"/>
        </w:rPr>
        <w:t>8</w:t>
      </w:r>
      <w:r w:rsidRPr="00E32B0F">
        <w:rPr>
          <w:rFonts w:ascii="Arial" w:hAnsi="Arial" w:cs="Arial"/>
          <w:spacing w:val="4"/>
          <w:sz w:val="18"/>
          <w:szCs w:val="18"/>
        </w:rPr>
        <w:t xml:space="preserve"> vzrostl o </w:t>
      </w:r>
      <w:r w:rsidR="00E32B0F" w:rsidRPr="00E32B0F">
        <w:rPr>
          <w:rFonts w:ascii="Arial" w:hAnsi="Arial" w:cs="Arial"/>
          <w:spacing w:val="4"/>
          <w:sz w:val="18"/>
          <w:szCs w:val="18"/>
        </w:rPr>
        <w:t>4</w:t>
      </w:r>
      <w:r w:rsidR="00167048" w:rsidRPr="00E32B0F">
        <w:rPr>
          <w:rFonts w:ascii="Arial" w:hAnsi="Arial" w:cs="Arial"/>
          <w:spacing w:val="4"/>
          <w:sz w:val="18"/>
          <w:szCs w:val="18"/>
        </w:rPr>
        <w:t>,1</w:t>
      </w:r>
      <w:r w:rsidRPr="00E32B0F">
        <w:rPr>
          <w:rFonts w:ascii="Arial" w:hAnsi="Arial" w:cs="Arial"/>
          <w:spacing w:val="4"/>
          <w:sz w:val="18"/>
          <w:szCs w:val="18"/>
        </w:rPr>
        <w:t xml:space="preserve"> % na 3</w:t>
      </w:r>
      <w:r w:rsidR="00E32B0F" w:rsidRPr="00E32B0F">
        <w:rPr>
          <w:rFonts w:ascii="Arial" w:hAnsi="Arial" w:cs="Arial"/>
          <w:spacing w:val="4"/>
          <w:sz w:val="18"/>
          <w:szCs w:val="18"/>
        </w:rPr>
        <w:t> 705,5</w:t>
      </w:r>
      <w:r w:rsidRPr="00E32B0F">
        <w:rPr>
          <w:rFonts w:ascii="Arial" w:hAnsi="Arial" w:cs="Arial"/>
          <w:spacing w:val="4"/>
          <w:sz w:val="18"/>
          <w:szCs w:val="18"/>
        </w:rPr>
        <w:t xml:space="preserve"> mld. Kč. Absolutní přírůste</w:t>
      </w:r>
      <w:r w:rsidRPr="00B92E46">
        <w:rPr>
          <w:rFonts w:ascii="Arial" w:hAnsi="Arial" w:cs="Arial"/>
          <w:spacing w:val="4"/>
          <w:sz w:val="18"/>
          <w:szCs w:val="18"/>
        </w:rPr>
        <w:t xml:space="preserve">k </w:t>
      </w:r>
      <w:r w:rsidR="00B92E46" w:rsidRPr="00B92E46">
        <w:rPr>
          <w:rFonts w:ascii="Arial" w:hAnsi="Arial" w:cs="Arial"/>
          <w:spacing w:val="4"/>
          <w:sz w:val="18"/>
          <w:szCs w:val="18"/>
        </w:rPr>
        <w:t>146,3</w:t>
      </w:r>
      <w:r w:rsidRPr="00B92E46">
        <w:rPr>
          <w:rFonts w:ascii="Arial" w:hAnsi="Arial" w:cs="Arial"/>
          <w:spacing w:val="4"/>
          <w:sz w:val="18"/>
          <w:szCs w:val="18"/>
        </w:rPr>
        <w:t xml:space="preserve"> mld. Kč </w:t>
      </w:r>
      <w:r w:rsidR="004B5AC0" w:rsidRPr="00B92E46">
        <w:rPr>
          <w:rFonts w:ascii="Arial" w:hAnsi="Arial" w:cs="Arial"/>
          <w:spacing w:val="4"/>
          <w:sz w:val="18"/>
          <w:szCs w:val="18"/>
        </w:rPr>
        <w:t xml:space="preserve">kladně </w:t>
      </w:r>
      <w:r w:rsidRPr="00B92E46">
        <w:rPr>
          <w:rFonts w:ascii="Arial" w:hAnsi="Arial" w:cs="Arial"/>
          <w:spacing w:val="4"/>
          <w:sz w:val="18"/>
          <w:szCs w:val="18"/>
        </w:rPr>
        <w:t>ovlivnil</w:t>
      </w:r>
      <w:r w:rsidR="004B5AC0" w:rsidRPr="00B92E46">
        <w:rPr>
          <w:rFonts w:ascii="Arial" w:hAnsi="Arial" w:cs="Arial"/>
          <w:spacing w:val="4"/>
          <w:sz w:val="18"/>
          <w:szCs w:val="18"/>
        </w:rPr>
        <w:t xml:space="preserve">o navýšení </w:t>
      </w:r>
      <w:r w:rsidRPr="00B92E46">
        <w:rPr>
          <w:rFonts w:ascii="Arial" w:hAnsi="Arial" w:cs="Arial"/>
          <w:spacing w:val="4"/>
          <w:sz w:val="18"/>
          <w:szCs w:val="18"/>
        </w:rPr>
        <w:t>obchod</w:t>
      </w:r>
      <w:r w:rsidR="004B5AC0" w:rsidRPr="00B92E46">
        <w:rPr>
          <w:rFonts w:ascii="Arial" w:hAnsi="Arial" w:cs="Arial"/>
          <w:spacing w:val="4"/>
          <w:sz w:val="18"/>
          <w:szCs w:val="18"/>
        </w:rPr>
        <w:t>u</w:t>
      </w:r>
      <w:r w:rsidRPr="00B92E46">
        <w:rPr>
          <w:rFonts w:ascii="Arial" w:hAnsi="Arial" w:cs="Arial"/>
          <w:spacing w:val="4"/>
          <w:sz w:val="18"/>
          <w:szCs w:val="18"/>
        </w:rPr>
        <w:t xml:space="preserve"> </w:t>
      </w:r>
      <w:r w:rsidR="004B5AC0" w:rsidRPr="00B92E46">
        <w:rPr>
          <w:rFonts w:ascii="Arial" w:hAnsi="Arial" w:cs="Arial"/>
          <w:spacing w:val="4"/>
          <w:sz w:val="18"/>
          <w:szCs w:val="18"/>
        </w:rPr>
        <w:t xml:space="preserve">především </w:t>
      </w:r>
      <w:r w:rsidRPr="00B92E46">
        <w:rPr>
          <w:rFonts w:ascii="Arial" w:hAnsi="Arial" w:cs="Arial"/>
          <w:spacing w:val="4"/>
          <w:sz w:val="18"/>
          <w:szCs w:val="18"/>
        </w:rPr>
        <w:t>s</w:t>
      </w:r>
      <w:r w:rsidR="00115370" w:rsidRPr="00B92E46">
        <w:rPr>
          <w:rFonts w:ascii="Arial" w:hAnsi="Arial" w:cs="Arial"/>
          <w:spacing w:val="4"/>
          <w:sz w:val="18"/>
          <w:szCs w:val="18"/>
        </w:rPr>
        <w:t> </w:t>
      </w:r>
      <w:r w:rsidRPr="00B92E46">
        <w:rPr>
          <w:rFonts w:ascii="Arial" w:hAnsi="Arial" w:cs="Arial"/>
          <w:spacing w:val="4"/>
          <w:sz w:val="18"/>
          <w:szCs w:val="18"/>
        </w:rPr>
        <w:t>Německem</w:t>
      </w:r>
      <w:r w:rsidR="004B5AC0" w:rsidRPr="00B92E46">
        <w:rPr>
          <w:rFonts w:ascii="Arial" w:hAnsi="Arial" w:cs="Arial"/>
          <w:spacing w:val="4"/>
          <w:sz w:val="18"/>
          <w:szCs w:val="18"/>
        </w:rPr>
        <w:t xml:space="preserve"> (</w:t>
      </w:r>
      <w:r w:rsidR="00115370" w:rsidRPr="00B92E46">
        <w:rPr>
          <w:rFonts w:ascii="Arial" w:hAnsi="Arial" w:cs="Arial"/>
          <w:spacing w:val="4"/>
          <w:sz w:val="18"/>
          <w:szCs w:val="18"/>
        </w:rPr>
        <w:t xml:space="preserve">o </w:t>
      </w:r>
      <w:r w:rsidR="00B92E46" w:rsidRPr="00B92E46">
        <w:rPr>
          <w:rFonts w:ascii="Arial" w:hAnsi="Arial" w:cs="Arial"/>
          <w:spacing w:val="4"/>
          <w:sz w:val="18"/>
          <w:szCs w:val="18"/>
        </w:rPr>
        <w:t>42,5</w:t>
      </w:r>
      <w:r w:rsidR="00115370" w:rsidRPr="00B92E46">
        <w:rPr>
          <w:rFonts w:ascii="Arial" w:hAnsi="Arial" w:cs="Arial"/>
          <w:spacing w:val="4"/>
          <w:sz w:val="18"/>
          <w:szCs w:val="18"/>
        </w:rPr>
        <w:t xml:space="preserve"> mld. Kč), </w:t>
      </w:r>
      <w:r w:rsidR="00B92E46">
        <w:rPr>
          <w:rFonts w:ascii="Arial" w:hAnsi="Arial" w:cs="Arial"/>
          <w:spacing w:val="4"/>
          <w:sz w:val="18"/>
          <w:szCs w:val="18"/>
        </w:rPr>
        <w:t xml:space="preserve">Španělskem (o 16,2 mld. Kč), </w:t>
      </w:r>
      <w:r w:rsidR="00E11BCB" w:rsidRPr="00B92E46">
        <w:rPr>
          <w:rFonts w:ascii="Arial" w:hAnsi="Arial" w:cs="Arial"/>
          <w:spacing w:val="4"/>
          <w:sz w:val="18"/>
          <w:szCs w:val="18"/>
        </w:rPr>
        <w:t>Nizozemskem</w:t>
      </w:r>
      <w:r w:rsidR="00115370" w:rsidRPr="001A57EA">
        <w:rPr>
          <w:rFonts w:ascii="Arial" w:hAnsi="Arial" w:cs="Arial"/>
          <w:color w:val="FF0000"/>
          <w:spacing w:val="4"/>
          <w:sz w:val="18"/>
          <w:szCs w:val="18"/>
        </w:rPr>
        <w:t xml:space="preserve"> </w:t>
      </w:r>
      <w:r w:rsidR="00115370" w:rsidRPr="00B92E46">
        <w:rPr>
          <w:rFonts w:ascii="Arial" w:hAnsi="Arial" w:cs="Arial"/>
          <w:spacing w:val="4"/>
          <w:sz w:val="18"/>
          <w:szCs w:val="18"/>
        </w:rPr>
        <w:t xml:space="preserve">(o </w:t>
      </w:r>
      <w:r w:rsidR="00B92E46" w:rsidRPr="00B92E46">
        <w:rPr>
          <w:rFonts w:ascii="Arial" w:hAnsi="Arial" w:cs="Arial"/>
          <w:spacing w:val="4"/>
          <w:sz w:val="18"/>
          <w:szCs w:val="18"/>
        </w:rPr>
        <w:t>15,1</w:t>
      </w:r>
      <w:r w:rsidR="00115370" w:rsidRPr="00B92E46">
        <w:rPr>
          <w:rFonts w:ascii="Arial" w:hAnsi="Arial" w:cs="Arial"/>
          <w:spacing w:val="4"/>
          <w:sz w:val="18"/>
          <w:szCs w:val="18"/>
        </w:rPr>
        <w:t xml:space="preserve"> mld. Kč),</w:t>
      </w:r>
      <w:r w:rsidR="00970810" w:rsidRPr="00B92E46">
        <w:rPr>
          <w:rFonts w:ascii="Arial" w:hAnsi="Arial" w:cs="Arial"/>
          <w:spacing w:val="4"/>
          <w:sz w:val="18"/>
          <w:szCs w:val="18"/>
        </w:rPr>
        <w:t xml:space="preserve"> </w:t>
      </w:r>
      <w:r w:rsidR="00B92E46" w:rsidRPr="00B92E46">
        <w:rPr>
          <w:rFonts w:ascii="Arial" w:hAnsi="Arial" w:cs="Arial"/>
          <w:spacing w:val="4"/>
          <w:sz w:val="18"/>
          <w:szCs w:val="18"/>
        </w:rPr>
        <w:t xml:space="preserve">Irskem (o 12,7 mld. Kč), </w:t>
      </w:r>
      <w:r w:rsidR="00E11BCB" w:rsidRPr="00B92E46">
        <w:rPr>
          <w:rFonts w:ascii="Arial" w:hAnsi="Arial" w:cs="Arial"/>
          <w:spacing w:val="4"/>
          <w:sz w:val="18"/>
          <w:szCs w:val="18"/>
        </w:rPr>
        <w:t>Polskem</w:t>
      </w:r>
      <w:r w:rsidR="00970810" w:rsidRPr="00B92E46">
        <w:rPr>
          <w:rFonts w:ascii="Arial" w:hAnsi="Arial" w:cs="Arial"/>
          <w:spacing w:val="4"/>
          <w:sz w:val="18"/>
          <w:szCs w:val="18"/>
        </w:rPr>
        <w:t xml:space="preserve"> (o </w:t>
      </w:r>
      <w:r w:rsidR="00B92E46" w:rsidRPr="00B92E46">
        <w:rPr>
          <w:rFonts w:ascii="Arial" w:hAnsi="Arial" w:cs="Arial"/>
          <w:spacing w:val="4"/>
          <w:sz w:val="18"/>
          <w:szCs w:val="18"/>
        </w:rPr>
        <w:t>12,4</w:t>
      </w:r>
      <w:r w:rsidR="00970810" w:rsidRPr="00B92E46">
        <w:rPr>
          <w:rFonts w:ascii="Arial" w:hAnsi="Arial" w:cs="Arial"/>
          <w:spacing w:val="4"/>
          <w:sz w:val="18"/>
          <w:szCs w:val="18"/>
        </w:rPr>
        <w:t> mld. </w:t>
      </w:r>
      <w:r w:rsidR="00B92E46" w:rsidRPr="00B92E46">
        <w:rPr>
          <w:rFonts w:ascii="Arial" w:hAnsi="Arial" w:cs="Arial"/>
          <w:spacing w:val="4"/>
          <w:sz w:val="18"/>
          <w:szCs w:val="18"/>
        </w:rPr>
        <w:t>Kč)</w:t>
      </w:r>
      <w:r w:rsidR="00115370" w:rsidRPr="00B92E46">
        <w:rPr>
          <w:rFonts w:ascii="Arial" w:hAnsi="Arial" w:cs="Arial"/>
          <w:spacing w:val="4"/>
          <w:sz w:val="18"/>
          <w:szCs w:val="18"/>
        </w:rPr>
        <w:t xml:space="preserve"> </w:t>
      </w:r>
      <w:r w:rsidR="00E11BCB" w:rsidRPr="00B92E46">
        <w:rPr>
          <w:rFonts w:ascii="Arial" w:hAnsi="Arial" w:cs="Arial"/>
          <w:spacing w:val="4"/>
          <w:sz w:val="18"/>
          <w:szCs w:val="18"/>
        </w:rPr>
        <w:t xml:space="preserve">a </w:t>
      </w:r>
      <w:r w:rsidR="00B92E46" w:rsidRPr="00B92E46">
        <w:rPr>
          <w:rFonts w:ascii="Arial" w:hAnsi="Arial" w:cs="Arial"/>
          <w:spacing w:val="4"/>
          <w:sz w:val="18"/>
          <w:szCs w:val="18"/>
        </w:rPr>
        <w:t>Švédskem</w:t>
      </w:r>
      <w:r w:rsidR="00E11BCB" w:rsidRPr="00B92E46">
        <w:rPr>
          <w:rFonts w:ascii="Arial" w:hAnsi="Arial" w:cs="Arial"/>
          <w:spacing w:val="4"/>
          <w:sz w:val="18"/>
          <w:szCs w:val="18"/>
        </w:rPr>
        <w:t xml:space="preserve"> (o </w:t>
      </w:r>
      <w:r w:rsidR="00B92E46" w:rsidRPr="00B92E46">
        <w:rPr>
          <w:rFonts w:ascii="Arial" w:hAnsi="Arial" w:cs="Arial"/>
          <w:spacing w:val="4"/>
          <w:sz w:val="18"/>
          <w:szCs w:val="18"/>
        </w:rPr>
        <w:t>9,8</w:t>
      </w:r>
      <w:r w:rsidR="00E11BCB" w:rsidRPr="00B92E46">
        <w:rPr>
          <w:rFonts w:ascii="Arial" w:hAnsi="Arial" w:cs="Arial"/>
          <w:spacing w:val="4"/>
          <w:sz w:val="18"/>
          <w:szCs w:val="18"/>
        </w:rPr>
        <w:t xml:space="preserve"> mld. Kč)</w:t>
      </w:r>
      <w:r w:rsidR="00115370" w:rsidRPr="00B92E46">
        <w:rPr>
          <w:rFonts w:ascii="Arial" w:hAnsi="Arial" w:cs="Arial"/>
          <w:spacing w:val="4"/>
          <w:sz w:val="18"/>
          <w:szCs w:val="18"/>
        </w:rPr>
        <w:t xml:space="preserve">. </w:t>
      </w:r>
      <w:r w:rsidR="00156D66">
        <w:rPr>
          <w:rFonts w:ascii="Arial" w:hAnsi="Arial" w:cs="Arial"/>
          <w:spacing w:val="4"/>
          <w:sz w:val="18"/>
          <w:szCs w:val="18"/>
        </w:rPr>
        <w:t xml:space="preserve">Významnou změnou bylo meziroční navýšení hodnoty vyvezeného zboží na Slovensko </w:t>
      </w:r>
      <w:r w:rsidR="003C6A67">
        <w:rPr>
          <w:rFonts w:ascii="Arial" w:hAnsi="Arial" w:cs="Arial"/>
          <w:spacing w:val="4"/>
          <w:sz w:val="18"/>
          <w:szCs w:val="18"/>
        </w:rPr>
        <w:t xml:space="preserve">(o 9,2 mld. Kč) </w:t>
      </w:r>
      <w:r w:rsidR="00156D66">
        <w:rPr>
          <w:rFonts w:ascii="Arial" w:hAnsi="Arial" w:cs="Arial"/>
          <w:spacing w:val="4"/>
          <w:sz w:val="18"/>
          <w:szCs w:val="18"/>
        </w:rPr>
        <w:t>po předchozích dva roky trvajících poklesech.</w:t>
      </w:r>
    </w:p>
    <w:p w:rsidR="00B56094" w:rsidRPr="00B92E46" w:rsidRDefault="007B17C1" w:rsidP="00B56094">
      <w:pPr>
        <w:spacing w:after="120"/>
        <w:jc w:val="both"/>
        <w:rPr>
          <w:rFonts w:ascii="Arial" w:hAnsi="Arial" w:cs="Arial"/>
          <w:spacing w:val="4"/>
          <w:sz w:val="18"/>
          <w:szCs w:val="18"/>
        </w:rPr>
      </w:pPr>
      <w:r>
        <w:rPr>
          <w:rFonts w:ascii="Arial" w:hAnsi="Arial" w:cs="Arial"/>
          <w:spacing w:val="4"/>
          <w:sz w:val="18"/>
          <w:szCs w:val="18"/>
        </w:rPr>
        <w:t>N</w:t>
      </w:r>
      <w:r w:rsidR="00115370" w:rsidRPr="00B56094">
        <w:rPr>
          <w:rFonts w:ascii="Arial" w:hAnsi="Arial" w:cs="Arial"/>
          <w:spacing w:val="4"/>
          <w:sz w:val="18"/>
          <w:szCs w:val="18"/>
        </w:rPr>
        <w:t xml:space="preserve">egativně </w:t>
      </w:r>
      <w:r>
        <w:rPr>
          <w:rFonts w:ascii="Arial" w:hAnsi="Arial" w:cs="Arial"/>
          <w:spacing w:val="4"/>
          <w:sz w:val="18"/>
          <w:szCs w:val="18"/>
        </w:rPr>
        <w:t xml:space="preserve">se </w:t>
      </w:r>
      <w:r w:rsidR="00115370" w:rsidRPr="00B56094">
        <w:rPr>
          <w:rFonts w:ascii="Arial" w:hAnsi="Arial" w:cs="Arial"/>
          <w:spacing w:val="4"/>
          <w:sz w:val="18"/>
          <w:szCs w:val="18"/>
        </w:rPr>
        <w:t xml:space="preserve">projevil pokles vývozu </w:t>
      </w:r>
      <w:r>
        <w:rPr>
          <w:rFonts w:ascii="Arial" w:hAnsi="Arial" w:cs="Arial"/>
          <w:spacing w:val="4"/>
          <w:sz w:val="18"/>
          <w:szCs w:val="18"/>
        </w:rPr>
        <w:t>zboží z </w:t>
      </w:r>
      <w:r w:rsidR="00970810" w:rsidRPr="00B56094">
        <w:rPr>
          <w:rFonts w:ascii="Arial" w:hAnsi="Arial" w:cs="Arial"/>
          <w:spacing w:val="4"/>
          <w:sz w:val="18"/>
          <w:szCs w:val="18"/>
        </w:rPr>
        <w:t>Česk</w:t>
      </w:r>
      <w:r>
        <w:rPr>
          <w:rFonts w:ascii="Arial" w:hAnsi="Arial" w:cs="Arial"/>
          <w:spacing w:val="4"/>
          <w:sz w:val="18"/>
          <w:szCs w:val="18"/>
        </w:rPr>
        <w:t>é republiky</w:t>
      </w:r>
      <w:r w:rsidR="00970810" w:rsidRPr="00B56094">
        <w:rPr>
          <w:rFonts w:ascii="Arial" w:hAnsi="Arial" w:cs="Arial"/>
          <w:spacing w:val="4"/>
          <w:sz w:val="18"/>
          <w:szCs w:val="18"/>
        </w:rPr>
        <w:t xml:space="preserve"> </w:t>
      </w:r>
      <w:r w:rsidR="00B56094" w:rsidRPr="00B56094">
        <w:rPr>
          <w:rFonts w:ascii="Arial" w:hAnsi="Arial" w:cs="Arial"/>
          <w:spacing w:val="4"/>
          <w:sz w:val="18"/>
          <w:szCs w:val="18"/>
        </w:rPr>
        <w:t>do Spojeného království</w:t>
      </w:r>
      <w:r w:rsidR="00115370" w:rsidRPr="00B56094">
        <w:rPr>
          <w:rFonts w:ascii="Arial" w:hAnsi="Arial" w:cs="Arial"/>
          <w:spacing w:val="4"/>
          <w:sz w:val="18"/>
          <w:szCs w:val="18"/>
        </w:rPr>
        <w:t xml:space="preserve"> o</w:t>
      </w:r>
      <w:r w:rsidR="00E11BCB" w:rsidRPr="00B56094">
        <w:rPr>
          <w:rFonts w:ascii="Arial" w:hAnsi="Arial" w:cs="Arial"/>
          <w:spacing w:val="4"/>
          <w:sz w:val="18"/>
          <w:szCs w:val="18"/>
        </w:rPr>
        <w:t> 7,</w:t>
      </w:r>
      <w:r w:rsidR="00B56094" w:rsidRPr="00B56094">
        <w:rPr>
          <w:rFonts w:ascii="Arial" w:hAnsi="Arial" w:cs="Arial"/>
          <w:spacing w:val="4"/>
          <w:sz w:val="18"/>
          <w:szCs w:val="18"/>
        </w:rPr>
        <w:t>0</w:t>
      </w:r>
      <w:r w:rsidR="00E11BCB" w:rsidRPr="00B56094">
        <w:rPr>
          <w:rFonts w:ascii="Arial" w:hAnsi="Arial" w:cs="Arial"/>
          <w:spacing w:val="4"/>
          <w:sz w:val="18"/>
          <w:szCs w:val="18"/>
        </w:rPr>
        <w:t> </w:t>
      </w:r>
      <w:r w:rsidR="00B56094" w:rsidRPr="00B56094">
        <w:rPr>
          <w:rFonts w:ascii="Arial" w:hAnsi="Arial" w:cs="Arial"/>
          <w:spacing w:val="4"/>
          <w:sz w:val="18"/>
          <w:szCs w:val="18"/>
        </w:rPr>
        <w:t>mld. Kč</w:t>
      </w:r>
      <w:r>
        <w:rPr>
          <w:rFonts w:ascii="Arial" w:hAnsi="Arial" w:cs="Arial"/>
          <w:spacing w:val="4"/>
          <w:sz w:val="18"/>
          <w:szCs w:val="18"/>
        </w:rPr>
        <w:t xml:space="preserve"> (v roce 2017 nárůst o 2,6 mld. Kč).</w:t>
      </w:r>
      <w:r w:rsidR="00B56094" w:rsidRPr="00B56094">
        <w:rPr>
          <w:rFonts w:ascii="Arial" w:hAnsi="Arial" w:cs="Arial"/>
          <w:spacing w:val="4"/>
          <w:sz w:val="18"/>
          <w:szCs w:val="18"/>
        </w:rPr>
        <w:t xml:space="preserve"> </w:t>
      </w:r>
    </w:p>
    <w:p w:rsidR="00E87EC7" w:rsidRPr="00AF723C" w:rsidRDefault="006C2961" w:rsidP="008438BB">
      <w:pPr>
        <w:spacing w:after="240"/>
        <w:jc w:val="both"/>
        <w:rPr>
          <w:rFonts w:ascii="Arial" w:hAnsi="Arial" w:cs="Arial"/>
          <w:b/>
          <w:spacing w:val="4"/>
          <w:sz w:val="18"/>
          <w:szCs w:val="18"/>
        </w:rPr>
      </w:pPr>
      <w:r w:rsidRPr="00B27094">
        <w:rPr>
          <w:rFonts w:ascii="Arial" w:hAnsi="Arial" w:cs="Arial"/>
          <w:spacing w:val="4"/>
          <w:sz w:val="18"/>
          <w:szCs w:val="18"/>
        </w:rPr>
        <w:t xml:space="preserve">Meziroční růst </w:t>
      </w:r>
      <w:r w:rsidRPr="007B17C1">
        <w:rPr>
          <w:rFonts w:ascii="Arial" w:hAnsi="Arial" w:cs="Arial"/>
          <w:b/>
          <w:spacing w:val="4"/>
          <w:sz w:val="18"/>
          <w:szCs w:val="18"/>
        </w:rPr>
        <w:t>vývozu</w:t>
      </w:r>
      <w:r w:rsidRPr="00B27094">
        <w:rPr>
          <w:rFonts w:ascii="Arial" w:hAnsi="Arial" w:cs="Arial"/>
          <w:spacing w:val="4"/>
          <w:sz w:val="18"/>
          <w:szCs w:val="18"/>
        </w:rPr>
        <w:t xml:space="preserve"> České republiky </w:t>
      </w:r>
      <w:r w:rsidRPr="007B17C1">
        <w:rPr>
          <w:rFonts w:ascii="Arial" w:hAnsi="Arial" w:cs="Arial"/>
          <w:b/>
          <w:spacing w:val="4"/>
          <w:sz w:val="18"/>
          <w:szCs w:val="18"/>
        </w:rPr>
        <w:t>do mimounijních států</w:t>
      </w:r>
      <w:r w:rsidRPr="00B27094">
        <w:rPr>
          <w:rFonts w:ascii="Arial" w:hAnsi="Arial" w:cs="Arial"/>
          <w:spacing w:val="4"/>
          <w:sz w:val="18"/>
          <w:szCs w:val="18"/>
        </w:rPr>
        <w:t xml:space="preserve"> o 5,3 % v roce 2017 v následujícím roce lehce poklesl o 3,4 </w:t>
      </w:r>
      <w:proofErr w:type="gramStart"/>
      <w:r w:rsidRPr="00B27094">
        <w:rPr>
          <w:rFonts w:ascii="Arial" w:hAnsi="Arial" w:cs="Arial"/>
          <w:spacing w:val="4"/>
          <w:sz w:val="18"/>
          <w:szCs w:val="18"/>
        </w:rPr>
        <w:t>p.b.</w:t>
      </w:r>
      <w:proofErr w:type="gramEnd"/>
      <w:r w:rsidRPr="00B27094">
        <w:rPr>
          <w:rFonts w:ascii="Arial" w:hAnsi="Arial" w:cs="Arial"/>
          <w:spacing w:val="4"/>
          <w:sz w:val="18"/>
          <w:szCs w:val="18"/>
        </w:rPr>
        <w:t xml:space="preserve"> </w:t>
      </w:r>
      <w:r w:rsidR="00B27094" w:rsidRPr="00B27094">
        <w:rPr>
          <w:rFonts w:ascii="Arial" w:hAnsi="Arial" w:cs="Arial"/>
          <w:spacing w:val="4"/>
          <w:sz w:val="18"/>
          <w:szCs w:val="18"/>
        </w:rPr>
        <w:t xml:space="preserve">Mezi státy, které </w:t>
      </w:r>
      <w:r w:rsidR="008438BB">
        <w:rPr>
          <w:rFonts w:ascii="Arial" w:hAnsi="Arial" w:cs="Arial"/>
          <w:spacing w:val="4"/>
          <w:sz w:val="18"/>
          <w:szCs w:val="18"/>
        </w:rPr>
        <w:t xml:space="preserve">v roce 2018 </w:t>
      </w:r>
      <w:r w:rsidR="00B27094" w:rsidRPr="00B27094">
        <w:rPr>
          <w:rFonts w:ascii="Arial" w:hAnsi="Arial" w:cs="Arial"/>
          <w:spacing w:val="4"/>
          <w:sz w:val="18"/>
          <w:szCs w:val="18"/>
        </w:rPr>
        <w:t xml:space="preserve">zaznamenaly nejvýraznější meziroční absolutní nárůst, patřila </w:t>
      </w:r>
      <w:r w:rsidR="00B27094">
        <w:rPr>
          <w:rFonts w:ascii="Arial" w:hAnsi="Arial" w:cs="Arial"/>
          <w:spacing w:val="4"/>
          <w:sz w:val="18"/>
          <w:szCs w:val="18"/>
        </w:rPr>
        <w:t>Ruská federace (o 7,4 mld. Kč), Ukrajina (o 5,1 mld. Kč) a Spojené státy (o 3,2 mld. Kč).</w:t>
      </w:r>
      <w:r w:rsidR="00AF723C">
        <w:rPr>
          <w:rFonts w:ascii="Arial" w:hAnsi="Arial" w:cs="Arial"/>
          <w:spacing w:val="4"/>
          <w:sz w:val="18"/>
          <w:szCs w:val="18"/>
        </w:rPr>
        <w:t xml:space="preserve"> </w:t>
      </w:r>
      <w:r w:rsidR="00AF723C" w:rsidRPr="00AF723C">
        <w:rPr>
          <w:rFonts w:ascii="Arial" w:hAnsi="Arial" w:cs="Arial"/>
          <w:spacing w:val="4"/>
          <w:sz w:val="18"/>
          <w:szCs w:val="18"/>
        </w:rPr>
        <w:t xml:space="preserve">Naopak nastal pokles </w:t>
      </w:r>
      <w:r w:rsidR="00AF723C" w:rsidRPr="008438BB">
        <w:rPr>
          <w:rFonts w:ascii="Arial" w:hAnsi="Arial" w:cs="Arial"/>
          <w:sz w:val="18"/>
          <w:szCs w:val="18"/>
        </w:rPr>
        <w:t>vývozu do Turecka (o 5,5 mld. Kč), Spojených arabských emirátů (o 3,5 mld. Kč)</w:t>
      </w:r>
      <w:r w:rsidR="003D5B72" w:rsidRPr="008438BB">
        <w:rPr>
          <w:rFonts w:ascii="Arial" w:hAnsi="Arial" w:cs="Arial"/>
          <w:sz w:val="18"/>
          <w:szCs w:val="18"/>
        </w:rPr>
        <w:t xml:space="preserve"> a </w:t>
      </w:r>
      <w:r w:rsidR="00C54D5F" w:rsidRPr="008438BB">
        <w:rPr>
          <w:rFonts w:ascii="Arial" w:hAnsi="Arial" w:cs="Arial"/>
          <w:sz w:val="18"/>
          <w:szCs w:val="18"/>
        </w:rPr>
        <w:t xml:space="preserve">do </w:t>
      </w:r>
      <w:r w:rsidR="003D5B72" w:rsidRPr="008438BB">
        <w:rPr>
          <w:rFonts w:ascii="Arial" w:hAnsi="Arial" w:cs="Arial"/>
          <w:sz w:val="18"/>
          <w:szCs w:val="18"/>
        </w:rPr>
        <w:t>Saúdsk</w:t>
      </w:r>
      <w:r w:rsidR="00C54D5F" w:rsidRPr="008438BB">
        <w:rPr>
          <w:rFonts w:ascii="Arial" w:hAnsi="Arial" w:cs="Arial"/>
          <w:sz w:val="18"/>
          <w:szCs w:val="18"/>
        </w:rPr>
        <w:t>é</w:t>
      </w:r>
      <w:r w:rsidR="003D5B72" w:rsidRPr="008438BB">
        <w:rPr>
          <w:rFonts w:ascii="Arial" w:hAnsi="Arial" w:cs="Arial"/>
          <w:sz w:val="18"/>
          <w:szCs w:val="18"/>
        </w:rPr>
        <w:t xml:space="preserve"> Arábie (o 3,1 mld. Kč).</w:t>
      </w:r>
    </w:p>
    <w:p w:rsidR="00D32637" w:rsidRPr="007B17C1" w:rsidRDefault="00C77352" w:rsidP="00C77352">
      <w:pPr>
        <w:spacing w:after="80"/>
        <w:jc w:val="both"/>
        <w:rPr>
          <w:rFonts w:ascii="Arial" w:hAnsi="Arial" w:cs="Arial"/>
          <w:b/>
          <w:sz w:val="18"/>
          <w:szCs w:val="18"/>
        </w:rPr>
      </w:pPr>
      <w:r w:rsidRPr="007B17C1">
        <w:rPr>
          <w:rFonts w:ascii="Arial" w:hAnsi="Arial" w:cs="Arial"/>
          <w:b/>
          <w:sz w:val="18"/>
          <w:szCs w:val="18"/>
        </w:rPr>
        <w:t xml:space="preserve">Graf </w:t>
      </w:r>
      <w:r w:rsidR="00FC7AE3" w:rsidRPr="007B17C1">
        <w:rPr>
          <w:rFonts w:ascii="Arial" w:hAnsi="Arial" w:cs="Arial"/>
          <w:b/>
          <w:sz w:val="18"/>
          <w:szCs w:val="18"/>
        </w:rPr>
        <w:t>7</w:t>
      </w:r>
      <w:r w:rsidRPr="007B17C1">
        <w:rPr>
          <w:rFonts w:ascii="Arial" w:hAnsi="Arial" w:cs="Arial"/>
          <w:b/>
          <w:sz w:val="18"/>
          <w:szCs w:val="18"/>
        </w:rPr>
        <w:t xml:space="preserve"> </w:t>
      </w:r>
      <w:r w:rsidR="00E267F8" w:rsidRPr="007B17C1">
        <w:rPr>
          <w:rFonts w:ascii="Arial" w:hAnsi="Arial" w:cs="Arial"/>
          <w:b/>
          <w:sz w:val="18"/>
          <w:szCs w:val="18"/>
        </w:rPr>
        <w:t>-</w:t>
      </w:r>
      <w:r w:rsidRPr="007B17C1">
        <w:rPr>
          <w:rFonts w:ascii="Arial" w:hAnsi="Arial" w:cs="Arial"/>
          <w:b/>
          <w:sz w:val="18"/>
          <w:szCs w:val="18"/>
        </w:rPr>
        <w:t xml:space="preserve"> </w:t>
      </w:r>
      <w:r w:rsidR="00E267F8" w:rsidRPr="007B17C1">
        <w:rPr>
          <w:rFonts w:ascii="Arial" w:hAnsi="Arial" w:cs="Arial"/>
          <w:b/>
          <w:sz w:val="18"/>
          <w:szCs w:val="18"/>
        </w:rPr>
        <w:t>Zahraniční obchod se státy</w:t>
      </w:r>
      <w:r w:rsidRPr="007B17C1">
        <w:rPr>
          <w:rFonts w:ascii="Arial" w:hAnsi="Arial" w:cs="Arial"/>
          <w:b/>
          <w:sz w:val="18"/>
          <w:szCs w:val="18"/>
        </w:rPr>
        <w:t xml:space="preserve"> EU v roce 201</w:t>
      </w:r>
      <w:r w:rsidR="007B17C1">
        <w:rPr>
          <w:rFonts w:ascii="Arial" w:hAnsi="Arial" w:cs="Arial"/>
          <w:b/>
          <w:sz w:val="18"/>
          <w:szCs w:val="18"/>
        </w:rPr>
        <w:t>8</w:t>
      </w:r>
      <w:r w:rsidR="00AE096D" w:rsidRPr="007B17C1">
        <w:rPr>
          <w:rFonts w:ascii="Arial" w:hAnsi="Arial" w:cs="Arial"/>
          <w:b/>
          <w:sz w:val="18"/>
          <w:szCs w:val="18"/>
        </w:rPr>
        <w:t xml:space="preserve"> (podíly v %)</w:t>
      </w:r>
    </w:p>
    <w:p w:rsidR="00EF5458" w:rsidRPr="007B17C1" w:rsidRDefault="00EF5458" w:rsidP="00C9676F">
      <w:pPr>
        <w:spacing w:after="40"/>
        <w:jc w:val="both"/>
        <w:rPr>
          <w:rFonts w:ascii="Arial" w:hAnsi="Arial" w:cs="Arial"/>
          <w:b/>
          <w:sz w:val="18"/>
          <w:szCs w:val="18"/>
        </w:rPr>
      </w:pPr>
      <w:r w:rsidRPr="007B17C1">
        <w:rPr>
          <w:rFonts w:ascii="Arial" w:hAnsi="Arial" w:cs="Arial"/>
          <w:b/>
          <w:sz w:val="18"/>
          <w:szCs w:val="18"/>
        </w:rPr>
        <w:tab/>
      </w:r>
      <w:r w:rsidRPr="007B17C1">
        <w:rPr>
          <w:rFonts w:ascii="Arial" w:hAnsi="Arial" w:cs="Arial"/>
          <w:b/>
          <w:sz w:val="18"/>
          <w:szCs w:val="18"/>
        </w:rPr>
        <w:tab/>
      </w:r>
      <w:r w:rsidR="00D32637" w:rsidRPr="007B17C1">
        <w:rPr>
          <w:rFonts w:ascii="Arial" w:hAnsi="Arial" w:cs="Arial"/>
          <w:b/>
          <w:sz w:val="18"/>
          <w:szCs w:val="18"/>
        </w:rPr>
        <w:tab/>
        <w:t xml:space="preserve">     </w:t>
      </w:r>
      <w:r w:rsidR="009E2714" w:rsidRPr="007B17C1">
        <w:rPr>
          <w:rFonts w:ascii="Arial" w:hAnsi="Arial" w:cs="Arial"/>
          <w:b/>
          <w:sz w:val="18"/>
          <w:szCs w:val="18"/>
        </w:rPr>
        <w:t xml:space="preserve">  </w:t>
      </w:r>
      <w:r w:rsidR="002A4E60" w:rsidRPr="007B17C1">
        <w:rPr>
          <w:rFonts w:ascii="Arial" w:hAnsi="Arial" w:cs="Arial"/>
          <w:b/>
          <w:sz w:val="18"/>
          <w:szCs w:val="18"/>
        </w:rPr>
        <w:t xml:space="preserve">  </w:t>
      </w:r>
      <w:r w:rsidR="00E03C95" w:rsidRPr="007B17C1">
        <w:rPr>
          <w:rFonts w:ascii="Arial" w:hAnsi="Arial" w:cs="Arial"/>
          <w:sz w:val="18"/>
          <w:szCs w:val="18"/>
        </w:rPr>
        <w:t>v</w:t>
      </w:r>
      <w:r w:rsidRPr="007B17C1">
        <w:rPr>
          <w:rFonts w:ascii="Arial" w:hAnsi="Arial" w:cs="Arial"/>
          <w:sz w:val="18"/>
          <w:szCs w:val="18"/>
        </w:rPr>
        <w:t>ývoz</w:t>
      </w:r>
      <w:r w:rsidRPr="007B17C1">
        <w:rPr>
          <w:rFonts w:ascii="Arial" w:hAnsi="Arial" w:cs="Arial"/>
          <w:sz w:val="18"/>
          <w:szCs w:val="18"/>
        </w:rPr>
        <w:tab/>
      </w:r>
      <w:r w:rsidRPr="007B17C1">
        <w:rPr>
          <w:rFonts w:ascii="Arial" w:hAnsi="Arial" w:cs="Arial"/>
          <w:sz w:val="18"/>
          <w:szCs w:val="18"/>
        </w:rPr>
        <w:tab/>
      </w:r>
      <w:r w:rsidRPr="007B17C1">
        <w:rPr>
          <w:rFonts w:ascii="Arial" w:hAnsi="Arial" w:cs="Arial"/>
          <w:b/>
          <w:sz w:val="18"/>
          <w:szCs w:val="18"/>
        </w:rPr>
        <w:tab/>
      </w:r>
      <w:r w:rsidRPr="007B17C1">
        <w:rPr>
          <w:rFonts w:ascii="Arial" w:hAnsi="Arial" w:cs="Arial"/>
          <w:b/>
          <w:sz w:val="18"/>
          <w:szCs w:val="18"/>
        </w:rPr>
        <w:tab/>
      </w:r>
      <w:r w:rsidRPr="007B17C1">
        <w:rPr>
          <w:rFonts w:ascii="Arial" w:hAnsi="Arial" w:cs="Arial"/>
          <w:b/>
          <w:sz w:val="18"/>
          <w:szCs w:val="18"/>
        </w:rPr>
        <w:tab/>
      </w:r>
      <w:r w:rsidRPr="007B17C1">
        <w:rPr>
          <w:rFonts w:ascii="Arial" w:hAnsi="Arial" w:cs="Arial"/>
          <w:b/>
          <w:sz w:val="18"/>
          <w:szCs w:val="18"/>
        </w:rPr>
        <w:tab/>
      </w:r>
      <w:r w:rsidR="00D32637" w:rsidRPr="007B17C1">
        <w:rPr>
          <w:rFonts w:ascii="Arial" w:hAnsi="Arial" w:cs="Arial"/>
          <w:b/>
          <w:sz w:val="18"/>
          <w:szCs w:val="18"/>
        </w:rPr>
        <w:t xml:space="preserve"> </w:t>
      </w:r>
      <w:r w:rsidR="009E2714" w:rsidRPr="007B17C1">
        <w:rPr>
          <w:rFonts w:ascii="Arial" w:hAnsi="Arial" w:cs="Arial"/>
          <w:b/>
          <w:sz w:val="18"/>
          <w:szCs w:val="18"/>
        </w:rPr>
        <w:t xml:space="preserve"> </w:t>
      </w:r>
      <w:r w:rsidR="00D32637" w:rsidRPr="007B17C1">
        <w:rPr>
          <w:rFonts w:ascii="Arial" w:hAnsi="Arial" w:cs="Arial"/>
          <w:b/>
          <w:sz w:val="18"/>
          <w:szCs w:val="18"/>
        </w:rPr>
        <w:t xml:space="preserve"> </w:t>
      </w:r>
      <w:r w:rsidR="002A4E60" w:rsidRPr="007B17C1">
        <w:rPr>
          <w:rFonts w:ascii="Arial" w:hAnsi="Arial" w:cs="Arial"/>
          <w:b/>
          <w:sz w:val="18"/>
          <w:szCs w:val="18"/>
        </w:rPr>
        <w:t xml:space="preserve"> </w:t>
      </w:r>
      <w:r w:rsidR="00D32637" w:rsidRPr="007B17C1">
        <w:rPr>
          <w:rFonts w:ascii="Arial" w:hAnsi="Arial" w:cs="Arial"/>
          <w:b/>
          <w:sz w:val="18"/>
          <w:szCs w:val="18"/>
        </w:rPr>
        <w:t xml:space="preserve"> </w:t>
      </w:r>
      <w:r w:rsidR="007B17C1">
        <w:rPr>
          <w:rFonts w:ascii="Arial" w:hAnsi="Arial" w:cs="Arial"/>
          <w:b/>
          <w:sz w:val="18"/>
          <w:szCs w:val="18"/>
        </w:rPr>
        <w:t xml:space="preserve"> </w:t>
      </w:r>
      <w:r w:rsidR="00D32637" w:rsidRPr="007B17C1">
        <w:rPr>
          <w:rFonts w:ascii="Arial" w:hAnsi="Arial" w:cs="Arial"/>
          <w:b/>
          <w:sz w:val="18"/>
          <w:szCs w:val="18"/>
        </w:rPr>
        <w:t xml:space="preserve">  </w:t>
      </w:r>
      <w:r w:rsidRPr="007B17C1">
        <w:rPr>
          <w:rFonts w:ascii="Arial" w:hAnsi="Arial" w:cs="Arial"/>
          <w:sz w:val="18"/>
          <w:szCs w:val="18"/>
        </w:rPr>
        <w:t>dovoz</w:t>
      </w:r>
    </w:p>
    <w:p w:rsidR="007E725F" w:rsidRPr="001A57EA" w:rsidRDefault="00676458" w:rsidP="00B51DA6">
      <w:pPr>
        <w:spacing w:after="0"/>
        <w:jc w:val="both"/>
        <w:rPr>
          <w:rFonts w:ascii="Arial" w:hAnsi="Arial" w:cs="Arial"/>
          <w:color w:val="FF0000"/>
          <w:sz w:val="18"/>
          <w:szCs w:val="18"/>
        </w:rPr>
      </w:pPr>
      <w:r>
        <w:rPr>
          <w:rFonts w:ascii="Arial" w:hAnsi="Arial" w:cs="Arial"/>
          <w:sz w:val="18"/>
          <w:szCs w:val="18"/>
        </w:rPr>
        <w:pict>
          <v:shape id="_x0000_i1032" type="#_x0000_t75" style="width:235.5pt;height:195.75pt">
            <v:imagedata r:id="rId16" o:title=""/>
          </v:shape>
        </w:pict>
      </w:r>
      <w:r w:rsidR="007B17C1">
        <w:rPr>
          <w:rFonts w:ascii="Arial" w:hAnsi="Arial" w:cs="Arial"/>
          <w:color w:val="FF0000"/>
          <w:sz w:val="18"/>
          <w:szCs w:val="18"/>
        </w:rPr>
        <w:t xml:space="preserve">   </w:t>
      </w:r>
      <w:r>
        <w:rPr>
          <w:rFonts w:ascii="Arial" w:hAnsi="Arial" w:cs="Arial"/>
          <w:color w:val="FF0000"/>
          <w:sz w:val="18"/>
          <w:szCs w:val="18"/>
        </w:rPr>
        <w:pict>
          <v:shape id="_x0000_i1033" type="#_x0000_t75" style="width:235.5pt;height:195.75pt">
            <v:imagedata r:id="rId17" o:title=""/>
          </v:shape>
        </w:pict>
      </w:r>
      <w:r w:rsidR="006D6E69" w:rsidRPr="001A57EA">
        <w:rPr>
          <w:rFonts w:ascii="Arial" w:hAnsi="Arial" w:cs="Arial"/>
          <w:color w:val="FF0000"/>
          <w:sz w:val="18"/>
          <w:szCs w:val="18"/>
        </w:rPr>
        <w:t xml:space="preserve"> </w:t>
      </w:r>
      <w:r w:rsidR="00943987" w:rsidRPr="001A57EA">
        <w:rPr>
          <w:rFonts w:ascii="Arial" w:hAnsi="Arial" w:cs="Arial"/>
          <w:color w:val="FF0000"/>
          <w:sz w:val="18"/>
          <w:szCs w:val="18"/>
        </w:rPr>
        <w:t xml:space="preserve">   </w:t>
      </w:r>
      <w:r w:rsidR="006D6E69" w:rsidRPr="001A57EA">
        <w:rPr>
          <w:rFonts w:ascii="Arial" w:hAnsi="Arial" w:cs="Arial"/>
          <w:color w:val="FF0000"/>
          <w:sz w:val="18"/>
          <w:szCs w:val="18"/>
        </w:rPr>
        <w:t xml:space="preserve">  </w:t>
      </w:r>
    </w:p>
    <w:p w:rsidR="00AC4E76" w:rsidRDefault="00D84CF3" w:rsidP="00002E80">
      <w:pPr>
        <w:spacing w:after="160"/>
        <w:jc w:val="both"/>
        <w:rPr>
          <w:rFonts w:ascii="Arial" w:hAnsi="Arial" w:cs="Arial"/>
          <w:color w:val="FF0000"/>
          <w:sz w:val="18"/>
          <w:szCs w:val="18"/>
        </w:rPr>
      </w:pPr>
      <w:r w:rsidRPr="002767E3">
        <w:rPr>
          <w:rFonts w:ascii="Arial" w:hAnsi="Arial" w:cs="Arial"/>
          <w:b/>
          <w:sz w:val="18"/>
          <w:szCs w:val="18"/>
        </w:rPr>
        <w:lastRenderedPageBreak/>
        <w:t>D</w:t>
      </w:r>
      <w:r w:rsidR="00F93CC4" w:rsidRPr="002767E3">
        <w:rPr>
          <w:rFonts w:ascii="Arial" w:hAnsi="Arial" w:cs="Arial"/>
          <w:b/>
          <w:sz w:val="18"/>
          <w:szCs w:val="18"/>
        </w:rPr>
        <w:t xml:space="preserve">ovoz </w:t>
      </w:r>
      <w:r w:rsidR="00ED4166" w:rsidRPr="002767E3">
        <w:rPr>
          <w:rFonts w:ascii="Arial" w:hAnsi="Arial" w:cs="Arial"/>
          <w:sz w:val="18"/>
          <w:szCs w:val="18"/>
        </w:rPr>
        <w:t xml:space="preserve">zboží </w:t>
      </w:r>
      <w:r w:rsidR="00F93CC4" w:rsidRPr="002767E3">
        <w:rPr>
          <w:rFonts w:ascii="Arial" w:hAnsi="Arial" w:cs="Arial"/>
          <w:sz w:val="18"/>
          <w:szCs w:val="18"/>
        </w:rPr>
        <w:t xml:space="preserve">ze </w:t>
      </w:r>
      <w:r w:rsidR="00F93CC4" w:rsidRPr="002767E3">
        <w:rPr>
          <w:rFonts w:ascii="Arial" w:hAnsi="Arial" w:cs="Arial"/>
          <w:b/>
          <w:sz w:val="18"/>
          <w:szCs w:val="18"/>
        </w:rPr>
        <w:t xml:space="preserve">států EU </w:t>
      </w:r>
      <w:r w:rsidR="00F93CC4" w:rsidRPr="002767E3">
        <w:rPr>
          <w:rFonts w:ascii="Arial" w:hAnsi="Arial" w:cs="Arial"/>
          <w:sz w:val="18"/>
          <w:szCs w:val="18"/>
        </w:rPr>
        <w:t xml:space="preserve">meziročně vzrostl o </w:t>
      </w:r>
      <w:r w:rsidR="002767E3">
        <w:rPr>
          <w:rFonts w:ascii="Arial" w:hAnsi="Arial" w:cs="Arial"/>
          <w:sz w:val="18"/>
          <w:szCs w:val="18"/>
        </w:rPr>
        <w:t>3</w:t>
      </w:r>
      <w:r w:rsidR="002767E3" w:rsidRPr="00156D66">
        <w:rPr>
          <w:rFonts w:ascii="Arial" w:hAnsi="Arial" w:cs="Arial"/>
          <w:sz w:val="18"/>
          <w:szCs w:val="18"/>
        </w:rPr>
        <w:t>,4</w:t>
      </w:r>
      <w:r w:rsidR="00F93CC4" w:rsidRPr="00156D66">
        <w:rPr>
          <w:rFonts w:ascii="Arial" w:hAnsi="Arial" w:cs="Arial"/>
          <w:sz w:val="18"/>
          <w:szCs w:val="18"/>
        </w:rPr>
        <w:t xml:space="preserve"> % (</w:t>
      </w:r>
      <w:r w:rsidR="00156D66" w:rsidRPr="00156D66">
        <w:rPr>
          <w:rFonts w:ascii="Arial" w:hAnsi="Arial" w:cs="Arial"/>
          <w:sz w:val="18"/>
          <w:szCs w:val="18"/>
        </w:rPr>
        <w:t>85,9</w:t>
      </w:r>
      <w:r w:rsidR="00F93CC4" w:rsidRPr="00156D66">
        <w:rPr>
          <w:rFonts w:ascii="Arial" w:hAnsi="Arial" w:cs="Arial"/>
          <w:sz w:val="18"/>
          <w:szCs w:val="18"/>
        </w:rPr>
        <w:t xml:space="preserve"> mld. Kč) a</w:t>
      </w:r>
      <w:r w:rsidR="00F93CC4" w:rsidRPr="002767E3">
        <w:rPr>
          <w:rFonts w:ascii="Arial" w:hAnsi="Arial" w:cs="Arial"/>
          <w:sz w:val="18"/>
          <w:szCs w:val="18"/>
        </w:rPr>
        <w:t xml:space="preserve"> </w:t>
      </w:r>
      <w:r w:rsidRPr="002767E3">
        <w:rPr>
          <w:rFonts w:ascii="Arial" w:hAnsi="Arial" w:cs="Arial"/>
          <w:sz w:val="18"/>
          <w:szCs w:val="18"/>
        </w:rPr>
        <w:t>v roce 201</w:t>
      </w:r>
      <w:r w:rsidR="002767E3" w:rsidRPr="002767E3">
        <w:rPr>
          <w:rFonts w:ascii="Arial" w:hAnsi="Arial" w:cs="Arial"/>
          <w:sz w:val="18"/>
          <w:szCs w:val="18"/>
        </w:rPr>
        <w:t>8</w:t>
      </w:r>
      <w:r w:rsidRPr="002767E3">
        <w:rPr>
          <w:rFonts w:ascii="Arial" w:hAnsi="Arial" w:cs="Arial"/>
          <w:sz w:val="18"/>
          <w:szCs w:val="18"/>
        </w:rPr>
        <w:t xml:space="preserve"> </w:t>
      </w:r>
      <w:r w:rsidR="00643A1A">
        <w:rPr>
          <w:rFonts w:ascii="Arial" w:hAnsi="Arial" w:cs="Arial"/>
          <w:sz w:val="18"/>
          <w:szCs w:val="18"/>
        </w:rPr>
        <w:t>se rovnal hodnotě</w:t>
      </w:r>
      <w:r w:rsidR="00F93CC4" w:rsidRPr="002767E3">
        <w:rPr>
          <w:rFonts w:ascii="Arial" w:hAnsi="Arial" w:cs="Arial"/>
          <w:sz w:val="18"/>
          <w:szCs w:val="18"/>
        </w:rPr>
        <w:t xml:space="preserve"> 2</w:t>
      </w:r>
      <w:r w:rsidR="002767E3" w:rsidRPr="002767E3">
        <w:rPr>
          <w:rFonts w:ascii="Arial" w:hAnsi="Arial" w:cs="Arial"/>
          <w:sz w:val="18"/>
          <w:szCs w:val="18"/>
        </w:rPr>
        <w:t> 589,7</w:t>
      </w:r>
      <w:r w:rsidR="00F93CC4" w:rsidRPr="002767E3">
        <w:rPr>
          <w:rFonts w:ascii="Arial" w:hAnsi="Arial" w:cs="Arial"/>
          <w:sz w:val="18"/>
          <w:szCs w:val="18"/>
        </w:rPr>
        <w:t xml:space="preserve"> mld. Kč</w:t>
      </w:r>
      <w:r w:rsidR="00F93CC4" w:rsidRPr="001A57EA">
        <w:rPr>
          <w:rFonts w:ascii="Arial" w:hAnsi="Arial" w:cs="Arial"/>
          <w:color w:val="FF0000"/>
          <w:sz w:val="18"/>
          <w:szCs w:val="18"/>
        </w:rPr>
        <w:t xml:space="preserve">. </w:t>
      </w:r>
      <w:r w:rsidR="00156D66">
        <w:rPr>
          <w:rFonts w:ascii="Arial" w:hAnsi="Arial" w:cs="Arial"/>
          <w:color w:val="FF0000"/>
          <w:sz w:val="18"/>
          <w:szCs w:val="18"/>
        </w:rPr>
        <w:t xml:space="preserve"> </w:t>
      </w:r>
    </w:p>
    <w:p w:rsidR="009146A1" w:rsidRDefault="00156D66" w:rsidP="00002E80">
      <w:pPr>
        <w:spacing w:after="160"/>
        <w:jc w:val="both"/>
        <w:rPr>
          <w:rFonts w:ascii="Arial" w:hAnsi="Arial" w:cs="Arial"/>
          <w:sz w:val="18"/>
          <w:szCs w:val="18"/>
        </w:rPr>
      </w:pPr>
      <w:r>
        <w:rPr>
          <w:rFonts w:ascii="Arial" w:hAnsi="Arial" w:cs="Arial"/>
          <w:sz w:val="18"/>
          <w:szCs w:val="18"/>
        </w:rPr>
        <w:t xml:space="preserve">V tomto roce rostl dovoz zboží do České republiky ze všech států Evropské unie s výjimkou Irska (nárůst v roce </w:t>
      </w:r>
      <w:r w:rsidR="00C54D5F">
        <w:rPr>
          <w:rFonts w:ascii="Arial" w:hAnsi="Arial" w:cs="Arial"/>
          <w:sz w:val="18"/>
          <w:szCs w:val="18"/>
        </w:rPr>
        <w:t>2017 o </w:t>
      </w:r>
      <w:r>
        <w:rPr>
          <w:rFonts w:ascii="Arial" w:hAnsi="Arial" w:cs="Arial"/>
          <w:sz w:val="18"/>
          <w:szCs w:val="18"/>
        </w:rPr>
        <w:t>10,3 mld. Kč byl vystřídán poklesem o 9,1 mld. Kč v roce 2018), Lotyšska</w:t>
      </w:r>
      <w:r w:rsidR="00034962">
        <w:rPr>
          <w:rFonts w:ascii="Arial" w:hAnsi="Arial" w:cs="Arial"/>
          <w:sz w:val="18"/>
          <w:szCs w:val="18"/>
        </w:rPr>
        <w:t xml:space="preserve"> (nepatrný meziroční pokles o 0,4 mld. Kč)</w:t>
      </w:r>
      <w:r>
        <w:rPr>
          <w:rFonts w:ascii="Arial" w:hAnsi="Arial" w:cs="Arial"/>
          <w:sz w:val="18"/>
          <w:szCs w:val="18"/>
        </w:rPr>
        <w:t>, Rakouska (přechod z růstu o 18,3 mld. Kč do poklesu o 1,6 mld. Kč) a Spojeného královs</w:t>
      </w:r>
      <w:r w:rsidR="00034962">
        <w:rPr>
          <w:rFonts w:ascii="Arial" w:hAnsi="Arial" w:cs="Arial"/>
          <w:sz w:val="18"/>
          <w:szCs w:val="18"/>
        </w:rPr>
        <w:t>tví (přechod z růstu o 5,7 mld. </w:t>
      </w:r>
      <w:r>
        <w:rPr>
          <w:rFonts w:ascii="Arial" w:hAnsi="Arial" w:cs="Arial"/>
          <w:sz w:val="18"/>
          <w:szCs w:val="18"/>
        </w:rPr>
        <w:t>Kč do poklesu o 15,8 mld. Kč).</w:t>
      </w:r>
    </w:p>
    <w:p w:rsidR="00AC4E76" w:rsidRPr="00AC4E76" w:rsidRDefault="00AC4E76" w:rsidP="00002E80">
      <w:pPr>
        <w:jc w:val="both"/>
        <w:rPr>
          <w:rFonts w:ascii="Arial" w:hAnsi="Arial" w:cs="Arial"/>
          <w:sz w:val="18"/>
          <w:szCs w:val="18"/>
        </w:rPr>
      </w:pPr>
      <w:r w:rsidRPr="00AC4E76">
        <w:rPr>
          <w:rFonts w:ascii="Arial" w:hAnsi="Arial" w:cs="Arial"/>
          <w:sz w:val="18"/>
          <w:szCs w:val="18"/>
        </w:rPr>
        <w:t xml:space="preserve">Na navýšení celkové roční hodnoty </w:t>
      </w:r>
      <w:r w:rsidRPr="00AC4E76">
        <w:rPr>
          <w:rFonts w:ascii="Arial" w:hAnsi="Arial" w:cs="Arial"/>
          <w:b/>
          <w:sz w:val="18"/>
          <w:szCs w:val="18"/>
        </w:rPr>
        <w:t>dovozu ze států Evropské unie</w:t>
      </w:r>
      <w:r w:rsidRPr="00AC4E76">
        <w:rPr>
          <w:rFonts w:ascii="Arial" w:hAnsi="Arial" w:cs="Arial"/>
          <w:sz w:val="18"/>
          <w:szCs w:val="18"/>
        </w:rPr>
        <w:t xml:space="preserve"> kladně působil především růst dovozu z Německa</w:t>
      </w:r>
      <w:r w:rsidR="00002E80">
        <w:rPr>
          <w:rStyle w:val="Znakapoznpodarou"/>
          <w:rFonts w:ascii="Arial" w:hAnsi="Arial" w:cs="Arial"/>
          <w:sz w:val="18"/>
          <w:szCs w:val="18"/>
        </w:rPr>
        <w:footnoteReference w:id="5"/>
      </w:r>
      <w:r w:rsidRPr="00AC4E76">
        <w:rPr>
          <w:rFonts w:ascii="Arial" w:hAnsi="Arial" w:cs="Arial"/>
          <w:sz w:val="18"/>
          <w:szCs w:val="18"/>
        </w:rPr>
        <w:t xml:space="preserve"> (o </w:t>
      </w:r>
      <w:r>
        <w:rPr>
          <w:rFonts w:ascii="Arial" w:hAnsi="Arial" w:cs="Arial"/>
          <w:sz w:val="18"/>
          <w:szCs w:val="18"/>
        </w:rPr>
        <w:t>25,6</w:t>
      </w:r>
      <w:r w:rsidRPr="00AC4E76">
        <w:rPr>
          <w:rFonts w:ascii="Arial" w:hAnsi="Arial" w:cs="Arial"/>
          <w:sz w:val="18"/>
          <w:szCs w:val="18"/>
        </w:rPr>
        <w:t xml:space="preserve"> mld. Kč), </w:t>
      </w:r>
      <w:r>
        <w:rPr>
          <w:rFonts w:ascii="Arial" w:hAnsi="Arial" w:cs="Arial"/>
          <w:sz w:val="18"/>
          <w:szCs w:val="18"/>
        </w:rPr>
        <w:t>Slovenska (o 16,5 mld. Kč), Polska (o 14,6 mld. Kč) a Francie (o 11,6 mld. Kč).</w:t>
      </w:r>
    </w:p>
    <w:p w:rsidR="00AF499C" w:rsidRPr="00002E80" w:rsidRDefault="00AF499C" w:rsidP="00AF72C0">
      <w:pPr>
        <w:spacing w:before="120" w:after="80"/>
        <w:jc w:val="both"/>
        <w:rPr>
          <w:rFonts w:ascii="Arial" w:hAnsi="Arial" w:cs="Arial"/>
          <w:b/>
          <w:sz w:val="18"/>
          <w:szCs w:val="18"/>
        </w:rPr>
      </w:pPr>
      <w:r w:rsidRPr="00002E80">
        <w:rPr>
          <w:rFonts w:ascii="Arial" w:hAnsi="Arial" w:cs="Arial"/>
          <w:b/>
          <w:sz w:val="18"/>
          <w:szCs w:val="18"/>
        </w:rPr>
        <w:t>Graf 8 - Zahraniční obchod se státy EU a se státy mimo EU (v mld. Kč)</w:t>
      </w:r>
    </w:p>
    <w:p w:rsidR="00AF499C" w:rsidRPr="00002E80" w:rsidRDefault="00AF499C" w:rsidP="00C925C9">
      <w:pPr>
        <w:spacing w:after="80"/>
        <w:ind w:left="1416" w:firstLine="708"/>
        <w:jc w:val="both"/>
        <w:rPr>
          <w:rFonts w:ascii="Arial" w:hAnsi="Arial" w:cs="Arial"/>
          <w:sz w:val="18"/>
          <w:szCs w:val="18"/>
        </w:rPr>
      </w:pPr>
      <w:r w:rsidRPr="00002E80">
        <w:rPr>
          <w:rFonts w:ascii="Arial" w:hAnsi="Arial" w:cs="Arial"/>
          <w:sz w:val="18"/>
          <w:szCs w:val="18"/>
        </w:rPr>
        <w:t xml:space="preserve">     </w:t>
      </w:r>
      <w:r w:rsidR="004C15FC" w:rsidRPr="00002E80">
        <w:rPr>
          <w:rFonts w:ascii="Arial" w:hAnsi="Arial" w:cs="Arial"/>
          <w:sz w:val="18"/>
          <w:szCs w:val="18"/>
        </w:rPr>
        <w:t xml:space="preserve"> </w:t>
      </w:r>
      <w:r w:rsidRPr="00002E80">
        <w:rPr>
          <w:rFonts w:ascii="Arial" w:hAnsi="Arial" w:cs="Arial"/>
          <w:sz w:val="18"/>
          <w:szCs w:val="18"/>
        </w:rPr>
        <w:t xml:space="preserve"> vývoz</w:t>
      </w:r>
      <w:r w:rsidRPr="00002E80">
        <w:rPr>
          <w:rFonts w:ascii="Arial" w:hAnsi="Arial" w:cs="Arial"/>
          <w:sz w:val="18"/>
          <w:szCs w:val="18"/>
        </w:rPr>
        <w:tab/>
      </w:r>
      <w:r w:rsidRPr="00002E80">
        <w:rPr>
          <w:rFonts w:ascii="Arial" w:hAnsi="Arial" w:cs="Arial"/>
          <w:sz w:val="18"/>
          <w:szCs w:val="18"/>
        </w:rPr>
        <w:tab/>
      </w:r>
      <w:r w:rsidRPr="00002E80">
        <w:rPr>
          <w:rFonts w:ascii="Arial" w:hAnsi="Arial" w:cs="Arial"/>
          <w:sz w:val="18"/>
          <w:szCs w:val="18"/>
        </w:rPr>
        <w:tab/>
      </w:r>
      <w:r w:rsidRPr="00002E80">
        <w:rPr>
          <w:rFonts w:ascii="Arial" w:hAnsi="Arial" w:cs="Arial"/>
          <w:sz w:val="18"/>
          <w:szCs w:val="18"/>
        </w:rPr>
        <w:tab/>
      </w:r>
      <w:r w:rsidRPr="00002E80">
        <w:rPr>
          <w:rFonts w:ascii="Arial" w:hAnsi="Arial" w:cs="Arial"/>
          <w:sz w:val="18"/>
          <w:szCs w:val="18"/>
        </w:rPr>
        <w:tab/>
      </w:r>
      <w:r w:rsidRPr="00002E80">
        <w:rPr>
          <w:rFonts w:ascii="Arial" w:hAnsi="Arial" w:cs="Arial"/>
          <w:sz w:val="18"/>
          <w:szCs w:val="18"/>
        </w:rPr>
        <w:tab/>
      </w:r>
      <w:r w:rsidR="004C15FC" w:rsidRPr="00002E80">
        <w:rPr>
          <w:rFonts w:ascii="Arial" w:hAnsi="Arial" w:cs="Arial"/>
          <w:sz w:val="18"/>
          <w:szCs w:val="18"/>
        </w:rPr>
        <w:t xml:space="preserve"> </w:t>
      </w:r>
      <w:r w:rsidRPr="00002E80">
        <w:rPr>
          <w:rFonts w:ascii="Arial" w:hAnsi="Arial" w:cs="Arial"/>
          <w:sz w:val="18"/>
          <w:szCs w:val="18"/>
        </w:rPr>
        <w:t>dovoz</w:t>
      </w:r>
    </w:p>
    <w:p w:rsidR="00AF499C" w:rsidRPr="001A57EA" w:rsidRDefault="00676458" w:rsidP="006206A9">
      <w:pPr>
        <w:spacing w:after="0"/>
        <w:jc w:val="both"/>
        <w:rPr>
          <w:rFonts w:ascii="Arial" w:hAnsi="Arial" w:cs="Arial"/>
          <w:color w:val="FF0000"/>
          <w:sz w:val="18"/>
          <w:szCs w:val="18"/>
        </w:rPr>
      </w:pPr>
      <w:r>
        <w:rPr>
          <w:rFonts w:ascii="Arial" w:hAnsi="Arial" w:cs="Arial"/>
          <w:sz w:val="18"/>
          <w:szCs w:val="18"/>
        </w:rPr>
        <w:pict>
          <v:shape id="_x0000_i1034" type="#_x0000_t75" style="width:251.25pt;height:180.75pt">
            <v:imagedata r:id="rId18" o:title=""/>
          </v:shape>
        </w:pict>
      </w:r>
      <w:r w:rsidR="00002E80">
        <w:rPr>
          <w:rFonts w:ascii="Arial" w:hAnsi="Arial" w:cs="Arial"/>
          <w:color w:val="FF0000"/>
          <w:sz w:val="18"/>
          <w:szCs w:val="18"/>
        </w:rPr>
        <w:t xml:space="preserve"> </w:t>
      </w:r>
      <w:r>
        <w:rPr>
          <w:rFonts w:ascii="Arial" w:hAnsi="Arial" w:cs="Arial"/>
          <w:color w:val="FF0000"/>
          <w:sz w:val="18"/>
          <w:szCs w:val="18"/>
        </w:rPr>
        <w:pict>
          <v:shape id="_x0000_i1035" type="#_x0000_t75" style="width:226.5pt;height:180.75pt">
            <v:imagedata r:id="rId19" o:title=""/>
          </v:shape>
        </w:pict>
      </w:r>
      <w:r w:rsidR="004C15FC" w:rsidRPr="001A57EA">
        <w:rPr>
          <w:rFonts w:ascii="Arial" w:hAnsi="Arial" w:cs="Arial"/>
          <w:color w:val="FF0000"/>
          <w:sz w:val="18"/>
          <w:szCs w:val="18"/>
        </w:rPr>
        <w:t xml:space="preserve">    </w:t>
      </w:r>
      <w:r w:rsidR="00AF72C0" w:rsidRPr="001A57EA">
        <w:rPr>
          <w:rFonts w:ascii="Arial" w:hAnsi="Arial" w:cs="Arial"/>
          <w:color w:val="FF0000"/>
          <w:sz w:val="18"/>
          <w:szCs w:val="18"/>
        </w:rPr>
        <w:t xml:space="preserve">      </w:t>
      </w:r>
    </w:p>
    <w:p w:rsidR="00C77352" w:rsidRPr="001A57EA" w:rsidRDefault="00BA352B" w:rsidP="00EF5458">
      <w:pPr>
        <w:spacing w:after="0"/>
        <w:jc w:val="both"/>
        <w:rPr>
          <w:rFonts w:ascii="Arial" w:hAnsi="Arial" w:cs="Arial"/>
          <w:color w:val="FF0000"/>
          <w:sz w:val="18"/>
          <w:szCs w:val="18"/>
        </w:rPr>
      </w:pPr>
      <w:r w:rsidRPr="001A57EA">
        <w:rPr>
          <w:rFonts w:ascii="Arial" w:hAnsi="Arial" w:cs="Arial"/>
          <w:color w:val="FF0000"/>
          <w:sz w:val="18"/>
          <w:szCs w:val="18"/>
        </w:rPr>
        <w:t xml:space="preserve">   </w:t>
      </w:r>
      <w:r w:rsidR="00FC7AE3" w:rsidRPr="001A57EA">
        <w:rPr>
          <w:rFonts w:ascii="Arial" w:hAnsi="Arial" w:cs="Arial"/>
          <w:color w:val="FF0000"/>
          <w:sz w:val="18"/>
          <w:szCs w:val="18"/>
        </w:rPr>
        <w:t xml:space="preserve">    </w:t>
      </w:r>
    </w:p>
    <w:p w:rsidR="00AC4E76" w:rsidRDefault="00AC4E76" w:rsidP="005B758B">
      <w:pPr>
        <w:spacing w:before="120" w:after="120"/>
        <w:jc w:val="both"/>
        <w:rPr>
          <w:rFonts w:ascii="Arial" w:hAnsi="Arial" w:cs="Arial"/>
          <w:color w:val="FF0000"/>
          <w:sz w:val="18"/>
          <w:szCs w:val="18"/>
        </w:rPr>
      </w:pPr>
      <w:r w:rsidRPr="002D23D6">
        <w:rPr>
          <w:rFonts w:ascii="Arial" w:hAnsi="Arial" w:cs="Arial"/>
          <w:b/>
          <w:sz w:val="18"/>
          <w:szCs w:val="18"/>
        </w:rPr>
        <w:t>Dovoz ze států mimo EU</w:t>
      </w:r>
      <w:r w:rsidRPr="009146A1">
        <w:rPr>
          <w:rFonts w:ascii="Arial" w:hAnsi="Arial" w:cs="Arial"/>
          <w:sz w:val="18"/>
          <w:szCs w:val="18"/>
        </w:rPr>
        <w:t xml:space="preserve"> rostl rychleji </w:t>
      </w:r>
      <w:r w:rsidR="003839AF">
        <w:rPr>
          <w:rFonts w:ascii="Arial" w:hAnsi="Arial" w:cs="Arial"/>
          <w:sz w:val="18"/>
          <w:szCs w:val="18"/>
        </w:rPr>
        <w:t xml:space="preserve">než dovoz ze států EU </w:t>
      </w:r>
      <w:r w:rsidRPr="009146A1">
        <w:rPr>
          <w:rFonts w:ascii="Arial" w:hAnsi="Arial" w:cs="Arial"/>
          <w:sz w:val="18"/>
          <w:szCs w:val="18"/>
        </w:rPr>
        <w:t>a to o 11,0 % (</w:t>
      </w:r>
      <w:r w:rsidR="003839AF">
        <w:rPr>
          <w:rFonts w:ascii="Arial" w:hAnsi="Arial" w:cs="Arial"/>
          <w:sz w:val="18"/>
          <w:szCs w:val="18"/>
        </w:rPr>
        <w:t>140,3</w:t>
      </w:r>
      <w:r w:rsidRPr="009146A1">
        <w:rPr>
          <w:rFonts w:ascii="Arial" w:hAnsi="Arial" w:cs="Arial"/>
          <w:sz w:val="18"/>
          <w:szCs w:val="18"/>
        </w:rPr>
        <w:t xml:space="preserve"> mld. Kč) na 1 415,9 mld. Kč</w:t>
      </w:r>
      <w:r w:rsidR="003839AF">
        <w:rPr>
          <w:rFonts w:ascii="Arial" w:hAnsi="Arial" w:cs="Arial"/>
          <w:sz w:val="18"/>
          <w:szCs w:val="18"/>
        </w:rPr>
        <w:t>.</w:t>
      </w:r>
    </w:p>
    <w:p w:rsidR="00A63333" w:rsidRDefault="00A63333" w:rsidP="005B758B">
      <w:pPr>
        <w:spacing w:after="120"/>
        <w:jc w:val="both"/>
        <w:rPr>
          <w:rFonts w:ascii="Arial" w:hAnsi="Arial" w:cs="Arial"/>
          <w:sz w:val="18"/>
          <w:szCs w:val="18"/>
        </w:rPr>
      </w:pPr>
      <w:r>
        <w:rPr>
          <w:rFonts w:ascii="Arial" w:hAnsi="Arial" w:cs="Arial"/>
          <w:sz w:val="18"/>
          <w:szCs w:val="18"/>
        </w:rPr>
        <w:t>Ze států mimo EU stojí za zaznamenání meziroční změna dovozu z Korejské republiky (pokles o 5,7 v roce 2018 proti nárůstu o 13,1 mld. Kč v roce 2017) a výrazné snížení nárůstu dovozu u Ázerbájdžánu (o 3,0 mld. Kč v roce 2018 proti</w:t>
      </w:r>
      <w:r w:rsidR="00ED488E">
        <w:rPr>
          <w:rFonts w:ascii="Arial" w:hAnsi="Arial" w:cs="Arial"/>
          <w:sz w:val="18"/>
          <w:szCs w:val="18"/>
        </w:rPr>
        <w:t> </w:t>
      </w:r>
      <w:r>
        <w:rPr>
          <w:rFonts w:ascii="Arial" w:hAnsi="Arial" w:cs="Arial"/>
          <w:sz w:val="18"/>
          <w:szCs w:val="18"/>
        </w:rPr>
        <w:t>12,1 mld. Kč v roce 2017).</w:t>
      </w:r>
    </w:p>
    <w:p w:rsidR="00A63333" w:rsidRPr="00A63333" w:rsidRDefault="00A63333" w:rsidP="00002E80">
      <w:pPr>
        <w:spacing w:after="240"/>
        <w:jc w:val="both"/>
        <w:rPr>
          <w:rFonts w:ascii="Arial" w:hAnsi="Arial" w:cs="Arial"/>
          <w:sz w:val="18"/>
          <w:szCs w:val="18"/>
        </w:rPr>
      </w:pPr>
      <w:r>
        <w:rPr>
          <w:rFonts w:ascii="Arial" w:hAnsi="Arial" w:cs="Arial"/>
          <w:sz w:val="18"/>
          <w:szCs w:val="18"/>
        </w:rPr>
        <w:t>Nejvyšší meziroční absolutní nárůsty dovozu zboží do České republiky z mimounijních s</w:t>
      </w:r>
      <w:r w:rsidR="00ED488E">
        <w:rPr>
          <w:rFonts w:ascii="Arial" w:hAnsi="Arial" w:cs="Arial"/>
          <w:sz w:val="18"/>
          <w:szCs w:val="18"/>
        </w:rPr>
        <w:t>tátů vykázala Čína (o 92,9 mld. </w:t>
      </w:r>
      <w:r>
        <w:rPr>
          <w:rFonts w:ascii="Arial" w:hAnsi="Arial" w:cs="Arial"/>
          <w:sz w:val="18"/>
          <w:szCs w:val="18"/>
        </w:rPr>
        <w:t>Kč v roce 2018 proti 43,7 mld. Kč v roce 2017), Ruská federace (o 11,5 mld. Kč)</w:t>
      </w:r>
      <w:r w:rsidR="00002E80">
        <w:rPr>
          <w:rFonts w:ascii="Arial" w:hAnsi="Arial" w:cs="Arial"/>
          <w:sz w:val="18"/>
          <w:szCs w:val="18"/>
        </w:rPr>
        <w:t>, Spojené státy (o 8,2 mld. </w:t>
      </w:r>
      <w:r w:rsidR="00401703">
        <w:rPr>
          <w:rFonts w:ascii="Arial" w:hAnsi="Arial" w:cs="Arial"/>
          <w:sz w:val="18"/>
          <w:szCs w:val="18"/>
        </w:rPr>
        <w:t>Kč) a Malajsie (o 5,2 mld. Kč).</w:t>
      </w:r>
    </w:p>
    <w:p w:rsidR="00AF499C" w:rsidRPr="0081661F" w:rsidRDefault="00AF499C" w:rsidP="00AF499C">
      <w:pPr>
        <w:spacing w:after="80"/>
        <w:jc w:val="both"/>
        <w:rPr>
          <w:rFonts w:ascii="Arial" w:hAnsi="Arial" w:cs="Arial"/>
          <w:b/>
          <w:sz w:val="18"/>
          <w:szCs w:val="18"/>
        </w:rPr>
      </w:pPr>
      <w:r w:rsidRPr="0081661F">
        <w:rPr>
          <w:rFonts w:ascii="Arial" w:hAnsi="Arial" w:cs="Arial"/>
          <w:b/>
          <w:sz w:val="18"/>
          <w:szCs w:val="18"/>
        </w:rPr>
        <w:t>Graf 9 - Zahraniční obchod se státy mimo EU v roce 201</w:t>
      </w:r>
      <w:r w:rsidR="0081661F">
        <w:rPr>
          <w:rFonts w:ascii="Arial" w:hAnsi="Arial" w:cs="Arial"/>
          <w:b/>
          <w:sz w:val="18"/>
          <w:szCs w:val="18"/>
        </w:rPr>
        <w:t>8</w:t>
      </w:r>
      <w:r w:rsidRPr="0081661F">
        <w:rPr>
          <w:rFonts w:ascii="Arial" w:hAnsi="Arial" w:cs="Arial"/>
          <w:b/>
          <w:sz w:val="18"/>
          <w:szCs w:val="18"/>
        </w:rPr>
        <w:t xml:space="preserve"> (podíly v %)</w:t>
      </w:r>
    </w:p>
    <w:p w:rsidR="00AF499C" w:rsidRPr="0081661F" w:rsidRDefault="00AF499C" w:rsidP="004C15FC">
      <w:pPr>
        <w:spacing w:after="0"/>
        <w:jc w:val="both"/>
        <w:rPr>
          <w:rFonts w:ascii="Arial" w:hAnsi="Arial" w:cs="Arial"/>
          <w:sz w:val="18"/>
          <w:szCs w:val="18"/>
        </w:rPr>
      </w:pP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sz w:val="18"/>
          <w:szCs w:val="18"/>
        </w:rPr>
        <w:t xml:space="preserve">    vývoz</w:t>
      </w:r>
      <w:r w:rsidRPr="0081661F">
        <w:rPr>
          <w:rFonts w:ascii="Arial" w:hAnsi="Arial" w:cs="Arial"/>
          <w:sz w:val="18"/>
          <w:szCs w:val="18"/>
        </w:rPr>
        <w:tab/>
      </w: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b/>
          <w:sz w:val="18"/>
          <w:szCs w:val="18"/>
        </w:rPr>
        <w:tab/>
        <w:t xml:space="preserve">       </w:t>
      </w:r>
      <w:r w:rsidRPr="0081661F">
        <w:rPr>
          <w:rFonts w:ascii="Arial" w:hAnsi="Arial" w:cs="Arial"/>
          <w:sz w:val="18"/>
          <w:szCs w:val="18"/>
        </w:rPr>
        <w:t>dovoz</w:t>
      </w:r>
    </w:p>
    <w:p w:rsidR="00E9010E" w:rsidRPr="001A57EA" w:rsidRDefault="00205813" w:rsidP="00E9010E">
      <w:pPr>
        <w:spacing w:after="0"/>
        <w:ind w:left="1416" w:hanging="1416"/>
        <w:jc w:val="both"/>
        <w:rPr>
          <w:rFonts w:ascii="Arial" w:hAnsi="Arial" w:cs="Arial"/>
          <w:color w:val="FF0000"/>
          <w:sz w:val="12"/>
          <w:szCs w:val="12"/>
        </w:rPr>
      </w:pPr>
      <w:r w:rsidRPr="001A57EA">
        <w:rPr>
          <w:rFonts w:ascii="Arial" w:hAnsi="Arial" w:cs="Arial"/>
          <w:color w:val="FF0000"/>
          <w:sz w:val="18"/>
          <w:szCs w:val="18"/>
        </w:rPr>
        <w:t xml:space="preserve">  </w:t>
      </w:r>
      <w:r w:rsidR="00D72E17" w:rsidRPr="001A57EA">
        <w:rPr>
          <w:rFonts w:ascii="Arial" w:hAnsi="Arial" w:cs="Arial"/>
          <w:color w:val="FF0000"/>
          <w:sz w:val="18"/>
          <w:szCs w:val="18"/>
        </w:rPr>
        <w:t xml:space="preserve">  </w:t>
      </w:r>
      <w:r w:rsidR="00E9010E" w:rsidRPr="001A57EA">
        <w:rPr>
          <w:rFonts w:ascii="Arial" w:hAnsi="Arial" w:cs="Arial"/>
          <w:color w:val="FF0000"/>
          <w:sz w:val="18"/>
          <w:szCs w:val="18"/>
        </w:rPr>
        <w:t xml:space="preserve">  </w:t>
      </w:r>
    </w:p>
    <w:p w:rsidR="00C20FA9" w:rsidRPr="001A57EA" w:rsidRDefault="00676458">
      <w:pPr>
        <w:rPr>
          <w:rFonts w:ascii="Arial" w:hAnsi="Arial" w:cs="Arial"/>
          <w:b/>
          <w:color w:val="FF0000"/>
          <w:sz w:val="18"/>
          <w:szCs w:val="18"/>
        </w:rPr>
      </w:pPr>
      <w:r>
        <w:rPr>
          <w:rFonts w:ascii="Arial" w:hAnsi="Arial" w:cs="Arial"/>
          <w:b/>
          <w:color w:val="FF0000"/>
          <w:sz w:val="18"/>
          <w:szCs w:val="18"/>
        </w:rPr>
        <w:pict>
          <v:shape id="_x0000_i1036" type="#_x0000_t75" style="width:235.5pt;height:195.75pt">
            <v:imagedata r:id="rId20" o:title=""/>
          </v:shape>
        </w:pict>
      </w:r>
      <w:r w:rsidR="0081661F">
        <w:rPr>
          <w:rFonts w:ascii="Arial" w:hAnsi="Arial" w:cs="Arial"/>
          <w:b/>
          <w:color w:val="FF0000"/>
          <w:sz w:val="18"/>
          <w:szCs w:val="18"/>
        </w:rPr>
        <w:t xml:space="preserve">    </w:t>
      </w:r>
      <w:r>
        <w:rPr>
          <w:rFonts w:ascii="Arial" w:hAnsi="Arial" w:cs="Arial"/>
          <w:b/>
          <w:color w:val="FF0000"/>
          <w:sz w:val="18"/>
          <w:szCs w:val="18"/>
        </w:rPr>
        <w:pict>
          <v:shape id="_x0000_i1037" type="#_x0000_t75" style="width:235.5pt;height:195.75pt">
            <v:imagedata r:id="rId21" o:title=""/>
          </v:shape>
        </w:pict>
      </w:r>
      <w:r w:rsidR="00EE153F" w:rsidRPr="001A57EA">
        <w:rPr>
          <w:rFonts w:ascii="Arial" w:hAnsi="Arial" w:cs="Arial"/>
          <w:b/>
          <w:color w:val="FF0000"/>
          <w:sz w:val="18"/>
          <w:szCs w:val="18"/>
        </w:rPr>
        <w:t xml:space="preserve">        </w:t>
      </w:r>
      <w:r w:rsidR="00C20FA9" w:rsidRPr="001A57EA">
        <w:rPr>
          <w:rFonts w:ascii="Arial" w:hAnsi="Arial" w:cs="Arial"/>
          <w:b/>
          <w:color w:val="FF0000"/>
          <w:sz w:val="18"/>
          <w:szCs w:val="18"/>
        </w:rPr>
        <w:br w:type="page"/>
      </w:r>
    </w:p>
    <w:p w:rsidR="00B17617" w:rsidRDefault="00B17617" w:rsidP="00515297">
      <w:pPr>
        <w:numPr>
          <w:ilvl w:val="1"/>
          <w:numId w:val="1"/>
        </w:numPr>
        <w:spacing w:after="160"/>
        <w:ind w:left="426"/>
        <w:rPr>
          <w:rFonts w:ascii="Arial" w:hAnsi="Arial" w:cs="Arial"/>
          <w:b/>
          <w:sz w:val="21"/>
          <w:szCs w:val="21"/>
        </w:rPr>
      </w:pPr>
      <w:r>
        <w:rPr>
          <w:rFonts w:ascii="Arial" w:hAnsi="Arial" w:cs="Arial"/>
          <w:b/>
          <w:sz w:val="21"/>
          <w:szCs w:val="21"/>
        </w:rPr>
        <w:lastRenderedPageBreak/>
        <w:t>Zahraniční obchod České republiky s</w:t>
      </w:r>
      <w:r w:rsidR="00CE1334">
        <w:rPr>
          <w:rFonts w:ascii="Arial" w:hAnsi="Arial" w:cs="Arial"/>
          <w:b/>
          <w:sz w:val="21"/>
          <w:szCs w:val="21"/>
        </w:rPr>
        <w:t xml:space="preserve"> </w:t>
      </w:r>
      <w:r>
        <w:rPr>
          <w:rFonts w:ascii="Arial" w:hAnsi="Arial" w:cs="Arial"/>
          <w:b/>
          <w:sz w:val="21"/>
          <w:szCs w:val="21"/>
        </w:rPr>
        <w:t>jednotlivými státy</w:t>
      </w:r>
    </w:p>
    <w:p w:rsidR="00B17617" w:rsidRDefault="002B1511" w:rsidP="009D6177">
      <w:pPr>
        <w:spacing w:after="160"/>
        <w:ind w:left="-6"/>
        <w:jc w:val="both"/>
        <w:rPr>
          <w:rFonts w:ascii="Arial" w:hAnsi="Arial" w:cs="Arial"/>
          <w:sz w:val="18"/>
          <w:szCs w:val="18"/>
        </w:rPr>
      </w:pPr>
      <w:r>
        <w:rPr>
          <w:rFonts w:ascii="Arial" w:hAnsi="Arial" w:cs="Arial"/>
          <w:sz w:val="18"/>
          <w:szCs w:val="18"/>
        </w:rPr>
        <w:t>V roce 2018 směřovalo téměř 80 % vývozu z České republiky do třinácti států, z čehož bylo jedenáct států unijních a dva státy ležící mimo hranici Evropské unie (Spojené státy a Ruská federace).</w:t>
      </w:r>
    </w:p>
    <w:p w:rsidR="002B1511" w:rsidRDefault="002B1511" w:rsidP="009D6177">
      <w:pPr>
        <w:spacing w:after="160"/>
        <w:ind w:left="-6"/>
        <w:jc w:val="both"/>
        <w:rPr>
          <w:rFonts w:ascii="Arial" w:hAnsi="Arial" w:cs="Arial"/>
          <w:sz w:val="18"/>
          <w:szCs w:val="18"/>
        </w:rPr>
      </w:pPr>
      <w:r>
        <w:rPr>
          <w:rFonts w:ascii="Arial" w:hAnsi="Arial" w:cs="Arial"/>
          <w:sz w:val="18"/>
          <w:szCs w:val="18"/>
        </w:rPr>
        <w:t xml:space="preserve">Stejně jako v předchozích letech bylo v nejvyšší hodnotě (1 426,4 mld. Kč) vyvezeno </w:t>
      </w:r>
      <w:r w:rsidR="009D6177">
        <w:rPr>
          <w:rFonts w:ascii="Arial" w:hAnsi="Arial" w:cs="Arial"/>
          <w:sz w:val="18"/>
          <w:szCs w:val="18"/>
        </w:rPr>
        <w:t xml:space="preserve">zboží </w:t>
      </w:r>
      <w:r>
        <w:rPr>
          <w:rFonts w:ascii="Arial" w:hAnsi="Arial" w:cs="Arial"/>
          <w:sz w:val="18"/>
          <w:szCs w:val="18"/>
        </w:rPr>
        <w:t>do Německa. Žádný z dalších dvanácti států nedosahoval již tak vysoký podíl na celkovém vývozu jako uvedené Německo (32,4 %) a jejich zastoupení</w:t>
      </w:r>
      <w:r w:rsidR="009D6177">
        <w:rPr>
          <w:rFonts w:ascii="Arial" w:hAnsi="Arial" w:cs="Arial"/>
          <w:sz w:val="18"/>
          <w:szCs w:val="18"/>
        </w:rPr>
        <w:t xml:space="preserve"> se pohybovalo v rozmezí od 2,0 % u třinácté Ruské federace po 7,6 % u druhého Slovenska.</w:t>
      </w:r>
    </w:p>
    <w:p w:rsidR="009D6177" w:rsidRDefault="009D6177" w:rsidP="009D6177">
      <w:pPr>
        <w:spacing w:after="160"/>
        <w:ind w:left="-6"/>
        <w:jc w:val="both"/>
        <w:rPr>
          <w:rFonts w:ascii="Arial" w:hAnsi="Arial" w:cs="Arial"/>
          <w:sz w:val="18"/>
          <w:szCs w:val="18"/>
        </w:rPr>
      </w:pPr>
      <w:r>
        <w:rPr>
          <w:rFonts w:ascii="Arial" w:hAnsi="Arial" w:cs="Arial"/>
          <w:sz w:val="18"/>
          <w:szCs w:val="18"/>
        </w:rPr>
        <w:t>Nejvýraznější meziroční relativní růst zaznamenal vývoz České republiky do Španělska (o 13,3 %), Nizozemska (o</w:t>
      </w:r>
      <w:r w:rsidR="00CE1334">
        <w:rPr>
          <w:rFonts w:ascii="Arial" w:hAnsi="Arial" w:cs="Arial"/>
          <w:sz w:val="18"/>
          <w:szCs w:val="18"/>
        </w:rPr>
        <w:t> 10,2 </w:t>
      </w:r>
      <w:r>
        <w:rPr>
          <w:rFonts w:ascii="Arial" w:hAnsi="Arial" w:cs="Arial"/>
          <w:sz w:val="18"/>
          <w:szCs w:val="18"/>
        </w:rPr>
        <w:t>%) a do Ruské federace (o 9,0 %). Kromě obchodu se Spojeným královstvím, Itálií a Belgií se vývoz v porovnání s rokem 2017 navýšil u všech ostatních deseti států.</w:t>
      </w:r>
    </w:p>
    <w:p w:rsidR="009D6177" w:rsidRPr="0081661F" w:rsidRDefault="009D6177" w:rsidP="009D6177">
      <w:pPr>
        <w:spacing w:after="80"/>
        <w:jc w:val="both"/>
        <w:rPr>
          <w:rFonts w:ascii="Arial" w:hAnsi="Arial" w:cs="Arial"/>
          <w:b/>
          <w:sz w:val="18"/>
          <w:szCs w:val="18"/>
        </w:rPr>
      </w:pPr>
      <w:r w:rsidRPr="0081661F">
        <w:rPr>
          <w:rFonts w:ascii="Arial" w:hAnsi="Arial" w:cs="Arial"/>
          <w:b/>
          <w:sz w:val="18"/>
          <w:szCs w:val="18"/>
        </w:rPr>
        <w:t xml:space="preserve">Graf </w:t>
      </w:r>
      <w:r w:rsidR="00591368">
        <w:rPr>
          <w:rFonts w:ascii="Arial" w:hAnsi="Arial" w:cs="Arial"/>
          <w:b/>
          <w:sz w:val="18"/>
          <w:szCs w:val="18"/>
        </w:rPr>
        <w:t>10</w:t>
      </w:r>
      <w:r w:rsidRPr="0081661F">
        <w:rPr>
          <w:rFonts w:ascii="Arial" w:hAnsi="Arial" w:cs="Arial"/>
          <w:b/>
          <w:sz w:val="18"/>
          <w:szCs w:val="18"/>
        </w:rPr>
        <w:t xml:space="preserve"> - Zahraniční obchod s</w:t>
      </w:r>
      <w:r>
        <w:rPr>
          <w:rFonts w:ascii="Arial" w:hAnsi="Arial" w:cs="Arial"/>
          <w:b/>
          <w:sz w:val="18"/>
          <w:szCs w:val="18"/>
        </w:rPr>
        <w:t> jednotlivými státy</w:t>
      </w:r>
      <w:r w:rsidRPr="0081661F">
        <w:rPr>
          <w:rFonts w:ascii="Arial" w:hAnsi="Arial" w:cs="Arial"/>
          <w:b/>
          <w:sz w:val="18"/>
          <w:szCs w:val="18"/>
        </w:rPr>
        <w:t xml:space="preserve"> v roce 201</w:t>
      </w:r>
      <w:r>
        <w:rPr>
          <w:rFonts w:ascii="Arial" w:hAnsi="Arial" w:cs="Arial"/>
          <w:b/>
          <w:sz w:val="18"/>
          <w:szCs w:val="18"/>
        </w:rPr>
        <w:t>8</w:t>
      </w:r>
      <w:r w:rsidRPr="0081661F">
        <w:rPr>
          <w:rFonts w:ascii="Arial" w:hAnsi="Arial" w:cs="Arial"/>
          <w:b/>
          <w:sz w:val="18"/>
          <w:szCs w:val="18"/>
        </w:rPr>
        <w:t xml:space="preserve"> </w:t>
      </w:r>
      <w:r w:rsidR="00313EA0">
        <w:rPr>
          <w:rStyle w:val="Znakapoznpodarou"/>
          <w:rFonts w:ascii="Arial" w:hAnsi="Arial" w:cs="Arial"/>
          <w:b/>
          <w:sz w:val="18"/>
          <w:szCs w:val="18"/>
        </w:rPr>
        <w:footnoteReference w:id="6"/>
      </w:r>
    </w:p>
    <w:p w:rsidR="009D6177" w:rsidRDefault="009D6177" w:rsidP="00313EA0">
      <w:pPr>
        <w:spacing w:after="40"/>
        <w:jc w:val="both"/>
        <w:rPr>
          <w:rFonts w:ascii="Arial" w:hAnsi="Arial" w:cs="Arial"/>
          <w:sz w:val="18"/>
          <w:szCs w:val="18"/>
        </w:rPr>
      </w:pP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sz w:val="18"/>
          <w:szCs w:val="18"/>
        </w:rPr>
        <w:t xml:space="preserve">   </w:t>
      </w:r>
      <w:r w:rsidR="00313EA0">
        <w:rPr>
          <w:rFonts w:ascii="Arial" w:hAnsi="Arial" w:cs="Arial"/>
          <w:sz w:val="18"/>
          <w:szCs w:val="18"/>
        </w:rPr>
        <w:t xml:space="preserve">        </w:t>
      </w:r>
      <w:r w:rsidRPr="0081661F">
        <w:rPr>
          <w:rFonts w:ascii="Arial" w:hAnsi="Arial" w:cs="Arial"/>
          <w:sz w:val="18"/>
          <w:szCs w:val="18"/>
        </w:rPr>
        <w:t xml:space="preserve"> vývoz</w:t>
      </w:r>
      <w:r w:rsidRPr="0081661F">
        <w:rPr>
          <w:rFonts w:ascii="Arial" w:hAnsi="Arial" w:cs="Arial"/>
          <w:sz w:val="18"/>
          <w:szCs w:val="18"/>
        </w:rPr>
        <w:tab/>
      </w: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b/>
          <w:sz w:val="18"/>
          <w:szCs w:val="18"/>
        </w:rPr>
        <w:tab/>
        <w:t xml:space="preserve">       </w:t>
      </w:r>
      <w:r w:rsidRPr="0081661F">
        <w:rPr>
          <w:rFonts w:ascii="Arial" w:hAnsi="Arial" w:cs="Arial"/>
          <w:sz w:val="18"/>
          <w:szCs w:val="18"/>
        </w:rPr>
        <w:t>dovoz</w:t>
      </w:r>
    </w:p>
    <w:p w:rsidR="00313EA0" w:rsidRPr="0081661F" w:rsidRDefault="00313EA0" w:rsidP="009D6177">
      <w:pPr>
        <w:spacing w:after="0"/>
        <w:jc w:val="both"/>
        <w:rPr>
          <w:rFonts w:ascii="Arial" w:hAnsi="Arial" w:cs="Arial"/>
          <w:sz w:val="18"/>
          <w:szCs w:val="18"/>
        </w:rPr>
      </w:pPr>
      <w:r>
        <w:rPr>
          <w:rFonts w:ascii="Arial" w:hAnsi="Arial" w:cs="Arial"/>
          <w:sz w:val="18"/>
          <w:szCs w:val="18"/>
        </w:rPr>
        <w:t xml:space="preserve">    </w:t>
      </w:r>
      <w:r w:rsidR="00676458">
        <w:rPr>
          <w:rFonts w:ascii="Arial" w:hAnsi="Arial" w:cs="Arial"/>
          <w:sz w:val="18"/>
          <w:szCs w:val="18"/>
        </w:rPr>
        <w:pict>
          <v:shape id="_x0000_i1038" type="#_x0000_t75" style="width:235.5pt;height:186.75pt">
            <v:imagedata r:id="rId22" o:title=""/>
          </v:shape>
        </w:pict>
      </w:r>
      <w:r>
        <w:rPr>
          <w:noProof/>
          <w:lang w:eastAsia="cs-CZ"/>
        </w:rPr>
        <w:drawing>
          <wp:inline distT="0" distB="0" distL="0" distR="0" wp14:anchorId="6D20FFC8" wp14:editId="26017F2A">
            <wp:extent cx="2983057" cy="238125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D6177" w:rsidRDefault="009D6177" w:rsidP="00591368">
      <w:pPr>
        <w:spacing w:before="120" w:after="0"/>
        <w:ind w:left="-6"/>
        <w:jc w:val="both"/>
        <w:rPr>
          <w:rFonts w:ascii="Arial" w:hAnsi="Arial" w:cs="Arial"/>
          <w:sz w:val="18"/>
          <w:szCs w:val="18"/>
        </w:rPr>
      </w:pPr>
    </w:p>
    <w:p w:rsidR="00313EA0" w:rsidRDefault="00C218AE" w:rsidP="009D6177">
      <w:pPr>
        <w:spacing w:after="160"/>
        <w:ind w:left="-6"/>
        <w:jc w:val="both"/>
        <w:rPr>
          <w:rFonts w:ascii="Arial" w:hAnsi="Arial" w:cs="Arial"/>
          <w:sz w:val="18"/>
          <w:szCs w:val="18"/>
        </w:rPr>
      </w:pPr>
      <w:r>
        <w:rPr>
          <w:rFonts w:ascii="Arial" w:hAnsi="Arial" w:cs="Arial"/>
          <w:sz w:val="18"/>
          <w:szCs w:val="18"/>
        </w:rPr>
        <w:t xml:space="preserve">Více než tři čtvrtiny dovozu do České republiky byly v roce 2018 též realizovány z třinácti států. Nejsilnější pozici </w:t>
      </w:r>
      <w:r w:rsidR="00CE1334">
        <w:rPr>
          <w:rFonts w:ascii="Arial" w:hAnsi="Arial" w:cs="Arial"/>
          <w:sz w:val="18"/>
          <w:szCs w:val="18"/>
        </w:rPr>
        <w:t>na </w:t>
      </w:r>
      <w:r>
        <w:rPr>
          <w:rFonts w:ascii="Arial" w:hAnsi="Arial" w:cs="Arial"/>
          <w:sz w:val="18"/>
          <w:szCs w:val="18"/>
        </w:rPr>
        <w:t>celkovém dovozu zaznamenalo Německo (čtvrtinový podíl). Postavení zbývajících dvanácti států na celkovém dovozu se pohybovalo od 2,1 % u Spojeného království do 14,1 % u Číny.</w:t>
      </w:r>
    </w:p>
    <w:p w:rsidR="00C218AE" w:rsidRPr="00B17617" w:rsidRDefault="00C218AE" w:rsidP="00591368">
      <w:pPr>
        <w:spacing w:after="240"/>
        <w:ind w:left="-6"/>
        <w:jc w:val="both"/>
        <w:rPr>
          <w:rFonts w:ascii="Arial" w:hAnsi="Arial" w:cs="Arial"/>
          <w:sz w:val="18"/>
          <w:szCs w:val="18"/>
        </w:rPr>
      </w:pPr>
      <w:r>
        <w:rPr>
          <w:rFonts w:ascii="Arial" w:hAnsi="Arial" w:cs="Arial"/>
          <w:sz w:val="18"/>
          <w:szCs w:val="18"/>
        </w:rPr>
        <w:t xml:space="preserve">Mezi třinácti hlavními dovozními partnery bylo devět států EU a čtyři státy mimo EU, z nichž Čína a Rusko rozsahem dovozu zaujaly druhé a sedmé místo. </w:t>
      </w:r>
      <w:r w:rsidR="00591368">
        <w:rPr>
          <w:rFonts w:ascii="Arial" w:hAnsi="Arial" w:cs="Arial"/>
          <w:sz w:val="18"/>
          <w:szCs w:val="18"/>
        </w:rPr>
        <w:t>Dovoz zboží z v</w:t>
      </w:r>
      <w:r>
        <w:rPr>
          <w:rFonts w:ascii="Arial" w:hAnsi="Arial" w:cs="Arial"/>
          <w:sz w:val="18"/>
          <w:szCs w:val="18"/>
        </w:rPr>
        <w:t>ětšin</w:t>
      </w:r>
      <w:r w:rsidR="00591368">
        <w:rPr>
          <w:rFonts w:ascii="Arial" w:hAnsi="Arial" w:cs="Arial"/>
          <w:sz w:val="18"/>
          <w:szCs w:val="18"/>
        </w:rPr>
        <w:t>y</w:t>
      </w:r>
      <w:r>
        <w:rPr>
          <w:rFonts w:ascii="Arial" w:hAnsi="Arial" w:cs="Arial"/>
          <w:sz w:val="18"/>
          <w:szCs w:val="18"/>
        </w:rPr>
        <w:t xml:space="preserve"> těchto států provázel meziroční růst s výjimkou </w:t>
      </w:r>
      <w:r w:rsidR="00CE1334">
        <w:rPr>
          <w:rFonts w:ascii="Arial" w:hAnsi="Arial" w:cs="Arial"/>
          <w:sz w:val="18"/>
          <w:szCs w:val="18"/>
        </w:rPr>
        <w:t>Rakouska a </w:t>
      </w:r>
      <w:r>
        <w:rPr>
          <w:rFonts w:ascii="Arial" w:hAnsi="Arial" w:cs="Arial"/>
          <w:sz w:val="18"/>
          <w:szCs w:val="18"/>
        </w:rPr>
        <w:t xml:space="preserve">Korejské republiky, u kterých se snížila hodnota </w:t>
      </w:r>
      <w:r w:rsidR="00591368">
        <w:rPr>
          <w:rFonts w:ascii="Arial" w:hAnsi="Arial" w:cs="Arial"/>
          <w:sz w:val="18"/>
          <w:szCs w:val="18"/>
        </w:rPr>
        <w:t xml:space="preserve">meziročně </w:t>
      </w:r>
      <w:r>
        <w:rPr>
          <w:rFonts w:ascii="Arial" w:hAnsi="Arial" w:cs="Arial"/>
          <w:sz w:val="18"/>
          <w:szCs w:val="18"/>
        </w:rPr>
        <w:t>o 1,6 mld. Kč a 5,7 mld. Kč.</w:t>
      </w:r>
    </w:p>
    <w:p w:rsidR="00FC6110" w:rsidRPr="0081661F" w:rsidRDefault="00FC6110" w:rsidP="00FC6110">
      <w:pPr>
        <w:spacing w:after="80"/>
        <w:jc w:val="both"/>
        <w:rPr>
          <w:rFonts w:ascii="Arial" w:hAnsi="Arial" w:cs="Arial"/>
          <w:b/>
          <w:sz w:val="18"/>
          <w:szCs w:val="18"/>
        </w:rPr>
      </w:pPr>
      <w:r w:rsidRPr="0081661F">
        <w:rPr>
          <w:rFonts w:ascii="Arial" w:hAnsi="Arial" w:cs="Arial"/>
          <w:b/>
          <w:sz w:val="18"/>
          <w:szCs w:val="18"/>
        </w:rPr>
        <w:t xml:space="preserve">Graf </w:t>
      </w:r>
      <w:r w:rsidR="00591368">
        <w:rPr>
          <w:rFonts w:ascii="Arial" w:hAnsi="Arial" w:cs="Arial"/>
          <w:b/>
          <w:sz w:val="18"/>
          <w:szCs w:val="18"/>
        </w:rPr>
        <w:t>11 -</w:t>
      </w:r>
      <w:r w:rsidRPr="0081661F">
        <w:rPr>
          <w:rFonts w:ascii="Arial" w:hAnsi="Arial" w:cs="Arial"/>
          <w:b/>
          <w:sz w:val="18"/>
          <w:szCs w:val="18"/>
        </w:rPr>
        <w:t xml:space="preserve"> </w:t>
      </w:r>
      <w:r>
        <w:rPr>
          <w:rFonts w:ascii="Arial" w:hAnsi="Arial" w:cs="Arial"/>
          <w:b/>
          <w:sz w:val="18"/>
          <w:szCs w:val="18"/>
        </w:rPr>
        <w:t>Meziroční změny obchodu s Německem v % v jednotlivých čtvrtletích roku 2017 a 2018</w:t>
      </w:r>
    </w:p>
    <w:p w:rsidR="00FC6110" w:rsidRDefault="00FC6110" w:rsidP="00FC6110">
      <w:pPr>
        <w:spacing w:after="40"/>
        <w:jc w:val="both"/>
        <w:rPr>
          <w:rFonts w:ascii="Arial" w:hAnsi="Arial" w:cs="Arial"/>
          <w:sz w:val="18"/>
          <w:szCs w:val="18"/>
        </w:rPr>
      </w:pP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sz w:val="18"/>
          <w:szCs w:val="18"/>
        </w:rPr>
        <w:t xml:space="preserve">   </w:t>
      </w:r>
      <w:r>
        <w:rPr>
          <w:rFonts w:ascii="Arial" w:hAnsi="Arial" w:cs="Arial"/>
          <w:sz w:val="18"/>
          <w:szCs w:val="18"/>
        </w:rPr>
        <w:t xml:space="preserve">        </w:t>
      </w:r>
      <w:r w:rsidRPr="0081661F">
        <w:rPr>
          <w:rFonts w:ascii="Arial" w:hAnsi="Arial" w:cs="Arial"/>
          <w:sz w:val="18"/>
          <w:szCs w:val="18"/>
        </w:rPr>
        <w:t xml:space="preserve"> </w:t>
      </w:r>
      <w:r w:rsidR="001D73AC">
        <w:rPr>
          <w:rFonts w:ascii="Arial" w:hAnsi="Arial" w:cs="Arial"/>
          <w:sz w:val="18"/>
          <w:szCs w:val="18"/>
        </w:rPr>
        <w:t xml:space="preserve">  </w:t>
      </w:r>
      <w:r w:rsidRPr="0081661F">
        <w:rPr>
          <w:rFonts w:ascii="Arial" w:hAnsi="Arial" w:cs="Arial"/>
          <w:sz w:val="18"/>
          <w:szCs w:val="18"/>
        </w:rPr>
        <w:t>vývoz</w:t>
      </w:r>
      <w:r w:rsidRPr="0081661F">
        <w:rPr>
          <w:rFonts w:ascii="Arial" w:hAnsi="Arial" w:cs="Arial"/>
          <w:sz w:val="18"/>
          <w:szCs w:val="18"/>
        </w:rPr>
        <w:tab/>
      </w: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b/>
          <w:sz w:val="18"/>
          <w:szCs w:val="18"/>
        </w:rPr>
        <w:tab/>
      </w:r>
      <w:r w:rsidRPr="0081661F">
        <w:rPr>
          <w:rFonts w:ascii="Arial" w:hAnsi="Arial" w:cs="Arial"/>
          <w:b/>
          <w:sz w:val="18"/>
          <w:szCs w:val="18"/>
        </w:rPr>
        <w:tab/>
        <w:t xml:space="preserve">      </w:t>
      </w:r>
      <w:r w:rsidR="001D73AC">
        <w:rPr>
          <w:rFonts w:ascii="Arial" w:hAnsi="Arial" w:cs="Arial"/>
          <w:b/>
          <w:sz w:val="18"/>
          <w:szCs w:val="18"/>
        </w:rPr>
        <w:t xml:space="preserve">    </w:t>
      </w:r>
      <w:r w:rsidRPr="0081661F">
        <w:rPr>
          <w:rFonts w:ascii="Arial" w:hAnsi="Arial" w:cs="Arial"/>
          <w:b/>
          <w:sz w:val="18"/>
          <w:szCs w:val="18"/>
        </w:rPr>
        <w:t xml:space="preserve"> </w:t>
      </w:r>
      <w:r w:rsidR="001D73AC">
        <w:rPr>
          <w:rFonts w:ascii="Arial" w:hAnsi="Arial" w:cs="Arial"/>
          <w:b/>
          <w:sz w:val="18"/>
          <w:szCs w:val="18"/>
        </w:rPr>
        <w:t xml:space="preserve"> </w:t>
      </w:r>
      <w:r w:rsidRPr="0081661F">
        <w:rPr>
          <w:rFonts w:ascii="Arial" w:hAnsi="Arial" w:cs="Arial"/>
          <w:sz w:val="18"/>
          <w:szCs w:val="18"/>
        </w:rPr>
        <w:t>dovoz</w:t>
      </w:r>
    </w:p>
    <w:p w:rsidR="00B17617" w:rsidRDefault="00676458">
      <w:pPr>
        <w:rPr>
          <w:rFonts w:ascii="Arial" w:hAnsi="Arial" w:cs="Arial"/>
          <w:b/>
          <w:sz w:val="21"/>
          <w:szCs w:val="21"/>
        </w:rPr>
      </w:pPr>
      <w:r>
        <w:rPr>
          <w:rFonts w:ascii="Arial" w:hAnsi="Arial" w:cs="Arial"/>
          <w:b/>
          <w:sz w:val="21"/>
          <w:szCs w:val="21"/>
        </w:rPr>
        <w:pict>
          <v:shape id="_x0000_i1039" type="#_x0000_t75" style="width:237.75pt;height:180.75pt">
            <v:imagedata r:id="rId24" o:title=""/>
          </v:shape>
        </w:pict>
      </w:r>
      <w:r w:rsidR="00FC6110">
        <w:rPr>
          <w:rFonts w:ascii="Arial" w:hAnsi="Arial" w:cs="Arial"/>
          <w:b/>
          <w:sz w:val="21"/>
          <w:szCs w:val="21"/>
        </w:rPr>
        <w:t xml:space="preserve">  </w:t>
      </w:r>
      <w:r>
        <w:rPr>
          <w:rFonts w:ascii="Arial" w:hAnsi="Arial" w:cs="Arial"/>
          <w:b/>
          <w:sz w:val="21"/>
          <w:szCs w:val="21"/>
        </w:rPr>
        <w:pict>
          <v:shape id="_x0000_i1040" type="#_x0000_t75" style="width:237.75pt;height:180.75pt">
            <v:imagedata r:id="rId25" o:title=""/>
          </v:shape>
        </w:pict>
      </w:r>
      <w:r w:rsidR="00B17617">
        <w:rPr>
          <w:rFonts w:ascii="Arial" w:hAnsi="Arial" w:cs="Arial"/>
          <w:b/>
          <w:sz w:val="21"/>
          <w:szCs w:val="21"/>
        </w:rPr>
        <w:br w:type="page"/>
      </w:r>
    </w:p>
    <w:p w:rsidR="00BA7845" w:rsidRPr="007110F8" w:rsidRDefault="00BA7845" w:rsidP="00515297">
      <w:pPr>
        <w:numPr>
          <w:ilvl w:val="1"/>
          <w:numId w:val="1"/>
        </w:numPr>
        <w:spacing w:after="160"/>
        <w:ind w:left="426"/>
        <w:rPr>
          <w:rFonts w:ascii="Arial" w:hAnsi="Arial" w:cs="Arial"/>
          <w:b/>
          <w:sz w:val="21"/>
          <w:szCs w:val="21"/>
        </w:rPr>
      </w:pPr>
      <w:r w:rsidRPr="007110F8">
        <w:rPr>
          <w:rFonts w:ascii="Arial" w:hAnsi="Arial" w:cs="Arial"/>
          <w:b/>
          <w:sz w:val="21"/>
          <w:szCs w:val="21"/>
        </w:rPr>
        <w:lastRenderedPageBreak/>
        <w:t xml:space="preserve">Zahraniční obchod se sousedními státy </w:t>
      </w:r>
    </w:p>
    <w:p w:rsidR="00F40231" w:rsidRDefault="00167D1F" w:rsidP="00515297">
      <w:pPr>
        <w:spacing w:after="120"/>
        <w:jc w:val="both"/>
        <w:rPr>
          <w:rFonts w:ascii="Arial" w:hAnsi="Arial" w:cs="Arial"/>
          <w:color w:val="FF0000"/>
          <w:sz w:val="18"/>
          <w:szCs w:val="18"/>
        </w:rPr>
      </w:pPr>
      <w:r w:rsidRPr="00FB4D44">
        <w:rPr>
          <w:rFonts w:ascii="Arial" w:hAnsi="Arial" w:cs="Arial"/>
          <w:sz w:val="18"/>
          <w:szCs w:val="18"/>
        </w:rPr>
        <w:t xml:space="preserve">Rozhodující část zahraničního obchodu České republiky připadá na </w:t>
      </w:r>
      <w:r w:rsidR="003911A7" w:rsidRPr="00FB4D44">
        <w:rPr>
          <w:rFonts w:ascii="Arial" w:hAnsi="Arial" w:cs="Arial"/>
          <w:sz w:val="18"/>
          <w:szCs w:val="18"/>
        </w:rPr>
        <w:t xml:space="preserve">čtyři </w:t>
      </w:r>
      <w:r w:rsidRPr="00FB4D44">
        <w:rPr>
          <w:rFonts w:ascii="Arial" w:hAnsi="Arial" w:cs="Arial"/>
          <w:sz w:val="18"/>
          <w:szCs w:val="18"/>
        </w:rPr>
        <w:t xml:space="preserve">sousední státy </w:t>
      </w:r>
      <w:r w:rsidR="00C925C9" w:rsidRPr="00FB4D44">
        <w:rPr>
          <w:rFonts w:ascii="Arial" w:hAnsi="Arial" w:cs="Arial"/>
          <w:sz w:val="18"/>
          <w:szCs w:val="18"/>
        </w:rPr>
        <w:t xml:space="preserve">- </w:t>
      </w:r>
      <w:r w:rsidRPr="00FB4D44">
        <w:rPr>
          <w:rFonts w:ascii="Arial" w:hAnsi="Arial" w:cs="Arial"/>
          <w:sz w:val="18"/>
          <w:szCs w:val="18"/>
        </w:rPr>
        <w:t xml:space="preserve">Německo, </w:t>
      </w:r>
      <w:r w:rsidR="00B51DA6" w:rsidRPr="00FB4D44">
        <w:rPr>
          <w:rFonts w:ascii="Arial" w:hAnsi="Arial" w:cs="Arial"/>
          <w:sz w:val="18"/>
          <w:szCs w:val="18"/>
        </w:rPr>
        <w:t>Polsko, Rakousko a </w:t>
      </w:r>
      <w:r w:rsidRPr="00FB4D44">
        <w:rPr>
          <w:rFonts w:ascii="Arial" w:hAnsi="Arial" w:cs="Arial"/>
          <w:sz w:val="18"/>
          <w:szCs w:val="18"/>
        </w:rPr>
        <w:t>Slovensko. Uvedené státy významně ovlivňují dynamiku celkového vývozu a dovozu</w:t>
      </w:r>
      <w:r w:rsidR="00FB4D44">
        <w:rPr>
          <w:rFonts w:ascii="Arial" w:hAnsi="Arial" w:cs="Arial"/>
          <w:sz w:val="18"/>
          <w:szCs w:val="18"/>
        </w:rPr>
        <w:t>.</w:t>
      </w:r>
      <w:r w:rsidRPr="001A57EA">
        <w:rPr>
          <w:rFonts w:ascii="Arial" w:hAnsi="Arial" w:cs="Arial"/>
          <w:color w:val="FF0000"/>
          <w:sz w:val="18"/>
          <w:szCs w:val="18"/>
        </w:rPr>
        <w:t xml:space="preserve"> </w:t>
      </w:r>
    </w:p>
    <w:p w:rsidR="00167D1F" w:rsidRPr="007A3457" w:rsidRDefault="00167D1F" w:rsidP="0081661F">
      <w:pPr>
        <w:spacing w:after="240"/>
        <w:jc w:val="both"/>
        <w:rPr>
          <w:rFonts w:ascii="Arial" w:hAnsi="Arial" w:cs="Arial"/>
          <w:sz w:val="18"/>
          <w:szCs w:val="18"/>
        </w:rPr>
      </w:pPr>
      <w:r w:rsidRPr="002B2ABA">
        <w:rPr>
          <w:rFonts w:ascii="Arial" w:hAnsi="Arial" w:cs="Arial"/>
          <w:sz w:val="18"/>
          <w:szCs w:val="18"/>
        </w:rPr>
        <w:t>V roce 201</w:t>
      </w:r>
      <w:r w:rsidR="00F40231">
        <w:rPr>
          <w:rFonts w:ascii="Arial" w:hAnsi="Arial" w:cs="Arial"/>
          <w:sz w:val="18"/>
          <w:szCs w:val="18"/>
        </w:rPr>
        <w:t>8</w:t>
      </w:r>
      <w:r w:rsidRPr="002B2ABA">
        <w:rPr>
          <w:rFonts w:ascii="Arial" w:hAnsi="Arial" w:cs="Arial"/>
          <w:sz w:val="18"/>
          <w:szCs w:val="18"/>
        </w:rPr>
        <w:t xml:space="preserve"> činil podíl zahraničního obchodu se sousedními státy na celkovém obratu zahraničního obchodu České </w:t>
      </w:r>
      <w:r w:rsidRPr="007A3457">
        <w:rPr>
          <w:rFonts w:ascii="Arial" w:hAnsi="Arial" w:cs="Arial"/>
          <w:sz w:val="18"/>
          <w:szCs w:val="18"/>
        </w:rPr>
        <w:t xml:space="preserve">republiky </w:t>
      </w:r>
      <w:r w:rsidR="002B2ABA" w:rsidRPr="007A3457">
        <w:rPr>
          <w:rFonts w:ascii="Arial" w:hAnsi="Arial" w:cs="Arial"/>
          <w:sz w:val="18"/>
          <w:szCs w:val="18"/>
        </w:rPr>
        <w:t>45,8</w:t>
      </w:r>
      <w:r w:rsidRPr="007A3457">
        <w:rPr>
          <w:rFonts w:ascii="Arial" w:hAnsi="Arial" w:cs="Arial"/>
          <w:sz w:val="18"/>
          <w:szCs w:val="18"/>
        </w:rPr>
        <w:t xml:space="preserve"> % (z toho na celkovém vývozu </w:t>
      </w:r>
      <w:r w:rsidR="00C7375C" w:rsidRPr="007A3457">
        <w:rPr>
          <w:rFonts w:ascii="Arial" w:hAnsi="Arial" w:cs="Arial"/>
          <w:sz w:val="18"/>
          <w:szCs w:val="18"/>
        </w:rPr>
        <w:t>50,</w:t>
      </w:r>
      <w:r w:rsidR="007A3457" w:rsidRPr="007A3457">
        <w:rPr>
          <w:rFonts w:ascii="Arial" w:hAnsi="Arial" w:cs="Arial"/>
          <w:sz w:val="18"/>
          <w:szCs w:val="18"/>
        </w:rPr>
        <w:t>5</w:t>
      </w:r>
      <w:r w:rsidRPr="007A3457">
        <w:rPr>
          <w:rFonts w:ascii="Arial" w:hAnsi="Arial" w:cs="Arial"/>
          <w:sz w:val="18"/>
          <w:szCs w:val="18"/>
        </w:rPr>
        <w:t xml:space="preserve"> % a na celkovém dovozu </w:t>
      </w:r>
      <w:r w:rsidR="007A3457" w:rsidRPr="007A3457">
        <w:rPr>
          <w:rFonts w:ascii="Arial" w:hAnsi="Arial" w:cs="Arial"/>
          <w:sz w:val="18"/>
          <w:szCs w:val="18"/>
        </w:rPr>
        <w:t>40,6</w:t>
      </w:r>
      <w:r w:rsidRPr="007A3457">
        <w:rPr>
          <w:rFonts w:ascii="Arial" w:hAnsi="Arial" w:cs="Arial"/>
          <w:sz w:val="18"/>
          <w:szCs w:val="18"/>
        </w:rPr>
        <w:t xml:space="preserve"> %). </w:t>
      </w:r>
    </w:p>
    <w:p w:rsidR="00167D1F" w:rsidRPr="0081661F" w:rsidRDefault="00167D1F" w:rsidP="00167D1F">
      <w:pPr>
        <w:spacing w:after="80"/>
        <w:jc w:val="both"/>
        <w:rPr>
          <w:rFonts w:ascii="Arial" w:hAnsi="Arial" w:cs="Arial"/>
          <w:b/>
          <w:sz w:val="18"/>
          <w:szCs w:val="18"/>
        </w:rPr>
      </w:pPr>
      <w:r w:rsidRPr="0081661F">
        <w:rPr>
          <w:rFonts w:ascii="Arial" w:hAnsi="Arial" w:cs="Arial"/>
          <w:b/>
          <w:sz w:val="18"/>
          <w:szCs w:val="18"/>
        </w:rPr>
        <w:t>Graf 1</w:t>
      </w:r>
      <w:r w:rsidR="00591368">
        <w:rPr>
          <w:rFonts w:ascii="Arial" w:hAnsi="Arial" w:cs="Arial"/>
          <w:b/>
          <w:sz w:val="18"/>
          <w:szCs w:val="18"/>
        </w:rPr>
        <w:t>2</w:t>
      </w:r>
      <w:r w:rsidRPr="0081661F">
        <w:rPr>
          <w:rFonts w:ascii="Arial" w:hAnsi="Arial" w:cs="Arial"/>
          <w:b/>
          <w:sz w:val="18"/>
          <w:szCs w:val="18"/>
        </w:rPr>
        <w:t xml:space="preserve"> - Zahraniční obchod se sousedními státy ČR v roce 201</w:t>
      </w:r>
      <w:r w:rsidR="0081661F">
        <w:rPr>
          <w:rFonts w:ascii="Arial" w:hAnsi="Arial" w:cs="Arial"/>
          <w:b/>
          <w:sz w:val="18"/>
          <w:szCs w:val="18"/>
        </w:rPr>
        <w:t>8</w:t>
      </w:r>
      <w:r w:rsidRPr="0081661F">
        <w:rPr>
          <w:rFonts w:ascii="Arial" w:hAnsi="Arial" w:cs="Arial"/>
          <w:b/>
          <w:sz w:val="18"/>
          <w:szCs w:val="18"/>
        </w:rPr>
        <w:t xml:space="preserve"> (podíly v %) </w:t>
      </w:r>
    </w:p>
    <w:p w:rsidR="00167D1F" w:rsidRPr="0081661F" w:rsidRDefault="00676458" w:rsidP="00CE57E0">
      <w:pPr>
        <w:spacing w:after="0"/>
        <w:jc w:val="both"/>
        <w:rPr>
          <w:rFonts w:ascii="Arial" w:hAnsi="Arial" w:cs="Arial"/>
          <w:b/>
          <w:sz w:val="18"/>
          <w:szCs w:val="18"/>
        </w:rPr>
      </w:pPr>
      <w:r>
        <w:rPr>
          <w:rFonts w:ascii="Arial" w:hAnsi="Arial" w:cs="Arial"/>
          <w:b/>
          <w:noProof/>
          <w:sz w:val="18"/>
          <w:szCs w:val="18"/>
          <w:lang w:eastAsia="cs-CZ"/>
        </w:rPr>
        <w:pict>
          <v:shape id="_x0000_i1041" type="#_x0000_t75" style="width:483.75pt;height:152.25pt">
            <v:imagedata r:id="rId26" o:title=""/>
          </v:shape>
        </w:pict>
      </w:r>
    </w:p>
    <w:p w:rsidR="00167D1F" w:rsidRPr="001A57EA" w:rsidRDefault="00167D1F" w:rsidP="00167D1F">
      <w:pPr>
        <w:spacing w:after="0"/>
        <w:jc w:val="both"/>
        <w:rPr>
          <w:rFonts w:ascii="Arial" w:hAnsi="Arial" w:cs="Arial"/>
          <w:color w:val="FF0000"/>
          <w:sz w:val="18"/>
          <w:szCs w:val="18"/>
        </w:rPr>
      </w:pPr>
      <w:r w:rsidRPr="001A57EA">
        <w:rPr>
          <w:rFonts w:ascii="Arial" w:hAnsi="Arial" w:cs="Arial"/>
          <w:b/>
          <w:color w:val="FF0000"/>
          <w:sz w:val="18"/>
          <w:szCs w:val="18"/>
        </w:rPr>
        <w:tab/>
      </w:r>
      <w:r w:rsidRPr="001A57EA">
        <w:rPr>
          <w:rFonts w:ascii="Arial" w:hAnsi="Arial" w:cs="Arial"/>
          <w:b/>
          <w:color w:val="FF0000"/>
          <w:sz w:val="18"/>
          <w:szCs w:val="18"/>
        </w:rPr>
        <w:tab/>
      </w:r>
      <w:r w:rsidRPr="001A57EA">
        <w:rPr>
          <w:rFonts w:ascii="Arial" w:hAnsi="Arial" w:cs="Arial"/>
          <w:b/>
          <w:color w:val="FF0000"/>
          <w:sz w:val="18"/>
          <w:szCs w:val="18"/>
        </w:rPr>
        <w:tab/>
      </w:r>
      <w:r w:rsidRPr="001A57EA">
        <w:rPr>
          <w:rFonts w:ascii="Arial" w:hAnsi="Arial" w:cs="Arial"/>
          <w:b/>
          <w:color w:val="FF0000"/>
          <w:sz w:val="18"/>
          <w:szCs w:val="18"/>
        </w:rPr>
        <w:tab/>
      </w:r>
    </w:p>
    <w:p w:rsidR="007A3457" w:rsidRDefault="00167D1F" w:rsidP="00515297">
      <w:pPr>
        <w:spacing w:after="120"/>
        <w:jc w:val="both"/>
        <w:rPr>
          <w:rFonts w:ascii="Arial" w:hAnsi="Arial" w:cs="Arial"/>
          <w:sz w:val="18"/>
          <w:szCs w:val="18"/>
        </w:rPr>
      </w:pPr>
      <w:r w:rsidRPr="001D6C2A">
        <w:rPr>
          <w:rFonts w:ascii="Arial" w:hAnsi="Arial" w:cs="Arial"/>
          <w:b/>
          <w:sz w:val="18"/>
          <w:szCs w:val="18"/>
        </w:rPr>
        <w:t>Hlavním</w:t>
      </w:r>
      <w:r w:rsidRPr="001D6C2A">
        <w:rPr>
          <w:rFonts w:ascii="Arial" w:hAnsi="Arial" w:cs="Arial"/>
          <w:sz w:val="18"/>
          <w:szCs w:val="18"/>
        </w:rPr>
        <w:t xml:space="preserve"> obchodním </w:t>
      </w:r>
      <w:r w:rsidRPr="001D6C2A">
        <w:rPr>
          <w:rFonts w:ascii="Arial" w:hAnsi="Arial" w:cs="Arial"/>
          <w:b/>
          <w:sz w:val="18"/>
          <w:szCs w:val="18"/>
        </w:rPr>
        <w:t>partnerem</w:t>
      </w:r>
      <w:r w:rsidRPr="001D6C2A">
        <w:rPr>
          <w:rFonts w:ascii="Arial" w:hAnsi="Arial" w:cs="Arial"/>
          <w:sz w:val="18"/>
          <w:szCs w:val="18"/>
        </w:rPr>
        <w:t xml:space="preserve"> České republiky ze sousedních států je </w:t>
      </w:r>
      <w:r w:rsidRPr="001D6C2A">
        <w:rPr>
          <w:rFonts w:ascii="Arial" w:hAnsi="Arial" w:cs="Arial"/>
          <w:b/>
          <w:sz w:val="18"/>
          <w:szCs w:val="18"/>
        </w:rPr>
        <w:t>Německo</w:t>
      </w:r>
      <w:r w:rsidRPr="001D6C2A">
        <w:rPr>
          <w:rFonts w:ascii="Arial" w:hAnsi="Arial" w:cs="Arial"/>
          <w:sz w:val="18"/>
          <w:szCs w:val="18"/>
        </w:rPr>
        <w:t>, které je pochopitelně současně i nejvýznamnějším zahraničněobchodním partnerem České republiky. Na celkovém obratu zahraničního obchodu v roce 201</w:t>
      </w:r>
      <w:r w:rsidR="001D6C2A">
        <w:rPr>
          <w:rFonts w:ascii="Arial" w:hAnsi="Arial" w:cs="Arial"/>
          <w:sz w:val="18"/>
          <w:szCs w:val="18"/>
        </w:rPr>
        <w:t>8</w:t>
      </w:r>
      <w:r w:rsidRPr="001D6C2A">
        <w:rPr>
          <w:rFonts w:ascii="Arial" w:hAnsi="Arial" w:cs="Arial"/>
          <w:sz w:val="18"/>
          <w:szCs w:val="18"/>
        </w:rPr>
        <w:t xml:space="preserve"> se </w:t>
      </w:r>
      <w:r w:rsidRPr="007A3457">
        <w:rPr>
          <w:rFonts w:ascii="Arial" w:hAnsi="Arial" w:cs="Arial"/>
          <w:sz w:val="18"/>
          <w:szCs w:val="18"/>
        </w:rPr>
        <w:t xml:space="preserve">podílelo </w:t>
      </w:r>
      <w:r w:rsidR="007A3457" w:rsidRPr="007A3457">
        <w:rPr>
          <w:rFonts w:ascii="Arial" w:hAnsi="Arial" w:cs="Arial"/>
          <w:sz w:val="18"/>
          <w:szCs w:val="18"/>
        </w:rPr>
        <w:t>28,9</w:t>
      </w:r>
      <w:r w:rsidRPr="007A3457">
        <w:rPr>
          <w:rFonts w:ascii="Arial" w:hAnsi="Arial" w:cs="Arial"/>
          <w:sz w:val="18"/>
          <w:szCs w:val="18"/>
        </w:rPr>
        <w:t xml:space="preserve"> %, zatímco na celkovém obratu zahraničního obchodu se sousedními státy 6</w:t>
      </w:r>
      <w:r w:rsidR="00F8281C" w:rsidRPr="007A3457">
        <w:rPr>
          <w:rFonts w:ascii="Arial" w:hAnsi="Arial" w:cs="Arial"/>
          <w:sz w:val="18"/>
          <w:szCs w:val="18"/>
        </w:rPr>
        <w:t>3</w:t>
      </w:r>
      <w:r w:rsidRPr="007A3457">
        <w:rPr>
          <w:rFonts w:ascii="Arial" w:hAnsi="Arial" w:cs="Arial"/>
          <w:sz w:val="18"/>
          <w:szCs w:val="18"/>
        </w:rPr>
        <w:t>,</w:t>
      </w:r>
      <w:r w:rsidR="007A3457" w:rsidRPr="007A3457">
        <w:rPr>
          <w:rFonts w:ascii="Arial" w:hAnsi="Arial" w:cs="Arial"/>
          <w:sz w:val="18"/>
          <w:szCs w:val="18"/>
        </w:rPr>
        <w:t>1</w:t>
      </w:r>
      <w:r w:rsidRPr="007A3457">
        <w:rPr>
          <w:rFonts w:ascii="Arial" w:hAnsi="Arial" w:cs="Arial"/>
          <w:sz w:val="18"/>
          <w:szCs w:val="18"/>
        </w:rPr>
        <w:t xml:space="preserve"> %. </w:t>
      </w:r>
    </w:p>
    <w:p w:rsidR="00167D1F" w:rsidRPr="00E50260" w:rsidRDefault="007A3457" w:rsidP="0081661F">
      <w:pPr>
        <w:spacing w:after="240"/>
        <w:jc w:val="both"/>
        <w:rPr>
          <w:rFonts w:ascii="Arial" w:hAnsi="Arial" w:cs="Arial"/>
          <w:spacing w:val="-2"/>
          <w:sz w:val="18"/>
          <w:szCs w:val="18"/>
        </w:rPr>
      </w:pPr>
      <w:r>
        <w:rPr>
          <w:rFonts w:ascii="Arial" w:hAnsi="Arial" w:cs="Arial"/>
          <w:sz w:val="18"/>
          <w:szCs w:val="18"/>
        </w:rPr>
        <w:t xml:space="preserve">Do Německa směřuje 32,4 </w:t>
      </w:r>
      <w:r w:rsidR="0001766A">
        <w:rPr>
          <w:rFonts w:ascii="Arial" w:hAnsi="Arial" w:cs="Arial"/>
          <w:sz w:val="18"/>
          <w:szCs w:val="18"/>
        </w:rPr>
        <w:t>%</w:t>
      </w:r>
      <w:r>
        <w:rPr>
          <w:rFonts w:ascii="Arial" w:hAnsi="Arial" w:cs="Arial"/>
          <w:sz w:val="18"/>
          <w:szCs w:val="18"/>
        </w:rPr>
        <w:t xml:space="preserve"> celkového exportu České republiky. Opačným směrem je to čtvrtina z celkového českého dovozu.</w:t>
      </w:r>
      <w:r w:rsidR="00E50260">
        <w:rPr>
          <w:rFonts w:ascii="Arial" w:hAnsi="Arial" w:cs="Arial"/>
          <w:sz w:val="18"/>
          <w:szCs w:val="18"/>
        </w:rPr>
        <w:t xml:space="preserve"> </w:t>
      </w:r>
      <w:r w:rsidR="00167D1F" w:rsidRPr="007A3457">
        <w:rPr>
          <w:rFonts w:ascii="Arial" w:hAnsi="Arial" w:cs="Arial"/>
          <w:sz w:val="18"/>
          <w:szCs w:val="18"/>
        </w:rPr>
        <w:t xml:space="preserve">Podíl </w:t>
      </w:r>
      <w:r w:rsidR="00167D1F" w:rsidRPr="007A3457">
        <w:rPr>
          <w:rFonts w:ascii="Arial" w:hAnsi="Arial" w:cs="Arial"/>
          <w:spacing w:val="-2"/>
          <w:sz w:val="18"/>
          <w:szCs w:val="18"/>
        </w:rPr>
        <w:t xml:space="preserve">Německa na vývozu do sousedních států </w:t>
      </w:r>
      <w:r w:rsidR="00732CDC" w:rsidRPr="007A3457">
        <w:rPr>
          <w:rFonts w:ascii="Arial" w:hAnsi="Arial" w:cs="Arial"/>
          <w:spacing w:val="-2"/>
          <w:sz w:val="18"/>
          <w:szCs w:val="18"/>
        </w:rPr>
        <w:t xml:space="preserve">ČR </w:t>
      </w:r>
      <w:r w:rsidR="00AF0E90" w:rsidRPr="00E50260">
        <w:rPr>
          <w:rFonts w:ascii="Arial" w:hAnsi="Arial" w:cs="Arial"/>
          <w:spacing w:val="-2"/>
          <w:sz w:val="18"/>
          <w:szCs w:val="18"/>
        </w:rPr>
        <w:t xml:space="preserve">se rovnal </w:t>
      </w:r>
      <w:r w:rsidR="00E74651" w:rsidRPr="00E50260">
        <w:rPr>
          <w:rFonts w:ascii="Arial" w:hAnsi="Arial" w:cs="Arial"/>
          <w:spacing w:val="-2"/>
          <w:sz w:val="18"/>
          <w:szCs w:val="18"/>
        </w:rPr>
        <w:t>64,</w:t>
      </w:r>
      <w:r w:rsidR="00E50260" w:rsidRPr="00E50260">
        <w:rPr>
          <w:rFonts w:ascii="Arial" w:hAnsi="Arial" w:cs="Arial"/>
          <w:spacing w:val="-2"/>
          <w:sz w:val="18"/>
          <w:szCs w:val="18"/>
        </w:rPr>
        <w:t>2</w:t>
      </w:r>
      <w:r w:rsidR="00AF0E90" w:rsidRPr="00E50260">
        <w:rPr>
          <w:rFonts w:ascii="Arial" w:hAnsi="Arial" w:cs="Arial"/>
          <w:spacing w:val="-2"/>
          <w:sz w:val="18"/>
          <w:szCs w:val="18"/>
        </w:rPr>
        <w:t xml:space="preserve"> % a na dovozu </w:t>
      </w:r>
      <w:r w:rsidR="00B51DA6" w:rsidRPr="00E50260">
        <w:rPr>
          <w:rFonts w:ascii="Arial" w:hAnsi="Arial" w:cs="Arial"/>
          <w:spacing w:val="-2"/>
          <w:sz w:val="18"/>
          <w:szCs w:val="18"/>
        </w:rPr>
        <w:t xml:space="preserve">ze sousedních států </w:t>
      </w:r>
      <w:r w:rsidR="00732CDC" w:rsidRPr="00E50260">
        <w:rPr>
          <w:rFonts w:ascii="Arial" w:hAnsi="Arial" w:cs="Arial"/>
          <w:spacing w:val="-2"/>
          <w:sz w:val="18"/>
          <w:szCs w:val="18"/>
        </w:rPr>
        <w:t xml:space="preserve">ČR </w:t>
      </w:r>
      <w:r w:rsidR="00E50260" w:rsidRPr="00E50260">
        <w:rPr>
          <w:rFonts w:ascii="Arial" w:hAnsi="Arial" w:cs="Arial"/>
          <w:spacing w:val="-2"/>
          <w:sz w:val="18"/>
          <w:szCs w:val="18"/>
        </w:rPr>
        <w:t>61,6</w:t>
      </w:r>
      <w:r w:rsidR="00167D1F" w:rsidRPr="00E50260">
        <w:rPr>
          <w:rFonts w:ascii="Arial" w:hAnsi="Arial" w:cs="Arial"/>
          <w:spacing w:val="-2"/>
          <w:sz w:val="18"/>
          <w:szCs w:val="18"/>
        </w:rPr>
        <w:t xml:space="preserve"> %.</w:t>
      </w:r>
    </w:p>
    <w:p w:rsidR="00167D1F" w:rsidRPr="00515297" w:rsidRDefault="00167D1F" w:rsidP="00515297">
      <w:pPr>
        <w:spacing w:after="80"/>
        <w:jc w:val="both"/>
        <w:rPr>
          <w:rFonts w:ascii="Arial" w:hAnsi="Arial" w:cs="Arial"/>
          <w:b/>
          <w:sz w:val="18"/>
          <w:szCs w:val="18"/>
        </w:rPr>
      </w:pPr>
      <w:r w:rsidRPr="00515297">
        <w:rPr>
          <w:rFonts w:ascii="Arial" w:hAnsi="Arial" w:cs="Arial"/>
          <w:b/>
          <w:sz w:val="18"/>
          <w:szCs w:val="18"/>
        </w:rPr>
        <w:t>Graf 1</w:t>
      </w:r>
      <w:r w:rsidR="00591368">
        <w:rPr>
          <w:rFonts w:ascii="Arial" w:hAnsi="Arial" w:cs="Arial"/>
          <w:b/>
          <w:sz w:val="18"/>
          <w:szCs w:val="18"/>
        </w:rPr>
        <w:t>3</w:t>
      </w:r>
      <w:r w:rsidRPr="00515297">
        <w:rPr>
          <w:rFonts w:ascii="Arial" w:hAnsi="Arial" w:cs="Arial"/>
          <w:b/>
          <w:sz w:val="18"/>
          <w:szCs w:val="18"/>
        </w:rPr>
        <w:t xml:space="preserve"> - Zahraniční obchod ČR se sousedními státy v roce </w:t>
      </w:r>
      <w:r w:rsidR="00515297" w:rsidRPr="00515297">
        <w:rPr>
          <w:rFonts w:ascii="Arial" w:hAnsi="Arial" w:cs="Arial"/>
          <w:b/>
          <w:sz w:val="18"/>
          <w:szCs w:val="18"/>
        </w:rPr>
        <w:t>2018</w:t>
      </w:r>
    </w:p>
    <w:p w:rsidR="00167D1F" w:rsidRPr="001A57EA" w:rsidRDefault="00676458" w:rsidP="00167D1F">
      <w:pPr>
        <w:spacing w:after="120"/>
        <w:jc w:val="both"/>
        <w:rPr>
          <w:rFonts w:ascii="Arial" w:hAnsi="Arial" w:cs="Arial"/>
          <w:color w:val="FF0000"/>
          <w:spacing w:val="-2"/>
          <w:sz w:val="18"/>
          <w:szCs w:val="18"/>
        </w:rPr>
      </w:pPr>
      <w:r>
        <w:rPr>
          <w:rFonts w:ascii="Arial" w:hAnsi="Arial" w:cs="Arial"/>
          <w:noProof/>
          <w:color w:val="FF0000"/>
          <w:spacing w:val="-2"/>
          <w:sz w:val="18"/>
          <w:szCs w:val="18"/>
          <w:lang w:eastAsia="cs-CZ"/>
        </w:rPr>
        <w:pict>
          <v:shape id="_x0000_i1042" type="#_x0000_t75" style="width:480.75pt;height:165.75pt">
            <v:imagedata r:id="rId27" o:title=""/>
          </v:shape>
        </w:pict>
      </w:r>
    </w:p>
    <w:p w:rsidR="000F335B" w:rsidRDefault="00167D1F" w:rsidP="00515297">
      <w:pPr>
        <w:spacing w:before="240" w:after="120"/>
        <w:jc w:val="both"/>
        <w:rPr>
          <w:rFonts w:ascii="Arial" w:hAnsi="Arial" w:cs="Arial"/>
          <w:sz w:val="18"/>
          <w:szCs w:val="18"/>
        </w:rPr>
      </w:pPr>
      <w:r w:rsidRPr="00E50260">
        <w:rPr>
          <w:rFonts w:ascii="Arial" w:hAnsi="Arial" w:cs="Arial"/>
          <w:b/>
          <w:sz w:val="18"/>
          <w:szCs w:val="18"/>
        </w:rPr>
        <w:t>Druhý</w:t>
      </w:r>
      <w:r w:rsidR="00B715F4" w:rsidRPr="00E50260">
        <w:rPr>
          <w:rFonts w:ascii="Arial" w:hAnsi="Arial" w:cs="Arial"/>
          <w:b/>
          <w:sz w:val="18"/>
          <w:szCs w:val="18"/>
        </w:rPr>
        <w:t>m</w:t>
      </w:r>
      <w:r w:rsidRPr="00E50260">
        <w:rPr>
          <w:rFonts w:ascii="Arial" w:hAnsi="Arial" w:cs="Arial"/>
          <w:sz w:val="18"/>
          <w:szCs w:val="18"/>
        </w:rPr>
        <w:t xml:space="preserve"> největší</w:t>
      </w:r>
      <w:r w:rsidR="00B715F4" w:rsidRPr="00E50260">
        <w:rPr>
          <w:rFonts w:ascii="Arial" w:hAnsi="Arial" w:cs="Arial"/>
          <w:sz w:val="18"/>
          <w:szCs w:val="18"/>
        </w:rPr>
        <w:t>m</w:t>
      </w:r>
      <w:r w:rsidR="00D31D34" w:rsidRPr="00E50260">
        <w:rPr>
          <w:rFonts w:ascii="Arial" w:hAnsi="Arial" w:cs="Arial"/>
          <w:sz w:val="18"/>
          <w:szCs w:val="18"/>
        </w:rPr>
        <w:t xml:space="preserve"> </w:t>
      </w:r>
      <w:r w:rsidR="00B715F4" w:rsidRPr="00E50260">
        <w:rPr>
          <w:rFonts w:ascii="Arial" w:hAnsi="Arial" w:cs="Arial"/>
          <w:sz w:val="18"/>
          <w:szCs w:val="18"/>
        </w:rPr>
        <w:t xml:space="preserve">zahraničněobchodním </w:t>
      </w:r>
      <w:r w:rsidR="00B715F4" w:rsidRPr="00E50260">
        <w:rPr>
          <w:rFonts w:ascii="Arial" w:hAnsi="Arial" w:cs="Arial"/>
          <w:b/>
          <w:sz w:val="18"/>
          <w:szCs w:val="18"/>
        </w:rPr>
        <w:t>partnerem</w:t>
      </w:r>
      <w:r w:rsidRPr="00E50260">
        <w:rPr>
          <w:rFonts w:ascii="Arial" w:hAnsi="Arial" w:cs="Arial"/>
          <w:sz w:val="18"/>
          <w:szCs w:val="18"/>
        </w:rPr>
        <w:t xml:space="preserve"> České republiky </w:t>
      </w:r>
      <w:r w:rsidR="00B715F4" w:rsidRPr="00E50260">
        <w:rPr>
          <w:rFonts w:ascii="Arial" w:hAnsi="Arial" w:cs="Arial"/>
          <w:sz w:val="18"/>
          <w:szCs w:val="18"/>
        </w:rPr>
        <w:t>ze</w:t>
      </w:r>
      <w:r w:rsidRPr="00E50260">
        <w:rPr>
          <w:rFonts w:ascii="Arial" w:hAnsi="Arial" w:cs="Arial"/>
          <w:sz w:val="18"/>
          <w:szCs w:val="18"/>
        </w:rPr>
        <w:t xml:space="preserve"> sousední</w:t>
      </w:r>
      <w:r w:rsidR="00B715F4" w:rsidRPr="00E50260">
        <w:rPr>
          <w:rFonts w:ascii="Arial" w:hAnsi="Arial" w:cs="Arial"/>
          <w:sz w:val="18"/>
          <w:szCs w:val="18"/>
        </w:rPr>
        <w:t>ch</w:t>
      </w:r>
      <w:r w:rsidRPr="00E50260">
        <w:rPr>
          <w:rFonts w:ascii="Arial" w:hAnsi="Arial" w:cs="Arial"/>
          <w:sz w:val="18"/>
          <w:szCs w:val="18"/>
        </w:rPr>
        <w:t xml:space="preserve"> stát</w:t>
      </w:r>
      <w:r w:rsidR="00B715F4" w:rsidRPr="00E50260">
        <w:rPr>
          <w:rFonts w:ascii="Arial" w:hAnsi="Arial" w:cs="Arial"/>
          <w:sz w:val="18"/>
          <w:szCs w:val="18"/>
        </w:rPr>
        <w:t>ů je</w:t>
      </w:r>
      <w:r w:rsidRPr="00E50260">
        <w:rPr>
          <w:rFonts w:ascii="Arial" w:hAnsi="Arial" w:cs="Arial"/>
          <w:sz w:val="18"/>
          <w:szCs w:val="18"/>
        </w:rPr>
        <w:t xml:space="preserve"> </w:t>
      </w:r>
      <w:r w:rsidR="00AF0E90" w:rsidRPr="00E50260">
        <w:rPr>
          <w:rFonts w:ascii="Arial" w:hAnsi="Arial" w:cs="Arial"/>
          <w:b/>
          <w:sz w:val="18"/>
          <w:szCs w:val="18"/>
        </w:rPr>
        <w:t>Polsko</w:t>
      </w:r>
      <w:r w:rsidR="000F335B" w:rsidRPr="00E50260">
        <w:rPr>
          <w:rFonts w:ascii="Arial" w:hAnsi="Arial" w:cs="Arial"/>
          <w:sz w:val="18"/>
          <w:szCs w:val="18"/>
        </w:rPr>
        <w:t>, které mělo i </w:t>
      </w:r>
      <w:r w:rsidR="00E50260" w:rsidRPr="00E50260">
        <w:rPr>
          <w:rFonts w:ascii="Arial" w:hAnsi="Arial" w:cs="Arial"/>
          <w:sz w:val="18"/>
          <w:szCs w:val="18"/>
        </w:rPr>
        <w:t>třetí</w:t>
      </w:r>
      <w:r w:rsidR="000F335B" w:rsidRPr="00E50260">
        <w:rPr>
          <w:rFonts w:ascii="Arial" w:hAnsi="Arial" w:cs="Arial"/>
          <w:sz w:val="18"/>
          <w:szCs w:val="18"/>
        </w:rPr>
        <w:t xml:space="preserve"> největší podíl (6,</w:t>
      </w:r>
      <w:r w:rsidR="00464168" w:rsidRPr="00E50260">
        <w:rPr>
          <w:rFonts w:ascii="Arial" w:hAnsi="Arial" w:cs="Arial"/>
          <w:sz w:val="18"/>
          <w:szCs w:val="18"/>
        </w:rPr>
        <w:t>8</w:t>
      </w:r>
      <w:r w:rsidR="00B51DA6" w:rsidRPr="00E50260">
        <w:rPr>
          <w:rFonts w:ascii="Arial" w:hAnsi="Arial" w:cs="Arial"/>
          <w:sz w:val="18"/>
          <w:szCs w:val="18"/>
        </w:rPr>
        <w:t xml:space="preserve"> </w:t>
      </w:r>
      <w:r w:rsidR="00005885" w:rsidRPr="00E50260">
        <w:rPr>
          <w:rFonts w:ascii="Arial" w:hAnsi="Arial" w:cs="Arial"/>
          <w:sz w:val="18"/>
          <w:szCs w:val="18"/>
        </w:rPr>
        <w:t>%</w:t>
      </w:r>
      <w:r w:rsidR="000F335B" w:rsidRPr="00E50260">
        <w:rPr>
          <w:rFonts w:ascii="Arial" w:hAnsi="Arial" w:cs="Arial"/>
          <w:sz w:val="18"/>
          <w:szCs w:val="18"/>
        </w:rPr>
        <w:t>) na celkovém zahraničním obchodu ČR</w:t>
      </w:r>
      <w:r w:rsidR="00005885" w:rsidRPr="00E50260">
        <w:rPr>
          <w:rFonts w:ascii="Arial" w:hAnsi="Arial" w:cs="Arial"/>
          <w:sz w:val="18"/>
          <w:szCs w:val="18"/>
        </w:rPr>
        <w:t xml:space="preserve"> v roce 201</w:t>
      </w:r>
      <w:r w:rsidR="00E50260" w:rsidRPr="00E50260">
        <w:rPr>
          <w:rFonts w:ascii="Arial" w:hAnsi="Arial" w:cs="Arial"/>
          <w:sz w:val="18"/>
          <w:szCs w:val="18"/>
        </w:rPr>
        <w:t>8</w:t>
      </w:r>
      <w:r w:rsidR="000F335B" w:rsidRPr="00E50260">
        <w:rPr>
          <w:rFonts w:ascii="Arial" w:hAnsi="Arial" w:cs="Arial"/>
          <w:sz w:val="18"/>
          <w:szCs w:val="18"/>
        </w:rPr>
        <w:t xml:space="preserve">. Hodnota </w:t>
      </w:r>
      <w:r w:rsidR="000F335B" w:rsidRPr="00E50260">
        <w:rPr>
          <w:rFonts w:ascii="Arial" w:hAnsi="Arial" w:cs="Arial"/>
          <w:b/>
          <w:sz w:val="18"/>
          <w:szCs w:val="18"/>
        </w:rPr>
        <w:t>obratu</w:t>
      </w:r>
      <w:r w:rsidR="000F335B" w:rsidRPr="00E50260">
        <w:rPr>
          <w:rFonts w:ascii="Arial" w:hAnsi="Arial" w:cs="Arial"/>
          <w:sz w:val="18"/>
          <w:szCs w:val="18"/>
        </w:rPr>
        <w:t xml:space="preserve"> zahraničního obchodu Česka s </w:t>
      </w:r>
      <w:r w:rsidR="00B310D7" w:rsidRPr="00E50260">
        <w:rPr>
          <w:rFonts w:ascii="Arial" w:hAnsi="Arial" w:cs="Arial"/>
          <w:sz w:val="18"/>
          <w:szCs w:val="18"/>
        </w:rPr>
        <w:t>Polskem</w:t>
      </w:r>
      <w:r w:rsidR="000F335B" w:rsidRPr="00E50260">
        <w:rPr>
          <w:rFonts w:ascii="Arial" w:hAnsi="Arial" w:cs="Arial"/>
          <w:sz w:val="18"/>
          <w:szCs w:val="18"/>
        </w:rPr>
        <w:t xml:space="preserve"> byla však v porovnání s hodnotou obratu zahraničního obchodu s Německem výrazně nižší (zhruba na úrovni jedné čtvrtiny)</w:t>
      </w:r>
      <w:r w:rsidR="00E50260">
        <w:rPr>
          <w:rFonts w:ascii="Arial" w:hAnsi="Arial" w:cs="Arial"/>
          <w:sz w:val="18"/>
          <w:szCs w:val="18"/>
        </w:rPr>
        <w:t>.</w:t>
      </w:r>
      <w:r w:rsidR="000F335B" w:rsidRPr="00057656">
        <w:rPr>
          <w:rFonts w:ascii="Arial" w:hAnsi="Arial" w:cs="Arial"/>
          <w:sz w:val="18"/>
          <w:szCs w:val="18"/>
        </w:rPr>
        <w:t xml:space="preserve"> </w:t>
      </w:r>
      <w:r w:rsidR="00FB4D44" w:rsidRPr="00057656">
        <w:rPr>
          <w:rFonts w:ascii="Arial" w:hAnsi="Arial" w:cs="Arial"/>
          <w:sz w:val="18"/>
          <w:szCs w:val="18"/>
        </w:rPr>
        <w:t xml:space="preserve">Polsko je jedinou sousední zemí, kam méně vyvážíme, než dovážíme. </w:t>
      </w:r>
      <w:r w:rsidR="00E50260" w:rsidRPr="00057656">
        <w:rPr>
          <w:rFonts w:ascii="Arial" w:hAnsi="Arial" w:cs="Arial"/>
          <w:sz w:val="18"/>
          <w:szCs w:val="18"/>
        </w:rPr>
        <w:t xml:space="preserve">Téměř 10 procent </w:t>
      </w:r>
      <w:r w:rsidR="00FB4D44" w:rsidRPr="00057656">
        <w:rPr>
          <w:rFonts w:ascii="Arial" w:hAnsi="Arial" w:cs="Arial"/>
          <w:sz w:val="18"/>
          <w:szCs w:val="18"/>
        </w:rPr>
        <w:t xml:space="preserve">polského dovozu tvoří </w:t>
      </w:r>
      <w:r w:rsidR="00057656" w:rsidRPr="00057656">
        <w:rPr>
          <w:rFonts w:ascii="Arial" w:hAnsi="Arial" w:cs="Arial"/>
          <w:sz w:val="18"/>
          <w:szCs w:val="18"/>
        </w:rPr>
        <w:t>potraviny</w:t>
      </w:r>
      <w:r w:rsidR="00FB4D44" w:rsidRPr="00057656">
        <w:rPr>
          <w:rFonts w:ascii="Arial" w:hAnsi="Arial" w:cs="Arial"/>
          <w:sz w:val="18"/>
          <w:szCs w:val="18"/>
        </w:rPr>
        <w:t>.</w:t>
      </w:r>
    </w:p>
    <w:p w:rsidR="00167D1F" w:rsidRPr="00592472" w:rsidRDefault="00592472" w:rsidP="00515297">
      <w:pPr>
        <w:spacing w:after="120"/>
        <w:jc w:val="both"/>
        <w:rPr>
          <w:rFonts w:ascii="Arial" w:hAnsi="Arial" w:cs="Arial"/>
          <w:sz w:val="18"/>
          <w:szCs w:val="18"/>
        </w:rPr>
      </w:pPr>
      <w:r>
        <w:rPr>
          <w:rFonts w:ascii="Arial" w:hAnsi="Arial" w:cs="Arial"/>
          <w:sz w:val="18"/>
          <w:szCs w:val="18"/>
        </w:rPr>
        <w:t xml:space="preserve">V roce 2018 bylo </w:t>
      </w:r>
      <w:r w:rsidR="00F40231" w:rsidRPr="00F40231">
        <w:rPr>
          <w:rFonts w:ascii="Arial" w:hAnsi="Arial" w:cs="Arial"/>
          <w:b/>
          <w:sz w:val="18"/>
          <w:szCs w:val="18"/>
        </w:rPr>
        <w:t>Slovensko</w:t>
      </w:r>
      <w:r w:rsidR="00F40231">
        <w:rPr>
          <w:rFonts w:ascii="Arial" w:hAnsi="Arial" w:cs="Arial"/>
          <w:sz w:val="18"/>
          <w:szCs w:val="18"/>
        </w:rPr>
        <w:t xml:space="preserve"> </w:t>
      </w:r>
      <w:r w:rsidRPr="00F40231">
        <w:rPr>
          <w:rFonts w:ascii="Arial" w:hAnsi="Arial" w:cs="Arial"/>
          <w:sz w:val="18"/>
          <w:szCs w:val="18"/>
        </w:rPr>
        <w:t>čtvrtým</w:t>
      </w:r>
      <w:r w:rsidR="00F40231" w:rsidRPr="00F40231">
        <w:rPr>
          <w:rStyle w:val="Znakapoznpodarou"/>
          <w:rFonts w:ascii="Arial" w:hAnsi="Arial" w:cs="Arial"/>
          <w:b/>
          <w:sz w:val="18"/>
          <w:szCs w:val="18"/>
        </w:rPr>
        <w:footnoteReference w:id="7"/>
      </w:r>
      <w:r w:rsidRPr="00F40231">
        <w:rPr>
          <w:rFonts w:ascii="Arial" w:hAnsi="Arial" w:cs="Arial"/>
          <w:sz w:val="18"/>
          <w:szCs w:val="18"/>
        </w:rPr>
        <w:t xml:space="preserve"> největším</w:t>
      </w:r>
      <w:r>
        <w:rPr>
          <w:rFonts w:ascii="Arial" w:hAnsi="Arial" w:cs="Arial"/>
          <w:sz w:val="18"/>
          <w:szCs w:val="18"/>
        </w:rPr>
        <w:t xml:space="preserve"> obchodním partnerem České republiky (po Německu, Číně a Polsku), druhým největším exportním trhem a čtvrtým největším dovozním trhem.</w:t>
      </w:r>
      <w:r w:rsidR="00F40231">
        <w:rPr>
          <w:rFonts w:ascii="Arial" w:hAnsi="Arial" w:cs="Arial"/>
          <w:sz w:val="18"/>
          <w:szCs w:val="18"/>
        </w:rPr>
        <w:t xml:space="preserve"> </w:t>
      </w:r>
      <w:r w:rsidR="004422E7" w:rsidRPr="00023090">
        <w:rPr>
          <w:rFonts w:ascii="Arial" w:hAnsi="Arial" w:cs="Arial"/>
          <w:sz w:val="18"/>
          <w:szCs w:val="18"/>
        </w:rPr>
        <w:t>V</w:t>
      </w:r>
      <w:r w:rsidR="003911A7" w:rsidRPr="00023090">
        <w:rPr>
          <w:rFonts w:ascii="Arial" w:hAnsi="Arial" w:cs="Arial"/>
          <w:sz w:val="18"/>
          <w:szCs w:val="18"/>
        </w:rPr>
        <w:t> </w:t>
      </w:r>
      <w:r w:rsidR="004422E7" w:rsidRPr="00023090">
        <w:rPr>
          <w:rFonts w:ascii="Arial" w:hAnsi="Arial" w:cs="Arial"/>
          <w:sz w:val="18"/>
          <w:szCs w:val="18"/>
        </w:rPr>
        <w:t>roce</w:t>
      </w:r>
      <w:r w:rsidR="003911A7" w:rsidRPr="00023090">
        <w:rPr>
          <w:rFonts w:ascii="Arial" w:hAnsi="Arial" w:cs="Arial"/>
          <w:sz w:val="18"/>
          <w:szCs w:val="18"/>
        </w:rPr>
        <w:t> </w:t>
      </w:r>
      <w:r w:rsidR="004422E7" w:rsidRPr="00023090">
        <w:rPr>
          <w:rFonts w:ascii="Arial" w:hAnsi="Arial" w:cs="Arial"/>
          <w:sz w:val="18"/>
          <w:szCs w:val="18"/>
        </w:rPr>
        <w:t>201</w:t>
      </w:r>
      <w:r w:rsidR="00023090" w:rsidRPr="00023090">
        <w:rPr>
          <w:rFonts w:ascii="Arial" w:hAnsi="Arial" w:cs="Arial"/>
          <w:sz w:val="18"/>
          <w:szCs w:val="18"/>
        </w:rPr>
        <w:t>8</w:t>
      </w:r>
      <w:r w:rsidR="004422E7" w:rsidRPr="00023090">
        <w:rPr>
          <w:rFonts w:ascii="Arial" w:hAnsi="Arial" w:cs="Arial"/>
          <w:sz w:val="18"/>
          <w:szCs w:val="18"/>
        </w:rPr>
        <w:t xml:space="preserve"> </w:t>
      </w:r>
      <w:r w:rsidR="009F1889" w:rsidRPr="00023090">
        <w:rPr>
          <w:rFonts w:ascii="Arial" w:hAnsi="Arial" w:cs="Arial"/>
          <w:sz w:val="18"/>
          <w:szCs w:val="18"/>
        </w:rPr>
        <w:t>obrat</w:t>
      </w:r>
      <w:r w:rsidR="00876658" w:rsidRPr="00023090">
        <w:rPr>
          <w:rFonts w:ascii="Arial" w:hAnsi="Arial" w:cs="Arial"/>
          <w:sz w:val="18"/>
          <w:szCs w:val="18"/>
        </w:rPr>
        <w:t xml:space="preserve"> s tímto státem</w:t>
      </w:r>
      <w:r w:rsidR="00876658" w:rsidRPr="001A57EA">
        <w:rPr>
          <w:rFonts w:ascii="Arial" w:hAnsi="Arial" w:cs="Arial"/>
          <w:color w:val="FF0000"/>
          <w:sz w:val="18"/>
          <w:szCs w:val="18"/>
        </w:rPr>
        <w:t xml:space="preserve"> </w:t>
      </w:r>
      <w:r w:rsidRPr="00592472">
        <w:rPr>
          <w:rFonts w:ascii="Arial" w:hAnsi="Arial" w:cs="Arial"/>
          <w:sz w:val="18"/>
          <w:szCs w:val="18"/>
        </w:rPr>
        <w:t>dosáhl</w:t>
      </w:r>
      <w:r w:rsidR="004422E7" w:rsidRPr="00592472">
        <w:rPr>
          <w:rFonts w:ascii="Arial" w:hAnsi="Arial" w:cs="Arial"/>
          <w:sz w:val="18"/>
          <w:szCs w:val="18"/>
        </w:rPr>
        <w:t xml:space="preserve"> hodnot</w:t>
      </w:r>
      <w:r w:rsidRPr="00592472">
        <w:rPr>
          <w:rFonts w:ascii="Arial" w:hAnsi="Arial" w:cs="Arial"/>
          <w:sz w:val="18"/>
          <w:szCs w:val="18"/>
        </w:rPr>
        <w:t>y 533,1 mld. Kč</w:t>
      </w:r>
      <w:r w:rsidR="004422E7" w:rsidRPr="00592472">
        <w:rPr>
          <w:rFonts w:ascii="Arial" w:hAnsi="Arial" w:cs="Arial"/>
          <w:sz w:val="18"/>
          <w:szCs w:val="18"/>
        </w:rPr>
        <w:t xml:space="preserve"> a meziročně</w:t>
      </w:r>
      <w:r w:rsidR="004422E7" w:rsidRPr="00023090">
        <w:rPr>
          <w:rFonts w:ascii="Arial" w:hAnsi="Arial" w:cs="Arial"/>
          <w:sz w:val="18"/>
          <w:szCs w:val="18"/>
        </w:rPr>
        <w:t xml:space="preserve"> </w:t>
      </w:r>
      <w:r w:rsidR="00023090" w:rsidRPr="00023090">
        <w:rPr>
          <w:rFonts w:ascii="Arial" w:hAnsi="Arial" w:cs="Arial"/>
          <w:sz w:val="18"/>
          <w:szCs w:val="18"/>
        </w:rPr>
        <w:t>vzrostl</w:t>
      </w:r>
      <w:r w:rsidR="004422E7" w:rsidRPr="00023090">
        <w:rPr>
          <w:rFonts w:ascii="Arial" w:hAnsi="Arial" w:cs="Arial"/>
          <w:sz w:val="18"/>
          <w:szCs w:val="18"/>
        </w:rPr>
        <w:t xml:space="preserve"> o </w:t>
      </w:r>
      <w:r w:rsidR="00023090" w:rsidRPr="00023090">
        <w:rPr>
          <w:rFonts w:ascii="Arial" w:hAnsi="Arial" w:cs="Arial"/>
          <w:sz w:val="18"/>
          <w:szCs w:val="18"/>
        </w:rPr>
        <w:t>5,1</w:t>
      </w:r>
      <w:r w:rsidR="00557A47" w:rsidRPr="00023090">
        <w:rPr>
          <w:rFonts w:ascii="Arial" w:hAnsi="Arial" w:cs="Arial"/>
          <w:sz w:val="18"/>
          <w:szCs w:val="18"/>
        </w:rPr>
        <w:t xml:space="preserve"> </w:t>
      </w:r>
      <w:r w:rsidR="00592D30" w:rsidRPr="00592472">
        <w:rPr>
          <w:rFonts w:ascii="Arial" w:hAnsi="Arial" w:cs="Arial"/>
          <w:sz w:val="18"/>
          <w:szCs w:val="18"/>
        </w:rPr>
        <w:t>%</w:t>
      </w:r>
      <w:r w:rsidR="009F1889" w:rsidRPr="00592472">
        <w:rPr>
          <w:rFonts w:ascii="Arial" w:hAnsi="Arial" w:cs="Arial"/>
          <w:sz w:val="18"/>
          <w:szCs w:val="18"/>
        </w:rPr>
        <w:t xml:space="preserve">, </w:t>
      </w:r>
      <w:r w:rsidRPr="00592472">
        <w:rPr>
          <w:rFonts w:ascii="Arial" w:hAnsi="Arial" w:cs="Arial"/>
          <w:sz w:val="18"/>
          <w:szCs w:val="18"/>
        </w:rPr>
        <w:t>z toho</w:t>
      </w:r>
      <w:r w:rsidR="009F1889" w:rsidRPr="00592472">
        <w:rPr>
          <w:rFonts w:ascii="Arial" w:hAnsi="Arial" w:cs="Arial"/>
          <w:sz w:val="18"/>
          <w:szCs w:val="18"/>
        </w:rPr>
        <w:t xml:space="preserve"> dovoz o </w:t>
      </w:r>
      <w:r w:rsidRPr="00592472">
        <w:rPr>
          <w:rFonts w:ascii="Arial" w:hAnsi="Arial" w:cs="Arial"/>
          <w:sz w:val="18"/>
          <w:szCs w:val="18"/>
        </w:rPr>
        <w:t>9,0</w:t>
      </w:r>
      <w:r w:rsidR="009F1889" w:rsidRPr="00592472">
        <w:rPr>
          <w:rFonts w:ascii="Arial" w:hAnsi="Arial" w:cs="Arial"/>
          <w:sz w:val="18"/>
          <w:szCs w:val="18"/>
        </w:rPr>
        <w:t xml:space="preserve"> % a hodnotově významnější vývoz </w:t>
      </w:r>
      <w:r w:rsidR="00AA5D6C" w:rsidRPr="00592472">
        <w:rPr>
          <w:rFonts w:ascii="Arial" w:hAnsi="Arial" w:cs="Arial"/>
          <w:sz w:val="18"/>
          <w:szCs w:val="18"/>
        </w:rPr>
        <w:t xml:space="preserve">o </w:t>
      </w:r>
      <w:r w:rsidR="009F1889" w:rsidRPr="00592472">
        <w:rPr>
          <w:rFonts w:ascii="Arial" w:hAnsi="Arial" w:cs="Arial"/>
          <w:sz w:val="18"/>
          <w:szCs w:val="18"/>
        </w:rPr>
        <w:t>2,</w:t>
      </w:r>
      <w:r w:rsidRPr="00592472">
        <w:rPr>
          <w:rFonts w:ascii="Arial" w:hAnsi="Arial" w:cs="Arial"/>
          <w:sz w:val="18"/>
          <w:szCs w:val="18"/>
        </w:rPr>
        <w:t>8</w:t>
      </w:r>
      <w:r w:rsidR="009F1889" w:rsidRPr="00592472">
        <w:rPr>
          <w:rFonts w:ascii="Arial" w:hAnsi="Arial" w:cs="Arial"/>
          <w:sz w:val="18"/>
          <w:szCs w:val="18"/>
        </w:rPr>
        <w:t xml:space="preserve"> %.</w:t>
      </w:r>
    </w:p>
    <w:p w:rsidR="00BA7845" w:rsidRDefault="00167D1F" w:rsidP="00CE57E0">
      <w:pPr>
        <w:spacing w:after="0"/>
        <w:rPr>
          <w:rFonts w:ascii="Arial" w:hAnsi="Arial" w:cs="Arial"/>
          <w:color w:val="FF0000"/>
          <w:sz w:val="18"/>
          <w:szCs w:val="18"/>
        </w:rPr>
      </w:pPr>
      <w:r w:rsidRPr="00057656">
        <w:rPr>
          <w:rFonts w:ascii="Arial" w:hAnsi="Arial" w:cs="Arial"/>
          <w:b/>
          <w:sz w:val="18"/>
          <w:szCs w:val="18"/>
        </w:rPr>
        <w:t>Nejnižší</w:t>
      </w:r>
      <w:r w:rsidRPr="00057656">
        <w:rPr>
          <w:rFonts w:ascii="Arial" w:hAnsi="Arial" w:cs="Arial"/>
          <w:sz w:val="18"/>
          <w:szCs w:val="18"/>
        </w:rPr>
        <w:t xml:space="preserve"> zastoupení na zahraničním obchodu České republiky se sousedními státy mělo </w:t>
      </w:r>
      <w:r w:rsidRPr="00057656">
        <w:rPr>
          <w:rFonts w:ascii="Arial" w:hAnsi="Arial" w:cs="Arial"/>
          <w:b/>
          <w:sz w:val="18"/>
          <w:szCs w:val="18"/>
        </w:rPr>
        <w:t>Rakousko</w:t>
      </w:r>
      <w:r w:rsidRPr="00057656">
        <w:rPr>
          <w:rFonts w:ascii="Arial" w:hAnsi="Arial" w:cs="Arial"/>
          <w:sz w:val="18"/>
          <w:szCs w:val="18"/>
        </w:rPr>
        <w:t>, které se s podílem 3,</w:t>
      </w:r>
      <w:r w:rsidR="00057656" w:rsidRPr="00057656">
        <w:rPr>
          <w:rFonts w:ascii="Arial" w:hAnsi="Arial" w:cs="Arial"/>
          <w:sz w:val="18"/>
          <w:szCs w:val="18"/>
        </w:rPr>
        <w:t>7</w:t>
      </w:r>
      <w:r w:rsidRPr="00057656">
        <w:rPr>
          <w:rFonts w:ascii="Arial" w:hAnsi="Arial" w:cs="Arial"/>
          <w:sz w:val="18"/>
          <w:szCs w:val="18"/>
        </w:rPr>
        <w:t xml:space="preserve"> % na celkovém obratu zahraničního obchodu ČR umístilo na </w:t>
      </w:r>
      <w:r w:rsidR="00057656" w:rsidRPr="00057656">
        <w:rPr>
          <w:rFonts w:ascii="Arial" w:hAnsi="Arial" w:cs="Arial"/>
          <w:sz w:val="18"/>
          <w:szCs w:val="18"/>
        </w:rPr>
        <w:t>sedmém</w:t>
      </w:r>
      <w:r w:rsidRPr="00057656">
        <w:rPr>
          <w:rFonts w:ascii="Arial" w:hAnsi="Arial" w:cs="Arial"/>
          <w:sz w:val="18"/>
          <w:szCs w:val="18"/>
        </w:rPr>
        <w:t xml:space="preserve"> místě.</w:t>
      </w:r>
      <w:r w:rsidR="00803DE5" w:rsidRPr="001A57EA">
        <w:rPr>
          <w:rFonts w:ascii="Arial" w:hAnsi="Arial" w:cs="Arial"/>
          <w:color w:val="FF0000"/>
          <w:sz w:val="18"/>
          <w:szCs w:val="18"/>
        </w:rPr>
        <w:t xml:space="preserve"> </w:t>
      </w:r>
      <w:r w:rsidR="0065350B" w:rsidRPr="001A57EA">
        <w:rPr>
          <w:rFonts w:ascii="Arial" w:hAnsi="Arial" w:cs="Arial"/>
          <w:color w:val="FF0000"/>
          <w:sz w:val="18"/>
          <w:szCs w:val="18"/>
        </w:rPr>
        <w:t xml:space="preserve">    </w:t>
      </w:r>
      <w:r w:rsidR="00C670C7" w:rsidRPr="001A57EA">
        <w:rPr>
          <w:rFonts w:ascii="Arial" w:hAnsi="Arial" w:cs="Arial"/>
          <w:noProof/>
          <w:color w:val="FF0000"/>
          <w:sz w:val="18"/>
          <w:szCs w:val="18"/>
          <w:lang w:eastAsia="cs-CZ"/>
        </w:rPr>
        <w:t xml:space="preserve">   </w:t>
      </w:r>
      <w:r w:rsidR="00BA7845" w:rsidRPr="001A57EA">
        <w:rPr>
          <w:rFonts w:ascii="Arial" w:hAnsi="Arial" w:cs="Arial"/>
          <w:color w:val="FF0000"/>
          <w:sz w:val="18"/>
          <w:szCs w:val="18"/>
        </w:rPr>
        <w:t xml:space="preserve">   </w:t>
      </w:r>
    </w:p>
    <w:p w:rsidR="00BA7845" w:rsidRPr="00747206" w:rsidRDefault="00BA7845" w:rsidP="00352753">
      <w:pPr>
        <w:numPr>
          <w:ilvl w:val="0"/>
          <w:numId w:val="1"/>
        </w:numPr>
        <w:spacing w:after="120"/>
        <w:ind w:left="567" w:hanging="567"/>
        <w:rPr>
          <w:rFonts w:ascii="Arial" w:hAnsi="Arial" w:cs="Arial"/>
          <w:b/>
        </w:rPr>
      </w:pPr>
      <w:r w:rsidRPr="00747206">
        <w:rPr>
          <w:rFonts w:ascii="Arial" w:hAnsi="Arial" w:cs="Arial"/>
          <w:b/>
        </w:rPr>
        <w:lastRenderedPageBreak/>
        <w:t>Zbožová struktura</w:t>
      </w:r>
      <w:r w:rsidR="00061F1B" w:rsidRPr="00747206">
        <w:rPr>
          <w:rFonts w:ascii="Arial" w:hAnsi="Arial" w:cs="Arial"/>
          <w:b/>
        </w:rPr>
        <w:t xml:space="preserve"> </w:t>
      </w:r>
    </w:p>
    <w:p w:rsidR="00BA7845" w:rsidRPr="00747206" w:rsidRDefault="00061F1B" w:rsidP="00BA7845">
      <w:pPr>
        <w:numPr>
          <w:ilvl w:val="1"/>
          <w:numId w:val="1"/>
        </w:numPr>
        <w:tabs>
          <w:tab w:val="left" w:pos="567"/>
        </w:tabs>
        <w:spacing w:after="120"/>
        <w:ind w:hanging="792"/>
        <w:rPr>
          <w:rFonts w:ascii="Arial" w:hAnsi="Arial" w:cs="Arial"/>
          <w:b/>
          <w:sz w:val="21"/>
          <w:szCs w:val="21"/>
        </w:rPr>
      </w:pPr>
      <w:r w:rsidRPr="00747206">
        <w:rPr>
          <w:rFonts w:ascii="Arial" w:hAnsi="Arial" w:cs="Arial"/>
          <w:b/>
          <w:sz w:val="21"/>
          <w:szCs w:val="21"/>
        </w:rPr>
        <w:t>Vývoz a dovoz podle tříd SITC</w:t>
      </w:r>
      <w:r w:rsidR="00BA7845" w:rsidRPr="00747206">
        <w:rPr>
          <w:rFonts w:ascii="Arial" w:hAnsi="Arial" w:cs="Arial"/>
          <w:b/>
          <w:sz w:val="21"/>
          <w:szCs w:val="21"/>
        </w:rPr>
        <w:t xml:space="preserve"> </w:t>
      </w:r>
    </w:p>
    <w:p w:rsidR="006017DC" w:rsidRPr="00747206" w:rsidRDefault="006017DC" w:rsidP="006C01A2">
      <w:pPr>
        <w:jc w:val="both"/>
        <w:rPr>
          <w:rFonts w:ascii="Arial" w:hAnsi="Arial" w:cs="Arial"/>
          <w:sz w:val="18"/>
          <w:szCs w:val="18"/>
        </w:rPr>
      </w:pPr>
      <w:r w:rsidRPr="00747206">
        <w:rPr>
          <w:rFonts w:ascii="Arial" w:hAnsi="Arial" w:cs="Arial"/>
          <w:b/>
          <w:sz w:val="18"/>
          <w:szCs w:val="18"/>
        </w:rPr>
        <w:t>Zbožová struktura</w:t>
      </w:r>
      <w:r w:rsidRPr="00747206">
        <w:rPr>
          <w:rFonts w:ascii="Arial" w:hAnsi="Arial" w:cs="Arial"/>
          <w:sz w:val="18"/>
          <w:szCs w:val="18"/>
        </w:rPr>
        <w:t xml:space="preserve"> zahraničního obchodu </w:t>
      </w:r>
      <w:r w:rsidR="0060202C" w:rsidRPr="00747206">
        <w:rPr>
          <w:rFonts w:ascii="Arial" w:hAnsi="Arial" w:cs="Arial"/>
          <w:sz w:val="18"/>
          <w:szCs w:val="18"/>
        </w:rPr>
        <w:t>v roce 201</w:t>
      </w:r>
      <w:r w:rsidR="002767E3">
        <w:rPr>
          <w:rFonts w:ascii="Arial" w:hAnsi="Arial" w:cs="Arial"/>
          <w:sz w:val="18"/>
          <w:szCs w:val="18"/>
        </w:rPr>
        <w:t>8</w:t>
      </w:r>
      <w:r w:rsidR="0060202C" w:rsidRPr="00747206">
        <w:rPr>
          <w:rFonts w:ascii="Arial" w:hAnsi="Arial" w:cs="Arial"/>
          <w:sz w:val="18"/>
          <w:szCs w:val="18"/>
        </w:rPr>
        <w:t xml:space="preserve"> </w:t>
      </w:r>
      <w:r w:rsidRPr="00747206">
        <w:rPr>
          <w:rFonts w:ascii="Arial" w:hAnsi="Arial" w:cs="Arial"/>
          <w:sz w:val="18"/>
          <w:szCs w:val="18"/>
        </w:rPr>
        <w:t xml:space="preserve">byla provázena meziročním růstem </w:t>
      </w:r>
      <w:r w:rsidRPr="00747206">
        <w:rPr>
          <w:rFonts w:ascii="Arial" w:hAnsi="Arial" w:cs="Arial"/>
          <w:b/>
          <w:sz w:val="18"/>
          <w:szCs w:val="18"/>
        </w:rPr>
        <w:t xml:space="preserve">vývozu i dovozu </w:t>
      </w:r>
      <w:r w:rsidR="0099111E" w:rsidRPr="00747206">
        <w:rPr>
          <w:rFonts w:ascii="Arial" w:hAnsi="Arial" w:cs="Arial"/>
          <w:sz w:val="18"/>
          <w:szCs w:val="18"/>
        </w:rPr>
        <w:t>většiny</w:t>
      </w:r>
      <w:r w:rsidR="00F722AC" w:rsidRPr="00747206">
        <w:rPr>
          <w:rFonts w:ascii="Arial" w:hAnsi="Arial" w:cs="Arial"/>
          <w:sz w:val="18"/>
          <w:szCs w:val="18"/>
        </w:rPr>
        <w:t xml:space="preserve"> agregovaných tříd zboží podle</w:t>
      </w:r>
      <w:r w:rsidRPr="00747206">
        <w:rPr>
          <w:rFonts w:ascii="Arial" w:hAnsi="Arial" w:cs="Arial"/>
          <w:sz w:val="18"/>
          <w:szCs w:val="18"/>
        </w:rPr>
        <w:t xml:space="preserve"> Standardní mezinárodní klasifikace zboží</w:t>
      </w:r>
      <w:r w:rsidR="00803DE5" w:rsidRPr="00747206">
        <w:rPr>
          <w:rStyle w:val="Znakapoznpodarou"/>
          <w:rFonts w:ascii="Arial" w:hAnsi="Arial" w:cs="Arial"/>
          <w:sz w:val="18"/>
          <w:szCs w:val="18"/>
        </w:rPr>
        <w:footnoteReference w:id="8"/>
      </w:r>
      <w:r w:rsidR="0099111E" w:rsidRPr="00747206">
        <w:rPr>
          <w:rFonts w:ascii="Arial" w:hAnsi="Arial" w:cs="Arial"/>
          <w:sz w:val="18"/>
          <w:szCs w:val="18"/>
        </w:rPr>
        <w:t>.</w:t>
      </w:r>
    </w:p>
    <w:p w:rsidR="00BA7845" w:rsidRPr="006C01A2" w:rsidRDefault="00BA7845" w:rsidP="00BA7845">
      <w:pPr>
        <w:spacing w:after="80"/>
        <w:jc w:val="both"/>
        <w:rPr>
          <w:rFonts w:ascii="Arial" w:hAnsi="Arial" w:cs="Arial"/>
          <w:b/>
          <w:sz w:val="18"/>
          <w:szCs w:val="18"/>
        </w:rPr>
      </w:pPr>
      <w:r w:rsidRPr="006C01A2">
        <w:rPr>
          <w:rFonts w:ascii="Arial" w:hAnsi="Arial" w:cs="Arial"/>
          <w:b/>
          <w:sz w:val="18"/>
          <w:szCs w:val="18"/>
        </w:rPr>
        <w:t>Graf 1</w:t>
      </w:r>
      <w:r w:rsidR="00591368">
        <w:rPr>
          <w:rFonts w:ascii="Arial" w:hAnsi="Arial" w:cs="Arial"/>
          <w:b/>
          <w:sz w:val="18"/>
          <w:szCs w:val="18"/>
        </w:rPr>
        <w:t>4</w:t>
      </w:r>
      <w:r w:rsidRPr="006C01A2">
        <w:rPr>
          <w:rFonts w:ascii="Arial" w:hAnsi="Arial" w:cs="Arial"/>
          <w:b/>
          <w:sz w:val="18"/>
          <w:szCs w:val="18"/>
        </w:rPr>
        <w:t xml:space="preserve"> - Zbožová struktura zahraničního obchodu </w:t>
      </w:r>
      <w:r w:rsidR="00D225E2" w:rsidRPr="006C01A2">
        <w:rPr>
          <w:rFonts w:ascii="Arial" w:hAnsi="Arial" w:cs="Arial"/>
          <w:b/>
          <w:sz w:val="18"/>
          <w:szCs w:val="18"/>
        </w:rPr>
        <w:t xml:space="preserve">podle </w:t>
      </w:r>
      <w:r w:rsidR="00596654" w:rsidRPr="006C01A2">
        <w:rPr>
          <w:rFonts w:ascii="Arial" w:hAnsi="Arial" w:cs="Arial"/>
          <w:b/>
          <w:sz w:val="18"/>
          <w:szCs w:val="18"/>
        </w:rPr>
        <w:t xml:space="preserve">deseti tříd </w:t>
      </w:r>
      <w:r w:rsidR="00D225E2" w:rsidRPr="006C01A2">
        <w:rPr>
          <w:rFonts w:ascii="Arial" w:hAnsi="Arial" w:cs="Arial"/>
          <w:b/>
          <w:sz w:val="18"/>
          <w:szCs w:val="18"/>
        </w:rPr>
        <w:t xml:space="preserve">SITC </w:t>
      </w:r>
      <w:r w:rsidRPr="006C01A2">
        <w:rPr>
          <w:rFonts w:ascii="Arial" w:hAnsi="Arial" w:cs="Arial"/>
          <w:b/>
          <w:sz w:val="18"/>
          <w:szCs w:val="18"/>
        </w:rPr>
        <w:t>v roce 201</w:t>
      </w:r>
      <w:r w:rsidR="006C01A2">
        <w:rPr>
          <w:rFonts w:ascii="Arial" w:hAnsi="Arial" w:cs="Arial"/>
          <w:b/>
          <w:sz w:val="18"/>
          <w:szCs w:val="18"/>
        </w:rPr>
        <w:t>8</w:t>
      </w:r>
      <w:r w:rsidRPr="006C01A2">
        <w:rPr>
          <w:rFonts w:ascii="Arial" w:hAnsi="Arial" w:cs="Arial"/>
          <w:b/>
          <w:sz w:val="18"/>
          <w:szCs w:val="18"/>
        </w:rPr>
        <w:t xml:space="preserve"> (podíly v %)</w:t>
      </w:r>
    </w:p>
    <w:p w:rsidR="00BA7845" w:rsidRPr="006C01A2" w:rsidRDefault="00015B5E" w:rsidP="00BA7845">
      <w:pPr>
        <w:spacing w:after="0"/>
        <w:jc w:val="both"/>
        <w:rPr>
          <w:rFonts w:ascii="Arial" w:hAnsi="Arial" w:cs="Arial"/>
          <w:sz w:val="16"/>
          <w:szCs w:val="16"/>
        </w:rPr>
      </w:pPr>
      <w:r>
        <w:rPr>
          <w:rFonts w:ascii="Arial" w:hAnsi="Arial" w:cs="Arial"/>
          <w:b/>
          <w:noProof/>
          <w:sz w:val="18"/>
          <w:szCs w:val="18"/>
          <w:lang w:eastAsia="cs-CZ"/>
        </w:rPr>
        <w:pict>
          <v:shape id="_x0000_i1043" type="#_x0000_t75" style="width:477.75pt;height:214.5pt">
            <v:imagedata r:id="rId28" o:title=""/>
          </v:shape>
        </w:pict>
      </w:r>
    </w:p>
    <w:p w:rsidR="009A7B8F" w:rsidRPr="001A57EA" w:rsidRDefault="009A7B8F" w:rsidP="00596654">
      <w:pPr>
        <w:spacing w:after="0"/>
        <w:jc w:val="both"/>
        <w:rPr>
          <w:rFonts w:ascii="Arial" w:hAnsi="Arial" w:cs="Arial"/>
          <w:color w:val="FF0000"/>
          <w:sz w:val="18"/>
          <w:szCs w:val="18"/>
        </w:rPr>
      </w:pPr>
    </w:p>
    <w:p w:rsidR="00FC1C46" w:rsidRPr="006C01A2" w:rsidRDefault="009A7B8F" w:rsidP="008D0756">
      <w:pPr>
        <w:spacing w:after="240"/>
        <w:jc w:val="both"/>
        <w:rPr>
          <w:rFonts w:ascii="Arial" w:hAnsi="Arial" w:cs="Arial"/>
          <w:sz w:val="18"/>
          <w:szCs w:val="18"/>
        </w:rPr>
      </w:pPr>
      <w:r w:rsidRPr="005D6E37">
        <w:rPr>
          <w:rFonts w:ascii="Arial" w:hAnsi="Arial" w:cs="Arial"/>
          <w:sz w:val="18"/>
          <w:szCs w:val="18"/>
        </w:rPr>
        <w:t xml:space="preserve">Největší absolutní meziroční navýšení </w:t>
      </w:r>
      <w:r w:rsidR="00C06EB2" w:rsidRPr="005D6E37">
        <w:rPr>
          <w:rFonts w:ascii="Arial" w:hAnsi="Arial" w:cs="Arial"/>
          <w:sz w:val="18"/>
          <w:szCs w:val="18"/>
        </w:rPr>
        <w:t>nastalo</w:t>
      </w:r>
      <w:r w:rsidRPr="005D6E37">
        <w:rPr>
          <w:rFonts w:ascii="Arial" w:hAnsi="Arial" w:cs="Arial"/>
          <w:sz w:val="18"/>
          <w:szCs w:val="18"/>
        </w:rPr>
        <w:t xml:space="preserve"> u </w:t>
      </w:r>
      <w:r w:rsidRPr="005D6E37">
        <w:rPr>
          <w:rFonts w:ascii="Arial" w:hAnsi="Arial" w:cs="Arial"/>
          <w:b/>
          <w:sz w:val="18"/>
          <w:szCs w:val="18"/>
        </w:rPr>
        <w:t>vývozu strojů a dopravních prostředků</w:t>
      </w:r>
      <w:r w:rsidRPr="005D6E37">
        <w:rPr>
          <w:rFonts w:ascii="Arial" w:hAnsi="Arial" w:cs="Arial"/>
          <w:sz w:val="18"/>
          <w:szCs w:val="18"/>
        </w:rPr>
        <w:t xml:space="preserve"> (o </w:t>
      </w:r>
      <w:r w:rsidR="005D6E37">
        <w:rPr>
          <w:rFonts w:ascii="Arial" w:hAnsi="Arial" w:cs="Arial"/>
          <w:sz w:val="18"/>
          <w:szCs w:val="18"/>
        </w:rPr>
        <w:t>141,0</w:t>
      </w:r>
      <w:r w:rsidRPr="005D6E37">
        <w:rPr>
          <w:rFonts w:ascii="Arial" w:hAnsi="Arial" w:cs="Arial"/>
          <w:sz w:val="18"/>
          <w:szCs w:val="18"/>
        </w:rPr>
        <w:t xml:space="preserve"> mld. Kč). </w:t>
      </w:r>
      <w:r w:rsidR="00FC1C46" w:rsidRPr="005D6E37">
        <w:rPr>
          <w:rFonts w:ascii="Arial" w:hAnsi="Arial" w:cs="Arial"/>
          <w:sz w:val="18"/>
          <w:szCs w:val="18"/>
        </w:rPr>
        <w:t>Velká část</w:t>
      </w:r>
      <w:r w:rsidR="00FC1C46" w:rsidRPr="001A57EA">
        <w:rPr>
          <w:rFonts w:ascii="Arial" w:hAnsi="Arial" w:cs="Arial"/>
          <w:color w:val="FF0000"/>
          <w:sz w:val="18"/>
          <w:szCs w:val="18"/>
        </w:rPr>
        <w:t xml:space="preserve"> </w:t>
      </w:r>
      <w:r w:rsidR="00FC1C46" w:rsidRPr="005D6E37">
        <w:rPr>
          <w:rFonts w:ascii="Arial" w:hAnsi="Arial" w:cs="Arial"/>
          <w:sz w:val="18"/>
          <w:szCs w:val="18"/>
        </w:rPr>
        <w:t xml:space="preserve">tohoto </w:t>
      </w:r>
      <w:r w:rsidR="006D2262" w:rsidRPr="005D6E37">
        <w:rPr>
          <w:rFonts w:ascii="Arial" w:hAnsi="Arial" w:cs="Arial"/>
          <w:sz w:val="18"/>
          <w:szCs w:val="18"/>
        </w:rPr>
        <w:t>přírůstku</w:t>
      </w:r>
      <w:r w:rsidR="00FC1C46" w:rsidRPr="005D6E37">
        <w:rPr>
          <w:rFonts w:ascii="Arial" w:hAnsi="Arial" w:cs="Arial"/>
          <w:sz w:val="18"/>
          <w:szCs w:val="18"/>
        </w:rPr>
        <w:t xml:space="preserve"> </w:t>
      </w:r>
      <w:r w:rsidR="00471975" w:rsidRPr="005D6E37">
        <w:rPr>
          <w:rFonts w:ascii="Arial" w:hAnsi="Arial" w:cs="Arial"/>
          <w:sz w:val="18"/>
          <w:szCs w:val="18"/>
        </w:rPr>
        <w:t>(</w:t>
      </w:r>
      <w:r w:rsidR="005D6E37" w:rsidRPr="005D6E37">
        <w:rPr>
          <w:rFonts w:ascii="Arial" w:hAnsi="Arial" w:cs="Arial"/>
          <w:sz w:val="18"/>
          <w:szCs w:val="18"/>
        </w:rPr>
        <w:t>128,2</w:t>
      </w:r>
      <w:r w:rsidR="00471975" w:rsidRPr="005D6E37">
        <w:rPr>
          <w:rFonts w:ascii="Arial" w:hAnsi="Arial" w:cs="Arial"/>
          <w:sz w:val="18"/>
          <w:szCs w:val="18"/>
        </w:rPr>
        <w:t xml:space="preserve"> mld. Kč) </w:t>
      </w:r>
      <w:r w:rsidR="00FC1C46" w:rsidRPr="005D6E37">
        <w:rPr>
          <w:rFonts w:ascii="Arial" w:hAnsi="Arial" w:cs="Arial"/>
          <w:sz w:val="18"/>
          <w:szCs w:val="18"/>
        </w:rPr>
        <w:t>patřila vývozu zboží do států Evropské unie, jmenovitě hlavně</w:t>
      </w:r>
      <w:r w:rsidR="00FC1C46" w:rsidRPr="001A57EA">
        <w:rPr>
          <w:rFonts w:ascii="Arial" w:hAnsi="Arial" w:cs="Arial"/>
          <w:color w:val="FF0000"/>
          <w:sz w:val="18"/>
          <w:szCs w:val="18"/>
        </w:rPr>
        <w:t xml:space="preserve"> </w:t>
      </w:r>
      <w:r w:rsidR="00FC1C46" w:rsidRPr="005D6E37">
        <w:rPr>
          <w:rFonts w:ascii="Arial" w:hAnsi="Arial" w:cs="Arial"/>
          <w:sz w:val="18"/>
          <w:szCs w:val="18"/>
        </w:rPr>
        <w:t>do Německa,</w:t>
      </w:r>
      <w:r w:rsidR="00471975" w:rsidRPr="005D6E37">
        <w:rPr>
          <w:rFonts w:ascii="Arial" w:hAnsi="Arial" w:cs="Arial"/>
          <w:sz w:val="18"/>
          <w:szCs w:val="18"/>
        </w:rPr>
        <w:t xml:space="preserve"> </w:t>
      </w:r>
      <w:r w:rsidR="005D6E37">
        <w:rPr>
          <w:rFonts w:ascii="Arial" w:hAnsi="Arial" w:cs="Arial"/>
          <w:sz w:val="18"/>
          <w:szCs w:val="18"/>
        </w:rPr>
        <w:t>Španělska, Irska, Polska a Nizozemska</w:t>
      </w:r>
      <w:r w:rsidR="005D6E37" w:rsidRPr="008D119E">
        <w:rPr>
          <w:rFonts w:ascii="Arial" w:hAnsi="Arial" w:cs="Arial"/>
          <w:sz w:val="18"/>
          <w:szCs w:val="18"/>
        </w:rPr>
        <w:t>.</w:t>
      </w:r>
      <w:r w:rsidR="00471975" w:rsidRPr="008D119E">
        <w:rPr>
          <w:rFonts w:ascii="Arial" w:hAnsi="Arial" w:cs="Arial"/>
          <w:sz w:val="18"/>
          <w:szCs w:val="18"/>
        </w:rPr>
        <w:t xml:space="preserve"> V roce 201</w:t>
      </w:r>
      <w:r w:rsidR="008D119E" w:rsidRPr="008D119E">
        <w:rPr>
          <w:rFonts w:ascii="Arial" w:hAnsi="Arial" w:cs="Arial"/>
          <w:sz w:val="18"/>
          <w:szCs w:val="18"/>
        </w:rPr>
        <w:t>8</w:t>
      </w:r>
      <w:r w:rsidR="00471975" w:rsidRPr="008D119E">
        <w:rPr>
          <w:rFonts w:ascii="Arial" w:hAnsi="Arial" w:cs="Arial"/>
          <w:sz w:val="18"/>
          <w:szCs w:val="18"/>
        </w:rPr>
        <w:t xml:space="preserve"> se z České republiky odeslala hlavně motorová</w:t>
      </w:r>
      <w:r w:rsidR="00ED488E">
        <w:rPr>
          <w:rFonts w:ascii="Arial" w:hAnsi="Arial" w:cs="Arial"/>
          <w:sz w:val="18"/>
          <w:szCs w:val="18"/>
        </w:rPr>
        <w:t xml:space="preserve"> vozidla k dopravě osob, díly a </w:t>
      </w:r>
      <w:r w:rsidR="00471975" w:rsidRPr="008D119E">
        <w:rPr>
          <w:rFonts w:ascii="Arial" w:hAnsi="Arial" w:cs="Arial"/>
          <w:sz w:val="18"/>
          <w:szCs w:val="18"/>
        </w:rPr>
        <w:t xml:space="preserve">příslušenství motorových vozidel, zařízení k automatizovanému zpracování dat, telefonní přístroje, klimatizační zařízení a </w:t>
      </w:r>
      <w:r w:rsidR="00471975" w:rsidRPr="006C01A2">
        <w:rPr>
          <w:rFonts w:ascii="Arial" w:hAnsi="Arial" w:cs="Arial"/>
          <w:sz w:val="18"/>
          <w:szCs w:val="18"/>
        </w:rPr>
        <w:t>čerpadla paliv.</w:t>
      </w:r>
    </w:p>
    <w:p w:rsidR="00B16E97" w:rsidRPr="006C01A2" w:rsidRDefault="00B16E97" w:rsidP="00B16E97">
      <w:pPr>
        <w:spacing w:after="80"/>
        <w:jc w:val="both"/>
        <w:rPr>
          <w:rFonts w:ascii="Arial" w:hAnsi="Arial" w:cs="Arial"/>
          <w:b/>
          <w:sz w:val="18"/>
          <w:szCs w:val="18"/>
        </w:rPr>
      </w:pPr>
      <w:r w:rsidRPr="006C01A2">
        <w:rPr>
          <w:rFonts w:ascii="Arial" w:hAnsi="Arial" w:cs="Arial"/>
          <w:b/>
          <w:sz w:val="18"/>
          <w:szCs w:val="18"/>
        </w:rPr>
        <w:t xml:space="preserve">Graf </w:t>
      </w:r>
      <w:r w:rsidR="00386472" w:rsidRPr="006C01A2">
        <w:rPr>
          <w:rFonts w:ascii="Arial" w:hAnsi="Arial" w:cs="Arial"/>
          <w:b/>
          <w:sz w:val="18"/>
          <w:szCs w:val="18"/>
        </w:rPr>
        <w:t>1</w:t>
      </w:r>
      <w:r w:rsidR="00591368">
        <w:rPr>
          <w:rFonts w:ascii="Arial" w:hAnsi="Arial" w:cs="Arial"/>
          <w:b/>
          <w:sz w:val="18"/>
          <w:szCs w:val="18"/>
        </w:rPr>
        <w:t>5</w:t>
      </w:r>
      <w:r w:rsidRPr="006C01A2">
        <w:rPr>
          <w:rFonts w:ascii="Arial" w:hAnsi="Arial" w:cs="Arial"/>
          <w:b/>
          <w:sz w:val="18"/>
          <w:szCs w:val="18"/>
        </w:rPr>
        <w:t xml:space="preserve"> </w:t>
      </w:r>
      <w:r w:rsidR="00793E3C" w:rsidRPr="006C01A2">
        <w:rPr>
          <w:rFonts w:ascii="Arial" w:hAnsi="Arial" w:cs="Arial"/>
          <w:b/>
          <w:sz w:val="18"/>
          <w:szCs w:val="18"/>
        </w:rPr>
        <w:t>-</w:t>
      </w:r>
      <w:r w:rsidRPr="006C01A2">
        <w:rPr>
          <w:rFonts w:ascii="Arial" w:hAnsi="Arial" w:cs="Arial"/>
          <w:b/>
          <w:sz w:val="18"/>
          <w:szCs w:val="18"/>
        </w:rPr>
        <w:t xml:space="preserve"> Teritoriální struktura obchodu se stroji a dopravními prostředky v roce 201</w:t>
      </w:r>
      <w:r w:rsidR="006C01A2" w:rsidRPr="006C01A2">
        <w:rPr>
          <w:rFonts w:ascii="Arial" w:hAnsi="Arial" w:cs="Arial"/>
          <w:b/>
          <w:sz w:val="18"/>
          <w:szCs w:val="18"/>
        </w:rPr>
        <w:t>8</w:t>
      </w:r>
      <w:r w:rsidRPr="006C01A2">
        <w:rPr>
          <w:rFonts w:ascii="Arial" w:hAnsi="Arial" w:cs="Arial"/>
          <w:b/>
          <w:sz w:val="18"/>
          <w:szCs w:val="18"/>
        </w:rPr>
        <w:t xml:space="preserve"> (podíly v %)</w:t>
      </w:r>
    </w:p>
    <w:p w:rsidR="004C5904" w:rsidRPr="001A57EA" w:rsidRDefault="00676458" w:rsidP="00B16E97">
      <w:pPr>
        <w:spacing w:after="80"/>
        <w:jc w:val="both"/>
        <w:rPr>
          <w:rFonts w:ascii="Arial" w:hAnsi="Arial" w:cs="Arial"/>
          <w:b/>
          <w:color w:val="FF0000"/>
          <w:sz w:val="18"/>
          <w:szCs w:val="18"/>
        </w:rPr>
      </w:pPr>
      <w:r>
        <w:rPr>
          <w:rFonts w:ascii="Arial" w:hAnsi="Arial" w:cs="Arial"/>
          <w:b/>
          <w:color w:val="FF0000"/>
          <w:sz w:val="18"/>
          <w:szCs w:val="18"/>
        </w:rPr>
        <w:pict>
          <v:shape id="_x0000_i1044" type="#_x0000_t75" style="width:483.75pt;height:153pt">
            <v:imagedata r:id="rId29" o:title=""/>
          </v:shape>
        </w:pict>
      </w:r>
    </w:p>
    <w:p w:rsidR="00EA79EA" w:rsidRDefault="004F2641" w:rsidP="00596654">
      <w:pPr>
        <w:spacing w:before="240" w:after="120"/>
        <w:jc w:val="both"/>
        <w:rPr>
          <w:rFonts w:ascii="Arial" w:hAnsi="Arial" w:cs="Arial"/>
          <w:sz w:val="18"/>
          <w:szCs w:val="18"/>
        </w:rPr>
      </w:pPr>
      <w:r>
        <w:rPr>
          <w:rFonts w:ascii="Arial" w:hAnsi="Arial" w:cs="Arial"/>
          <w:sz w:val="18"/>
          <w:szCs w:val="18"/>
        </w:rPr>
        <w:t xml:space="preserve">Druhý nejvyšší růst vývozu (o 21,4 mld. Kč) zaznamenaly </w:t>
      </w:r>
      <w:r w:rsidRPr="005B3823">
        <w:rPr>
          <w:rFonts w:ascii="Arial" w:hAnsi="Arial" w:cs="Arial"/>
          <w:b/>
          <w:sz w:val="18"/>
          <w:szCs w:val="18"/>
        </w:rPr>
        <w:t>polotovary a materiály</w:t>
      </w:r>
      <w:r>
        <w:rPr>
          <w:rFonts w:ascii="Arial" w:hAnsi="Arial" w:cs="Arial"/>
          <w:sz w:val="18"/>
          <w:szCs w:val="18"/>
        </w:rPr>
        <w:t>,</w:t>
      </w:r>
      <w:r w:rsidR="002228E7">
        <w:rPr>
          <w:rFonts w:ascii="Arial" w:hAnsi="Arial" w:cs="Arial"/>
          <w:sz w:val="18"/>
          <w:szCs w:val="18"/>
        </w:rPr>
        <w:t xml:space="preserve"> </w:t>
      </w:r>
      <w:r w:rsidR="00EA79EA">
        <w:rPr>
          <w:rFonts w:ascii="Arial" w:hAnsi="Arial" w:cs="Arial"/>
          <w:sz w:val="18"/>
          <w:szCs w:val="18"/>
        </w:rPr>
        <w:t>z nichž 85,8 % směřovalo do států EU, nejvíce pak do Německa, Slovenska, Polska, Itálie a Rakouska</w:t>
      </w:r>
      <w:r w:rsidR="00875E58">
        <w:rPr>
          <w:rFonts w:ascii="Arial" w:hAnsi="Arial" w:cs="Arial"/>
          <w:sz w:val="18"/>
          <w:szCs w:val="18"/>
        </w:rPr>
        <w:t>. Vyvážely se především výrobky ze železa nebo oceli, konstrukce a části konstrukcí ze železa nebo oceli, pneumatiky pro osobní vozy a zámečnické výrobky.</w:t>
      </w:r>
    </w:p>
    <w:p w:rsidR="00875E58" w:rsidRDefault="00875E58" w:rsidP="006C01A2">
      <w:pPr>
        <w:spacing w:after="120"/>
        <w:jc w:val="both"/>
        <w:rPr>
          <w:rFonts w:ascii="Arial" w:hAnsi="Arial" w:cs="Arial"/>
          <w:sz w:val="18"/>
          <w:szCs w:val="18"/>
        </w:rPr>
      </w:pPr>
      <w:r>
        <w:rPr>
          <w:rFonts w:ascii="Arial" w:hAnsi="Arial" w:cs="Arial"/>
          <w:sz w:val="18"/>
          <w:szCs w:val="18"/>
        </w:rPr>
        <w:t xml:space="preserve">V porovnání s předchozím rokem se snížil vývoz </w:t>
      </w:r>
      <w:r w:rsidRPr="005B3823">
        <w:rPr>
          <w:rFonts w:ascii="Arial" w:hAnsi="Arial" w:cs="Arial"/>
          <w:b/>
          <w:sz w:val="18"/>
          <w:szCs w:val="18"/>
        </w:rPr>
        <w:t>průmyslového zboží</w:t>
      </w:r>
      <w:r>
        <w:rPr>
          <w:rFonts w:ascii="Arial" w:hAnsi="Arial" w:cs="Arial"/>
          <w:sz w:val="18"/>
          <w:szCs w:val="18"/>
        </w:rPr>
        <w:t xml:space="preserve"> (o 22,0 mld. Kč), přičemž </w:t>
      </w:r>
      <w:r w:rsidR="008C1DC8">
        <w:rPr>
          <w:rFonts w:ascii="Arial" w:hAnsi="Arial" w:cs="Arial"/>
          <w:sz w:val="18"/>
          <w:szCs w:val="18"/>
        </w:rPr>
        <w:t xml:space="preserve">v předchozích osmi letech </w:t>
      </w:r>
      <w:r w:rsidR="00315AA9">
        <w:rPr>
          <w:rFonts w:ascii="Arial" w:hAnsi="Arial" w:cs="Arial"/>
          <w:sz w:val="18"/>
          <w:szCs w:val="18"/>
        </w:rPr>
        <w:t>vývoz</w:t>
      </w:r>
      <w:r w:rsidR="008C1DC8">
        <w:rPr>
          <w:rFonts w:ascii="Arial" w:hAnsi="Arial" w:cs="Arial"/>
          <w:sz w:val="18"/>
          <w:szCs w:val="18"/>
        </w:rPr>
        <w:t xml:space="preserve"> této komodit</w:t>
      </w:r>
      <w:r w:rsidR="00315AA9">
        <w:rPr>
          <w:rFonts w:ascii="Arial" w:hAnsi="Arial" w:cs="Arial"/>
          <w:sz w:val="18"/>
          <w:szCs w:val="18"/>
        </w:rPr>
        <w:t>ní skupiny</w:t>
      </w:r>
      <w:r w:rsidR="008C1DC8">
        <w:rPr>
          <w:rFonts w:ascii="Arial" w:hAnsi="Arial" w:cs="Arial"/>
          <w:sz w:val="18"/>
          <w:szCs w:val="18"/>
        </w:rPr>
        <w:t xml:space="preserve"> nepřetržitě rost</w:t>
      </w:r>
      <w:r w:rsidR="00315AA9">
        <w:rPr>
          <w:rFonts w:ascii="Arial" w:hAnsi="Arial" w:cs="Arial"/>
          <w:sz w:val="18"/>
          <w:szCs w:val="18"/>
        </w:rPr>
        <w:t>l</w:t>
      </w:r>
      <w:r w:rsidR="008C1DC8">
        <w:rPr>
          <w:rFonts w:ascii="Arial" w:hAnsi="Arial" w:cs="Arial"/>
          <w:sz w:val="18"/>
          <w:szCs w:val="18"/>
        </w:rPr>
        <w:t>. Snížil se meziročně vývoz hlavně do Německa, Spojeného království, Belgie a Francie.</w:t>
      </w:r>
    </w:p>
    <w:p w:rsidR="00EA79EA" w:rsidRPr="008C1DC8" w:rsidRDefault="008C1DC8" w:rsidP="0001766A">
      <w:pPr>
        <w:spacing w:after="240"/>
        <w:jc w:val="both"/>
        <w:rPr>
          <w:rFonts w:ascii="Arial" w:hAnsi="Arial" w:cs="Arial"/>
          <w:sz w:val="18"/>
          <w:szCs w:val="18"/>
        </w:rPr>
      </w:pPr>
      <w:r>
        <w:rPr>
          <w:rFonts w:ascii="Arial" w:hAnsi="Arial" w:cs="Arial"/>
          <w:sz w:val="18"/>
          <w:szCs w:val="18"/>
        </w:rPr>
        <w:lastRenderedPageBreak/>
        <w:t xml:space="preserve">Nejvyšší meziroční navýšení českého </w:t>
      </w:r>
      <w:r w:rsidRPr="0003335F">
        <w:rPr>
          <w:rFonts w:ascii="Arial" w:hAnsi="Arial" w:cs="Arial"/>
          <w:b/>
          <w:sz w:val="18"/>
          <w:szCs w:val="18"/>
        </w:rPr>
        <w:t>dovozu</w:t>
      </w:r>
      <w:r>
        <w:rPr>
          <w:rFonts w:ascii="Arial" w:hAnsi="Arial" w:cs="Arial"/>
          <w:sz w:val="18"/>
          <w:szCs w:val="18"/>
        </w:rPr>
        <w:t xml:space="preserve"> bylo patrné u </w:t>
      </w:r>
      <w:r w:rsidRPr="0003335F">
        <w:rPr>
          <w:rFonts w:ascii="Arial" w:hAnsi="Arial" w:cs="Arial"/>
          <w:b/>
          <w:sz w:val="18"/>
          <w:szCs w:val="18"/>
        </w:rPr>
        <w:t>strojů a dopravních prostředků</w:t>
      </w:r>
      <w:r>
        <w:rPr>
          <w:rFonts w:ascii="Arial" w:hAnsi="Arial" w:cs="Arial"/>
          <w:sz w:val="18"/>
          <w:szCs w:val="18"/>
        </w:rPr>
        <w:t xml:space="preserve"> (o 146,3 mld. Kč)</w:t>
      </w:r>
      <w:r w:rsidR="0003335F">
        <w:rPr>
          <w:rFonts w:ascii="Arial" w:hAnsi="Arial" w:cs="Arial"/>
          <w:sz w:val="18"/>
          <w:szCs w:val="18"/>
        </w:rPr>
        <w:t xml:space="preserve">, které bylo ovlivněno především nárůstem dovozu ze států mimo EU (o 105,3 mld. Kč), </w:t>
      </w:r>
      <w:r w:rsidR="00F5114F">
        <w:rPr>
          <w:rFonts w:ascii="Arial" w:hAnsi="Arial" w:cs="Arial"/>
          <w:sz w:val="18"/>
          <w:szCs w:val="18"/>
        </w:rPr>
        <w:t>zejména</w:t>
      </w:r>
      <w:r w:rsidR="0003335F">
        <w:rPr>
          <w:rFonts w:ascii="Arial" w:hAnsi="Arial" w:cs="Arial"/>
          <w:sz w:val="18"/>
          <w:szCs w:val="18"/>
        </w:rPr>
        <w:t xml:space="preserve"> z Číny,</w:t>
      </w:r>
      <w:r w:rsidR="00ED488E">
        <w:rPr>
          <w:rFonts w:ascii="Arial" w:hAnsi="Arial" w:cs="Arial"/>
          <w:sz w:val="18"/>
          <w:szCs w:val="18"/>
        </w:rPr>
        <w:t xml:space="preserve"> Spojených států a </w:t>
      </w:r>
      <w:r w:rsidR="0003335F">
        <w:rPr>
          <w:rFonts w:ascii="Arial" w:hAnsi="Arial" w:cs="Arial"/>
          <w:sz w:val="18"/>
          <w:szCs w:val="18"/>
        </w:rPr>
        <w:t>Malajsie. V roce 2018 bylo do Česka dovezeno uvedené zboží v hodnotě 1 901,8 mld. Kč, z čehož největší část tvořily díly a příslušenství motorových vozidel, telefonní přístroje, motorová vozidla k dopravě osob a elektronické integrované obvody. Dováželo se hlavně z</w:t>
      </w:r>
      <w:r w:rsidR="00F36FA2">
        <w:rPr>
          <w:rFonts w:ascii="Arial" w:hAnsi="Arial" w:cs="Arial"/>
          <w:sz w:val="18"/>
          <w:szCs w:val="18"/>
        </w:rPr>
        <w:t> </w:t>
      </w:r>
      <w:r w:rsidR="0003335F">
        <w:rPr>
          <w:rFonts w:ascii="Arial" w:hAnsi="Arial" w:cs="Arial"/>
          <w:sz w:val="18"/>
          <w:szCs w:val="18"/>
        </w:rPr>
        <w:t>Německa</w:t>
      </w:r>
      <w:r w:rsidR="00F36FA2">
        <w:rPr>
          <w:rFonts w:ascii="Arial" w:hAnsi="Arial" w:cs="Arial"/>
          <w:sz w:val="18"/>
          <w:szCs w:val="18"/>
        </w:rPr>
        <w:t>, již zmíněné Číny, Polska, Slovenska a Korejské republiky.</w:t>
      </w:r>
      <w:r w:rsidR="0003335F">
        <w:rPr>
          <w:rFonts w:ascii="Arial" w:hAnsi="Arial" w:cs="Arial"/>
          <w:sz w:val="18"/>
          <w:szCs w:val="18"/>
        </w:rPr>
        <w:t xml:space="preserve">  </w:t>
      </w:r>
    </w:p>
    <w:p w:rsidR="00E9342B" w:rsidRPr="009A3BD9" w:rsidRDefault="00E9342B" w:rsidP="00E9342B">
      <w:pPr>
        <w:spacing w:after="80"/>
        <w:jc w:val="both"/>
        <w:rPr>
          <w:rFonts w:ascii="Arial" w:hAnsi="Arial" w:cs="Arial"/>
          <w:b/>
          <w:sz w:val="18"/>
          <w:szCs w:val="18"/>
        </w:rPr>
      </w:pPr>
      <w:r w:rsidRPr="009A3BD9">
        <w:rPr>
          <w:rFonts w:ascii="Arial" w:hAnsi="Arial" w:cs="Arial"/>
          <w:b/>
          <w:sz w:val="18"/>
          <w:szCs w:val="18"/>
        </w:rPr>
        <w:t>Graf 1</w:t>
      </w:r>
      <w:r w:rsidR="00591368">
        <w:rPr>
          <w:rFonts w:ascii="Arial" w:hAnsi="Arial" w:cs="Arial"/>
          <w:b/>
          <w:sz w:val="18"/>
          <w:szCs w:val="18"/>
        </w:rPr>
        <w:t>6</w:t>
      </w:r>
      <w:r w:rsidRPr="009A3BD9">
        <w:rPr>
          <w:rFonts w:ascii="Arial" w:hAnsi="Arial" w:cs="Arial"/>
          <w:b/>
          <w:sz w:val="18"/>
          <w:szCs w:val="18"/>
        </w:rPr>
        <w:t xml:space="preserve"> - Dovoz minerálních paliv ze států EU a mimo EU    </w:t>
      </w:r>
    </w:p>
    <w:p w:rsidR="00E9342B" w:rsidRDefault="00676458" w:rsidP="00410256">
      <w:pPr>
        <w:spacing w:after="120"/>
        <w:jc w:val="both"/>
        <w:rPr>
          <w:rFonts w:ascii="Arial" w:hAnsi="Arial" w:cs="Arial"/>
          <w:sz w:val="18"/>
          <w:szCs w:val="18"/>
        </w:rPr>
      </w:pPr>
      <w:r>
        <w:rPr>
          <w:rFonts w:ascii="Arial" w:hAnsi="Arial" w:cs="Arial"/>
          <w:b/>
          <w:noProof/>
          <w:color w:val="FF0000"/>
          <w:sz w:val="18"/>
          <w:szCs w:val="18"/>
          <w:lang w:eastAsia="cs-CZ"/>
        </w:rPr>
        <w:pict>
          <v:shape id="_x0000_i1045" type="#_x0000_t75" style="width:481.5pt;height:177pt">
            <v:imagedata r:id="rId30" o:title=""/>
          </v:shape>
        </w:pict>
      </w:r>
    </w:p>
    <w:p w:rsidR="00410256" w:rsidRDefault="00410256" w:rsidP="009A3BD9">
      <w:pPr>
        <w:spacing w:before="360" w:after="120"/>
        <w:jc w:val="both"/>
        <w:rPr>
          <w:rFonts w:ascii="Arial" w:hAnsi="Arial" w:cs="Arial"/>
          <w:sz w:val="18"/>
          <w:szCs w:val="18"/>
        </w:rPr>
      </w:pPr>
      <w:r w:rsidRPr="00F36FA2">
        <w:rPr>
          <w:rFonts w:ascii="Arial" w:hAnsi="Arial" w:cs="Arial"/>
          <w:sz w:val="18"/>
          <w:szCs w:val="18"/>
        </w:rPr>
        <w:t>Druhý největší absolutní meziro</w:t>
      </w:r>
      <w:r>
        <w:rPr>
          <w:rFonts w:ascii="Arial" w:hAnsi="Arial" w:cs="Arial"/>
          <w:sz w:val="18"/>
          <w:szCs w:val="18"/>
        </w:rPr>
        <w:t>ční přírůstek dovozu zaznamenala</w:t>
      </w:r>
      <w:r w:rsidRPr="00F36FA2">
        <w:rPr>
          <w:rFonts w:ascii="Arial" w:hAnsi="Arial" w:cs="Arial"/>
          <w:sz w:val="18"/>
          <w:szCs w:val="18"/>
        </w:rPr>
        <w:t xml:space="preserve"> </w:t>
      </w:r>
      <w:r>
        <w:rPr>
          <w:rFonts w:ascii="Arial" w:hAnsi="Arial" w:cs="Arial"/>
          <w:b/>
          <w:sz w:val="18"/>
          <w:szCs w:val="18"/>
        </w:rPr>
        <w:t xml:space="preserve">minerální </w:t>
      </w:r>
      <w:r w:rsidRPr="00F36FA2">
        <w:rPr>
          <w:rFonts w:ascii="Arial" w:hAnsi="Arial" w:cs="Arial"/>
          <w:b/>
          <w:sz w:val="18"/>
          <w:szCs w:val="18"/>
        </w:rPr>
        <w:t>paliva</w:t>
      </w:r>
      <w:r w:rsidRPr="00F36FA2">
        <w:rPr>
          <w:rStyle w:val="Znakapoznpodarou"/>
          <w:rFonts w:ascii="Arial" w:hAnsi="Arial" w:cs="Arial"/>
          <w:b/>
          <w:sz w:val="18"/>
          <w:szCs w:val="18"/>
        </w:rPr>
        <w:footnoteReference w:id="9"/>
      </w:r>
      <w:r>
        <w:rPr>
          <w:rFonts w:ascii="Arial" w:hAnsi="Arial" w:cs="Arial"/>
          <w:sz w:val="18"/>
          <w:szCs w:val="18"/>
        </w:rPr>
        <w:t>. Dovoz této komodity dosáhl hodnoty 247,0 mld. Kč, přičemž relativně se navýšil o 19,0 % a absolutně o 39,5 mld. Kč. V porovnání s rokem 2017 vzrostl především dovoz ropy, ropných výrobk</w:t>
      </w:r>
      <w:r w:rsidR="00F5114F">
        <w:rPr>
          <w:rFonts w:ascii="Arial" w:hAnsi="Arial" w:cs="Arial"/>
          <w:sz w:val="18"/>
          <w:szCs w:val="18"/>
        </w:rPr>
        <w:t>ů</w:t>
      </w:r>
      <w:r>
        <w:rPr>
          <w:rFonts w:ascii="Arial" w:hAnsi="Arial" w:cs="Arial"/>
          <w:sz w:val="18"/>
          <w:szCs w:val="18"/>
        </w:rPr>
        <w:t xml:space="preserve"> a příbuzných materiálů (o 27,7 mld. Kč). Elektrického proudu se dovezlo v roce 2018 o 7,6 mld. Kč více. </w:t>
      </w:r>
    </w:p>
    <w:p w:rsidR="00E9342B" w:rsidRPr="009A3BD9" w:rsidRDefault="004D070A" w:rsidP="00410256">
      <w:pPr>
        <w:spacing w:after="240"/>
        <w:jc w:val="both"/>
        <w:rPr>
          <w:rFonts w:ascii="Arial" w:hAnsi="Arial" w:cs="Arial"/>
          <w:sz w:val="18"/>
          <w:szCs w:val="18"/>
        </w:rPr>
      </w:pPr>
      <w:r w:rsidRPr="00E33441">
        <w:rPr>
          <w:rFonts w:ascii="Arial" w:hAnsi="Arial" w:cs="Arial"/>
          <w:sz w:val="18"/>
          <w:szCs w:val="18"/>
        </w:rPr>
        <w:t>V porovnání s</w:t>
      </w:r>
      <w:r w:rsidR="00E9342B">
        <w:rPr>
          <w:rFonts w:ascii="Arial" w:hAnsi="Arial" w:cs="Arial"/>
          <w:sz w:val="18"/>
          <w:szCs w:val="18"/>
        </w:rPr>
        <w:t> předchozím rokem</w:t>
      </w:r>
      <w:r w:rsidRPr="00E33441">
        <w:rPr>
          <w:rFonts w:ascii="Arial" w:hAnsi="Arial" w:cs="Arial"/>
          <w:sz w:val="18"/>
          <w:szCs w:val="18"/>
        </w:rPr>
        <w:t xml:space="preserve"> se </w:t>
      </w:r>
      <w:r w:rsidR="00E9342B">
        <w:rPr>
          <w:rFonts w:ascii="Arial" w:hAnsi="Arial" w:cs="Arial"/>
          <w:sz w:val="18"/>
          <w:szCs w:val="18"/>
        </w:rPr>
        <w:t>během roku</w:t>
      </w:r>
      <w:r w:rsidRPr="00E33441">
        <w:rPr>
          <w:rFonts w:ascii="Arial" w:hAnsi="Arial" w:cs="Arial"/>
          <w:sz w:val="18"/>
          <w:szCs w:val="18"/>
        </w:rPr>
        <w:t xml:space="preserve"> 201</w:t>
      </w:r>
      <w:r w:rsidR="00E33441">
        <w:rPr>
          <w:rFonts w:ascii="Arial" w:hAnsi="Arial" w:cs="Arial"/>
          <w:sz w:val="18"/>
          <w:szCs w:val="18"/>
        </w:rPr>
        <w:t>8</w:t>
      </w:r>
      <w:r w:rsidRPr="00E33441">
        <w:rPr>
          <w:rFonts w:ascii="Arial" w:hAnsi="Arial" w:cs="Arial"/>
          <w:sz w:val="18"/>
          <w:szCs w:val="18"/>
        </w:rPr>
        <w:t xml:space="preserve"> dovezlo do Česka o </w:t>
      </w:r>
      <w:r w:rsidR="00E33441" w:rsidRPr="00E33441">
        <w:rPr>
          <w:rFonts w:ascii="Arial" w:hAnsi="Arial" w:cs="Arial"/>
          <w:sz w:val="18"/>
          <w:szCs w:val="18"/>
        </w:rPr>
        <w:t>23,4</w:t>
      </w:r>
      <w:r w:rsidRPr="00E33441">
        <w:rPr>
          <w:rFonts w:ascii="Arial" w:hAnsi="Arial" w:cs="Arial"/>
          <w:sz w:val="18"/>
          <w:szCs w:val="18"/>
        </w:rPr>
        <w:t xml:space="preserve"> mld. Kč více </w:t>
      </w:r>
      <w:r w:rsidRPr="00410256">
        <w:rPr>
          <w:rFonts w:ascii="Arial" w:hAnsi="Arial" w:cs="Arial"/>
          <w:b/>
          <w:sz w:val="18"/>
          <w:szCs w:val="18"/>
        </w:rPr>
        <w:t xml:space="preserve">chemikálií a příbuzných </w:t>
      </w:r>
      <w:r w:rsidR="00E9342B" w:rsidRPr="00410256">
        <w:rPr>
          <w:rFonts w:ascii="Arial" w:hAnsi="Arial" w:cs="Arial"/>
          <w:b/>
          <w:sz w:val="18"/>
          <w:szCs w:val="18"/>
        </w:rPr>
        <w:t>m</w:t>
      </w:r>
      <w:r w:rsidRPr="00410256">
        <w:rPr>
          <w:rFonts w:ascii="Arial" w:hAnsi="Arial" w:cs="Arial"/>
          <w:b/>
          <w:sz w:val="18"/>
          <w:szCs w:val="18"/>
        </w:rPr>
        <w:t>ateriálů</w:t>
      </w:r>
      <w:r w:rsidRPr="001A57EA">
        <w:rPr>
          <w:rFonts w:ascii="Arial" w:hAnsi="Arial" w:cs="Arial"/>
          <w:color w:val="FF0000"/>
          <w:sz w:val="18"/>
          <w:szCs w:val="18"/>
        </w:rPr>
        <w:t xml:space="preserve">, </w:t>
      </w:r>
      <w:r w:rsidRPr="00E33441">
        <w:rPr>
          <w:rFonts w:ascii="Arial" w:hAnsi="Arial" w:cs="Arial"/>
          <w:sz w:val="18"/>
          <w:szCs w:val="18"/>
        </w:rPr>
        <w:t xml:space="preserve">přičemž </w:t>
      </w:r>
      <w:r w:rsidR="00E33441" w:rsidRPr="00E33441">
        <w:rPr>
          <w:rFonts w:ascii="Arial" w:hAnsi="Arial" w:cs="Arial"/>
          <w:sz w:val="18"/>
          <w:szCs w:val="18"/>
        </w:rPr>
        <w:t>více než 80 %</w:t>
      </w:r>
      <w:r w:rsidRPr="00E33441">
        <w:rPr>
          <w:rFonts w:ascii="Arial" w:hAnsi="Arial" w:cs="Arial"/>
          <w:sz w:val="18"/>
          <w:szCs w:val="18"/>
        </w:rPr>
        <w:t xml:space="preserve"> obchodu bylo realizováno </w:t>
      </w:r>
      <w:r w:rsidR="00E33441" w:rsidRPr="00E33441">
        <w:rPr>
          <w:rFonts w:ascii="Arial" w:hAnsi="Arial" w:cs="Arial"/>
          <w:sz w:val="18"/>
          <w:szCs w:val="18"/>
        </w:rPr>
        <w:t>se státy EU</w:t>
      </w:r>
      <w:r w:rsidRPr="00E33441">
        <w:rPr>
          <w:rFonts w:ascii="Arial" w:hAnsi="Arial" w:cs="Arial"/>
          <w:sz w:val="18"/>
          <w:szCs w:val="18"/>
        </w:rPr>
        <w:t>.</w:t>
      </w:r>
      <w:r w:rsidRPr="001A57EA">
        <w:rPr>
          <w:rFonts w:ascii="Arial" w:hAnsi="Arial" w:cs="Arial"/>
          <w:color w:val="FF0000"/>
          <w:sz w:val="18"/>
          <w:szCs w:val="18"/>
        </w:rPr>
        <w:t xml:space="preserve"> </w:t>
      </w:r>
      <w:r w:rsidRPr="00E33441">
        <w:rPr>
          <w:rFonts w:ascii="Arial" w:hAnsi="Arial" w:cs="Arial"/>
          <w:sz w:val="18"/>
          <w:szCs w:val="18"/>
        </w:rPr>
        <w:t>Meziroční přírůst</w:t>
      </w:r>
      <w:r w:rsidR="00E66B5E" w:rsidRPr="00E33441">
        <w:rPr>
          <w:rFonts w:ascii="Arial" w:hAnsi="Arial" w:cs="Arial"/>
          <w:sz w:val="18"/>
          <w:szCs w:val="18"/>
        </w:rPr>
        <w:t>ky dovozu byly také například u</w:t>
      </w:r>
      <w:r w:rsidR="00E66B5E" w:rsidRPr="001A57EA">
        <w:rPr>
          <w:rFonts w:ascii="Arial" w:hAnsi="Arial" w:cs="Arial"/>
          <w:color w:val="FF0000"/>
          <w:sz w:val="18"/>
          <w:szCs w:val="18"/>
        </w:rPr>
        <w:t> </w:t>
      </w:r>
      <w:r w:rsidR="00E9342B" w:rsidRPr="00410256">
        <w:rPr>
          <w:rFonts w:ascii="Arial" w:hAnsi="Arial" w:cs="Arial"/>
          <w:b/>
          <w:sz w:val="18"/>
          <w:szCs w:val="18"/>
        </w:rPr>
        <w:t>polotovarů a materiálů</w:t>
      </w:r>
      <w:r w:rsidR="00E9342B">
        <w:rPr>
          <w:rFonts w:ascii="Arial" w:hAnsi="Arial" w:cs="Arial"/>
          <w:sz w:val="18"/>
          <w:szCs w:val="18"/>
        </w:rPr>
        <w:t xml:space="preserve"> (o 19,5 mld. Kč) a u nápojů a tabáku (o 1,6 mld. Kč). </w:t>
      </w:r>
      <w:r w:rsidR="00E9342B" w:rsidRPr="00410256">
        <w:rPr>
          <w:rFonts w:ascii="Arial" w:hAnsi="Arial" w:cs="Arial"/>
          <w:b/>
          <w:sz w:val="18"/>
          <w:szCs w:val="18"/>
        </w:rPr>
        <w:t>Klesl dovoz</w:t>
      </w:r>
      <w:r w:rsidR="00E9342B">
        <w:rPr>
          <w:rFonts w:ascii="Arial" w:hAnsi="Arial" w:cs="Arial"/>
          <w:sz w:val="18"/>
          <w:szCs w:val="18"/>
        </w:rPr>
        <w:t xml:space="preserve"> průmyslového spotřebního zboží (</w:t>
      </w:r>
      <w:r w:rsidR="00E9342B" w:rsidRPr="009A3BD9">
        <w:rPr>
          <w:rFonts w:ascii="Arial" w:hAnsi="Arial" w:cs="Arial"/>
          <w:sz w:val="18"/>
          <w:szCs w:val="18"/>
        </w:rPr>
        <w:t>o 6,4 mld. Kč), živočišných a rostlinných olejů (o 2,1 mld. Kč) a potravin a živých zvířat.</w:t>
      </w:r>
    </w:p>
    <w:p w:rsidR="009A7B8F" w:rsidRPr="009A3BD9" w:rsidRDefault="009A7B8F" w:rsidP="009A7B8F">
      <w:pPr>
        <w:spacing w:after="80"/>
        <w:jc w:val="both"/>
        <w:rPr>
          <w:rFonts w:ascii="Arial" w:hAnsi="Arial" w:cs="Arial"/>
          <w:b/>
          <w:sz w:val="18"/>
          <w:szCs w:val="18"/>
        </w:rPr>
      </w:pPr>
      <w:r w:rsidRPr="009A3BD9">
        <w:rPr>
          <w:rFonts w:ascii="Arial" w:hAnsi="Arial" w:cs="Arial"/>
          <w:b/>
          <w:sz w:val="18"/>
          <w:szCs w:val="18"/>
        </w:rPr>
        <w:t>Graf 1</w:t>
      </w:r>
      <w:r w:rsidR="00591368">
        <w:rPr>
          <w:rFonts w:ascii="Arial" w:hAnsi="Arial" w:cs="Arial"/>
          <w:b/>
          <w:sz w:val="18"/>
          <w:szCs w:val="18"/>
        </w:rPr>
        <w:t>7</w:t>
      </w:r>
      <w:r w:rsidR="00135680" w:rsidRPr="009A3BD9">
        <w:rPr>
          <w:rFonts w:ascii="Arial" w:hAnsi="Arial" w:cs="Arial"/>
          <w:b/>
          <w:sz w:val="18"/>
          <w:szCs w:val="18"/>
        </w:rPr>
        <w:t xml:space="preserve"> -</w:t>
      </w:r>
      <w:r w:rsidRPr="009A3BD9">
        <w:rPr>
          <w:rFonts w:ascii="Arial" w:hAnsi="Arial" w:cs="Arial"/>
          <w:b/>
          <w:sz w:val="18"/>
          <w:szCs w:val="18"/>
        </w:rPr>
        <w:t xml:space="preserve"> </w:t>
      </w:r>
      <w:r w:rsidR="008B7857" w:rsidRPr="009A3BD9">
        <w:rPr>
          <w:rFonts w:ascii="Arial" w:hAnsi="Arial" w:cs="Arial"/>
          <w:b/>
          <w:sz w:val="18"/>
          <w:szCs w:val="18"/>
        </w:rPr>
        <w:t>P</w:t>
      </w:r>
      <w:r w:rsidRPr="009A3BD9">
        <w:rPr>
          <w:rFonts w:ascii="Arial" w:hAnsi="Arial" w:cs="Arial"/>
          <w:b/>
          <w:sz w:val="18"/>
          <w:szCs w:val="18"/>
        </w:rPr>
        <w:t>otravin</w:t>
      </w:r>
      <w:r w:rsidR="008B7857" w:rsidRPr="009A3BD9">
        <w:rPr>
          <w:rFonts w:ascii="Arial" w:hAnsi="Arial" w:cs="Arial"/>
          <w:b/>
          <w:sz w:val="18"/>
          <w:szCs w:val="18"/>
        </w:rPr>
        <w:t>y</w:t>
      </w:r>
      <w:r w:rsidRPr="009A3BD9">
        <w:rPr>
          <w:rFonts w:ascii="Arial" w:hAnsi="Arial" w:cs="Arial"/>
          <w:b/>
          <w:sz w:val="18"/>
          <w:szCs w:val="18"/>
        </w:rPr>
        <w:t xml:space="preserve"> a živ</w:t>
      </w:r>
      <w:r w:rsidR="008B7857" w:rsidRPr="009A3BD9">
        <w:rPr>
          <w:rFonts w:ascii="Arial" w:hAnsi="Arial" w:cs="Arial"/>
          <w:b/>
          <w:sz w:val="18"/>
          <w:szCs w:val="18"/>
        </w:rPr>
        <w:t>á</w:t>
      </w:r>
      <w:r w:rsidRPr="009A3BD9">
        <w:rPr>
          <w:rFonts w:ascii="Arial" w:hAnsi="Arial" w:cs="Arial"/>
          <w:b/>
          <w:sz w:val="18"/>
          <w:szCs w:val="18"/>
        </w:rPr>
        <w:t xml:space="preserve"> zvířat</w:t>
      </w:r>
      <w:r w:rsidR="008B7857" w:rsidRPr="009A3BD9">
        <w:rPr>
          <w:rFonts w:ascii="Arial" w:hAnsi="Arial" w:cs="Arial"/>
          <w:b/>
          <w:sz w:val="18"/>
          <w:szCs w:val="18"/>
        </w:rPr>
        <w:t>a v obchodě</w:t>
      </w:r>
      <w:r w:rsidRPr="009A3BD9">
        <w:rPr>
          <w:rFonts w:ascii="Arial" w:hAnsi="Arial" w:cs="Arial"/>
          <w:b/>
          <w:sz w:val="18"/>
          <w:szCs w:val="18"/>
        </w:rPr>
        <w:t xml:space="preserve"> s vybranými státy v roce 201</w:t>
      </w:r>
      <w:r w:rsidR="009A3BD9">
        <w:rPr>
          <w:rFonts w:ascii="Arial" w:hAnsi="Arial" w:cs="Arial"/>
          <w:b/>
          <w:sz w:val="18"/>
          <w:szCs w:val="18"/>
        </w:rPr>
        <w:t>8</w:t>
      </w:r>
      <w:r w:rsidR="008B7857" w:rsidRPr="009A3BD9">
        <w:rPr>
          <w:rFonts w:ascii="Arial" w:hAnsi="Arial" w:cs="Arial"/>
          <w:b/>
          <w:sz w:val="18"/>
          <w:szCs w:val="18"/>
        </w:rPr>
        <w:t xml:space="preserve"> (</w:t>
      </w:r>
      <w:r w:rsidRPr="009A3BD9">
        <w:rPr>
          <w:rFonts w:ascii="Arial" w:hAnsi="Arial" w:cs="Arial"/>
          <w:b/>
          <w:sz w:val="18"/>
          <w:szCs w:val="18"/>
        </w:rPr>
        <w:t>v mld. Kč</w:t>
      </w:r>
      <w:r w:rsidR="008B7857" w:rsidRPr="009A3BD9">
        <w:rPr>
          <w:rFonts w:ascii="Arial" w:hAnsi="Arial" w:cs="Arial"/>
          <w:b/>
          <w:sz w:val="18"/>
          <w:szCs w:val="18"/>
        </w:rPr>
        <w:t>)</w:t>
      </w:r>
    </w:p>
    <w:p w:rsidR="009A7B8F" w:rsidRPr="001A57EA" w:rsidRDefault="00015B5E" w:rsidP="009A7B8F">
      <w:pPr>
        <w:spacing w:after="120"/>
        <w:jc w:val="both"/>
        <w:rPr>
          <w:rFonts w:ascii="Arial" w:hAnsi="Arial" w:cs="Arial"/>
          <w:color w:val="FF0000"/>
          <w:sz w:val="18"/>
          <w:szCs w:val="18"/>
        </w:rPr>
      </w:pPr>
      <w:r>
        <w:rPr>
          <w:rFonts w:ascii="Arial" w:hAnsi="Arial" w:cs="Arial"/>
          <w:noProof/>
          <w:color w:val="FF0000"/>
          <w:sz w:val="18"/>
          <w:szCs w:val="18"/>
          <w:lang w:eastAsia="cs-CZ"/>
        </w:rPr>
        <w:pict>
          <v:shape id="_x0000_i1046" type="#_x0000_t75" style="width:477.75pt;height:251.25pt">
            <v:imagedata r:id="rId31" o:title=""/>
          </v:shape>
        </w:pict>
      </w:r>
    </w:p>
    <w:p w:rsidR="00BA7845" w:rsidRPr="00FB4D44" w:rsidRDefault="00BA7845" w:rsidP="00BA7845">
      <w:pPr>
        <w:numPr>
          <w:ilvl w:val="1"/>
          <w:numId w:val="1"/>
        </w:numPr>
        <w:spacing w:after="120"/>
        <w:ind w:left="426"/>
        <w:rPr>
          <w:rFonts w:ascii="Arial" w:hAnsi="Arial" w:cs="Arial"/>
          <w:b/>
          <w:sz w:val="21"/>
          <w:szCs w:val="21"/>
        </w:rPr>
      </w:pPr>
      <w:r w:rsidRPr="00FB4D44">
        <w:rPr>
          <w:rFonts w:ascii="Arial" w:hAnsi="Arial" w:cs="Arial"/>
          <w:b/>
          <w:sz w:val="21"/>
          <w:szCs w:val="21"/>
        </w:rPr>
        <w:lastRenderedPageBreak/>
        <w:t>Zahraniční obchod se silničními vozidly</w:t>
      </w:r>
      <w:r w:rsidR="00745050" w:rsidRPr="00FB4D44">
        <w:rPr>
          <w:rFonts w:ascii="Arial" w:hAnsi="Arial" w:cs="Arial"/>
          <w:b/>
          <w:sz w:val="21"/>
          <w:szCs w:val="21"/>
        </w:rPr>
        <w:t xml:space="preserve"> </w:t>
      </w:r>
    </w:p>
    <w:p w:rsidR="002D7F28" w:rsidRPr="001A57EA" w:rsidRDefault="00BA7845" w:rsidP="00A11BA6">
      <w:pPr>
        <w:pStyle w:val="Zkladntext"/>
        <w:spacing w:after="200" w:line="276" w:lineRule="auto"/>
        <w:rPr>
          <w:color w:val="FF0000"/>
          <w:sz w:val="18"/>
          <w:szCs w:val="20"/>
        </w:rPr>
      </w:pPr>
      <w:r w:rsidRPr="00FB4D44">
        <w:rPr>
          <w:b/>
          <w:bCs/>
          <w:sz w:val="18"/>
          <w:szCs w:val="20"/>
        </w:rPr>
        <w:t xml:space="preserve">Hlavní položkou vývozu </w:t>
      </w:r>
      <w:r w:rsidR="0040123B" w:rsidRPr="00FB4D44">
        <w:rPr>
          <w:b/>
          <w:bCs/>
          <w:sz w:val="18"/>
          <w:szCs w:val="20"/>
        </w:rPr>
        <w:t>České republiky</w:t>
      </w:r>
      <w:r w:rsidRPr="00FB4D44">
        <w:rPr>
          <w:sz w:val="18"/>
          <w:szCs w:val="20"/>
        </w:rPr>
        <w:t xml:space="preserve"> v roce 201</w:t>
      </w:r>
      <w:r w:rsidR="00D230C6">
        <w:rPr>
          <w:sz w:val="18"/>
          <w:szCs w:val="20"/>
        </w:rPr>
        <w:t>8</w:t>
      </w:r>
      <w:r w:rsidRPr="00FB4D44">
        <w:rPr>
          <w:sz w:val="18"/>
          <w:szCs w:val="20"/>
        </w:rPr>
        <w:t xml:space="preserve"> byla i nadále </w:t>
      </w:r>
      <w:r w:rsidRPr="00FB4D44">
        <w:rPr>
          <w:b/>
          <w:bCs/>
          <w:sz w:val="18"/>
          <w:szCs w:val="20"/>
        </w:rPr>
        <w:t>silniční vozidla</w:t>
      </w:r>
      <w:r w:rsidRPr="00FB4D44">
        <w:rPr>
          <w:sz w:val="18"/>
          <w:szCs w:val="20"/>
        </w:rPr>
        <w:t xml:space="preserve"> (SITC 78)</w:t>
      </w:r>
      <w:r w:rsidR="001D1E4A" w:rsidRPr="00FB4D44">
        <w:rPr>
          <w:rStyle w:val="Znakapoznpodarou"/>
          <w:sz w:val="18"/>
          <w:szCs w:val="20"/>
        </w:rPr>
        <w:footnoteReference w:id="10"/>
      </w:r>
      <w:r w:rsidR="0040123B" w:rsidRPr="00FB4D44">
        <w:rPr>
          <w:sz w:val="18"/>
          <w:szCs w:val="20"/>
        </w:rPr>
        <w:t>,</w:t>
      </w:r>
      <w:r w:rsidRPr="00FB4D44">
        <w:rPr>
          <w:sz w:val="18"/>
          <w:szCs w:val="20"/>
        </w:rPr>
        <w:t xml:space="preserve"> z nich pak </w:t>
      </w:r>
      <w:r w:rsidRPr="00FB4D44">
        <w:rPr>
          <w:b/>
          <w:bCs/>
          <w:sz w:val="18"/>
          <w:szCs w:val="20"/>
        </w:rPr>
        <w:t xml:space="preserve">osobní automobily </w:t>
      </w:r>
      <w:r w:rsidRPr="00FB4D44">
        <w:rPr>
          <w:sz w:val="18"/>
          <w:szCs w:val="20"/>
        </w:rPr>
        <w:t xml:space="preserve">(SITC 781) a </w:t>
      </w:r>
      <w:r w:rsidRPr="00FB4D44">
        <w:rPr>
          <w:b/>
          <w:bCs/>
          <w:sz w:val="18"/>
          <w:szCs w:val="20"/>
        </w:rPr>
        <w:t>díly a příslušenství motorových vozidel</w:t>
      </w:r>
      <w:r w:rsidRPr="00FB4D44">
        <w:rPr>
          <w:sz w:val="18"/>
          <w:szCs w:val="20"/>
        </w:rPr>
        <w:t xml:space="preserve"> (SITC 784). </w:t>
      </w:r>
      <w:r w:rsidR="0040123B" w:rsidRPr="00FB4D44">
        <w:rPr>
          <w:sz w:val="18"/>
          <w:szCs w:val="20"/>
        </w:rPr>
        <w:t>Vývoz</w:t>
      </w:r>
      <w:r w:rsidRPr="00FB4D44">
        <w:rPr>
          <w:sz w:val="18"/>
          <w:szCs w:val="20"/>
        </w:rPr>
        <w:t> silniční</w:t>
      </w:r>
      <w:r w:rsidR="0040123B" w:rsidRPr="00FB4D44">
        <w:rPr>
          <w:sz w:val="18"/>
          <w:szCs w:val="20"/>
        </w:rPr>
        <w:t>ch</w:t>
      </w:r>
      <w:r w:rsidRPr="00FB4D44">
        <w:rPr>
          <w:sz w:val="18"/>
          <w:szCs w:val="20"/>
        </w:rPr>
        <w:t xml:space="preserve"> vozid</w:t>
      </w:r>
      <w:r w:rsidR="0040123B" w:rsidRPr="00FB4D44">
        <w:rPr>
          <w:sz w:val="18"/>
          <w:szCs w:val="20"/>
        </w:rPr>
        <w:t>el</w:t>
      </w:r>
      <w:r w:rsidRPr="00FB4D44">
        <w:rPr>
          <w:sz w:val="18"/>
          <w:szCs w:val="20"/>
        </w:rPr>
        <w:t xml:space="preserve"> byl ze všech oddíl</w:t>
      </w:r>
      <w:r w:rsidR="001871D5" w:rsidRPr="00FB4D44">
        <w:rPr>
          <w:sz w:val="18"/>
          <w:szCs w:val="20"/>
        </w:rPr>
        <w:t>ů</w:t>
      </w:r>
      <w:r w:rsidRPr="00FB4D44">
        <w:rPr>
          <w:sz w:val="18"/>
          <w:szCs w:val="20"/>
        </w:rPr>
        <w:t xml:space="preserve"> SITC </w:t>
      </w:r>
      <w:r w:rsidR="00EA6EDE" w:rsidRPr="00FB4D44">
        <w:rPr>
          <w:sz w:val="18"/>
          <w:szCs w:val="20"/>
        </w:rPr>
        <w:t>nadále</w:t>
      </w:r>
      <w:r w:rsidRPr="00FB4D44">
        <w:rPr>
          <w:sz w:val="18"/>
          <w:szCs w:val="20"/>
        </w:rPr>
        <w:t xml:space="preserve"> </w:t>
      </w:r>
      <w:r w:rsidR="00070A12" w:rsidRPr="00C83B61">
        <w:rPr>
          <w:sz w:val="18"/>
          <w:szCs w:val="20"/>
        </w:rPr>
        <w:t xml:space="preserve">nejdominantnější </w:t>
      </w:r>
      <w:r w:rsidRPr="00C83B61">
        <w:rPr>
          <w:sz w:val="18"/>
          <w:szCs w:val="20"/>
        </w:rPr>
        <w:t>(</w:t>
      </w:r>
      <w:r w:rsidR="00C83B61" w:rsidRPr="00C83B61">
        <w:rPr>
          <w:sz w:val="18"/>
          <w:szCs w:val="20"/>
        </w:rPr>
        <w:t>886,0</w:t>
      </w:r>
      <w:r w:rsidRPr="00C83B61">
        <w:rPr>
          <w:sz w:val="18"/>
          <w:szCs w:val="20"/>
        </w:rPr>
        <w:t xml:space="preserve"> mld. Kč) a</w:t>
      </w:r>
      <w:r w:rsidR="00A2213C" w:rsidRPr="00C83B61">
        <w:rPr>
          <w:sz w:val="18"/>
          <w:szCs w:val="20"/>
        </w:rPr>
        <w:t xml:space="preserve"> </w:t>
      </w:r>
      <w:r w:rsidRPr="00C83B61">
        <w:rPr>
          <w:sz w:val="18"/>
          <w:szCs w:val="20"/>
        </w:rPr>
        <w:t xml:space="preserve">meziročně </w:t>
      </w:r>
      <w:r w:rsidR="00C83B61">
        <w:rPr>
          <w:sz w:val="18"/>
          <w:szCs w:val="20"/>
        </w:rPr>
        <w:t xml:space="preserve">poprvé od roku 2010 </w:t>
      </w:r>
      <w:r w:rsidR="00C83B61" w:rsidRPr="00122BC1">
        <w:rPr>
          <w:sz w:val="18"/>
          <w:szCs w:val="20"/>
        </w:rPr>
        <w:t>nižší</w:t>
      </w:r>
      <w:r w:rsidR="00905A57">
        <w:rPr>
          <w:sz w:val="18"/>
          <w:szCs w:val="20"/>
        </w:rPr>
        <w:t xml:space="preserve"> (</w:t>
      </w:r>
      <w:r w:rsidR="00905A57" w:rsidRPr="00C83B61">
        <w:rPr>
          <w:sz w:val="18"/>
          <w:szCs w:val="20"/>
        </w:rPr>
        <w:t xml:space="preserve">o </w:t>
      </w:r>
      <w:r w:rsidR="00905A57">
        <w:rPr>
          <w:sz w:val="18"/>
          <w:szCs w:val="20"/>
        </w:rPr>
        <w:t>5,6</w:t>
      </w:r>
      <w:r w:rsidR="00905A57" w:rsidRPr="00C83B61">
        <w:rPr>
          <w:sz w:val="18"/>
          <w:szCs w:val="20"/>
        </w:rPr>
        <w:t xml:space="preserve"> mld. Kč</w:t>
      </w:r>
      <w:r w:rsidR="00905A57">
        <w:rPr>
          <w:sz w:val="18"/>
          <w:szCs w:val="20"/>
        </w:rPr>
        <w:t>)</w:t>
      </w:r>
      <w:r w:rsidRPr="00122BC1">
        <w:rPr>
          <w:sz w:val="18"/>
          <w:szCs w:val="20"/>
        </w:rPr>
        <w:t>. Převážná jeho část (</w:t>
      </w:r>
      <w:r w:rsidR="00122BC1" w:rsidRPr="00122BC1">
        <w:rPr>
          <w:sz w:val="18"/>
          <w:szCs w:val="20"/>
        </w:rPr>
        <w:t>761,1</w:t>
      </w:r>
      <w:r w:rsidR="00351A8F" w:rsidRPr="00122BC1">
        <w:rPr>
          <w:sz w:val="18"/>
          <w:szCs w:val="20"/>
        </w:rPr>
        <w:t> mld. </w:t>
      </w:r>
      <w:r w:rsidRPr="00122BC1">
        <w:rPr>
          <w:sz w:val="18"/>
          <w:szCs w:val="20"/>
        </w:rPr>
        <w:t xml:space="preserve">Kč), která se meziročně zvýšila o </w:t>
      </w:r>
      <w:r w:rsidR="00122BC1" w:rsidRPr="00122BC1">
        <w:rPr>
          <w:sz w:val="18"/>
          <w:szCs w:val="20"/>
        </w:rPr>
        <w:t>4,3</w:t>
      </w:r>
      <w:r w:rsidRPr="00122BC1">
        <w:rPr>
          <w:sz w:val="18"/>
          <w:szCs w:val="20"/>
        </w:rPr>
        <w:t xml:space="preserve"> mld. Kč, připadla na obchod se státy E</w:t>
      </w:r>
      <w:r w:rsidR="00215FA5" w:rsidRPr="00122BC1">
        <w:rPr>
          <w:sz w:val="18"/>
          <w:szCs w:val="20"/>
        </w:rPr>
        <w:t>vropské unie</w:t>
      </w:r>
      <w:r w:rsidR="00EF1DF3">
        <w:rPr>
          <w:sz w:val="18"/>
          <w:szCs w:val="20"/>
        </w:rPr>
        <w:t>.</w:t>
      </w:r>
    </w:p>
    <w:p w:rsidR="0040123B" w:rsidRPr="00034962" w:rsidRDefault="0040123B" w:rsidP="0040123B">
      <w:pPr>
        <w:spacing w:after="80"/>
        <w:jc w:val="both"/>
        <w:rPr>
          <w:rFonts w:ascii="Arial" w:hAnsi="Arial" w:cs="Arial"/>
          <w:b/>
          <w:sz w:val="18"/>
          <w:szCs w:val="18"/>
        </w:rPr>
      </w:pPr>
      <w:r w:rsidRPr="00034962">
        <w:rPr>
          <w:rFonts w:ascii="Arial" w:hAnsi="Arial" w:cs="Arial"/>
          <w:b/>
          <w:sz w:val="18"/>
          <w:szCs w:val="18"/>
        </w:rPr>
        <w:t xml:space="preserve">Graf </w:t>
      </w:r>
      <w:r w:rsidR="00215FA5" w:rsidRPr="00034962">
        <w:rPr>
          <w:rFonts w:ascii="Arial" w:hAnsi="Arial" w:cs="Arial"/>
          <w:b/>
          <w:sz w:val="18"/>
          <w:szCs w:val="18"/>
        </w:rPr>
        <w:t>1</w:t>
      </w:r>
      <w:r w:rsidR="00591368">
        <w:rPr>
          <w:rFonts w:ascii="Arial" w:hAnsi="Arial" w:cs="Arial"/>
          <w:b/>
          <w:sz w:val="18"/>
          <w:szCs w:val="18"/>
        </w:rPr>
        <w:t>8</w:t>
      </w:r>
      <w:r w:rsidRPr="00034962">
        <w:rPr>
          <w:rFonts w:ascii="Arial" w:hAnsi="Arial" w:cs="Arial"/>
          <w:b/>
          <w:sz w:val="18"/>
          <w:szCs w:val="18"/>
        </w:rPr>
        <w:t xml:space="preserve"> – Vývoz a dovoz silničních vozidel </w:t>
      </w:r>
      <w:r w:rsidR="00821057" w:rsidRPr="00034962">
        <w:rPr>
          <w:rFonts w:ascii="Arial" w:hAnsi="Arial" w:cs="Arial"/>
          <w:b/>
          <w:sz w:val="18"/>
          <w:szCs w:val="18"/>
        </w:rPr>
        <w:t>s</w:t>
      </w:r>
      <w:r w:rsidR="008B7857" w:rsidRPr="00034962">
        <w:rPr>
          <w:rFonts w:ascii="Arial" w:hAnsi="Arial" w:cs="Arial"/>
          <w:b/>
          <w:sz w:val="18"/>
          <w:szCs w:val="18"/>
        </w:rPr>
        <w:t xml:space="preserve"> </w:t>
      </w:r>
      <w:r w:rsidRPr="00034962">
        <w:rPr>
          <w:rFonts w:ascii="Arial" w:hAnsi="Arial" w:cs="Arial"/>
          <w:b/>
          <w:sz w:val="18"/>
          <w:szCs w:val="18"/>
        </w:rPr>
        <w:t>vybraný</w:t>
      </w:r>
      <w:r w:rsidR="00821057" w:rsidRPr="00034962">
        <w:rPr>
          <w:rFonts w:ascii="Arial" w:hAnsi="Arial" w:cs="Arial"/>
          <w:b/>
          <w:sz w:val="18"/>
          <w:szCs w:val="18"/>
        </w:rPr>
        <w:t>mi</w:t>
      </w:r>
      <w:r w:rsidRPr="00034962">
        <w:rPr>
          <w:rFonts w:ascii="Arial" w:hAnsi="Arial" w:cs="Arial"/>
          <w:b/>
          <w:sz w:val="18"/>
          <w:szCs w:val="18"/>
        </w:rPr>
        <w:t xml:space="preserve"> stát</w:t>
      </w:r>
      <w:r w:rsidR="00821057" w:rsidRPr="00034962">
        <w:rPr>
          <w:rFonts w:ascii="Arial" w:hAnsi="Arial" w:cs="Arial"/>
          <w:b/>
          <w:sz w:val="18"/>
          <w:szCs w:val="18"/>
        </w:rPr>
        <w:t>y</w:t>
      </w:r>
      <w:r w:rsidRPr="00034962">
        <w:rPr>
          <w:rFonts w:ascii="Arial" w:hAnsi="Arial" w:cs="Arial"/>
          <w:b/>
          <w:sz w:val="18"/>
          <w:szCs w:val="18"/>
        </w:rPr>
        <w:t xml:space="preserve"> v roce 201</w:t>
      </w:r>
      <w:r w:rsidR="00034962" w:rsidRPr="00034962">
        <w:rPr>
          <w:rFonts w:ascii="Arial" w:hAnsi="Arial" w:cs="Arial"/>
          <w:b/>
          <w:sz w:val="18"/>
          <w:szCs w:val="18"/>
        </w:rPr>
        <w:t>8</w:t>
      </w:r>
      <w:r w:rsidRPr="00034962">
        <w:rPr>
          <w:rFonts w:ascii="Arial" w:hAnsi="Arial" w:cs="Arial"/>
          <w:b/>
          <w:sz w:val="18"/>
          <w:szCs w:val="18"/>
        </w:rPr>
        <w:t xml:space="preserve"> </w:t>
      </w:r>
      <w:r w:rsidR="00857BB6" w:rsidRPr="00034962">
        <w:rPr>
          <w:rFonts w:ascii="Arial" w:hAnsi="Arial" w:cs="Arial"/>
          <w:b/>
          <w:sz w:val="18"/>
          <w:szCs w:val="18"/>
        </w:rPr>
        <w:t>(</w:t>
      </w:r>
      <w:r w:rsidRPr="00034962">
        <w:rPr>
          <w:rFonts w:ascii="Arial" w:hAnsi="Arial" w:cs="Arial"/>
          <w:b/>
          <w:sz w:val="18"/>
          <w:szCs w:val="18"/>
        </w:rPr>
        <w:t>v m</w:t>
      </w:r>
      <w:r w:rsidR="00ED2B95" w:rsidRPr="00034962">
        <w:rPr>
          <w:rFonts w:ascii="Arial" w:hAnsi="Arial" w:cs="Arial"/>
          <w:b/>
          <w:sz w:val="18"/>
          <w:szCs w:val="18"/>
        </w:rPr>
        <w:t>ld</w:t>
      </w:r>
      <w:r w:rsidRPr="00034962">
        <w:rPr>
          <w:rFonts w:ascii="Arial" w:hAnsi="Arial" w:cs="Arial"/>
          <w:b/>
          <w:sz w:val="18"/>
          <w:szCs w:val="18"/>
        </w:rPr>
        <w:t>. Kč</w:t>
      </w:r>
      <w:r w:rsidR="00857BB6" w:rsidRPr="00034962">
        <w:rPr>
          <w:rFonts w:ascii="Arial" w:hAnsi="Arial" w:cs="Arial"/>
          <w:b/>
          <w:sz w:val="18"/>
          <w:szCs w:val="18"/>
        </w:rPr>
        <w:t>)</w:t>
      </w:r>
    </w:p>
    <w:p w:rsidR="0040123B" w:rsidRPr="001A57EA" w:rsidRDefault="00676458" w:rsidP="000B3576">
      <w:pPr>
        <w:spacing w:after="120"/>
        <w:jc w:val="both"/>
        <w:rPr>
          <w:rFonts w:ascii="Arial" w:hAnsi="Arial" w:cs="Arial"/>
          <w:color w:val="FF0000"/>
          <w:sz w:val="18"/>
          <w:szCs w:val="18"/>
        </w:rPr>
      </w:pPr>
      <w:r>
        <w:rPr>
          <w:rFonts w:ascii="Arial" w:hAnsi="Arial" w:cs="Arial"/>
          <w:noProof/>
          <w:color w:val="FF0000"/>
          <w:sz w:val="18"/>
          <w:szCs w:val="18"/>
          <w:lang w:eastAsia="cs-CZ"/>
        </w:rPr>
        <w:pict>
          <v:shape id="_x0000_i1047" type="#_x0000_t75" style="width:483.75pt;height:252pt">
            <v:imagedata r:id="rId32" o:title=""/>
          </v:shape>
        </w:pict>
      </w:r>
    </w:p>
    <w:p w:rsidR="00BA7845" w:rsidRPr="00EF1DF3" w:rsidRDefault="00BA7845" w:rsidP="00591368">
      <w:pPr>
        <w:spacing w:before="240" w:after="240"/>
        <w:jc w:val="both"/>
        <w:rPr>
          <w:rFonts w:ascii="Arial" w:eastAsia="Times New Roman" w:hAnsi="Arial" w:cs="Arial"/>
          <w:sz w:val="18"/>
          <w:szCs w:val="20"/>
          <w:lang w:eastAsia="cs-CZ"/>
        </w:rPr>
      </w:pPr>
      <w:r w:rsidRPr="00EF1DF3">
        <w:rPr>
          <w:rFonts w:ascii="Arial" w:eastAsia="Times New Roman" w:hAnsi="Arial" w:cs="Arial"/>
          <w:sz w:val="18"/>
          <w:szCs w:val="20"/>
          <w:lang w:eastAsia="cs-CZ"/>
        </w:rPr>
        <w:t xml:space="preserve">Na celkovém </w:t>
      </w:r>
      <w:r w:rsidRPr="00EF1DF3">
        <w:rPr>
          <w:rFonts w:ascii="Arial" w:eastAsia="Times New Roman" w:hAnsi="Arial" w:cs="Arial"/>
          <w:b/>
          <w:sz w:val="18"/>
          <w:szCs w:val="20"/>
          <w:lang w:eastAsia="cs-CZ"/>
        </w:rPr>
        <w:t>vývozu</w:t>
      </w:r>
      <w:r w:rsidRPr="00EF1DF3">
        <w:rPr>
          <w:rFonts w:ascii="Arial" w:eastAsia="Times New Roman" w:hAnsi="Arial" w:cs="Arial"/>
          <w:sz w:val="18"/>
          <w:szCs w:val="20"/>
          <w:lang w:eastAsia="cs-CZ"/>
        </w:rPr>
        <w:t xml:space="preserve"> </w:t>
      </w:r>
      <w:r w:rsidR="00F13265" w:rsidRPr="00EF1DF3">
        <w:rPr>
          <w:rFonts w:ascii="Arial" w:eastAsia="Times New Roman" w:hAnsi="Arial" w:cs="Arial"/>
          <w:sz w:val="18"/>
          <w:szCs w:val="20"/>
          <w:lang w:eastAsia="cs-CZ"/>
        </w:rPr>
        <w:t xml:space="preserve">zboží z Česka </w:t>
      </w:r>
      <w:r w:rsidRPr="00EF1DF3">
        <w:rPr>
          <w:rFonts w:ascii="Arial" w:eastAsia="Times New Roman" w:hAnsi="Arial" w:cs="Arial"/>
          <w:sz w:val="18"/>
          <w:szCs w:val="20"/>
          <w:lang w:eastAsia="cs-CZ"/>
        </w:rPr>
        <w:t xml:space="preserve">se silniční vozidla podílela </w:t>
      </w:r>
      <w:r w:rsidR="00D91DD5" w:rsidRPr="00EF1DF3">
        <w:rPr>
          <w:rFonts w:ascii="Arial" w:eastAsia="Times New Roman" w:hAnsi="Arial" w:cs="Arial"/>
          <w:sz w:val="18"/>
          <w:szCs w:val="20"/>
          <w:lang w:eastAsia="cs-CZ"/>
        </w:rPr>
        <w:t>2</w:t>
      </w:r>
      <w:r w:rsidR="00EF1DF3">
        <w:rPr>
          <w:rFonts w:ascii="Arial" w:eastAsia="Times New Roman" w:hAnsi="Arial" w:cs="Arial"/>
          <w:sz w:val="18"/>
          <w:szCs w:val="20"/>
          <w:lang w:eastAsia="cs-CZ"/>
        </w:rPr>
        <w:t>0,1</w:t>
      </w:r>
      <w:r w:rsidRPr="00EF1DF3">
        <w:rPr>
          <w:rFonts w:ascii="Arial" w:eastAsia="Times New Roman" w:hAnsi="Arial" w:cs="Arial"/>
          <w:sz w:val="18"/>
          <w:szCs w:val="20"/>
          <w:lang w:eastAsia="cs-CZ"/>
        </w:rPr>
        <w:t xml:space="preserve"> %, z toho osobní automobily </w:t>
      </w:r>
      <w:r w:rsidR="00491F05" w:rsidRPr="00EF1DF3">
        <w:rPr>
          <w:rFonts w:ascii="Arial" w:eastAsia="Times New Roman" w:hAnsi="Arial" w:cs="Arial"/>
          <w:sz w:val="18"/>
          <w:szCs w:val="20"/>
          <w:lang w:eastAsia="cs-CZ"/>
        </w:rPr>
        <w:t>1</w:t>
      </w:r>
      <w:r w:rsidR="00D36450" w:rsidRPr="00EF1DF3">
        <w:rPr>
          <w:rFonts w:ascii="Arial" w:eastAsia="Times New Roman" w:hAnsi="Arial" w:cs="Arial"/>
          <w:sz w:val="18"/>
          <w:szCs w:val="20"/>
          <w:lang w:eastAsia="cs-CZ"/>
        </w:rPr>
        <w:t>1,</w:t>
      </w:r>
      <w:r w:rsidR="00EF1DF3" w:rsidRPr="00EF1DF3">
        <w:rPr>
          <w:rFonts w:ascii="Arial" w:eastAsia="Times New Roman" w:hAnsi="Arial" w:cs="Arial"/>
          <w:sz w:val="18"/>
          <w:szCs w:val="20"/>
          <w:lang w:eastAsia="cs-CZ"/>
        </w:rPr>
        <w:t>2</w:t>
      </w:r>
      <w:r w:rsidRPr="00EF1DF3">
        <w:rPr>
          <w:rFonts w:ascii="Arial" w:eastAsia="Times New Roman" w:hAnsi="Arial" w:cs="Arial"/>
          <w:sz w:val="18"/>
          <w:szCs w:val="20"/>
          <w:lang w:eastAsia="cs-CZ"/>
        </w:rPr>
        <w:t xml:space="preserve"> % (</w:t>
      </w:r>
      <w:r w:rsidR="006E0574" w:rsidRPr="00EF1DF3">
        <w:rPr>
          <w:rFonts w:ascii="Arial" w:eastAsia="Times New Roman" w:hAnsi="Arial" w:cs="Arial"/>
          <w:sz w:val="18"/>
          <w:szCs w:val="20"/>
          <w:lang w:eastAsia="cs-CZ"/>
        </w:rPr>
        <w:t>11,</w:t>
      </w:r>
      <w:r w:rsidR="00EF1DF3" w:rsidRPr="00EF1DF3">
        <w:rPr>
          <w:rFonts w:ascii="Arial" w:eastAsia="Times New Roman" w:hAnsi="Arial" w:cs="Arial"/>
          <w:sz w:val="18"/>
          <w:szCs w:val="20"/>
          <w:lang w:eastAsia="cs-CZ"/>
        </w:rPr>
        <w:t>8</w:t>
      </w:r>
      <w:r w:rsidRPr="00EF1DF3">
        <w:rPr>
          <w:rFonts w:ascii="Arial" w:eastAsia="Times New Roman" w:hAnsi="Arial" w:cs="Arial"/>
          <w:sz w:val="18"/>
          <w:szCs w:val="20"/>
          <w:lang w:eastAsia="cs-CZ"/>
        </w:rPr>
        <w:t xml:space="preserve"> % v roce 201</w:t>
      </w:r>
      <w:r w:rsidR="00EF1DF3" w:rsidRPr="00EF1DF3">
        <w:rPr>
          <w:rFonts w:ascii="Arial" w:eastAsia="Times New Roman" w:hAnsi="Arial" w:cs="Arial"/>
          <w:sz w:val="18"/>
          <w:szCs w:val="20"/>
          <w:lang w:eastAsia="cs-CZ"/>
        </w:rPr>
        <w:t>7</w:t>
      </w:r>
      <w:r w:rsidRPr="00EF1DF3">
        <w:rPr>
          <w:rFonts w:ascii="Arial" w:eastAsia="Times New Roman" w:hAnsi="Arial" w:cs="Arial"/>
          <w:sz w:val="18"/>
          <w:szCs w:val="20"/>
          <w:lang w:eastAsia="cs-CZ"/>
        </w:rPr>
        <w:t xml:space="preserve">) a díly a příslušenství motorových vozidel </w:t>
      </w:r>
      <w:r w:rsidR="00EF1DF3" w:rsidRPr="00EF1DF3">
        <w:rPr>
          <w:rFonts w:ascii="Arial" w:eastAsia="Times New Roman" w:hAnsi="Arial" w:cs="Arial"/>
          <w:sz w:val="18"/>
          <w:szCs w:val="20"/>
          <w:lang w:eastAsia="cs-CZ"/>
        </w:rPr>
        <w:t>7,9</w:t>
      </w:r>
      <w:r w:rsidRPr="00EF1DF3">
        <w:rPr>
          <w:rFonts w:ascii="Arial" w:eastAsia="Times New Roman" w:hAnsi="Arial" w:cs="Arial"/>
          <w:sz w:val="18"/>
          <w:szCs w:val="20"/>
          <w:lang w:eastAsia="cs-CZ"/>
        </w:rPr>
        <w:t xml:space="preserve"> % (</w:t>
      </w:r>
      <w:r w:rsidR="00D36450" w:rsidRPr="00EF1DF3">
        <w:rPr>
          <w:rFonts w:ascii="Arial" w:eastAsia="Times New Roman" w:hAnsi="Arial" w:cs="Arial"/>
          <w:sz w:val="18"/>
          <w:szCs w:val="20"/>
          <w:lang w:eastAsia="cs-CZ"/>
        </w:rPr>
        <w:t>8,</w:t>
      </w:r>
      <w:r w:rsidR="00EF1DF3" w:rsidRPr="00EF1DF3">
        <w:rPr>
          <w:rFonts w:ascii="Arial" w:eastAsia="Times New Roman" w:hAnsi="Arial" w:cs="Arial"/>
          <w:sz w:val="18"/>
          <w:szCs w:val="20"/>
          <w:lang w:eastAsia="cs-CZ"/>
        </w:rPr>
        <w:t>2</w:t>
      </w:r>
      <w:r w:rsidRPr="00EF1DF3">
        <w:rPr>
          <w:rFonts w:ascii="Arial" w:eastAsia="Times New Roman" w:hAnsi="Arial" w:cs="Arial"/>
          <w:sz w:val="18"/>
          <w:szCs w:val="20"/>
          <w:lang w:eastAsia="cs-CZ"/>
        </w:rPr>
        <w:t xml:space="preserve"> % v roce 201</w:t>
      </w:r>
      <w:r w:rsidR="00EF1DF3" w:rsidRPr="00EF1DF3">
        <w:rPr>
          <w:rFonts w:ascii="Arial" w:eastAsia="Times New Roman" w:hAnsi="Arial" w:cs="Arial"/>
          <w:sz w:val="18"/>
          <w:szCs w:val="20"/>
          <w:lang w:eastAsia="cs-CZ"/>
        </w:rPr>
        <w:t>7</w:t>
      </w:r>
      <w:r w:rsidRPr="00EF1DF3">
        <w:rPr>
          <w:rFonts w:ascii="Arial" w:eastAsia="Times New Roman" w:hAnsi="Arial" w:cs="Arial"/>
          <w:sz w:val="18"/>
          <w:szCs w:val="20"/>
          <w:lang w:eastAsia="cs-CZ"/>
        </w:rPr>
        <w:t>). Vývoz osobních automobilů</w:t>
      </w:r>
      <w:r w:rsidRPr="001A57EA">
        <w:rPr>
          <w:rFonts w:ascii="Arial" w:eastAsia="Times New Roman" w:hAnsi="Arial" w:cs="Arial"/>
          <w:color w:val="FF0000"/>
          <w:sz w:val="18"/>
          <w:szCs w:val="20"/>
          <w:lang w:eastAsia="cs-CZ"/>
        </w:rPr>
        <w:t xml:space="preserve"> </w:t>
      </w:r>
      <w:r w:rsidRPr="00EF1DF3">
        <w:rPr>
          <w:rFonts w:ascii="Arial" w:eastAsia="Times New Roman" w:hAnsi="Arial" w:cs="Arial"/>
          <w:sz w:val="18"/>
          <w:szCs w:val="20"/>
          <w:lang w:eastAsia="cs-CZ"/>
        </w:rPr>
        <w:t xml:space="preserve">meziročně </w:t>
      </w:r>
      <w:r w:rsidR="00EF1DF3" w:rsidRPr="00EF1DF3">
        <w:rPr>
          <w:rFonts w:ascii="Arial" w:eastAsia="Times New Roman" w:hAnsi="Arial" w:cs="Arial"/>
          <w:sz w:val="18"/>
          <w:szCs w:val="20"/>
          <w:lang w:eastAsia="cs-CZ"/>
        </w:rPr>
        <w:t>klesl</w:t>
      </w:r>
      <w:r w:rsidR="004121E5">
        <w:rPr>
          <w:rFonts w:ascii="Arial" w:eastAsia="Times New Roman" w:hAnsi="Arial" w:cs="Arial"/>
          <w:sz w:val="18"/>
          <w:szCs w:val="20"/>
          <w:lang w:eastAsia="cs-CZ"/>
        </w:rPr>
        <w:t xml:space="preserve"> o </w:t>
      </w:r>
      <w:r w:rsidR="00EF1DF3" w:rsidRPr="00EF1DF3">
        <w:rPr>
          <w:rFonts w:ascii="Arial" w:eastAsia="Times New Roman" w:hAnsi="Arial" w:cs="Arial"/>
          <w:sz w:val="18"/>
          <w:szCs w:val="20"/>
          <w:lang w:eastAsia="cs-CZ"/>
        </w:rPr>
        <w:t>1,0</w:t>
      </w:r>
      <w:r w:rsidR="00491F05" w:rsidRPr="00EF1DF3">
        <w:rPr>
          <w:rFonts w:ascii="Arial" w:eastAsia="Times New Roman" w:hAnsi="Arial" w:cs="Arial"/>
          <w:sz w:val="18"/>
          <w:szCs w:val="20"/>
          <w:lang w:eastAsia="cs-CZ"/>
        </w:rPr>
        <w:t xml:space="preserve"> </w:t>
      </w:r>
      <w:r w:rsidRPr="00EF1DF3">
        <w:rPr>
          <w:rFonts w:ascii="Arial" w:eastAsia="Times New Roman" w:hAnsi="Arial" w:cs="Arial"/>
          <w:sz w:val="18"/>
          <w:szCs w:val="20"/>
          <w:lang w:eastAsia="cs-CZ"/>
        </w:rPr>
        <w:t xml:space="preserve">% a vývoz dílů a příslušenství motorových vozidel se meziročně </w:t>
      </w:r>
      <w:r w:rsidR="00EF1DF3" w:rsidRPr="00EF1DF3">
        <w:rPr>
          <w:rFonts w:ascii="Arial" w:eastAsia="Times New Roman" w:hAnsi="Arial" w:cs="Arial"/>
          <w:sz w:val="18"/>
          <w:szCs w:val="20"/>
          <w:lang w:eastAsia="cs-CZ"/>
        </w:rPr>
        <w:t>snížil</w:t>
      </w:r>
      <w:r w:rsidRPr="00EF1DF3">
        <w:rPr>
          <w:rFonts w:ascii="Arial" w:eastAsia="Times New Roman" w:hAnsi="Arial" w:cs="Arial"/>
          <w:sz w:val="18"/>
          <w:szCs w:val="20"/>
          <w:lang w:eastAsia="cs-CZ"/>
        </w:rPr>
        <w:t xml:space="preserve"> o </w:t>
      </w:r>
      <w:r w:rsidR="00EF1DF3" w:rsidRPr="00EF1DF3">
        <w:rPr>
          <w:rFonts w:ascii="Arial" w:eastAsia="Times New Roman" w:hAnsi="Arial" w:cs="Arial"/>
          <w:sz w:val="18"/>
          <w:szCs w:val="20"/>
          <w:lang w:eastAsia="cs-CZ"/>
        </w:rPr>
        <w:t>0,4</w:t>
      </w:r>
      <w:r w:rsidRPr="00EF1DF3">
        <w:rPr>
          <w:rFonts w:ascii="Arial" w:eastAsia="Times New Roman" w:hAnsi="Arial" w:cs="Arial"/>
          <w:sz w:val="18"/>
          <w:szCs w:val="20"/>
          <w:lang w:eastAsia="cs-CZ"/>
        </w:rPr>
        <w:t xml:space="preserve"> %.</w:t>
      </w:r>
    </w:p>
    <w:p w:rsidR="00BA7845" w:rsidRPr="00911978" w:rsidRDefault="00BA7845" w:rsidP="00A11BA6">
      <w:pPr>
        <w:spacing w:after="80"/>
        <w:rPr>
          <w:rFonts w:ascii="Arial" w:hAnsi="Arial" w:cs="Arial"/>
          <w:b/>
          <w:sz w:val="18"/>
          <w:szCs w:val="18"/>
        </w:rPr>
      </w:pPr>
      <w:r w:rsidRPr="00911978">
        <w:rPr>
          <w:rFonts w:ascii="Arial" w:hAnsi="Arial" w:cs="Arial"/>
          <w:b/>
          <w:sz w:val="18"/>
          <w:szCs w:val="18"/>
        </w:rPr>
        <w:t xml:space="preserve">Graf </w:t>
      </w:r>
      <w:r w:rsidR="005400B3" w:rsidRPr="00911978">
        <w:rPr>
          <w:rFonts w:ascii="Arial" w:hAnsi="Arial" w:cs="Arial"/>
          <w:b/>
          <w:sz w:val="18"/>
          <w:szCs w:val="18"/>
        </w:rPr>
        <w:t>1</w:t>
      </w:r>
      <w:r w:rsidR="00591368">
        <w:rPr>
          <w:rFonts w:ascii="Arial" w:hAnsi="Arial" w:cs="Arial"/>
          <w:b/>
          <w:sz w:val="18"/>
          <w:szCs w:val="18"/>
        </w:rPr>
        <w:t>9</w:t>
      </w:r>
      <w:r w:rsidRPr="00911978">
        <w:rPr>
          <w:rFonts w:ascii="Arial" w:hAnsi="Arial" w:cs="Arial"/>
          <w:b/>
          <w:sz w:val="18"/>
          <w:szCs w:val="18"/>
        </w:rPr>
        <w:t xml:space="preserve"> - Zahraniční obchod s osobními automobily a díly a příslušenstvím motorových vozidel </w:t>
      </w:r>
      <w:r w:rsidR="00A11BA6" w:rsidRPr="00911978">
        <w:rPr>
          <w:rFonts w:ascii="Arial" w:hAnsi="Arial" w:cs="Arial"/>
          <w:b/>
          <w:sz w:val="18"/>
          <w:szCs w:val="18"/>
        </w:rPr>
        <w:t>(</w:t>
      </w:r>
      <w:r w:rsidRPr="00911978">
        <w:rPr>
          <w:rFonts w:ascii="Arial" w:hAnsi="Arial" w:cs="Arial"/>
          <w:b/>
          <w:sz w:val="18"/>
          <w:szCs w:val="18"/>
        </w:rPr>
        <w:t>v mld. Kč</w:t>
      </w:r>
      <w:r w:rsidR="00A11BA6" w:rsidRPr="00911978">
        <w:rPr>
          <w:rFonts w:ascii="Arial" w:hAnsi="Arial" w:cs="Arial"/>
          <w:b/>
          <w:sz w:val="18"/>
          <w:szCs w:val="18"/>
        </w:rPr>
        <w:t>)</w:t>
      </w:r>
      <w:r w:rsidR="00EF1DF3" w:rsidRPr="00911978">
        <w:rPr>
          <w:rFonts w:ascii="Arial" w:hAnsi="Arial" w:cs="Arial"/>
          <w:b/>
          <w:sz w:val="18"/>
          <w:szCs w:val="18"/>
        </w:rPr>
        <w:t xml:space="preserve"> </w:t>
      </w:r>
    </w:p>
    <w:p w:rsidR="00BA7845" w:rsidRPr="00911978" w:rsidRDefault="00BA7845" w:rsidP="0040123B">
      <w:pPr>
        <w:spacing w:after="40"/>
        <w:ind w:left="1416" w:firstLine="708"/>
        <w:jc w:val="both"/>
        <w:rPr>
          <w:rFonts w:ascii="Arial" w:hAnsi="Arial" w:cs="Arial"/>
          <w:sz w:val="18"/>
          <w:szCs w:val="18"/>
        </w:rPr>
      </w:pPr>
      <w:r w:rsidRPr="00911978">
        <w:rPr>
          <w:rFonts w:ascii="Arial" w:hAnsi="Arial" w:cs="Arial"/>
          <w:sz w:val="18"/>
          <w:szCs w:val="18"/>
        </w:rPr>
        <w:t xml:space="preserve">      vývoz</w:t>
      </w:r>
      <w:r w:rsidRPr="00911978">
        <w:rPr>
          <w:rFonts w:ascii="Arial" w:hAnsi="Arial" w:cs="Arial"/>
          <w:sz w:val="18"/>
          <w:szCs w:val="18"/>
        </w:rPr>
        <w:tab/>
      </w:r>
      <w:r w:rsidRPr="00911978">
        <w:rPr>
          <w:rFonts w:ascii="Arial" w:hAnsi="Arial" w:cs="Arial"/>
          <w:sz w:val="18"/>
          <w:szCs w:val="18"/>
        </w:rPr>
        <w:tab/>
      </w:r>
      <w:r w:rsidRPr="00911978">
        <w:rPr>
          <w:rFonts w:ascii="Arial" w:hAnsi="Arial" w:cs="Arial"/>
          <w:sz w:val="18"/>
          <w:szCs w:val="18"/>
        </w:rPr>
        <w:tab/>
      </w:r>
      <w:r w:rsidRPr="00911978">
        <w:rPr>
          <w:rFonts w:ascii="Arial" w:hAnsi="Arial" w:cs="Arial"/>
          <w:sz w:val="18"/>
          <w:szCs w:val="18"/>
        </w:rPr>
        <w:tab/>
      </w:r>
      <w:r w:rsidRPr="00911978">
        <w:rPr>
          <w:rFonts w:ascii="Arial" w:hAnsi="Arial" w:cs="Arial"/>
          <w:sz w:val="18"/>
          <w:szCs w:val="18"/>
        </w:rPr>
        <w:tab/>
      </w:r>
      <w:r w:rsidRPr="00911978">
        <w:rPr>
          <w:rFonts w:ascii="Arial" w:hAnsi="Arial" w:cs="Arial"/>
          <w:sz w:val="18"/>
          <w:szCs w:val="18"/>
        </w:rPr>
        <w:tab/>
        <w:t>dovoz</w:t>
      </w:r>
    </w:p>
    <w:p w:rsidR="00BA7845" w:rsidRPr="001A57EA" w:rsidRDefault="00676458" w:rsidP="00FC675E">
      <w:pPr>
        <w:spacing w:after="0"/>
        <w:rPr>
          <w:rFonts w:ascii="Arial" w:hAnsi="Arial" w:cs="Arial"/>
          <w:color w:val="FF0000"/>
          <w:sz w:val="18"/>
          <w:szCs w:val="18"/>
        </w:rPr>
      </w:pPr>
      <w:r>
        <w:rPr>
          <w:rFonts w:ascii="Arial" w:hAnsi="Arial" w:cs="Arial"/>
          <w:noProof/>
          <w:color w:val="FF0000"/>
          <w:sz w:val="18"/>
          <w:szCs w:val="18"/>
          <w:lang w:eastAsia="cs-CZ"/>
        </w:rPr>
        <w:pict>
          <v:shape id="_x0000_i1048" type="#_x0000_t75" style="width:252pt;height:181.5pt">
            <v:imagedata r:id="rId33" o:title=""/>
          </v:shape>
        </w:pict>
      </w:r>
      <w:r w:rsidR="00911978">
        <w:rPr>
          <w:rFonts w:ascii="Arial" w:hAnsi="Arial" w:cs="Arial"/>
          <w:noProof/>
          <w:color w:val="FF0000"/>
          <w:sz w:val="18"/>
          <w:szCs w:val="18"/>
          <w:lang w:eastAsia="cs-CZ"/>
        </w:rPr>
        <w:t xml:space="preserve">  </w:t>
      </w:r>
      <w:r>
        <w:rPr>
          <w:rFonts w:ascii="Arial" w:hAnsi="Arial" w:cs="Arial"/>
          <w:noProof/>
          <w:color w:val="FF0000"/>
          <w:sz w:val="18"/>
          <w:szCs w:val="18"/>
          <w:lang w:eastAsia="cs-CZ"/>
        </w:rPr>
        <w:pict>
          <v:shape id="_x0000_i1049" type="#_x0000_t75" style="width:224.25pt;height:180.75pt">
            <v:imagedata r:id="rId34" o:title=""/>
          </v:shape>
        </w:pict>
      </w:r>
      <w:r w:rsidR="00907CFA" w:rsidRPr="001A57EA">
        <w:rPr>
          <w:rFonts w:ascii="Arial" w:hAnsi="Arial" w:cs="Arial"/>
          <w:noProof/>
          <w:color w:val="FF0000"/>
          <w:sz w:val="18"/>
          <w:szCs w:val="18"/>
          <w:lang w:eastAsia="cs-CZ"/>
        </w:rPr>
        <w:t xml:space="preserve">  </w:t>
      </w:r>
      <w:r w:rsidR="00BA7845" w:rsidRPr="001A57EA">
        <w:rPr>
          <w:rFonts w:ascii="Arial" w:hAnsi="Arial" w:cs="Arial"/>
          <w:color w:val="FF0000"/>
          <w:sz w:val="18"/>
          <w:szCs w:val="18"/>
        </w:rPr>
        <w:t xml:space="preserve">  </w:t>
      </w:r>
    </w:p>
    <w:p w:rsidR="00FC675E" w:rsidRPr="001A57EA" w:rsidRDefault="00FC675E" w:rsidP="00FC675E">
      <w:pPr>
        <w:spacing w:after="0"/>
        <w:rPr>
          <w:rFonts w:ascii="Arial" w:hAnsi="Arial" w:cs="Arial"/>
          <w:b/>
          <w:color w:val="FF0000"/>
          <w:sz w:val="19"/>
          <w:szCs w:val="19"/>
        </w:rPr>
      </w:pPr>
    </w:p>
    <w:p w:rsidR="002F2CC1" w:rsidRPr="00122BC1" w:rsidRDefault="00BA7845" w:rsidP="00CF4B03">
      <w:pPr>
        <w:spacing w:before="40" w:after="0" w:line="240" w:lineRule="auto"/>
        <w:jc w:val="both"/>
        <w:rPr>
          <w:rFonts w:ascii="Arial" w:eastAsia="Times New Roman" w:hAnsi="Arial" w:cs="Arial"/>
          <w:sz w:val="18"/>
          <w:szCs w:val="20"/>
          <w:lang w:eastAsia="cs-CZ"/>
        </w:rPr>
      </w:pPr>
      <w:r w:rsidRPr="00304397">
        <w:rPr>
          <w:rFonts w:ascii="Arial" w:eastAsia="Times New Roman" w:hAnsi="Arial" w:cs="Arial"/>
          <w:sz w:val="18"/>
          <w:szCs w:val="20"/>
          <w:lang w:eastAsia="cs-CZ"/>
        </w:rPr>
        <w:t xml:space="preserve">Silniční vozidla </w:t>
      </w:r>
      <w:r w:rsidR="00334167" w:rsidRPr="00304397">
        <w:rPr>
          <w:rFonts w:ascii="Arial" w:eastAsia="Times New Roman" w:hAnsi="Arial" w:cs="Arial"/>
          <w:sz w:val="18"/>
          <w:szCs w:val="20"/>
          <w:lang w:eastAsia="cs-CZ"/>
        </w:rPr>
        <w:t>mají</w:t>
      </w:r>
      <w:r w:rsidRPr="00304397">
        <w:rPr>
          <w:rFonts w:ascii="Arial" w:eastAsia="Times New Roman" w:hAnsi="Arial" w:cs="Arial"/>
          <w:sz w:val="18"/>
          <w:szCs w:val="20"/>
          <w:lang w:eastAsia="cs-CZ"/>
        </w:rPr>
        <w:t xml:space="preserve"> na vývoj celkového </w:t>
      </w:r>
      <w:r w:rsidRPr="00122BC1">
        <w:rPr>
          <w:rFonts w:ascii="Arial" w:eastAsia="Times New Roman" w:hAnsi="Arial" w:cs="Arial"/>
          <w:b/>
          <w:sz w:val="18"/>
          <w:szCs w:val="20"/>
          <w:lang w:eastAsia="cs-CZ"/>
        </w:rPr>
        <w:t>dovozu</w:t>
      </w:r>
      <w:r w:rsidRPr="00122BC1">
        <w:rPr>
          <w:rFonts w:ascii="Arial" w:eastAsia="Times New Roman" w:hAnsi="Arial" w:cs="Arial"/>
          <w:sz w:val="18"/>
          <w:szCs w:val="20"/>
          <w:lang w:eastAsia="cs-CZ"/>
        </w:rPr>
        <w:t xml:space="preserve"> i dovozu strojů</w:t>
      </w:r>
      <w:r w:rsidRPr="00304397">
        <w:rPr>
          <w:rFonts w:ascii="Arial" w:eastAsia="Times New Roman" w:hAnsi="Arial" w:cs="Arial"/>
          <w:sz w:val="18"/>
          <w:szCs w:val="20"/>
          <w:lang w:eastAsia="cs-CZ"/>
        </w:rPr>
        <w:t xml:space="preserve"> a dopravních prostře</w:t>
      </w:r>
      <w:r w:rsidR="003911A7" w:rsidRPr="00304397">
        <w:rPr>
          <w:rFonts w:ascii="Arial" w:eastAsia="Times New Roman" w:hAnsi="Arial" w:cs="Arial"/>
          <w:sz w:val="18"/>
          <w:szCs w:val="20"/>
          <w:lang w:eastAsia="cs-CZ"/>
        </w:rPr>
        <w:t>dků podstatně slabší vliv než u </w:t>
      </w:r>
      <w:r w:rsidRPr="00304397">
        <w:rPr>
          <w:rFonts w:ascii="Arial" w:eastAsia="Times New Roman" w:hAnsi="Arial" w:cs="Arial"/>
          <w:sz w:val="18"/>
          <w:szCs w:val="20"/>
          <w:lang w:eastAsia="cs-CZ"/>
        </w:rPr>
        <w:t xml:space="preserve">vývozu. Dovoz silničních vozidel se </w:t>
      </w:r>
      <w:r w:rsidRPr="00122BC1">
        <w:rPr>
          <w:rFonts w:ascii="Arial" w:eastAsia="Times New Roman" w:hAnsi="Arial" w:cs="Arial"/>
          <w:sz w:val="18"/>
          <w:szCs w:val="20"/>
          <w:lang w:eastAsia="cs-CZ"/>
        </w:rPr>
        <w:t xml:space="preserve">meziročně </w:t>
      </w:r>
      <w:r w:rsidR="00122BC1" w:rsidRPr="00122BC1">
        <w:rPr>
          <w:rFonts w:ascii="Arial" w:eastAsia="Times New Roman" w:hAnsi="Arial" w:cs="Arial"/>
          <w:sz w:val="18"/>
          <w:szCs w:val="20"/>
          <w:lang w:eastAsia="cs-CZ"/>
        </w:rPr>
        <w:t>snížil</w:t>
      </w:r>
      <w:r w:rsidRPr="00122BC1">
        <w:rPr>
          <w:rFonts w:ascii="Arial" w:eastAsia="Times New Roman" w:hAnsi="Arial" w:cs="Arial"/>
          <w:sz w:val="18"/>
          <w:szCs w:val="20"/>
          <w:lang w:eastAsia="cs-CZ"/>
        </w:rPr>
        <w:t xml:space="preserve"> o </w:t>
      </w:r>
      <w:r w:rsidR="00122BC1" w:rsidRPr="00122BC1">
        <w:rPr>
          <w:rFonts w:ascii="Arial" w:eastAsia="Times New Roman" w:hAnsi="Arial" w:cs="Arial"/>
          <w:sz w:val="18"/>
          <w:szCs w:val="20"/>
          <w:lang w:eastAsia="cs-CZ"/>
        </w:rPr>
        <w:t>0</w:t>
      </w:r>
      <w:r w:rsidR="00334167" w:rsidRPr="00122BC1">
        <w:rPr>
          <w:rFonts w:ascii="Arial" w:eastAsia="Times New Roman" w:hAnsi="Arial" w:cs="Arial"/>
          <w:sz w:val="18"/>
          <w:szCs w:val="20"/>
          <w:lang w:eastAsia="cs-CZ"/>
        </w:rPr>
        <w:t>,3</w:t>
      </w:r>
      <w:r w:rsidRPr="00122BC1">
        <w:rPr>
          <w:rFonts w:ascii="Arial" w:eastAsia="Times New Roman" w:hAnsi="Arial" w:cs="Arial"/>
          <w:sz w:val="18"/>
          <w:szCs w:val="20"/>
          <w:lang w:eastAsia="cs-CZ"/>
        </w:rPr>
        <w:t xml:space="preserve"> mld. Kč</w:t>
      </w:r>
      <w:r w:rsidR="00122BC1">
        <w:rPr>
          <w:rFonts w:ascii="Arial" w:eastAsia="Times New Roman" w:hAnsi="Arial" w:cs="Arial"/>
          <w:sz w:val="18"/>
          <w:szCs w:val="20"/>
          <w:lang w:eastAsia="cs-CZ"/>
        </w:rPr>
        <w:t xml:space="preserve"> na 400,1 mld. Kč</w:t>
      </w:r>
      <w:r w:rsidRPr="00122BC1">
        <w:rPr>
          <w:rFonts w:ascii="Arial" w:eastAsia="Times New Roman" w:hAnsi="Arial" w:cs="Arial"/>
          <w:sz w:val="18"/>
          <w:szCs w:val="20"/>
          <w:lang w:eastAsia="cs-CZ"/>
        </w:rPr>
        <w:t xml:space="preserve">. </w:t>
      </w:r>
      <w:r w:rsidR="007F2DDC" w:rsidRPr="00122BC1">
        <w:rPr>
          <w:rFonts w:ascii="Arial" w:eastAsia="Times New Roman" w:hAnsi="Arial" w:cs="Arial"/>
          <w:sz w:val="18"/>
          <w:szCs w:val="20"/>
          <w:lang w:eastAsia="cs-CZ"/>
        </w:rPr>
        <w:t>Podíl tohoto zboží na </w:t>
      </w:r>
      <w:r w:rsidR="00D76D9B" w:rsidRPr="00122BC1">
        <w:rPr>
          <w:rFonts w:ascii="Arial" w:eastAsia="Times New Roman" w:hAnsi="Arial" w:cs="Arial"/>
          <w:sz w:val="18"/>
          <w:szCs w:val="20"/>
          <w:lang w:eastAsia="cs-CZ"/>
        </w:rPr>
        <w:t xml:space="preserve">celkovém dovozu dosáhl </w:t>
      </w:r>
      <w:r w:rsidR="00122BC1" w:rsidRPr="00122BC1">
        <w:rPr>
          <w:rFonts w:ascii="Arial" w:eastAsia="Times New Roman" w:hAnsi="Arial" w:cs="Arial"/>
          <w:sz w:val="18"/>
          <w:szCs w:val="20"/>
          <w:lang w:eastAsia="cs-CZ"/>
        </w:rPr>
        <w:t>9,9</w:t>
      </w:r>
      <w:r w:rsidR="00D76D9B" w:rsidRPr="00122BC1">
        <w:rPr>
          <w:rFonts w:ascii="Arial" w:eastAsia="Times New Roman" w:hAnsi="Arial" w:cs="Arial"/>
          <w:sz w:val="18"/>
          <w:szCs w:val="20"/>
          <w:lang w:eastAsia="cs-CZ"/>
        </w:rPr>
        <w:t xml:space="preserve"> % a na dovozu strojů a dopravních prostředků </w:t>
      </w:r>
      <w:r w:rsidR="00122BC1" w:rsidRPr="00122BC1">
        <w:rPr>
          <w:rFonts w:ascii="Arial" w:eastAsia="Times New Roman" w:hAnsi="Arial" w:cs="Arial"/>
          <w:sz w:val="18"/>
          <w:szCs w:val="20"/>
          <w:lang w:eastAsia="cs-CZ"/>
        </w:rPr>
        <w:t>21,0</w:t>
      </w:r>
      <w:r w:rsidR="00D76D9B" w:rsidRPr="00122BC1">
        <w:rPr>
          <w:rFonts w:ascii="Arial" w:eastAsia="Times New Roman" w:hAnsi="Arial" w:cs="Arial"/>
          <w:sz w:val="18"/>
          <w:szCs w:val="20"/>
          <w:lang w:eastAsia="cs-CZ"/>
        </w:rPr>
        <w:t xml:space="preserve"> %.</w:t>
      </w:r>
      <w:r w:rsidR="002F2CC1" w:rsidRPr="00122BC1">
        <w:rPr>
          <w:rFonts w:ascii="Arial" w:eastAsia="Times New Roman" w:hAnsi="Arial" w:cs="Arial"/>
          <w:sz w:val="18"/>
          <w:szCs w:val="20"/>
          <w:lang w:eastAsia="cs-CZ"/>
        </w:rPr>
        <w:br w:type="page"/>
      </w:r>
    </w:p>
    <w:p w:rsidR="00BA7845" w:rsidRPr="004121E5" w:rsidRDefault="00BA7845" w:rsidP="00BA7845">
      <w:pPr>
        <w:numPr>
          <w:ilvl w:val="0"/>
          <w:numId w:val="1"/>
        </w:numPr>
        <w:spacing w:after="120"/>
        <w:ind w:left="284" w:hanging="284"/>
        <w:rPr>
          <w:rFonts w:ascii="Arial" w:hAnsi="Arial" w:cs="Arial"/>
          <w:b/>
        </w:rPr>
      </w:pPr>
      <w:r w:rsidRPr="004121E5">
        <w:rPr>
          <w:rFonts w:ascii="Arial" w:hAnsi="Arial" w:cs="Arial"/>
          <w:b/>
        </w:rPr>
        <w:lastRenderedPageBreak/>
        <w:t>Údaje Eurostatu</w:t>
      </w:r>
      <w:r w:rsidRPr="004121E5">
        <w:rPr>
          <w:rStyle w:val="Znakapoznpodarou"/>
          <w:rFonts w:ascii="Arial" w:hAnsi="Arial" w:cs="Arial"/>
        </w:rPr>
        <w:footnoteReference w:id="11"/>
      </w:r>
    </w:p>
    <w:p w:rsidR="004121E5" w:rsidRPr="004121E5" w:rsidRDefault="004121E5" w:rsidP="004121E5">
      <w:pPr>
        <w:spacing w:after="120"/>
        <w:jc w:val="both"/>
        <w:rPr>
          <w:rFonts w:ascii="Arial" w:hAnsi="Arial" w:cs="Arial"/>
          <w:sz w:val="18"/>
          <w:szCs w:val="18"/>
        </w:rPr>
      </w:pPr>
      <w:r w:rsidRPr="004121E5">
        <w:rPr>
          <w:rFonts w:ascii="Arial" w:hAnsi="Arial" w:cs="Arial"/>
          <w:sz w:val="18"/>
          <w:szCs w:val="18"/>
        </w:rPr>
        <w:t xml:space="preserve">Tempo růstu </w:t>
      </w:r>
      <w:r w:rsidRPr="004121E5">
        <w:rPr>
          <w:rFonts w:ascii="Arial" w:hAnsi="Arial" w:cs="Arial"/>
          <w:b/>
          <w:sz w:val="18"/>
          <w:szCs w:val="18"/>
        </w:rPr>
        <w:t>vývozu států Evropské unie</w:t>
      </w:r>
      <w:r w:rsidRPr="004121E5">
        <w:rPr>
          <w:rFonts w:ascii="Arial" w:hAnsi="Arial" w:cs="Arial"/>
          <w:sz w:val="18"/>
          <w:szCs w:val="18"/>
        </w:rPr>
        <w:t xml:space="preserve"> v roce 2018 ve srovnání s předchozím rokem zpomalilo na 4,7 % z 7,6%, přičemž se jeho celková hodnota meziročně zvýšila o 245,0 mld. EUR na 5 476,7 mld. EUR. Celkový </w:t>
      </w:r>
      <w:r w:rsidRPr="004121E5">
        <w:rPr>
          <w:rFonts w:ascii="Arial" w:hAnsi="Arial" w:cs="Arial"/>
          <w:b/>
          <w:sz w:val="18"/>
          <w:szCs w:val="18"/>
        </w:rPr>
        <w:t>dovoz států EU</w:t>
      </w:r>
      <w:r w:rsidRPr="004121E5">
        <w:rPr>
          <w:rFonts w:ascii="Arial" w:hAnsi="Arial" w:cs="Arial"/>
          <w:sz w:val="18"/>
          <w:szCs w:val="18"/>
        </w:rPr>
        <w:t xml:space="preserve"> vzrostl o 5,6 % (288,0 mld. EUR) na 5 428,2 mld. EUR po přírůstku o 8,2 % v předchozím roce. Vývoz devatenácti států eurozóny v roce 2018 meziročně stoupl o 4,5 %, dovoz se zvýšil o 6,0 %.</w:t>
      </w:r>
    </w:p>
    <w:p w:rsidR="004121E5" w:rsidRPr="004121E5" w:rsidRDefault="004121E5" w:rsidP="003652CB">
      <w:pPr>
        <w:spacing w:after="240"/>
        <w:jc w:val="both"/>
        <w:rPr>
          <w:rFonts w:ascii="Arial" w:hAnsi="Arial" w:cs="Arial"/>
          <w:sz w:val="18"/>
          <w:szCs w:val="18"/>
        </w:rPr>
      </w:pPr>
      <w:r w:rsidRPr="004121E5">
        <w:rPr>
          <w:rFonts w:ascii="Arial" w:hAnsi="Arial" w:cs="Arial"/>
          <w:b/>
          <w:sz w:val="18"/>
          <w:szCs w:val="18"/>
        </w:rPr>
        <w:t xml:space="preserve">Česká republika </w:t>
      </w:r>
      <w:r w:rsidRPr="004121E5">
        <w:rPr>
          <w:rFonts w:ascii="Arial" w:hAnsi="Arial" w:cs="Arial"/>
          <w:sz w:val="18"/>
          <w:szCs w:val="18"/>
        </w:rPr>
        <w:t xml:space="preserve">se na vývozu států EU podílela 3,1%, na dovozu činil její podíl 2,9 %. Ve srovnání s rokem 2017 zůstal její příspěvek na vývozu ve stejné výši, na dovozu o 0,1 p. b. </w:t>
      </w:r>
      <w:proofErr w:type="gramStart"/>
      <w:r w:rsidRPr="004121E5">
        <w:rPr>
          <w:rFonts w:ascii="Arial" w:hAnsi="Arial" w:cs="Arial"/>
          <w:sz w:val="18"/>
          <w:szCs w:val="18"/>
        </w:rPr>
        <w:t>vzrostl</w:t>
      </w:r>
      <w:proofErr w:type="gramEnd"/>
      <w:r w:rsidRPr="004121E5">
        <w:rPr>
          <w:rFonts w:ascii="Arial" w:hAnsi="Arial" w:cs="Arial"/>
          <w:sz w:val="18"/>
          <w:szCs w:val="18"/>
        </w:rPr>
        <w:t xml:space="preserve">. Podle dat </w:t>
      </w:r>
      <w:r>
        <w:rPr>
          <w:rFonts w:ascii="Arial" w:hAnsi="Arial" w:cs="Arial"/>
          <w:sz w:val="18"/>
          <w:szCs w:val="18"/>
        </w:rPr>
        <w:t>statistického úřadu Evropské unie</w:t>
      </w:r>
      <w:r w:rsidRPr="004121E5">
        <w:rPr>
          <w:rFonts w:ascii="Arial" w:hAnsi="Arial" w:cs="Arial"/>
          <w:sz w:val="18"/>
          <w:szCs w:val="18"/>
        </w:rPr>
        <w:t xml:space="preserve"> vzrostl český vývoz a dovoz v roce 2018 o 6,2 % a 8,3 % po růstu o 9,7</w:t>
      </w:r>
      <w:r>
        <w:rPr>
          <w:rFonts w:ascii="Arial" w:hAnsi="Arial" w:cs="Arial"/>
          <w:sz w:val="18"/>
          <w:szCs w:val="18"/>
        </w:rPr>
        <w:t xml:space="preserve"> % a </w:t>
      </w:r>
      <w:r w:rsidRPr="004121E5">
        <w:rPr>
          <w:rFonts w:ascii="Arial" w:hAnsi="Arial" w:cs="Arial"/>
          <w:sz w:val="18"/>
          <w:szCs w:val="18"/>
        </w:rPr>
        <w:t xml:space="preserve">11,8 % v předchozím roce. </w:t>
      </w:r>
    </w:p>
    <w:p w:rsidR="00E5471B" w:rsidRPr="006D7C7A" w:rsidRDefault="00BA7845" w:rsidP="00E5471B">
      <w:pPr>
        <w:spacing w:after="0"/>
        <w:jc w:val="both"/>
        <w:rPr>
          <w:rFonts w:ascii="Arial" w:hAnsi="Arial" w:cs="Arial"/>
          <w:b/>
          <w:sz w:val="18"/>
          <w:szCs w:val="18"/>
        </w:rPr>
      </w:pPr>
      <w:r w:rsidRPr="006D7C7A">
        <w:rPr>
          <w:rFonts w:ascii="Arial" w:hAnsi="Arial" w:cs="Arial"/>
          <w:b/>
          <w:sz w:val="18"/>
          <w:szCs w:val="18"/>
        </w:rPr>
        <w:t xml:space="preserve">Graf </w:t>
      </w:r>
      <w:r w:rsidR="00591368">
        <w:rPr>
          <w:rFonts w:ascii="Arial" w:hAnsi="Arial" w:cs="Arial"/>
          <w:b/>
          <w:sz w:val="18"/>
          <w:szCs w:val="18"/>
        </w:rPr>
        <w:t>20</w:t>
      </w:r>
      <w:r w:rsidRPr="006D7C7A">
        <w:rPr>
          <w:rFonts w:ascii="Arial" w:hAnsi="Arial" w:cs="Arial"/>
          <w:b/>
          <w:sz w:val="18"/>
          <w:szCs w:val="18"/>
        </w:rPr>
        <w:t xml:space="preserve"> - </w:t>
      </w:r>
      <w:r w:rsidR="00BD2C0E" w:rsidRPr="006D7C7A">
        <w:rPr>
          <w:rFonts w:ascii="Arial" w:hAnsi="Arial" w:cs="Arial"/>
          <w:b/>
          <w:sz w:val="18"/>
          <w:szCs w:val="18"/>
        </w:rPr>
        <w:t>Postavení</w:t>
      </w:r>
      <w:r w:rsidRPr="006D7C7A">
        <w:rPr>
          <w:rFonts w:ascii="Arial" w:hAnsi="Arial" w:cs="Arial"/>
          <w:b/>
          <w:sz w:val="18"/>
          <w:szCs w:val="18"/>
        </w:rPr>
        <w:t xml:space="preserve"> České republiky a jejích sousedních států</w:t>
      </w:r>
      <w:r w:rsidR="003E3F70" w:rsidRPr="006D7C7A">
        <w:rPr>
          <w:rFonts w:ascii="Arial" w:hAnsi="Arial" w:cs="Arial"/>
          <w:b/>
          <w:sz w:val="18"/>
          <w:szCs w:val="18"/>
        </w:rPr>
        <w:t xml:space="preserve"> </w:t>
      </w:r>
    </w:p>
    <w:p w:rsidR="00BA7845" w:rsidRPr="006D7C7A" w:rsidRDefault="00E5471B" w:rsidP="00A73C7B">
      <w:pPr>
        <w:spacing w:after="60"/>
        <w:jc w:val="both"/>
        <w:rPr>
          <w:rFonts w:ascii="Arial" w:hAnsi="Arial" w:cs="Arial"/>
          <w:b/>
          <w:sz w:val="18"/>
          <w:szCs w:val="18"/>
        </w:rPr>
      </w:pPr>
      <w:r w:rsidRPr="006D7C7A">
        <w:rPr>
          <w:rFonts w:ascii="Arial" w:hAnsi="Arial" w:cs="Arial"/>
          <w:b/>
          <w:sz w:val="18"/>
          <w:szCs w:val="18"/>
        </w:rPr>
        <w:tab/>
      </w:r>
      <w:r w:rsidR="004E1A15" w:rsidRPr="006D7C7A">
        <w:rPr>
          <w:rFonts w:ascii="Arial" w:hAnsi="Arial" w:cs="Arial"/>
          <w:b/>
          <w:sz w:val="18"/>
          <w:szCs w:val="18"/>
        </w:rPr>
        <w:t xml:space="preserve"> </w:t>
      </w:r>
      <w:r w:rsidR="00BD2C0E" w:rsidRPr="006D7C7A">
        <w:rPr>
          <w:rFonts w:ascii="Arial" w:hAnsi="Arial" w:cs="Arial"/>
          <w:b/>
          <w:sz w:val="18"/>
          <w:szCs w:val="18"/>
        </w:rPr>
        <w:t>ve</w:t>
      </w:r>
      <w:r w:rsidR="00BA7845" w:rsidRPr="006D7C7A">
        <w:rPr>
          <w:rFonts w:ascii="Arial" w:hAnsi="Arial" w:cs="Arial"/>
          <w:b/>
          <w:sz w:val="18"/>
          <w:szCs w:val="18"/>
        </w:rPr>
        <w:t xml:space="preserve"> vývozu a dovozu států EU jako celku v roce 201</w:t>
      </w:r>
      <w:r w:rsidR="006D7C7A">
        <w:rPr>
          <w:rFonts w:ascii="Arial" w:hAnsi="Arial" w:cs="Arial"/>
          <w:b/>
          <w:sz w:val="18"/>
          <w:szCs w:val="18"/>
        </w:rPr>
        <w:t>8</w:t>
      </w:r>
    </w:p>
    <w:p w:rsidR="00BA7845" w:rsidRPr="006D7C7A" w:rsidRDefault="00BA7845" w:rsidP="00BA7845">
      <w:pPr>
        <w:spacing w:after="0"/>
        <w:jc w:val="both"/>
        <w:rPr>
          <w:rFonts w:ascii="Arial" w:hAnsi="Arial" w:cs="Arial"/>
          <w:sz w:val="18"/>
          <w:szCs w:val="18"/>
        </w:rPr>
      </w:pPr>
      <w:r w:rsidRPr="006D7C7A">
        <w:rPr>
          <w:rFonts w:ascii="Arial" w:hAnsi="Arial" w:cs="Arial"/>
          <w:sz w:val="18"/>
          <w:szCs w:val="18"/>
        </w:rPr>
        <w:tab/>
      </w:r>
      <w:r w:rsidRPr="006D7C7A">
        <w:rPr>
          <w:rFonts w:ascii="Arial" w:hAnsi="Arial" w:cs="Arial"/>
          <w:sz w:val="18"/>
          <w:szCs w:val="18"/>
        </w:rPr>
        <w:tab/>
        <w:t xml:space="preserve">     </w:t>
      </w:r>
      <w:r w:rsidR="00F30639" w:rsidRPr="006D7C7A">
        <w:rPr>
          <w:rFonts w:ascii="Arial" w:hAnsi="Arial" w:cs="Arial"/>
          <w:sz w:val="18"/>
          <w:szCs w:val="18"/>
        </w:rPr>
        <w:t xml:space="preserve">   </w:t>
      </w:r>
      <w:r w:rsidR="00E832B1" w:rsidRPr="006D7C7A">
        <w:rPr>
          <w:rFonts w:ascii="Arial" w:hAnsi="Arial" w:cs="Arial"/>
          <w:sz w:val="18"/>
          <w:szCs w:val="18"/>
        </w:rPr>
        <w:t xml:space="preserve">  </w:t>
      </w:r>
      <w:r w:rsidRPr="006D7C7A">
        <w:rPr>
          <w:rFonts w:ascii="Arial" w:hAnsi="Arial" w:cs="Arial"/>
          <w:sz w:val="18"/>
          <w:szCs w:val="18"/>
        </w:rPr>
        <w:t xml:space="preserve"> vývoz</w:t>
      </w:r>
      <w:r w:rsidRPr="006D7C7A">
        <w:rPr>
          <w:rFonts w:ascii="Arial" w:hAnsi="Arial" w:cs="Arial"/>
          <w:sz w:val="18"/>
          <w:szCs w:val="18"/>
        </w:rPr>
        <w:tab/>
      </w:r>
      <w:r w:rsidRPr="006D7C7A">
        <w:rPr>
          <w:rFonts w:ascii="Arial" w:hAnsi="Arial" w:cs="Arial"/>
          <w:sz w:val="18"/>
          <w:szCs w:val="18"/>
        </w:rPr>
        <w:tab/>
      </w:r>
      <w:r w:rsidRPr="006D7C7A">
        <w:rPr>
          <w:rFonts w:ascii="Arial" w:hAnsi="Arial" w:cs="Arial"/>
          <w:sz w:val="18"/>
          <w:szCs w:val="18"/>
        </w:rPr>
        <w:tab/>
      </w:r>
      <w:r w:rsidRPr="006D7C7A">
        <w:rPr>
          <w:rFonts w:ascii="Arial" w:hAnsi="Arial" w:cs="Arial"/>
          <w:sz w:val="18"/>
          <w:szCs w:val="18"/>
        </w:rPr>
        <w:tab/>
      </w:r>
      <w:r w:rsidRPr="006D7C7A">
        <w:rPr>
          <w:rFonts w:ascii="Arial" w:hAnsi="Arial" w:cs="Arial"/>
          <w:sz w:val="18"/>
          <w:szCs w:val="18"/>
        </w:rPr>
        <w:tab/>
      </w:r>
      <w:r w:rsidRPr="006D7C7A">
        <w:rPr>
          <w:rFonts w:ascii="Arial" w:hAnsi="Arial" w:cs="Arial"/>
          <w:sz w:val="18"/>
          <w:szCs w:val="18"/>
        </w:rPr>
        <w:tab/>
        <w:t xml:space="preserve">     </w:t>
      </w:r>
      <w:r w:rsidR="00F30639" w:rsidRPr="006D7C7A">
        <w:rPr>
          <w:rFonts w:ascii="Arial" w:hAnsi="Arial" w:cs="Arial"/>
          <w:sz w:val="18"/>
          <w:szCs w:val="18"/>
        </w:rPr>
        <w:t xml:space="preserve">     </w:t>
      </w:r>
      <w:r w:rsidRPr="006D7C7A">
        <w:rPr>
          <w:rFonts w:ascii="Arial" w:hAnsi="Arial" w:cs="Arial"/>
          <w:sz w:val="18"/>
          <w:szCs w:val="18"/>
        </w:rPr>
        <w:t xml:space="preserve"> dovoz</w:t>
      </w:r>
    </w:p>
    <w:p w:rsidR="00BA7845" w:rsidRPr="001A57EA" w:rsidRDefault="00676458" w:rsidP="00482DDA">
      <w:pPr>
        <w:spacing w:after="120"/>
        <w:jc w:val="both"/>
        <w:rPr>
          <w:rFonts w:ascii="Arial" w:hAnsi="Arial" w:cs="Arial"/>
          <w:color w:val="FF0000"/>
          <w:sz w:val="18"/>
          <w:szCs w:val="18"/>
        </w:rPr>
      </w:pPr>
      <w:r>
        <w:rPr>
          <w:rFonts w:ascii="Arial" w:hAnsi="Arial" w:cs="Arial"/>
          <w:color w:val="FF0000"/>
          <w:sz w:val="18"/>
          <w:szCs w:val="18"/>
        </w:rPr>
        <w:pict>
          <v:shape id="_x0000_i1050" type="#_x0000_t75" style="width:221.25pt;height:137.25pt">
            <v:imagedata r:id="rId35" o:title=""/>
          </v:shape>
        </w:pict>
      </w:r>
      <w:r w:rsidR="006D7C7A">
        <w:rPr>
          <w:rFonts w:ascii="Arial" w:hAnsi="Arial" w:cs="Arial"/>
          <w:color w:val="FF0000"/>
          <w:sz w:val="18"/>
          <w:szCs w:val="18"/>
        </w:rPr>
        <w:t xml:space="preserve">              </w:t>
      </w:r>
      <w:r>
        <w:rPr>
          <w:rFonts w:ascii="Arial" w:hAnsi="Arial" w:cs="Arial"/>
          <w:color w:val="FF0000"/>
          <w:sz w:val="18"/>
          <w:szCs w:val="18"/>
        </w:rPr>
        <w:pict>
          <v:shape id="_x0000_i1051" type="#_x0000_t75" style="width:221.25pt;height:137.25pt">
            <v:imagedata r:id="rId36" o:title=""/>
          </v:shape>
        </w:pict>
      </w:r>
      <w:r w:rsidR="003911A7" w:rsidRPr="001A57EA">
        <w:rPr>
          <w:rFonts w:ascii="Arial" w:hAnsi="Arial" w:cs="Arial"/>
          <w:color w:val="FF0000"/>
          <w:sz w:val="18"/>
          <w:szCs w:val="18"/>
        </w:rPr>
        <w:t xml:space="preserve">              </w:t>
      </w:r>
    </w:p>
    <w:p w:rsidR="004121E5" w:rsidRDefault="004121E5" w:rsidP="003652CB">
      <w:pPr>
        <w:spacing w:after="120"/>
        <w:jc w:val="both"/>
        <w:rPr>
          <w:rFonts w:ascii="Arial" w:hAnsi="Arial" w:cs="Arial"/>
          <w:sz w:val="18"/>
          <w:szCs w:val="18"/>
        </w:rPr>
      </w:pPr>
      <w:r w:rsidRPr="004121E5">
        <w:rPr>
          <w:rFonts w:ascii="Arial" w:hAnsi="Arial" w:cs="Arial"/>
          <w:b/>
          <w:sz w:val="18"/>
          <w:szCs w:val="18"/>
        </w:rPr>
        <w:t>Bilance států EU</w:t>
      </w:r>
      <w:r w:rsidRPr="004121E5">
        <w:rPr>
          <w:rFonts w:ascii="Arial" w:hAnsi="Arial" w:cs="Arial"/>
          <w:sz w:val="18"/>
          <w:szCs w:val="18"/>
        </w:rPr>
        <w:t xml:space="preserve"> celkem skončila </w:t>
      </w:r>
      <w:r w:rsidRPr="004121E5">
        <w:rPr>
          <w:rFonts w:ascii="Arial" w:hAnsi="Arial" w:cs="Arial"/>
          <w:b/>
          <w:sz w:val="18"/>
          <w:szCs w:val="18"/>
        </w:rPr>
        <w:t>přebytkem</w:t>
      </w:r>
      <w:r w:rsidRPr="004121E5">
        <w:rPr>
          <w:rFonts w:ascii="Arial" w:hAnsi="Arial" w:cs="Arial"/>
          <w:sz w:val="18"/>
          <w:szCs w:val="18"/>
        </w:rPr>
        <w:t xml:space="preserve"> 48,3 mld. EUR, který byl ve srovnání s rokem 2017 o 43,0 mld. EUR nižší. Nejvyšší kladnou bilanci zaznamenalo Německo (232,3 mld. EUR), Nizozemsko (67,1 mld. EUR), Irsko (48,3</w:t>
      </w:r>
      <w:r>
        <w:rPr>
          <w:rFonts w:ascii="Arial" w:hAnsi="Arial" w:cs="Arial"/>
          <w:sz w:val="18"/>
          <w:szCs w:val="18"/>
        </w:rPr>
        <w:t> mld. </w:t>
      </w:r>
      <w:r w:rsidRPr="004121E5">
        <w:rPr>
          <w:rFonts w:ascii="Arial" w:hAnsi="Arial" w:cs="Arial"/>
          <w:sz w:val="18"/>
          <w:szCs w:val="18"/>
        </w:rPr>
        <w:t xml:space="preserve">EUR), Itálie (38,9 mld. EUR) a Česká republika (14,8 mld. EUR). </w:t>
      </w:r>
    </w:p>
    <w:p w:rsidR="004121E5" w:rsidRPr="004121E5" w:rsidRDefault="004121E5" w:rsidP="003652CB">
      <w:pPr>
        <w:spacing w:after="240"/>
        <w:jc w:val="both"/>
        <w:rPr>
          <w:rFonts w:ascii="Arial" w:hAnsi="Arial" w:cs="Arial"/>
          <w:sz w:val="18"/>
          <w:szCs w:val="18"/>
        </w:rPr>
      </w:pPr>
      <w:r w:rsidRPr="004121E5">
        <w:rPr>
          <w:rFonts w:ascii="Arial" w:hAnsi="Arial" w:cs="Arial"/>
          <w:b/>
          <w:sz w:val="18"/>
          <w:szCs w:val="18"/>
        </w:rPr>
        <w:t>Deficitem</w:t>
      </w:r>
      <w:r w:rsidRPr="004121E5">
        <w:rPr>
          <w:rFonts w:ascii="Arial" w:hAnsi="Arial" w:cs="Arial"/>
          <w:sz w:val="18"/>
          <w:szCs w:val="18"/>
        </w:rPr>
        <w:t xml:space="preserve"> skončily zejména bilance Spojeného království (158,5 mld. EUR), Francie (76,6 mld. EUR), Španělska (36,4</w:t>
      </w:r>
      <w:r>
        <w:rPr>
          <w:rFonts w:ascii="Arial" w:hAnsi="Arial" w:cs="Arial"/>
          <w:sz w:val="18"/>
          <w:szCs w:val="18"/>
        </w:rPr>
        <w:t> </w:t>
      </w:r>
      <w:r w:rsidRPr="004121E5">
        <w:rPr>
          <w:rFonts w:ascii="Arial" w:hAnsi="Arial" w:cs="Arial"/>
          <w:sz w:val="18"/>
          <w:szCs w:val="18"/>
        </w:rPr>
        <w:t>mld. EUR) a Řecka (20,6 mld. EUR).</w:t>
      </w:r>
    </w:p>
    <w:p w:rsidR="00482DDA" w:rsidRDefault="00BA7845" w:rsidP="00E832B1">
      <w:pPr>
        <w:spacing w:after="80"/>
        <w:jc w:val="both"/>
        <w:rPr>
          <w:rFonts w:ascii="Arial" w:hAnsi="Arial" w:cs="Arial"/>
          <w:b/>
          <w:sz w:val="18"/>
          <w:szCs w:val="18"/>
        </w:rPr>
      </w:pPr>
      <w:r w:rsidRPr="00A91AB2">
        <w:rPr>
          <w:rFonts w:ascii="Arial" w:hAnsi="Arial" w:cs="Arial"/>
          <w:b/>
          <w:sz w:val="18"/>
          <w:szCs w:val="18"/>
        </w:rPr>
        <w:t xml:space="preserve">Graf </w:t>
      </w:r>
      <w:r w:rsidR="00591368">
        <w:rPr>
          <w:rFonts w:ascii="Arial" w:hAnsi="Arial" w:cs="Arial"/>
          <w:b/>
          <w:sz w:val="18"/>
          <w:szCs w:val="18"/>
        </w:rPr>
        <w:t>21</w:t>
      </w:r>
      <w:r w:rsidRPr="00A91AB2">
        <w:rPr>
          <w:rFonts w:ascii="Arial" w:hAnsi="Arial" w:cs="Arial"/>
          <w:b/>
          <w:sz w:val="18"/>
          <w:szCs w:val="18"/>
        </w:rPr>
        <w:t xml:space="preserve"> - Zahraniční obchod jednotlivých států EU</w:t>
      </w:r>
      <w:r w:rsidR="00504AF9" w:rsidRPr="00A91AB2">
        <w:rPr>
          <w:rStyle w:val="Znakapoznpodarou"/>
          <w:rFonts w:ascii="Arial" w:hAnsi="Arial" w:cs="Arial"/>
          <w:b/>
          <w:sz w:val="18"/>
          <w:szCs w:val="18"/>
        </w:rPr>
        <w:footnoteReference w:id="12"/>
      </w:r>
      <w:r w:rsidRPr="00A91AB2">
        <w:rPr>
          <w:rFonts w:ascii="Arial" w:hAnsi="Arial" w:cs="Arial"/>
          <w:b/>
          <w:sz w:val="18"/>
          <w:szCs w:val="18"/>
        </w:rPr>
        <w:t xml:space="preserve"> v roce 201</w:t>
      </w:r>
      <w:r w:rsidR="00A91AB2">
        <w:rPr>
          <w:rFonts w:ascii="Arial" w:hAnsi="Arial" w:cs="Arial"/>
          <w:b/>
          <w:sz w:val="18"/>
          <w:szCs w:val="18"/>
        </w:rPr>
        <w:t>8</w:t>
      </w:r>
    </w:p>
    <w:p w:rsidR="003652CB" w:rsidRDefault="003652CB" w:rsidP="003652CB">
      <w:pPr>
        <w:spacing w:after="0"/>
        <w:jc w:val="both"/>
        <w:rPr>
          <w:rFonts w:ascii="Arial" w:hAnsi="Arial" w:cs="Arial"/>
          <w:b/>
          <w:sz w:val="18"/>
          <w:szCs w:val="18"/>
        </w:rPr>
      </w:pPr>
      <w:r>
        <w:rPr>
          <w:rFonts w:ascii="Arial" w:hAnsi="Arial" w:cs="Arial"/>
          <w:b/>
          <w:sz w:val="18"/>
          <w:szCs w:val="18"/>
        </w:rPr>
        <w:pict>
          <v:shape id="_x0000_i1052" type="#_x0000_t75" style="width:491.25pt;height:237.75pt">
            <v:imagedata r:id="rId37" o:title=""/>
          </v:shape>
        </w:pict>
      </w:r>
    </w:p>
    <w:sectPr w:rsidR="003652CB" w:rsidSect="0044403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58" w:rsidRDefault="00676458" w:rsidP="00F2609D">
      <w:pPr>
        <w:spacing w:after="0" w:line="240" w:lineRule="auto"/>
      </w:pPr>
      <w:r>
        <w:separator/>
      </w:r>
    </w:p>
  </w:endnote>
  <w:endnote w:type="continuationSeparator" w:id="0">
    <w:p w:rsidR="00676458" w:rsidRDefault="00676458" w:rsidP="00F2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58" w:rsidRDefault="00676458" w:rsidP="00F2609D">
      <w:pPr>
        <w:spacing w:after="0" w:line="240" w:lineRule="auto"/>
      </w:pPr>
      <w:r>
        <w:separator/>
      </w:r>
    </w:p>
  </w:footnote>
  <w:footnote w:type="continuationSeparator" w:id="0">
    <w:p w:rsidR="00676458" w:rsidRDefault="00676458" w:rsidP="00F2609D">
      <w:pPr>
        <w:spacing w:after="0" w:line="240" w:lineRule="auto"/>
      </w:pPr>
      <w:r>
        <w:continuationSeparator/>
      </w:r>
    </w:p>
  </w:footnote>
  <w:footnote w:id="1">
    <w:p w:rsidR="00246346" w:rsidRDefault="00246346" w:rsidP="00652295">
      <w:pPr>
        <w:pStyle w:val="Textpoznpodarou"/>
        <w:spacing w:before="20" w:after="80"/>
        <w:jc w:val="both"/>
        <w:rPr>
          <w:rFonts w:ascii="Arial" w:hAnsi="Arial" w:cs="Arial"/>
          <w:sz w:val="16"/>
          <w:szCs w:val="16"/>
        </w:rPr>
      </w:pPr>
      <w:r w:rsidRPr="003448F8">
        <w:rPr>
          <w:rStyle w:val="Znakapoznpodarou"/>
          <w:rFonts w:ascii="Arial" w:hAnsi="Arial" w:cs="Arial"/>
          <w:sz w:val="16"/>
          <w:szCs w:val="16"/>
        </w:rPr>
        <w:footnoteRef/>
      </w:r>
      <w:r w:rsidRPr="003448F8">
        <w:rPr>
          <w:rFonts w:ascii="Arial" w:hAnsi="Arial" w:cs="Arial"/>
          <w:sz w:val="16"/>
          <w:szCs w:val="16"/>
        </w:rPr>
        <w:t xml:space="preserve"> </w:t>
      </w:r>
      <w:r w:rsidR="008E7107" w:rsidRPr="003448F8">
        <w:rPr>
          <w:rFonts w:ascii="Arial" w:hAnsi="Arial" w:cs="Arial"/>
          <w:sz w:val="16"/>
          <w:szCs w:val="16"/>
        </w:rPr>
        <w:t>Publikace „Zahraniční obchod České republiky se zbožím v roce 201</w:t>
      </w:r>
      <w:r w:rsidR="001A57EA">
        <w:rPr>
          <w:rFonts w:ascii="Arial" w:hAnsi="Arial" w:cs="Arial"/>
          <w:sz w:val="16"/>
          <w:szCs w:val="16"/>
        </w:rPr>
        <w:t>8</w:t>
      </w:r>
      <w:r w:rsidR="008E7107" w:rsidRPr="003448F8">
        <w:rPr>
          <w:rFonts w:ascii="Arial" w:hAnsi="Arial" w:cs="Arial"/>
          <w:sz w:val="16"/>
          <w:szCs w:val="16"/>
        </w:rPr>
        <w:t xml:space="preserve">“ </w:t>
      </w:r>
      <w:r w:rsidR="002B6B2E" w:rsidRPr="003448F8">
        <w:rPr>
          <w:rFonts w:ascii="Arial" w:hAnsi="Arial" w:cs="Arial"/>
          <w:sz w:val="16"/>
          <w:szCs w:val="16"/>
        </w:rPr>
        <w:t>obsahuje data</w:t>
      </w:r>
      <w:r w:rsidR="008E7107" w:rsidRPr="003448F8">
        <w:rPr>
          <w:rFonts w:ascii="Arial" w:hAnsi="Arial" w:cs="Arial"/>
          <w:sz w:val="16"/>
          <w:szCs w:val="16"/>
        </w:rPr>
        <w:t> </w:t>
      </w:r>
      <w:r w:rsidRPr="003448F8">
        <w:rPr>
          <w:rFonts w:ascii="Arial" w:hAnsi="Arial" w:cs="Arial"/>
          <w:sz w:val="16"/>
          <w:szCs w:val="16"/>
        </w:rPr>
        <w:t xml:space="preserve"> zahraničního obchodu</w:t>
      </w:r>
      <w:r w:rsidR="003C2F5C">
        <w:rPr>
          <w:rFonts w:ascii="Arial" w:hAnsi="Arial" w:cs="Arial"/>
          <w:sz w:val="16"/>
          <w:szCs w:val="16"/>
        </w:rPr>
        <w:t xml:space="preserve"> </w:t>
      </w:r>
      <w:r w:rsidR="003C2F5C" w:rsidRPr="00504AF9">
        <w:rPr>
          <w:rFonts w:ascii="Arial" w:hAnsi="Arial" w:cs="Arial"/>
          <w:b/>
          <w:sz w:val="16"/>
          <w:szCs w:val="16"/>
        </w:rPr>
        <w:t>v přeshraničním pojetí</w:t>
      </w:r>
      <w:r w:rsidR="008E7107" w:rsidRPr="003448F8">
        <w:rPr>
          <w:rFonts w:ascii="Arial" w:hAnsi="Arial" w:cs="Arial"/>
          <w:sz w:val="16"/>
          <w:szCs w:val="16"/>
        </w:rPr>
        <w:t>, které</w:t>
      </w:r>
      <w:r w:rsidR="00721A0F" w:rsidRPr="003448F8">
        <w:rPr>
          <w:rFonts w:ascii="Arial" w:hAnsi="Arial" w:cs="Arial"/>
          <w:sz w:val="16"/>
          <w:szCs w:val="16"/>
        </w:rPr>
        <w:t xml:space="preserve"> </w:t>
      </w:r>
      <w:r w:rsidRPr="003448F8">
        <w:rPr>
          <w:rFonts w:ascii="Arial" w:hAnsi="Arial" w:cs="Arial"/>
          <w:sz w:val="16"/>
          <w:szCs w:val="16"/>
        </w:rPr>
        <w:t>vypovídá výhradně o fyzickém pohybu zboží přes hranice bez ohledu na to, zda dochází k obchodu mezi českými a zahraničními subjekty. Tyto údaje jsou mezinárodně srovnatelné a mohou sloužit jako indikátor vývoje hodnoty obchodu.</w:t>
      </w:r>
    </w:p>
    <w:p w:rsidR="003C2F5C" w:rsidRDefault="003C2F5C" w:rsidP="003C2F5C">
      <w:pPr>
        <w:pStyle w:val="Textpoznpodarou"/>
        <w:spacing w:after="80"/>
        <w:jc w:val="both"/>
        <w:rPr>
          <w:rFonts w:ascii="Arial" w:hAnsi="Arial" w:cs="Arial"/>
          <w:sz w:val="16"/>
          <w:szCs w:val="16"/>
        </w:rPr>
      </w:pPr>
      <w:r w:rsidRPr="003448F8">
        <w:rPr>
          <w:rFonts w:ascii="Arial" w:hAnsi="Arial" w:cs="Arial"/>
          <w:sz w:val="16"/>
          <w:szCs w:val="16"/>
        </w:rPr>
        <w:t>Od roku 2016 byla aktualizována metodika zahraničního obchodu pro zachycení dovozu zemního plynu. V datech není zohledněn dopad v letech 2014 (v odhadované hodnotě 4,4 mld. Kč) a 2015 (v odhadované hodnotě 16,2 mld. Kč).</w:t>
      </w:r>
    </w:p>
    <w:p w:rsidR="003C2F5C" w:rsidRPr="00504AF9" w:rsidRDefault="003C2F5C" w:rsidP="003C2F5C">
      <w:pPr>
        <w:pStyle w:val="Textpoznpodarou"/>
        <w:jc w:val="both"/>
        <w:rPr>
          <w:rFonts w:ascii="Arial" w:hAnsi="Arial" w:cs="Arial"/>
          <w:b/>
          <w:sz w:val="16"/>
          <w:szCs w:val="16"/>
        </w:rPr>
      </w:pPr>
      <w:r w:rsidRPr="00504AF9">
        <w:rPr>
          <w:rFonts w:ascii="Arial" w:hAnsi="Arial" w:cs="Arial"/>
          <w:b/>
          <w:sz w:val="16"/>
          <w:szCs w:val="16"/>
        </w:rPr>
        <w:t>Údaje za rok 201</w:t>
      </w:r>
      <w:r w:rsidR="001A57EA">
        <w:rPr>
          <w:rFonts w:ascii="Arial" w:hAnsi="Arial" w:cs="Arial"/>
          <w:b/>
          <w:sz w:val="16"/>
          <w:szCs w:val="16"/>
        </w:rPr>
        <w:t>7</w:t>
      </w:r>
      <w:r w:rsidRPr="00504AF9">
        <w:rPr>
          <w:rFonts w:ascii="Arial" w:hAnsi="Arial" w:cs="Arial"/>
          <w:b/>
          <w:sz w:val="16"/>
          <w:szCs w:val="16"/>
        </w:rPr>
        <w:t xml:space="preserve"> a 201</w:t>
      </w:r>
      <w:r w:rsidR="001A57EA">
        <w:rPr>
          <w:rFonts w:ascii="Arial" w:hAnsi="Arial" w:cs="Arial"/>
          <w:b/>
          <w:sz w:val="16"/>
          <w:szCs w:val="16"/>
        </w:rPr>
        <w:t>8</w:t>
      </w:r>
      <w:r w:rsidRPr="00504AF9">
        <w:rPr>
          <w:rFonts w:ascii="Arial" w:hAnsi="Arial" w:cs="Arial"/>
          <w:b/>
          <w:sz w:val="16"/>
          <w:szCs w:val="16"/>
        </w:rPr>
        <w:t xml:space="preserve"> jsou definitivní.</w:t>
      </w:r>
    </w:p>
    <w:p w:rsidR="003C2F5C" w:rsidRPr="003C2F5C" w:rsidRDefault="003C2F5C" w:rsidP="003448F8">
      <w:pPr>
        <w:pStyle w:val="Textpoznpodarou"/>
        <w:spacing w:after="80"/>
        <w:jc w:val="both"/>
        <w:rPr>
          <w:rFonts w:ascii="Arial" w:hAnsi="Arial" w:cs="Arial"/>
          <w:sz w:val="8"/>
          <w:szCs w:val="8"/>
        </w:rPr>
      </w:pPr>
    </w:p>
  </w:footnote>
  <w:footnote w:id="2">
    <w:p w:rsidR="00A8529B" w:rsidRPr="00526451" w:rsidRDefault="00A8529B" w:rsidP="00A8529B">
      <w:pPr>
        <w:pStyle w:val="Textpoznpodarou"/>
        <w:jc w:val="both"/>
        <w:rPr>
          <w:rFonts w:ascii="Arial" w:hAnsi="Arial" w:cs="Arial"/>
          <w:sz w:val="16"/>
          <w:szCs w:val="16"/>
        </w:rPr>
      </w:pPr>
      <w:r w:rsidRPr="00526451">
        <w:rPr>
          <w:rStyle w:val="Znakapoznpodarou"/>
          <w:rFonts w:ascii="Arial" w:hAnsi="Arial" w:cs="Arial"/>
          <w:sz w:val="16"/>
          <w:szCs w:val="16"/>
        </w:rPr>
        <w:footnoteRef/>
      </w:r>
      <w:r w:rsidRPr="00526451">
        <w:rPr>
          <w:rFonts w:ascii="Arial" w:hAnsi="Arial" w:cs="Arial"/>
          <w:sz w:val="16"/>
          <w:szCs w:val="16"/>
        </w:rPr>
        <w:t xml:space="preserve">  V lednu až prosinci 201</w:t>
      </w:r>
      <w:r w:rsidR="00526451">
        <w:rPr>
          <w:rFonts w:ascii="Arial" w:hAnsi="Arial" w:cs="Arial"/>
          <w:sz w:val="16"/>
          <w:szCs w:val="16"/>
        </w:rPr>
        <w:t>8</w:t>
      </w:r>
      <w:r w:rsidRPr="00526451">
        <w:rPr>
          <w:rFonts w:ascii="Arial" w:hAnsi="Arial" w:cs="Arial"/>
          <w:sz w:val="16"/>
          <w:szCs w:val="16"/>
        </w:rPr>
        <w:t xml:space="preserve"> proti lednu až prosinci 201</w:t>
      </w:r>
      <w:r w:rsidR="00526451">
        <w:rPr>
          <w:rFonts w:ascii="Arial" w:hAnsi="Arial" w:cs="Arial"/>
          <w:sz w:val="16"/>
          <w:szCs w:val="16"/>
        </w:rPr>
        <w:t>7</w:t>
      </w:r>
      <w:r w:rsidRPr="00526451">
        <w:rPr>
          <w:rFonts w:ascii="Arial" w:hAnsi="Arial" w:cs="Arial"/>
          <w:sz w:val="16"/>
          <w:szCs w:val="16"/>
        </w:rPr>
        <w:t xml:space="preserve"> posílila Kč vůči </w:t>
      </w:r>
      <w:r w:rsidR="000B2E3A" w:rsidRPr="00526451">
        <w:rPr>
          <w:rFonts w:ascii="Arial" w:hAnsi="Arial" w:cs="Arial"/>
          <w:sz w:val="16"/>
          <w:szCs w:val="16"/>
        </w:rPr>
        <w:t>euru</w:t>
      </w:r>
      <w:r w:rsidRPr="00526451">
        <w:rPr>
          <w:rFonts w:ascii="Arial" w:hAnsi="Arial" w:cs="Arial"/>
          <w:sz w:val="16"/>
          <w:szCs w:val="16"/>
        </w:rPr>
        <w:t xml:space="preserve"> o 2,7 % a vůči USD o </w:t>
      </w:r>
      <w:r w:rsidR="00526451" w:rsidRPr="00526451">
        <w:rPr>
          <w:rFonts w:ascii="Arial" w:hAnsi="Arial" w:cs="Arial"/>
          <w:sz w:val="16"/>
          <w:szCs w:val="16"/>
        </w:rPr>
        <w:t>7,6</w:t>
      </w:r>
      <w:r w:rsidRPr="00526451">
        <w:rPr>
          <w:rFonts w:ascii="Arial" w:hAnsi="Arial" w:cs="Arial"/>
          <w:sz w:val="16"/>
          <w:szCs w:val="16"/>
        </w:rPr>
        <w:t xml:space="preserve"> %. Výrazné posílení koruny vůči americkému dolaru se projevilo zejména v </w:t>
      </w:r>
      <w:r w:rsidR="00526451" w:rsidRPr="00526451">
        <w:rPr>
          <w:rFonts w:ascii="Arial" w:hAnsi="Arial" w:cs="Arial"/>
          <w:sz w:val="16"/>
          <w:szCs w:val="16"/>
        </w:rPr>
        <w:t>první</w:t>
      </w:r>
      <w:r w:rsidRPr="00526451">
        <w:rPr>
          <w:rFonts w:ascii="Arial" w:hAnsi="Arial" w:cs="Arial"/>
          <w:sz w:val="16"/>
          <w:szCs w:val="16"/>
        </w:rPr>
        <w:t xml:space="preserve"> polovině roku 201</w:t>
      </w:r>
      <w:r w:rsidR="00526451" w:rsidRPr="00526451">
        <w:rPr>
          <w:rFonts w:ascii="Arial" w:hAnsi="Arial" w:cs="Arial"/>
          <w:sz w:val="16"/>
          <w:szCs w:val="16"/>
        </w:rPr>
        <w:t>8</w:t>
      </w:r>
      <w:r w:rsidRPr="00526451">
        <w:rPr>
          <w:rFonts w:ascii="Arial" w:hAnsi="Arial" w:cs="Arial"/>
          <w:sz w:val="16"/>
          <w:szCs w:val="16"/>
        </w:rPr>
        <w:t>.</w:t>
      </w:r>
    </w:p>
  </w:footnote>
  <w:footnote w:id="3">
    <w:p w:rsidR="000759EC" w:rsidRPr="007C5401" w:rsidRDefault="000759EC" w:rsidP="00652295">
      <w:pPr>
        <w:pStyle w:val="Textpoznpodarou"/>
        <w:spacing w:before="20" w:after="80"/>
        <w:jc w:val="both"/>
        <w:rPr>
          <w:rFonts w:ascii="Arial" w:hAnsi="Arial" w:cs="Arial"/>
          <w:sz w:val="16"/>
          <w:szCs w:val="16"/>
        </w:rPr>
      </w:pPr>
      <w:r w:rsidRPr="007C5401">
        <w:rPr>
          <w:rStyle w:val="Znakapoznpodarou"/>
          <w:rFonts w:ascii="Arial" w:hAnsi="Arial" w:cs="Arial"/>
          <w:sz w:val="16"/>
          <w:szCs w:val="16"/>
        </w:rPr>
        <w:footnoteRef/>
      </w:r>
      <w:r w:rsidRPr="007C5401">
        <w:rPr>
          <w:rFonts w:ascii="Arial" w:hAnsi="Arial" w:cs="Arial"/>
          <w:sz w:val="16"/>
          <w:szCs w:val="16"/>
        </w:rPr>
        <w:t xml:space="preserve"> </w:t>
      </w:r>
      <w:r w:rsidRPr="00CF54D8">
        <w:rPr>
          <w:rFonts w:ascii="Arial" w:hAnsi="Arial" w:cs="Arial"/>
          <w:b/>
          <w:sz w:val="16"/>
          <w:szCs w:val="16"/>
        </w:rPr>
        <w:t>Státy EU</w:t>
      </w:r>
      <w:r w:rsidRPr="007C5401">
        <w:rPr>
          <w:rFonts w:ascii="Arial" w:hAnsi="Arial" w:cs="Arial"/>
          <w:sz w:val="16"/>
          <w:szCs w:val="16"/>
        </w:rPr>
        <w:t xml:space="preserve"> </w:t>
      </w:r>
      <w:r>
        <w:rPr>
          <w:rFonts w:ascii="Arial" w:hAnsi="Arial" w:cs="Arial"/>
          <w:sz w:val="16"/>
          <w:szCs w:val="16"/>
        </w:rPr>
        <w:t>-</w:t>
      </w:r>
      <w:r w:rsidRPr="007C5401">
        <w:rPr>
          <w:rFonts w:ascii="Arial" w:hAnsi="Arial" w:cs="Arial"/>
          <w:sz w:val="16"/>
          <w:szCs w:val="16"/>
        </w:rPr>
        <w:t xml:space="preserve"> státy Evropské unie (28 členských států): Belgie, Bulharsko, Česká republika, Dánsko, Estonsko, Finsko, Francie, </w:t>
      </w:r>
      <w:r>
        <w:rPr>
          <w:rFonts w:ascii="Arial" w:hAnsi="Arial" w:cs="Arial"/>
          <w:sz w:val="16"/>
          <w:szCs w:val="16"/>
        </w:rPr>
        <w:t xml:space="preserve">Chorvatsko, </w:t>
      </w:r>
      <w:r w:rsidRPr="007C5401">
        <w:rPr>
          <w:rFonts w:ascii="Arial" w:hAnsi="Arial" w:cs="Arial"/>
          <w:sz w:val="16"/>
          <w:szCs w:val="16"/>
        </w:rPr>
        <w:t>Irsko, Itálie, Kypr, Litva, Lotyšsko, Lucembursko, Maďarsko, Malta, Německo, Nizozemsko, Polsko, Portugalsko, Rakousko, Rumunsko, Řecko, Slovensko, Slovinsko, Spojené království, Španělsko, Švédsko.</w:t>
      </w:r>
    </w:p>
  </w:footnote>
  <w:footnote w:id="4">
    <w:p w:rsidR="00B26EB3" w:rsidRPr="003B7C15" w:rsidRDefault="00B26EB3" w:rsidP="00652295">
      <w:pPr>
        <w:pStyle w:val="Textpoznpodarou"/>
        <w:jc w:val="both"/>
        <w:rPr>
          <w:rFonts w:ascii="Arial" w:hAnsi="Arial" w:cs="Arial"/>
          <w:sz w:val="16"/>
          <w:szCs w:val="16"/>
        </w:rPr>
      </w:pPr>
      <w:r>
        <w:rPr>
          <w:rStyle w:val="Znakapoznpodarou"/>
        </w:rPr>
        <w:footnoteRef/>
      </w:r>
      <w:r>
        <w:t xml:space="preserve"> </w:t>
      </w:r>
      <w:r w:rsidRPr="003B7C15">
        <w:rPr>
          <w:rFonts w:ascii="Arial" w:hAnsi="Arial" w:cs="Arial"/>
          <w:sz w:val="16"/>
          <w:szCs w:val="16"/>
        </w:rPr>
        <w:t xml:space="preserve">Podíl </w:t>
      </w:r>
      <w:r w:rsidRPr="00CF54D8">
        <w:rPr>
          <w:rFonts w:ascii="Arial" w:hAnsi="Arial" w:cs="Arial"/>
          <w:b/>
          <w:sz w:val="16"/>
          <w:szCs w:val="16"/>
        </w:rPr>
        <w:t>nespecifikovaných států</w:t>
      </w:r>
      <w:r w:rsidRPr="003B7C15">
        <w:rPr>
          <w:rFonts w:ascii="Arial" w:hAnsi="Arial" w:cs="Arial"/>
          <w:sz w:val="16"/>
          <w:szCs w:val="16"/>
        </w:rPr>
        <w:t xml:space="preserve"> v roce 201</w:t>
      </w:r>
      <w:r w:rsidR="001D6C2A">
        <w:rPr>
          <w:rFonts w:ascii="Arial" w:hAnsi="Arial" w:cs="Arial"/>
          <w:sz w:val="16"/>
          <w:szCs w:val="16"/>
        </w:rPr>
        <w:t>8</w:t>
      </w:r>
      <w:r w:rsidRPr="003B7C15">
        <w:rPr>
          <w:rFonts w:ascii="Arial" w:hAnsi="Arial" w:cs="Arial"/>
          <w:sz w:val="16"/>
          <w:szCs w:val="16"/>
        </w:rPr>
        <w:t xml:space="preserve"> na celkovém obratu zahraničního </w:t>
      </w:r>
      <w:r w:rsidRPr="00E32B0F">
        <w:rPr>
          <w:rFonts w:ascii="Arial" w:hAnsi="Arial" w:cs="Arial"/>
          <w:sz w:val="16"/>
          <w:szCs w:val="16"/>
        </w:rPr>
        <w:t>obchodu tvořil 0,</w:t>
      </w:r>
      <w:r w:rsidR="00E32B0F" w:rsidRPr="00E32B0F">
        <w:rPr>
          <w:rFonts w:ascii="Arial" w:hAnsi="Arial" w:cs="Arial"/>
          <w:sz w:val="16"/>
          <w:szCs w:val="16"/>
        </w:rPr>
        <w:t>2</w:t>
      </w:r>
      <w:r w:rsidRPr="00E32B0F">
        <w:rPr>
          <w:rFonts w:ascii="Arial" w:hAnsi="Arial" w:cs="Arial"/>
          <w:sz w:val="16"/>
          <w:szCs w:val="16"/>
        </w:rPr>
        <w:t xml:space="preserve"> %.</w:t>
      </w:r>
      <w:r w:rsidR="00652295" w:rsidRPr="00E32B0F">
        <w:rPr>
          <w:rFonts w:ascii="Arial" w:hAnsi="Arial" w:cs="Arial"/>
          <w:sz w:val="16"/>
          <w:szCs w:val="16"/>
        </w:rPr>
        <w:t xml:space="preserve"> Kód země</w:t>
      </w:r>
      <w:r w:rsidR="00652295">
        <w:rPr>
          <w:rFonts w:ascii="Arial" w:hAnsi="Arial" w:cs="Arial"/>
          <w:sz w:val="16"/>
          <w:szCs w:val="16"/>
        </w:rPr>
        <w:t xml:space="preserve"> nespecifikováno používá zpravodajská jednotka v případech, kdy nemá žádné informace o původu zboží.</w:t>
      </w:r>
    </w:p>
  </w:footnote>
  <w:footnote w:id="5">
    <w:p w:rsidR="00002E80" w:rsidRDefault="00002E80">
      <w:pPr>
        <w:pStyle w:val="Textpoznpodarou"/>
      </w:pPr>
      <w:r>
        <w:rPr>
          <w:rStyle w:val="Znakapoznpodarou"/>
        </w:rPr>
        <w:footnoteRef/>
      </w:r>
      <w:r>
        <w:t xml:space="preserve"> </w:t>
      </w:r>
      <w:r>
        <w:rPr>
          <w:rFonts w:ascii="Arial" w:hAnsi="Arial" w:cs="Arial"/>
          <w:sz w:val="16"/>
          <w:szCs w:val="16"/>
        </w:rPr>
        <w:t>Dovoz zboží z Německa dosáhl v roce 201</w:t>
      </w:r>
      <w:r w:rsidR="000259BA">
        <w:rPr>
          <w:rFonts w:ascii="Arial" w:hAnsi="Arial" w:cs="Arial"/>
          <w:sz w:val="16"/>
          <w:szCs w:val="16"/>
        </w:rPr>
        <w:t>8</w:t>
      </w:r>
      <w:r>
        <w:rPr>
          <w:rFonts w:ascii="Arial" w:hAnsi="Arial" w:cs="Arial"/>
          <w:sz w:val="16"/>
          <w:szCs w:val="16"/>
        </w:rPr>
        <w:t xml:space="preserve"> hodnoty </w:t>
      </w:r>
      <w:r w:rsidR="000259BA">
        <w:rPr>
          <w:rFonts w:ascii="Arial" w:hAnsi="Arial" w:cs="Arial"/>
          <w:sz w:val="16"/>
          <w:szCs w:val="16"/>
        </w:rPr>
        <w:t xml:space="preserve">1 007,1 </w:t>
      </w:r>
      <w:r>
        <w:rPr>
          <w:rFonts w:ascii="Arial" w:hAnsi="Arial" w:cs="Arial"/>
          <w:sz w:val="16"/>
          <w:szCs w:val="16"/>
        </w:rPr>
        <w:t>mld. Kč</w:t>
      </w:r>
      <w:r w:rsidR="000259BA">
        <w:rPr>
          <w:rFonts w:ascii="Arial" w:hAnsi="Arial" w:cs="Arial"/>
          <w:sz w:val="16"/>
          <w:szCs w:val="16"/>
        </w:rPr>
        <w:t xml:space="preserve"> (</w:t>
      </w:r>
      <w:r>
        <w:rPr>
          <w:rFonts w:ascii="Arial" w:hAnsi="Arial" w:cs="Arial"/>
          <w:sz w:val="16"/>
          <w:szCs w:val="16"/>
        </w:rPr>
        <w:t xml:space="preserve">v roce </w:t>
      </w:r>
      <w:r w:rsidR="000259BA">
        <w:rPr>
          <w:rFonts w:ascii="Arial" w:hAnsi="Arial" w:cs="Arial"/>
          <w:sz w:val="16"/>
          <w:szCs w:val="16"/>
        </w:rPr>
        <w:t xml:space="preserve">2017: 981,5 mld. Kč, </w:t>
      </w:r>
      <w:r>
        <w:rPr>
          <w:rFonts w:ascii="Arial" w:hAnsi="Arial" w:cs="Arial"/>
          <w:sz w:val="16"/>
          <w:szCs w:val="16"/>
        </w:rPr>
        <w:t>v roce 201</w:t>
      </w:r>
      <w:r w:rsidR="000259BA">
        <w:rPr>
          <w:rFonts w:ascii="Arial" w:hAnsi="Arial" w:cs="Arial"/>
          <w:sz w:val="16"/>
          <w:szCs w:val="16"/>
        </w:rPr>
        <w:t>6:</w:t>
      </w:r>
      <w:r>
        <w:rPr>
          <w:rFonts w:ascii="Arial" w:hAnsi="Arial" w:cs="Arial"/>
          <w:sz w:val="16"/>
          <w:szCs w:val="16"/>
        </w:rPr>
        <w:t xml:space="preserve"> </w:t>
      </w:r>
      <w:r w:rsidR="000259BA">
        <w:rPr>
          <w:rFonts w:ascii="Arial" w:hAnsi="Arial" w:cs="Arial"/>
          <w:sz w:val="16"/>
          <w:szCs w:val="16"/>
        </w:rPr>
        <w:t>924,1</w:t>
      </w:r>
      <w:r>
        <w:rPr>
          <w:rFonts w:ascii="Arial" w:hAnsi="Arial" w:cs="Arial"/>
          <w:sz w:val="16"/>
          <w:szCs w:val="16"/>
        </w:rPr>
        <w:t xml:space="preserve"> mld. Kč</w:t>
      </w:r>
      <w:r w:rsidR="000259BA">
        <w:rPr>
          <w:rFonts w:ascii="Arial" w:hAnsi="Arial" w:cs="Arial"/>
          <w:sz w:val="16"/>
          <w:szCs w:val="16"/>
        </w:rPr>
        <w:t>)</w:t>
      </w:r>
      <w:r>
        <w:rPr>
          <w:rFonts w:ascii="Arial" w:hAnsi="Arial" w:cs="Arial"/>
          <w:sz w:val="16"/>
          <w:szCs w:val="16"/>
        </w:rPr>
        <w:t>.</w:t>
      </w:r>
    </w:p>
  </w:footnote>
  <w:footnote w:id="6">
    <w:p w:rsidR="00313EA0" w:rsidRPr="00313EA0" w:rsidRDefault="00313EA0" w:rsidP="00313EA0">
      <w:pPr>
        <w:pStyle w:val="Textpoznpodarou"/>
        <w:jc w:val="both"/>
        <w:rPr>
          <w:rFonts w:ascii="Arial" w:hAnsi="Arial" w:cs="Arial"/>
          <w:sz w:val="16"/>
          <w:szCs w:val="16"/>
        </w:rPr>
      </w:pPr>
      <w:r w:rsidRPr="00313EA0">
        <w:rPr>
          <w:rStyle w:val="Znakapoznpodarou"/>
          <w:rFonts w:ascii="Arial" w:hAnsi="Arial" w:cs="Arial"/>
          <w:sz w:val="16"/>
          <w:szCs w:val="16"/>
        </w:rPr>
        <w:footnoteRef/>
      </w:r>
      <w:r w:rsidRPr="00313EA0">
        <w:rPr>
          <w:rFonts w:ascii="Arial" w:hAnsi="Arial" w:cs="Arial"/>
          <w:sz w:val="16"/>
          <w:szCs w:val="16"/>
        </w:rPr>
        <w:t xml:space="preserve"> Belgie (BE), Čína (CN), Francie (FR), Itálie (IT), Korejská republika (KR), Maďarsko (HU), Německo (DE), Nizozemsko</w:t>
      </w:r>
      <w:r>
        <w:rPr>
          <w:rFonts w:ascii="Arial" w:hAnsi="Arial" w:cs="Arial"/>
          <w:sz w:val="16"/>
          <w:szCs w:val="16"/>
        </w:rPr>
        <w:t xml:space="preserve"> (NL), Polsko </w:t>
      </w:r>
      <w:r w:rsidRPr="00313EA0">
        <w:rPr>
          <w:rFonts w:ascii="Arial" w:hAnsi="Arial" w:cs="Arial"/>
          <w:sz w:val="16"/>
          <w:szCs w:val="16"/>
        </w:rPr>
        <w:t>(PL), Rakousko (AT),</w:t>
      </w:r>
      <w:r>
        <w:rPr>
          <w:rFonts w:ascii="Arial" w:hAnsi="Arial" w:cs="Arial"/>
          <w:sz w:val="16"/>
          <w:szCs w:val="16"/>
        </w:rPr>
        <w:t xml:space="preserve"> Ruská federace (RU), Slovensko (SK), Spojené království (GB), Spojené státy (US), Španělsko (ES).</w:t>
      </w:r>
    </w:p>
  </w:footnote>
  <w:footnote w:id="7">
    <w:p w:rsidR="00F40231" w:rsidRPr="00CE57E0" w:rsidRDefault="00F40231" w:rsidP="00F40231">
      <w:pPr>
        <w:pStyle w:val="Textpoznpodarou"/>
        <w:spacing w:before="20"/>
        <w:jc w:val="both"/>
        <w:rPr>
          <w:rFonts w:ascii="Arial" w:hAnsi="Arial" w:cs="Arial"/>
          <w:sz w:val="16"/>
          <w:szCs w:val="16"/>
        </w:rPr>
      </w:pPr>
      <w:r w:rsidRPr="00CE57E0">
        <w:rPr>
          <w:rStyle w:val="Znakapoznpodarou"/>
          <w:rFonts w:ascii="Arial" w:hAnsi="Arial" w:cs="Arial"/>
          <w:sz w:val="16"/>
          <w:szCs w:val="16"/>
        </w:rPr>
        <w:footnoteRef/>
      </w:r>
      <w:r w:rsidRPr="00CE57E0">
        <w:rPr>
          <w:rFonts w:ascii="Arial" w:hAnsi="Arial" w:cs="Arial"/>
          <w:sz w:val="16"/>
          <w:szCs w:val="16"/>
        </w:rPr>
        <w:t xml:space="preserve"> Prvních </w:t>
      </w:r>
      <w:r>
        <w:rPr>
          <w:rFonts w:ascii="Arial" w:hAnsi="Arial" w:cs="Arial"/>
          <w:sz w:val="16"/>
          <w:szCs w:val="16"/>
        </w:rPr>
        <w:t>deset</w:t>
      </w:r>
      <w:r w:rsidRPr="00CE57E0">
        <w:rPr>
          <w:rFonts w:ascii="Arial" w:hAnsi="Arial" w:cs="Arial"/>
          <w:sz w:val="16"/>
          <w:szCs w:val="16"/>
        </w:rPr>
        <w:t xml:space="preserve"> států podle obratu zahraničního obchodu ČR v </w:t>
      </w:r>
      <w:r w:rsidRPr="001D6C2A">
        <w:rPr>
          <w:rFonts w:ascii="Arial" w:hAnsi="Arial" w:cs="Arial"/>
          <w:sz w:val="16"/>
          <w:szCs w:val="16"/>
        </w:rPr>
        <w:t>roce 2018</w:t>
      </w:r>
      <w:r w:rsidRPr="00F40231">
        <w:rPr>
          <w:rFonts w:ascii="Arial" w:hAnsi="Arial" w:cs="Arial"/>
          <w:sz w:val="16"/>
          <w:szCs w:val="16"/>
        </w:rPr>
        <w:t>: Německo, Čína, Polsko, Slovensko, Francie, Itálie</w:t>
      </w:r>
      <w:r>
        <w:rPr>
          <w:rFonts w:ascii="Arial" w:hAnsi="Arial" w:cs="Arial"/>
          <w:sz w:val="16"/>
          <w:szCs w:val="16"/>
        </w:rPr>
        <w:t>, Rakousko, Spojené království, Nizozemsko a Maďarsko.</w:t>
      </w:r>
    </w:p>
  </w:footnote>
  <w:footnote w:id="8">
    <w:p w:rsidR="008D0756" w:rsidRDefault="00803DE5" w:rsidP="00596654">
      <w:pPr>
        <w:pStyle w:val="Textpoznpodarou"/>
        <w:spacing w:before="20" w:after="80"/>
        <w:jc w:val="both"/>
        <w:rPr>
          <w:rFonts w:ascii="Arial" w:hAnsi="Arial" w:cs="Arial"/>
          <w:sz w:val="16"/>
          <w:szCs w:val="16"/>
        </w:rPr>
      </w:pPr>
      <w:r w:rsidRPr="00803DE5">
        <w:rPr>
          <w:rStyle w:val="Znakapoznpodarou"/>
          <w:rFonts w:ascii="Arial" w:hAnsi="Arial" w:cs="Arial"/>
          <w:sz w:val="16"/>
          <w:szCs w:val="16"/>
        </w:rPr>
        <w:footnoteRef/>
      </w:r>
      <w:r w:rsidRPr="00803DE5">
        <w:rPr>
          <w:rFonts w:ascii="Arial" w:hAnsi="Arial" w:cs="Arial"/>
          <w:sz w:val="16"/>
          <w:szCs w:val="16"/>
        </w:rPr>
        <w:t xml:space="preserve"> Standardní me</w:t>
      </w:r>
      <w:r>
        <w:rPr>
          <w:rFonts w:ascii="Arial" w:hAnsi="Arial" w:cs="Arial"/>
          <w:sz w:val="16"/>
          <w:szCs w:val="16"/>
        </w:rPr>
        <w:t>zinárodní klasifikace zboží (SITC) je mezinárodní klasifikace zboží vypracovaná Statistickým úřadem O</w:t>
      </w:r>
      <w:r w:rsidR="008D0756">
        <w:rPr>
          <w:rFonts w:ascii="Arial" w:hAnsi="Arial" w:cs="Arial"/>
          <w:sz w:val="16"/>
          <w:szCs w:val="16"/>
        </w:rPr>
        <w:t>rganizace spojených národů</w:t>
      </w:r>
      <w:r>
        <w:rPr>
          <w:rFonts w:ascii="Arial" w:hAnsi="Arial" w:cs="Arial"/>
          <w:sz w:val="16"/>
          <w:szCs w:val="16"/>
        </w:rPr>
        <w:t xml:space="preserve">. Poslední 4. revize byla </w:t>
      </w:r>
      <w:r w:rsidR="00180273">
        <w:rPr>
          <w:rFonts w:ascii="Arial" w:hAnsi="Arial" w:cs="Arial"/>
          <w:sz w:val="16"/>
          <w:szCs w:val="16"/>
        </w:rPr>
        <w:t xml:space="preserve">vydána </w:t>
      </w:r>
      <w:r>
        <w:rPr>
          <w:rFonts w:ascii="Arial" w:hAnsi="Arial" w:cs="Arial"/>
          <w:sz w:val="16"/>
          <w:szCs w:val="16"/>
        </w:rPr>
        <w:t>v roce 20</w:t>
      </w:r>
      <w:r w:rsidR="0015251B">
        <w:rPr>
          <w:rFonts w:ascii="Arial" w:hAnsi="Arial" w:cs="Arial"/>
          <w:sz w:val="16"/>
          <w:szCs w:val="16"/>
        </w:rPr>
        <w:t>0</w:t>
      </w:r>
      <w:r>
        <w:rPr>
          <w:rFonts w:ascii="Arial" w:hAnsi="Arial" w:cs="Arial"/>
          <w:sz w:val="16"/>
          <w:szCs w:val="16"/>
        </w:rPr>
        <w:t>6. Cílem je uspořádání zboží v rámci mezinárodního obchodu.</w:t>
      </w:r>
      <w:r w:rsidR="008D0756">
        <w:rPr>
          <w:rFonts w:ascii="Arial" w:hAnsi="Arial" w:cs="Arial"/>
          <w:sz w:val="16"/>
          <w:szCs w:val="16"/>
        </w:rPr>
        <w:t xml:space="preserve"> </w:t>
      </w:r>
      <w:r w:rsidR="00A81EF5">
        <w:rPr>
          <w:rFonts w:ascii="Arial" w:hAnsi="Arial" w:cs="Arial"/>
          <w:sz w:val="16"/>
          <w:szCs w:val="16"/>
        </w:rPr>
        <w:t>Současná </w:t>
      </w:r>
      <w:r w:rsidR="00EE7D8C">
        <w:rPr>
          <w:rFonts w:ascii="Arial" w:hAnsi="Arial" w:cs="Arial"/>
          <w:sz w:val="16"/>
          <w:szCs w:val="16"/>
        </w:rPr>
        <w:t>verze SITC</w:t>
      </w:r>
      <w:r w:rsidR="008D0756">
        <w:rPr>
          <w:rFonts w:ascii="Arial" w:hAnsi="Arial" w:cs="Arial"/>
          <w:sz w:val="16"/>
          <w:szCs w:val="16"/>
        </w:rPr>
        <w:t xml:space="preserve"> se skládá z 10 </w:t>
      </w:r>
      <w:r w:rsidR="00394544">
        <w:rPr>
          <w:rFonts w:ascii="Arial" w:hAnsi="Arial" w:cs="Arial"/>
          <w:sz w:val="16"/>
          <w:szCs w:val="16"/>
        </w:rPr>
        <w:t>tříd,</w:t>
      </w:r>
      <w:r w:rsidR="008D0756">
        <w:rPr>
          <w:rFonts w:ascii="Arial" w:hAnsi="Arial" w:cs="Arial"/>
          <w:sz w:val="16"/>
          <w:szCs w:val="16"/>
        </w:rPr>
        <w:t xml:space="preserve"> 67 </w:t>
      </w:r>
      <w:r w:rsidR="00394544">
        <w:rPr>
          <w:rFonts w:ascii="Arial" w:hAnsi="Arial" w:cs="Arial"/>
          <w:sz w:val="16"/>
          <w:szCs w:val="16"/>
        </w:rPr>
        <w:t xml:space="preserve">oddílů, 262 </w:t>
      </w:r>
      <w:r w:rsidR="008D0756">
        <w:rPr>
          <w:rFonts w:ascii="Arial" w:hAnsi="Arial" w:cs="Arial"/>
          <w:sz w:val="16"/>
          <w:szCs w:val="16"/>
        </w:rPr>
        <w:t xml:space="preserve">skupin, </w:t>
      </w:r>
      <w:r w:rsidR="00394544">
        <w:rPr>
          <w:rFonts w:ascii="Arial" w:hAnsi="Arial" w:cs="Arial"/>
          <w:sz w:val="16"/>
          <w:szCs w:val="16"/>
        </w:rPr>
        <w:t>1 023</w:t>
      </w:r>
      <w:r w:rsidR="008D0756">
        <w:rPr>
          <w:rFonts w:ascii="Arial" w:hAnsi="Arial" w:cs="Arial"/>
          <w:sz w:val="16"/>
          <w:szCs w:val="16"/>
        </w:rPr>
        <w:t xml:space="preserve"> podskupin a </w:t>
      </w:r>
      <w:r w:rsidR="0092455D">
        <w:rPr>
          <w:rFonts w:ascii="Arial" w:hAnsi="Arial" w:cs="Arial"/>
          <w:sz w:val="16"/>
          <w:szCs w:val="16"/>
        </w:rPr>
        <w:t>2 970</w:t>
      </w:r>
      <w:r w:rsidR="008D0756">
        <w:rPr>
          <w:rFonts w:ascii="Arial" w:hAnsi="Arial" w:cs="Arial"/>
          <w:sz w:val="16"/>
          <w:szCs w:val="16"/>
        </w:rPr>
        <w:t xml:space="preserve"> položek.</w:t>
      </w:r>
    </w:p>
    <w:p w:rsidR="00596654" w:rsidRPr="00803DE5" w:rsidRDefault="00596654" w:rsidP="00596654">
      <w:pPr>
        <w:pStyle w:val="Textpoznpodarou"/>
        <w:spacing w:before="20" w:after="160"/>
        <w:jc w:val="both"/>
        <w:rPr>
          <w:rFonts w:ascii="Arial" w:hAnsi="Arial" w:cs="Arial"/>
          <w:sz w:val="16"/>
          <w:szCs w:val="16"/>
        </w:rPr>
      </w:pPr>
      <w:r>
        <w:rPr>
          <w:rFonts w:ascii="Arial" w:hAnsi="Arial" w:cs="Arial"/>
          <w:sz w:val="16"/>
          <w:szCs w:val="16"/>
        </w:rPr>
        <w:t>Všech deset tříd podle SITC je vyjmenováno v grafu 1</w:t>
      </w:r>
      <w:r w:rsidR="00F5114F">
        <w:rPr>
          <w:rFonts w:ascii="Arial" w:hAnsi="Arial" w:cs="Arial"/>
          <w:sz w:val="16"/>
          <w:szCs w:val="16"/>
        </w:rPr>
        <w:t>4</w:t>
      </w:r>
      <w:r>
        <w:rPr>
          <w:rFonts w:ascii="Arial" w:hAnsi="Arial" w:cs="Arial"/>
          <w:sz w:val="16"/>
          <w:szCs w:val="16"/>
        </w:rPr>
        <w:t>.</w:t>
      </w:r>
    </w:p>
  </w:footnote>
  <w:footnote w:id="9">
    <w:p w:rsidR="00410256" w:rsidRDefault="00410256" w:rsidP="00410256">
      <w:pPr>
        <w:pStyle w:val="Textpoznpodarou"/>
      </w:pPr>
      <w:r>
        <w:rPr>
          <w:rStyle w:val="Znakapoznpodarou"/>
        </w:rPr>
        <w:footnoteRef/>
      </w:r>
      <w:r>
        <w:t xml:space="preserve"> </w:t>
      </w:r>
      <w:r>
        <w:rPr>
          <w:rFonts w:ascii="Arial" w:hAnsi="Arial" w:cs="Arial"/>
          <w:sz w:val="16"/>
          <w:szCs w:val="16"/>
        </w:rPr>
        <w:t xml:space="preserve">Třída 3 </w:t>
      </w:r>
      <w:r w:rsidRPr="001D1E4A">
        <w:rPr>
          <w:rFonts w:ascii="Arial" w:hAnsi="Arial" w:cs="Arial"/>
          <w:sz w:val="16"/>
          <w:szCs w:val="16"/>
        </w:rPr>
        <w:t>(</w:t>
      </w:r>
      <w:r>
        <w:rPr>
          <w:rFonts w:ascii="Arial" w:hAnsi="Arial" w:cs="Arial"/>
          <w:sz w:val="16"/>
          <w:szCs w:val="16"/>
        </w:rPr>
        <w:t>minerální paliva, maziva a příbuzné materiály</w:t>
      </w:r>
      <w:r w:rsidRPr="001D1E4A">
        <w:rPr>
          <w:rFonts w:ascii="Arial" w:hAnsi="Arial" w:cs="Arial"/>
          <w:sz w:val="16"/>
          <w:szCs w:val="16"/>
        </w:rPr>
        <w:t xml:space="preserve">) </w:t>
      </w:r>
      <w:r>
        <w:rPr>
          <w:rFonts w:ascii="Arial" w:hAnsi="Arial" w:cs="Arial"/>
          <w:sz w:val="16"/>
          <w:szCs w:val="16"/>
        </w:rPr>
        <w:t>podle SITC</w:t>
      </w:r>
      <w:r w:rsidRPr="001D1E4A">
        <w:rPr>
          <w:rFonts w:ascii="Arial" w:hAnsi="Arial" w:cs="Arial"/>
          <w:sz w:val="16"/>
          <w:szCs w:val="16"/>
        </w:rPr>
        <w:t xml:space="preserve"> se</w:t>
      </w:r>
      <w:r>
        <w:rPr>
          <w:rFonts w:ascii="Arial" w:hAnsi="Arial" w:cs="Arial"/>
          <w:sz w:val="16"/>
          <w:szCs w:val="16"/>
        </w:rPr>
        <w:t xml:space="preserve"> </w:t>
      </w:r>
      <w:r w:rsidRPr="001D1E4A">
        <w:rPr>
          <w:rFonts w:ascii="Arial" w:hAnsi="Arial" w:cs="Arial"/>
          <w:sz w:val="16"/>
          <w:szCs w:val="16"/>
        </w:rPr>
        <w:t>skládá z</w:t>
      </w:r>
      <w:r>
        <w:rPr>
          <w:rFonts w:ascii="Arial" w:hAnsi="Arial" w:cs="Arial"/>
          <w:sz w:val="16"/>
          <w:szCs w:val="16"/>
        </w:rPr>
        <w:t>e 4</w:t>
      </w:r>
      <w:r w:rsidRPr="001D1E4A">
        <w:rPr>
          <w:rFonts w:ascii="Arial" w:hAnsi="Arial" w:cs="Arial"/>
          <w:sz w:val="16"/>
          <w:szCs w:val="16"/>
        </w:rPr>
        <w:t xml:space="preserve"> </w:t>
      </w:r>
      <w:r>
        <w:rPr>
          <w:rFonts w:ascii="Arial" w:hAnsi="Arial" w:cs="Arial"/>
          <w:sz w:val="16"/>
          <w:szCs w:val="16"/>
        </w:rPr>
        <w:t>oddílů</w:t>
      </w:r>
      <w:r w:rsidRPr="001D1E4A">
        <w:rPr>
          <w:rFonts w:ascii="Arial" w:hAnsi="Arial" w:cs="Arial"/>
          <w:sz w:val="16"/>
          <w:szCs w:val="16"/>
        </w:rPr>
        <w:t xml:space="preserve"> (</w:t>
      </w:r>
      <w:r>
        <w:rPr>
          <w:rFonts w:ascii="Arial" w:hAnsi="Arial" w:cs="Arial"/>
          <w:sz w:val="16"/>
          <w:szCs w:val="16"/>
        </w:rPr>
        <w:t>32</w:t>
      </w:r>
      <w:r w:rsidRPr="001D1E4A">
        <w:rPr>
          <w:rFonts w:ascii="Arial" w:hAnsi="Arial" w:cs="Arial"/>
          <w:sz w:val="16"/>
          <w:szCs w:val="16"/>
        </w:rPr>
        <w:t xml:space="preserve"> </w:t>
      </w:r>
      <w:r>
        <w:rPr>
          <w:rFonts w:ascii="Arial" w:hAnsi="Arial" w:cs="Arial"/>
          <w:sz w:val="16"/>
          <w:szCs w:val="16"/>
        </w:rPr>
        <w:t>- uhlí, koks a brikety,</w:t>
      </w:r>
      <w:r w:rsidR="002513CF">
        <w:rPr>
          <w:rFonts w:ascii="Arial" w:hAnsi="Arial" w:cs="Arial"/>
          <w:sz w:val="16"/>
          <w:szCs w:val="16"/>
        </w:rPr>
        <w:t xml:space="preserve"> </w:t>
      </w:r>
      <w:r>
        <w:rPr>
          <w:rFonts w:ascii="Arial" w:hAnsi="Arial" w:cs="Arial"/>
          <w:sz w:val="16"/>
          <w:szCs w:val="16"/>
        </w:rPr>
        <w:t>33 - ropa, ropné výrobky a příbuzné materiály, 34 - topný plyn, zemní i průmyslově vyráběný a 35 - elektrický proud).</w:t>
      </w:r>
    </w:p>
  </w:footnote>
  <w:footnote w:id="10">
    <w:p w:rsidR="001D1E4A" w:rsidRPr="001D1E4A" w:rsidRDefault="001D1E4A" w:rsidP="00652295">
      <w:pPr>
        <w:pStyle w:val="Textpoznpodarou"/>
        <w:spacing w:before="20"/>
        <w:jc w:val="both"/>
        <w:rPr>
          <w:rFonts w:ascii="Arial" w:hAnsi="Arial" w:cs="Arial"/>
          <w:sz w:val="16"/>
          <w:szCs w:val="16"/>
        </w:rPr>
      </w:pPr>
      <w:r w:rsidRPr="001D1E4A">
        <w:rPr>
          <w:rStyle w:val="Znakapoznpodarou"/>
          <w:rFonts w:ascii="Arial" w:hAnsi="Arial" w:cs="Arial"/>
          <w:sz w:val="16"/>
          <w:szCs w:val="16"/>
        </w:rPr>
        <w:footnoteRef/>
      </w:r>
      <w:r w:rsidRPr="001D1E4A">
        <w:rPr>
          <w:rFonts w:ascii="Arial" w:hAnsi="Arial" w:cs="Arial"/>
          <w:sz w:val="16"/>
          <w:szCs w:val="16"/>
        </w:rPr>
        <w:t xml:space="preserve"> </w:t>
      </w:r>
      <w:r w:rsidR="00B77CB0">
        <w:rPr>
          <w:rFonts w:ascii="Arial" w:hAnsi="Arial" w:cs="Arial"/>
          <w:sz w:val="16"/>
          <w:szCs w:val="16"/>
        </w:rPr>
        <w:t>Oddíl</w:t>
      </w:r>
      <w:r w:rsidRPr="001D1E4A">
        <w:rPr>
          <w:rFonts w:ascii="Arial" w:hAnsi="Arial" w:cs="Arial"/>
          <w:sz w:val="16"/>
          <w:szCs w:val="16"/>
        </w:rPr>
        <w:t xml:space="preserve"> 78</w:t>
      </w:r>
      <w:r w:rsidR="00AA7659">
        <w:rPr>
          <w:rFonts w:ascii="Arial" w:hAnsi="Arial" w:cs="Arial"/>
          <w:sz w:val="16"/>
          <w:szCs w:val="16"/>
        </w:rPr>
        <w:t xml:space="preserve"> </w:t>
      </w:r>
      <w:r w:rsidRPr="001D1E4A">
        <w:rPr>
          <w:rFonts w:ascii="Arial" w:hAnsi="Arial" w:cs="Arial"/>
          <w:sz w:val="16"/>
          <w:szCs w:val="16"/>
        </w:rPr>
        <w:t xml:space="preserve">(silniční vozidla) </w:t>
      </w:r>
      <w:r w:rsidR="00AA7659">
        <w:rPr>
          <w:rFonts w:ascii="Arial" w:hAnsi="Arial" w:cs="Arial"/>
          <w:sz w:val="16"/>
          <w:szCs w:val="16"/>
        </w:rPr>
        <w:t>podle SITC</w:t>
      </w:r>
      <w:r w:rsidR="00AA7659" w:rsidRPr="001D1E4A">
        <w:rPr>
          <w:rFonts w:ascii="Arial" w:hAnsi="Arial" w:cs="Arial"/>
          <w:sz w:val="16"/>
          <w:szCs w:val="16"/>
        </w:rPr>
        <w:t xml:space="preserve"> </w:t>
      </w:r>
      <w:r w:rsidRPr="001D1E4A">
        <w:rPr>
          <w:rFonts w:ascii="Arial" w:hAnsi="Arial" w:cs="Arial"/>
          <w:sz w:val="16"/>
          <w:szCs w:val="16"/>
        </w:rPr>
        <w:t xml:space="preserve">se skládá z 6 skupin (781 </w:t>
      </w:r>
      <w:r w:rsidR="00C047C8">
        <w:rPr>
          <w:rFonts w:ascii="Arial" w:hAnsi="Arial" w:cs="Arial"/>
          <w:sz w:val="16"/>
          <w:szCs w:val="16"/>
        </w:rPr>
        <w:t xml:space="preserve">- </w:t>
      </w:r>
      <w:r w:rsidRPr="001D1E4A">
        <w:rPr>
          <w:rFonts w:ascii="Arial" w:hAnsi="Arial" w:cs="Arial"/>
          <w:sz w:val="16"/>
          <w:szCs w:val="16"/>
        </w:rPr>
        <w:t>osobní automobily</w:t>
      </w:r>
      <w:r w:rsidR="00C047C8">
        <w:rPr>
          <w:rFonts w:ascii="Arial" w:hAnsi="Arial" w:cs="Arial"/>
          <w:sz w:val="16"/>
          <w:szCs w:val="16"/>
        </w:rPr>
        <w:t>, včetně dodávkových vozů</w:t>
      </w:r>
      <w:r w:rsidRPr="001D1E4A">
        <w:rPr>
          <w:rFonts w:ascii="Arial" w:hAnsi="Arial" w:cs="Arial"/>
          <w:sz w:val="16"/>
          <w:szCs w:val="16"/>
        </w:rPr>
        <w:t>,</w:t>
      </w:r>
      <w:r>
        <w:rPr>
          <w:rFonts w:ascii="Arial" w:hAnsi="Arial" w:cs="Arial"/>
          <w:sz w:val="16"/>
          <w:szCs w:val="16"/>
        </w:rPr>
        <w:t xml:space="preserve"> 782 </w:t>
      </w:r>
      <w:r w:rsidR="00C047C8">
        <w:rPr>
          <w:rFonts w:ascii="Arial" w:hAnsi="Arial" w:cs="Arial"/>
          <w:sz w:val="16"/>
          <w:szCs w:val="16"/>
        </w:rPr>
        <w:t xml:space="preserve">- </w:t>
      </w:r>
      <w:r>
        <w:rPr>
          <w:rFonts w:ascii="Arial" w:hAnsi="Arial" w:cs="Arial"/>
          <w:sz w:val="16"/>
          <w:szCs w:val="16"/>
        </w:rPr>
        <w:t xml:space="preserve">motorová vozidla k dopravě zboží a pro speciální účely, 783 </w:t>
      </w:r>
      <w:r w:rsidR="00C047C8">
        <w:rPr>
          <w:rFonts w:ascii="Arial" w:hAnsi="Arial" w:cs="Arial"/>
          <w:sz w:val="16"/>
          <w:szCs w:val="16"/>
        </w:rPr>
        <w:t xml:space="preserve">- </w:t>
      </w:r>
      <w:r>
        <w:rPr>
          <w:rFonts w:ascii="Arial" w:hAnsi="Arial" w:cs="Arial"/>
          <w:sz w:val="16"/>
          <w:szCs w:val="16"/>
        </w:rPr>
        <w:t>motorová silniční vozidla pro veřejnou dopravu</w:t>
      </w:r>
      <w:r w:rsidR="00C047C8">
        <w:rPr>
          <w:rFonts w:ascii="Arial" w:hAnsi="Arial" w:cs="Arial"/>
          <w:sz w:val="16"/>
          <w:szCs w:val="16"/>
        </w:rPr>
        <w:t>, traktory</w:t>
      </w:r>
      <w:r>
        <w:rPr>
          <w:rFonts w:ascii="Arial" w:hAnsi="Arial" w:cs="Arial"/>
          <w:sz w:val="16"/>
          <w:szCs w:val="16"/>
        </w:rPr>
        <w:t xml:space="preserve">, 784 </w:t>
      </w:r>
      <w:r w:rsidR="00C047C8">
        <w:rPr>
          <w:rFonts w:ascii="Arial" w:hAnsi="Arial" w:cs="Arial"/>
          <w:sz w:val="16"/>
          <w:szCs w:val="16"/>
        </w:rPr>
        <w:t xml:space="preserve">- </w:t>
      </w:r>
      <w:r>
        <w:rPr>
          <w:rFonts w:ascii="Arial" w:hAnsi="Arial" w:cs="Arial"/>
          <w:sz w:val="16"/>
          <w:szCs w:val="16"/>
        </w:rPr>
        <w:t xml:space="preserve">díly a příslušenství motorových vozidel, 785 </w:t>
      </w:r>
      <w:r w:rsidR="00C047C8">
        <w:rPr>
          <w:rFonts w:ascii="Arial" w:hAnsi="Arial" w:cs="Arial"/>
          <w:sz w:val="16"/>
          <w:szCs w:val="16"/>
        </w:rPr>
        <w:t xml:space="preserve"> - </w:t>
      </w:r>
      <w:r>
        <w:rPr>
          <w:rFonts w:ascii="Arial" w:hAnsi="Arial" w:cs="Arial"/>
          <w:sz w:val="16"/>
          <w:szCs w:val="16"/>
        </w:rPr>
        <w:t xml:space="preserve">motocykly, jízdní kola, invalidní vozíky, 786 </w:t>
      </w:r>
      <w:r w:rsidR="00C047C8">
        <w:rPr>
          <w:rFonts w:ascii="Arial" w:hAnsi="Arial" w:cs="Arial"/>
          <w:sz w:val="16"/>
          <w:szCs w:val="16"/>
        </w:rPr>
        <w:t xml:space="preserve">- </w:t>
      </w:r>
      <w:r>
        <w:rPr>
          <w:rFonts w:ascii="Arial" w:hAnsi="Arial" w:cs="Arial"/>
          <w:sz w:val="16"/>
          <w:szCs w:val="16"/>
        </w:rPr>
        <w:t>přívěsy, návěsy; ostatní vozidla bez mechanického pohonu)</w:t>
      </w:r>
      <w:r w:rsidR="00301661">
        <w:rPr>
          <w:rFonts w:ascii="Arial" w:hAnsi="Arial" w:cs="Arial"/>
          <w:sz w:val="16"/>
          <w:szCs w:val="16"/>
        </w:rPr>
        <w:t>.</w:t>
      </w:r>
    </w:p>
  </w:footnote>
  <w:footnote w:id="11">
    <w:p w:rsidR="00BA7845" w:rsidRPr="00351A8F" w:rsidRDefault="00BA7845" w:rsidP="00652295">
      <w:pPr>
        <w:pStyle w:val="Textpoznpodarou"/>
        <w:spacing w:before="20" w:after="80"/>
        <w:rPr>
          <w:rFonts w:ascii="Arial" w:hAnsi="Arial" w:cs="Arial"/>
          <w:sz w:val="16"/>
          <w:szCs w:val="16"/>
        </w:rPr>
      </w:pPr>
      <w:r w:rsidRPr="00641C6A">
        <w:rPr>
          <w:rStyle w:val="Znakapoznpodarou"/>
          <w:rFonts w:ascii="Arial" w:hAnsi="Arial" w:cs="Arial"/>
          <w:sz w:val="16"/>
          <w:szCs w:val="16"/>
        </w:rPr>
        <w:footnoteRef/>
      </w:r>
      <w:r w:rsidRPr="00641C6A">
        <w:rPr>
          <w:rFonts w:ascii="Arial" w:hAnsi="Arial" w:cs="Arial"/>
          <w:sz w:val="16"/>
          <w:szCs w:val="16"/>
        </w:rPr>
        <w:t xml:space="preserve"> </w:t>
      </w:r>
      <w:r w:rsidRPr="00351A8F">
        <w:rPr>
          <w:rFonts w:ascii="Arial" w:hAnsi="Arial" w:cs="Arial"/>
          <w:sz w:val="16"/>
          <w:szCs w:val="16"/>
        </w:rPr>
        <w:t>Údaje Eurostatu</w:t>
      </w:r>
      <w:r w:rsidR="00930ED1">
        <w:rPr>
          <w:rFonts w:ascii="Arial" w:hAnsi="Arial" w:cs="Arial"/>
          <w:sz w:val="16"/>
          <w:szCs w:val="16"/>
        </w:rPr>
        <w:t xml:space="preserve"> (statistický úřad Evropské unie)</w:t>
      </w:r>
      <w:r w:rsidRPr="00351A8F">
        <w:rPr>
          <w:rFonts w:ascii="Arial" w:hAnsi="Arial" w:cs="Arial"/>
          <w:sz w:val="16"/>
          <w:szCs w:val="16"/>
        </w:rPr>
        <w:t xml:space="preserve">, </w:t>
      </w:r>
      <w:r w:rsidR="00905A57">
        <w:rPr>
          <w:rFonts w:ascii="Arial" w:hAnsi="Arial" w:cs="Arial"/>
          <w:sz w:val="16"/>
          <w:szCs w:val="16"/>
        </w:rPr>
        <w:t>20</w:t>
      </w:r>
      <w:r w:rsidRPr="00351A8F">
        <w:rPr>
          <w:rFonts w:ascii="Arial" w:hAnsi="Arial" w:cs="Arial"/>
          <w:sz w:val="16"/>
          <w:szCs w:val="16"/>
        </w:rPr>
        <w:t>. srpen 201</w:t>
      </w:r>
      <w:r w:rsidR="00905A57">
        <w:rPr>
          <w:rFonts w:ascii="Arial" w:hAnsi="Arial" w:cs="Arial"/>
          <w:sz w:val="16"/>
          <w:szCs w:val="16"/>
        </w:rPr>
        <w:t>9</w:t>
      </w:r>
      <w:r w:rsidRPr="00351A8F">
        <w:rPr>
          <w:rFonts w:ascii="Arial" w:hAnsi="Arial" w:cs="Arial"/>
          <w:sz w:val="16"/>
          <w:szCs w:val="16"/>
        </w:rPr>
        <w:t>.</w:t>
      </w:r>
    </w:p>
  </w:footnote>
  <w:footnote w:id="12">
    <w:p w:rsidR="00504AF9" w:rsidRPr="00351A8F" w:rsidRDefault="00504AF9" w:rsidP="00504AF9">
      <w:pPr>
        <w:pStyle w:val="Textpoznpodarou"/>
        <w:spacing w:before="120" w:after="80"/>
        <w:jc w:val="both"/>
        <w:rPr>
          <w:rFonts w:ascii="Arial" w:hAnsi="Arial" w:cs="Arial"/>
          <w:sz w:val="16"/>
          <w:szCs w:val="16"/>
        </w:rPr>
      </w:pPr>
      <w:r w:rsidRPr="00351A8F">
        <w:rPr>
          <w:rStyle w:val="Znakapoznpodarou"/>
          <w:rFonts w:ascii="Arial" w:hAnsi="Arial" w:cs="Arial"/>
          <w:sz w:val="16"/>
          <w:szCs w:val="16"/>
        </w:rPr>
        <w:footnoteRef/>
      </w:r>
      <w:r w:rsidRPr="00351A8F">
        <w:rPr>
          <w:rFonts w:ascii="Arial" w:hAnsi="Arial" w:cs="Arial"/>
          <w:sz w:val="16"/>
          <w:szCs w:val="16"/>
        </w:rPr>
        <w:t xml:space="preserve"> Státy EU - státy Evropské unie (28 členských států): Belgie (BE), Bulharsko (BG), Česká republika (CZ), Dánsko (DK), Estonsko (EE), Finsko (FI), Francie (FR), Chorvatsko (HR), Irsko (IE), Itálie (IT), Kypr (CY), Litva (LT), Lotyšsko (LV), Lucembursko (LU), Maďarsko (HU), Malta (MT), Německo (DE), Nizozemsko (NL), Polsko (PL), Portugalsko (PT), Rakousko (AT), Rumunsko (RO), Řecko (GR), Slovensko (SK), Slovinsko (SI), Spojené království (GB), Španělsko (ES), Švédsko (SE).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29A"/>
    <w:multiLevelType w:val="multilevel"/>
    <w:tmpl w:val="F54647A8"/>
    <w:lvl w:ilvl="0">
      <w:start w:val="1"/>
      <w:numFmt w:val="decimal"/>
      <w:lvlText w:val="%1."/>
      <w:lvlJc w:val="left"/>
      <w:pPr>
        <w:ind w:left="2204" w:hanging="360"/>
      </w:pPr>
      <w:rPr>
        <w:rFonts w:hint="default"/>
        <w:sz w:val="22"/>
        <w:szCs w:val="22"/>
      </w:rPr>
    </w:lvl>
    <w:lvl w:ilvl="1">
      <w:start w:val="1"/>
      <w:numFmt w:val="decimal"/>
      <w:lvlText w:val="%1.%2."/>
      <w:lvlJc w:val="left"/>
      <w:pPr>
        <w:ind w:left="792" w:hanging="432"/>
      </w:pPr>
      <w:rPr>
        <w:sz w:val="21"/>
        <w:szCs w:val="21"/>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5363"/>
    <w:rsid w:val="000016A9"/>
    <w:rsid w:val="00002E80"/>
    <w:rsid w:val="00004D30"/>
    <w:rsid w:val="00005885"/>
    <w:rsid w:val="00006749"/>
    <w:rsid w:val="000067E9"/>
    <w:rsid w:val="00010C22"/>
    <w:rsid w:val="00010FBF"/>
    <w:rsid w:val="00011E31"/>
    <w:rsid w:val="00015B5E"/>
    <w:rsid w:val="0001766A"/>
    <w:rsid w:val="00021725"/>
    <w:rsid w:val="00022208"/>
    <w:rsid w:val="00023090"/>
    <w:rsid w:val="00024BFA"/>
    <w:rsid w:val="00024C99"/>
    <w:rsid w:val="000259BA"/>
    <w:rsid w:val="00026CA6"/>
    <w:rsid w:val="000276A3"/>
    <w:rsid w:val="0003011D"/>
    <w:rsid w:val="000305AF"/>
    <w:rsid w:val="00032FE2"/>
    <w:rsid w:val="0003335F"/>
    <w:rsid w:val="00034962"/>
    <w:rsid w:val="0003560C"/>
    <w:rsid w:val="000357CA"/>
    <w:rsid w:val="00035B89"/>
    <w:rsid w:val="00036167"/>
    <w:rsid w:val="00037B9C"/>
    <w:rsid w:val="00041DE9"/>
    <w:rsid w:val="00042663"/>
    <w:rsid w:val="00047CFB"/>
    <w:rsid w:val="000511DC"/>
    <w:rsid w:val="0005410E"/>
    <w:rsid w:val="000547CE"/>
    <w:rsid w:val="00054A26"/>
    <w:rsid w:val="000568E8"/>
    <w:rsid w:val="00057656"/>
    <w:rsid w:val="00060BD0"/>
    <w:rsid w:val="00061D1E"/>
    <w:rsid w:val="00061F1B"/>
    <w:rsid w:val="00065FCB"/>
    <w:rsid w:val="00070A12"/>
    <w:rsid w:val="00071C09"/>
    <w:rsid w:val="000725F3"/>
    <w:rsid w:val="00072739"/>
    <w:rsid w:val="000759EC"/>
    <w:rsid w:val="00077226"/>
    <w:rsid w:val="000831EB"/>
    <w:rsid w:val="000873D4"/>
    <w:rsid w:val="0008795A"/>
    <w:rsid w:val="000907B7"/>
    <w:rsid w:val="00093BD9"/>
    <w:rsid w:val="00096287"/>
    <w:rsid w:val="000A3ACC"/>
    <w:rsid w:val="000A5ABA"/>
    <w:rsid w:val="000A6F26"/>
    <w:rsid w:val="000B0634"/>
    <w:rsid w:val="000B2457"/>
    <w:rsid w:val="000B2E3A"/>
    <w:rsid w:val="000B3576"/>
    <w:rsid w:val="000B4A92"/>
    <w:rsid w:val="000B58B9"/>
    <w:rsid w:val="000C02AA"/>
    <w:rsid w:val="000C13F4"/>
    <w:rsid w:val="000C24C8"/>
    <w:rsid w:val="000C426B"/>
    <w:rsid w:val="000C44D3"/>
    <w:rsid w:val="000C6001"/>
    <w:rsid w:val="000D0520"/>
    <w:rsid w:val="000D3370"/>
    <w:rsid w:val="000D3EF5"/>
    <w:rsid w:val="000D4275"/>
    <w:rsid w:val="000D432F"/>
    <w:rsid w:val="000E19E8"/>
    <w:rsid w:val="000E1EBE"/>
    <w:rsid w:val="000E2147"/>
    <w:rsid w:val="000E429E"/>
    <w:rsid w:val="000E5690"/>
    <w:rsid w:val="000E58CE"/>
    <w:rsid w:val="000E65A6"/>
    <w:rsid w:val="000E6646"/>
    <w:rsid w:val="000E788F"/>
    <w:rsid w:val="000F1A46"/>
    <w:rsid w:val="000F335B"/>
    <w:rsid w:val="000F3A6D"/>
    <w:rsid w:val="000F3D88"/>
    <w:rsid w:val="000F7737"/>
    <w:rsid w:val="001022E6"/>
    <w:rsid w:val="00102E58"/>
    <w:rsid w:val="00105648"/>
    <w:rsid w:val="00105BD5"/>
    <w:rsid w:val="00105FFE"/>
    <w:rsid w:val="00106E2C"/>
    <w:rsid w:val="0010799A"/>
    <w:rsid w:val="00107F81"/>
    <w:rsid w:val="0011055B"/>
    <w:rsid w:val="00110587"/>
    <w:rsid w:val="00110939"/>
    <w:rsid w:val="001115A2"/>
    <w:rsid w:val="001123B6"/>
    <w:rsid w:val="0011438E"/>
    <w:rsid w:val="00115370"/>
    <w:rsid w:val="00116A42"/>
    <w:rsid w:val="00122BC1"/>
    <w:rsid w:val="00123618"/>
    <w:rsid w:val="00124501"/>
    <w:rsid w:val="0012752A"/>
    <w:rsid w:val="00131CB9"/>
    <w:rsid w:val="001322D1"/>
    <w:rsid w:val="00135680"/>
    <w:rsid w:val="0013574B"/>
    <w:rsid w:val="00137488"/>
    <w:rsid w:val="001432D2"/>
    <w:rsid w:val="00143E5D"/>
    <w:rsid w:val="00144DB5"/>
    <w:rsid w:val="00145608"/>
    <w:rsid w:val="00145C93"/>
    <w:rsid w:val="0014665F"/>
    <w:rsid w:val="0015251B"/>
    <w:rsid w:val="00152787"/>
    <w:rsid w:val="00153698"/>
    <w:rsid w:val="00156D66"/>
    <w:rsid w:val="00157C53"/>
    <w:rsid w:val="0016207B"/>
    <w:rsid w:val="001643F0"/>
    <w:rsid w:val="00167048"/>
    <w:rsid w:val="00167D1F"/>
    <w:rsid w:val="001711F3"/>
    <w:rsid w:val="00174C78"/>
    <w:rsid w:val="001759B5"/>
    <w:rsid w:val="00180273"/>
    <w:rsid w:val="001833EC"/>
    <w:rsid w:val="00184C7E"/>
    <w:rsid w:val="001871D5"/>
    <w:rsid w:val="00191CDD"/>
    <w:rsid w:val="00192431"/>
    <w:rsid w:val="00193523"/>
    <w:rsid w:val="001939CF"/>
    <w:rsid w:val="001A46F0"/>
    <w:rsid w:val="001A57EA"/>
    <w:rsid w:val="001B04FD"/>
    <w:rsid w:val="001B0E3E"/>
    <w:rsid w:val="001B21BA"/>
    <w:rsid w:val="001B3225"/>
    <w:rsid w:val="001B588E"/>
    <w:rsid w:val="001B5FCA"/>
    <w:rsid w:val="001B748A"/>
    <w:rsid w:val="001C1E30"/>
    <w:rsid w:val="001C1F19"/>
    <w:rsid w:val="001C3360"/>
    <w:rsid w:val="001C4AB6"/>
    <w:rsid w:val="001C6A82"/>
    <w:rsid w:val="001D1E4A"/>
    <w:rsid w:val="001D48AD"/>
    <w:rsid w:val="001D6C2A"/>
    <w:rsid w:val="001D73AC"/>
    <w:rsid w:val="001D7C6C"/>
    <w:rsid w:val="001D7E42"/>
    <w:rsid w:val="001E325D"/>
    <w:rsid w:val="001E37C4"/>
    <w:rsid w:val="001E48A5"/>
    <w:rsid w:val="001F2588"/>
    <w:rsid w:val="001F27E3"/>
    <w:rsid w:val="001F2900"/>
    <w:rsid w:val="001F53AA"/>
    <w:rsid w:val="001F79CA"/>
    <w:rsid w:val="00200D2C"/>
    <w:rsid w:val="002052AC"/>
    <w:rsid w:val="00205813"/>
    <w:rsid w:val="00205FFE"/>
    <w:rsid w:val="00206CFA"/>
    <w:rsid w:val="00207542"/>
    <w:rsid w:val="002116F2"/>
    <w:rsid w:val="00213628"/>
    <w:rsid w:val="00213DFC"/>
    <w:rsid w:val="0021504A"/>
    <w:rsid w:val="002151D1"/>
    <w:rsid w:val="002157FF"/>
    <w:rsid w:val="00215FA5"/>
    <w:rsid w:val="002162F7"/>
    <w:rsid w:val="00216DB3"/>
    <w:rsid w:val="00221BD7"/>
    <w:rsid w:val="002228E7"/>
    <w:rsid w:val="00222B6E"/>
    <w:rsid w:val="0022516C"/>
    <w:rsid w:val="00225ECC"/>
    <w:rsid w:val="00226346"/>
    <w:rsid w:val="002268AB"/>
    <w:rsid w:val="00232712"/>
    <w:rsid w:val="002329C3"/>
    <w:rsid w:val="00234708"/>
    <w:rsid w:val="00236418"/>
    <w:rsid w:val="00237392"/>
    <w:rsid w:val="00241781"/>
    <w:rsid w:val="00241EE0"/>
    <w:rsid w:val="00241F84"/>
    <w:rsid w:val="00243820"/>
    <w:rsid w:val="00246346"/>
    <w:rsid w:val="00246E05"/>
    <w:rsid w:val="002513CF"/>
    <w:rsid w:val="00251705"/>
    <w:rsid w:val="00252020"/>
    <w:rsid w:val="0025561E"/>
    <w:rsid w:val="00262597"/>
    <w:rsid w:val="002629A9"/>
    <w:rsid w:val="00262B63"/>
    <w:rsid w:val="002662A1"/>
    <w:rsid w:val="00267AF6"/>
    <w:rsid w:val="00273816"/>
    <w:rsid w:val="00273B49"/>
    <w:rsid w:val="002767E3"/>
    <w:rsid w:val="00280FA9"/>
    <w:rsid w:val="002838CC"/>
    <w:rsid w:val="00285AC5"/>
    <w:rsid w:val="00287E30"/>
    <w:rsid w:val="002919EA"/>
    <w:rsid w:val="002924FE"/>
    <w:rsid w:val="00292CD1"/>
    <w:rsid w:val="002951E0"/>
    <w:rsid w:val="002A1E3E"/>
    <w:rsid w:val="002A3029"/>
    <w:rsid w:val="002A3AAF"/>
    <w:rsid w:val="002A4E60"/>
    <w:rsid w:val="002B1511"/>
    <w:rsid w:val="002B2ABA"/>
    <w:rsid w:val="002B2E3F"/>
    <w:rsid w:val="002B3294"/>
    <w:rsid w:val="002B3F3C"/>
    <w:rsid w:val="002B6024"/>
    <w:rsid w:val="002B692C"/>
    <w:rsid w:val="002B6B2E"/>
    <w:rsid w:val="002C026A"/>
    <w:rsid w:val="002C168B"/>
    <w:rsid w:val="002C2531"/>
    <w:rsid w:val="002C3987"/>
    <w:rsid w:val="002C40D9"/>
    <w:rsid w:val="002C45F8"/>
    <w:rsid w:val="002C525D"/>
    <w:rsid w:val="002D1D26"/>
    <w:rsid w:val="002D23D6"/>
    <w:rsid w:val="002D4303"/>
    <w:rsid w:val="002D7F28"/>
    <w:rsid w:val="002E2D12"/>
    <w:rsid w:val="002E38B6"/>
    <w:rsid w:val="002E483A"/>
    <w:rsid w:val="002E7775"/>
    <w:rsid w:val="002E7D78"/>
    <w:rsid w:val="002F1038"/>
    <w:rsid w:val="002F2245"/>
    <w:rsid w:val="002F2CC1"/>
    <w:rsid w:val="002F5881"/>
    <w:rsid w:val="002F7146"/>
    <w:rsid w:val="002F726F"/>
    <w:rsid w:val="00300CE4"/>
    <w:rsid w:val="00300D5D"/>
    <w:rsid w:val="003015B9"/>
    <w:rsid w:val="00301661"/>
    <w:rsid w:val="00304397"/>
    <w:rsid w:val="0030726C"/>
    <w:rsid w:val="00311FBA"/>
    <w:rsid w:val="003124A0"/>
    <w:rsid w:val="00313268"/>
    <w:rsid w:val="00313EA0"/>
    <w:rsid w:val="00315772"/>
    <w:rsid w:val="00315AA9"/>
    <w:rsid w:val="00316C09"/>
    <w:rsid w:val="00320DB0"/>
    <w:rsid w:val="00321A38"/>
    <w:rsid w:val="003233C0"/>
    <w:rsid w:val="00325DD8"/>
    <w:rsid w:val="003278C8"/>
    <w:rsid w:val="00330050"/>
    <w:rsid w:val="00334167"/>
    <w:rsid w:val="00337A4C"/>
    <w:rsid w:val="00342CC4"/>
    <w:rsid w:val="003448F8"/>
    <w:rsid w:val="0034507A"/>
    <w:rsid w:val="0034645A"/>
    <w:rsid w:val="00351A8F"/>
    <w:rsid w:val="00352753"/>
    <w:rsid w:val="00353F09"/>
    <w:rsid w:val="003551DC"/>
    <w:rsid w:val="00356318"/>
    <w:rsid w:val="00356433"/>
    <w:rsid w:val="00357459"/>
    <w:rsid w:val="003602C2"/>
    <w:rsid w:val="00360539"/>
    <w:rsid w:val="003606E8"/>
    <w:rsid w:val="00363DB8"/>
    <w:rsid w:val="003649FF"/>
    <w:rsid w:val="003652CB"/>
    <w:rsid w:val="003659B1"/>
    <w:rsid w:val="003669E3"/>
    <w:rsid w:val="0037296F"/>
    <w:rsid w:val="0037631F"/>
    <w:rsid w:val="00376469"/>
    <w:rsid w:val="003765C5"/>
    <w:rsid w:val="00376D0E"/>
    <w:rsid w:val="003839AF"/>
    <w:rsid w:val="00386472"/>
    <w:rsid w:val="003911A7"/>
    <w:rsid w:val="00392189"/>
    <w:rsid w:val="00394544"/>
    <w:rsid w:val="00394D75"/>
    <w:rsid w:val="00395448"/>
    <w:rsid w:val="003A0828"/>
    <w:rsid w:val="003A42B3"/>
    <w:rsid w:val="003A61FA"/>
    <w:rsid w:val="003A76BB"/>
    <w:rsid w:val="003B05CF"/>
    <w:rsid w:val="003B1BA5"/>
    <w:rsid w:val="003B24D8"/>
    <w:rsid w:val="003B2E1D"/>
    <w:rsid w:val="003C1B43"/>
    <w:rsid w:val="003C2869"/>
    <w:rsid w:val="003C2F5C"/>
    <w:rsid w:val="003C3AC6"/>
    <w:rsid w:val="003C4819"/>
    <w:rsid w:val="003C6197"/>
    <w:rsid w:val="003C67BF"/>
    <w:rsid w:val="003C6A67"/>
    <w:rsid w:val="003D00EE"/>
    <w:rsid w:val="003D223A"/>
    <w:rsid w:val="003D22C3"/>
    <w:rsid w:val="003D3240"/>
    <w:rsid w:val="003D34A7"/>
    <w:rsid w:val="003D5B72"/>
    <w:rsid w:val="003E3AD0"/>
    <w:rsid w:val="003E3F70"/>
    <w:rsid w:val="003E42FD"/>
    <w:rsid w:val="003E5298"/>
    <w:rsid w:val="003E67CB"/>
    <w:rsid w:val="003E71A4"/>
    <w:rsid w:val="003E724A"/>
    <w:rsid w:val="003F059F"/>
    <w:rsid w:val="003F5E7F"/>
    <w:rsid w:val="003F60AA"/>
    <w:rsid w:val="003F6191"/>
    <w:rsid w:val="003F66E2"/>
    <w:rsid w:val="003F7481"/>
    <w:rsid w:val="0040123B"/>
    <w:rsid w:val="00401703"/>
    <w:rsid w:val="00401FC2"/>
    <w:rsid w:val="00406D87"/>
    <w:rsid w:val="00410256"/>
    <w:rsid w:val="004121E5"/>
    <w:rsid w:val="004122A0"/>
    <w:rsid w:val="00412D1C"/>
    <w:rsid w:val="0041343F"/>
    <w:rsid w:val="00415B1D"/>
    <w:rsid w:val="004172A7"/>
    <w:rsid w:val="00417DAF"/>
    <w:rsid w:val="004210AB"/>
    <w:rsid w:val="00422901"/>
    <w:rsid w:val="00425743"/>
    <w:rsid w:val="0042621D"/>
    <w:rsid w:val="0042772E"/>
    <w:rsid w:val="00427BB2"/>
    <w:rsid w:val="0043058B"/>
    <w:rsid w:val="00430A0A"/>
    <w:rsid w:val="00432DF3"/>
    <w:rsid w:val="004354AC"/>
    <w:rsid w:val="004368B2"/>
    <w:rsid w:val="00437651"/>
    <w:rsid w:val="004411FE"/>
    <w:rsid w:val="00441ABA"/>
    <w:rsid w:val="004422E7"/>
    <w:rsid w:val="00442DD1"/>
    <w:rsid w:val="00443EF5"/>
    <w:rsid w:val="00444030"/>
    <w:rsid w:val="00445829"/>
    <w:rsid w:val="00451450"/>
    <w:rsid w:val="00453048"/>
    <w:rsid w:val="00453E0B"/>
    <w:rsid w:val="00454DD8"/>
    <w:rsid w:val="00454F7B"/>
    <w:rsid w:val="00455F32"/>
    <w:rsid w:val="0045718A"/>
    <w:rsid w:val="00457D95"/>
    <w:rsid w:val="00464168"/>
    <w:rsid w:val="00466E5D"/>
    <w:rsid w:val="0047001B"/>
    <w:rsid w:val="00470133"/>
    <w:rsid w:val="004702B5"/>
    <w:rsid w:val="00470ED6"/>
    <w:rsid w:val="00471401"/>
    <w:rsid w:val="00471975"/>
    <w:rsid w:val="00472719"/>
    <w:rsid w:val="0047465B"/>
    <w:rsid w:val="004808C2"/>
    <w:rsid w:val="0048233B"/>
    <w:rsid w:val="00482387"/>
    <w:rsid w:val="00482DDA"/>
    <w:rsid w:val="00483F8A"/>
    <w:rsid w:val="00484163"/>
    <w:rsid w:val="00486883"/>
    <w:rsid w:val="00486F77"/>
    <w:rsid w:val="0048779F"/>
    <w:rsid w:val="004904DD"/>
    <w:rsid w:val="00491F05"/>
    <w:rsid w:val="004952C0"/>
    <w:rsid w:val="00495E20"/>
    <w:rsid w:val="004A12A9"/>
    <w:rsid w:val="004A20EF"/>
    <w:rsid w:val="004A30BD"/>
    <w:rsid w:val="004A3A40"/>
    <w:rsid w:val="004A5AF7"/>
    <w:rsid w:val="004A79B6"/>
    <w:rsid w:val="004B02D6"/>
    <w:rsid w:val="004B2B73"/>
    <w:rsid w:val="004B478C"/>
    <w:rsid w:val="004B4FE8"/>
    <w:rsid w:val="004B5AC0"/>
    <w:rsid w:val="004C039F"/>
    <w:rsid w:val="004C07BE"/>
    <w:rsid w:val="004C0CCF"/>
    <w:rsid w:val="004C15FC"/>
    <w:rsid w:val="004C340D"/>
    <w:rsid w:val="004C5904"/>
    <w:rsid w:val="004C6F9E"/>
    <w:rsid w:val="004C766D"/>
    <w:rsid w:val="004C76EE"/>
    <w:rsid w:val="004D070A"/>
    <w:rsid w:val="004D0CA0"/>
    <w:rsid w:val="004D3FA9"/>
    <w:rsid w:val="004D4262"/>
    <w:rsid w:val="004D53C5"/>
    <w:rsid w:val="004D66C6"/>
    <w:rsid w:val="004E0A48"/>
    <w:rsid w:val="004E1A15"/>
    <w:rsid w:val="004E4156"/>
    <w:rsid w:val="004E46CA"/>
    <w:rsid w:val="004E4B3C"/>
    <w:rsid w:val="004E7969"/>
    <w:rsid w:val="004F05E4"/>
    <w:rsid w:val="004F24CA"/>
    <w:rsid w:val="004F2641"/>
    <w:rsid w:val="004F2A0F"/>
    <w:rsid w:val="004F3689"/>
    <w:rsid w:val="004F3D8E"/>
    <w:rsid w:val="00501A65"/>
    <w:rsid w:val="00501BE8"/>
    <w:rsid w:val="00503141"/>
    <w:rsid w:val="005042E1"/>
    <w:rsid w:val="00504AF9"/>
    <w:rsid w:val="005059C6"/>
    <w:rsid w:val="0050610D"/>
    <w:rsid w:val="00506396"/>
    <w:rsid w:val="00506423"/>
    <w:rsid w:val="005100A4"/>
    <w:rsid w:val="00510963"/>
    <w:rsid w:val="00514722"/>
    <w:rsid w:val="00514928"/>
    <w:rsid w:val="00515297"/>
    <w:rsid w:val="0051699D"/>
    <w:rsid w:val="00516E19"/>
    <w:rsid w:val="005170AC"/>
    <w:rsid w:val="005171CB"/>
    <w:rsid w:val="00517C8B"/>
    <w:rsid w:val="00526451"/>
    <w:rsid w:val="00530D47"/>
    <w:rsid w:val="00533400"/>
    <w:rsid w:val="005340DE"/>
    <w:rsid w:val="005354E2"/>
    <w:rsid w:val="00537064"/>
    <w:rsid w:val="0053723A"/>
    <w:rsid w:val="00537671"/>
    <w:rsid w:val="005400B3"/>
    <w:rsid w:val="00543333"/>
    <w:rsid w:val="00545B01"/>
    <w:rsid w:val="005461D8"/>
    <w:rsid w:val="0054715B"/>
    <w:rsid w:val="005471FC"/>
    <w:rsid w:val="00550C9D"/>
    <w:rsid w:val="00551A49"/>
    <w:rsid w:val="005535D8"/>
    <w:rsid w:val="00556358"/>
    <w:rsid w:val="00556C61"/>
    <w:rsid w:val="00556ED2"/>
    <w:rsid w:val="00557A47"/>
    <w:rsid w:val="005607E6"/>
    <w:rsid w:val="005654EF"/>
    <w:rsid w:val="00565E79"/>
    <w:rsid w:val="00566248"/>
    <w:rsid w:val="005670AC"/>
    <w:rsid w:val="005677E0"/>
    <w:rsid w:val="00570B62"/>
    <w:rsid w:val="00571B8D"/>
    <w:rsid w:val="005734D3"/>
    <w:rsid w:val="00575D7D"/>
    <w:rsid w:val="00575E33"/>
    <w:rsid w:val="005760C8"/>
    <w:rsid w:val="00577F4F"/>
    <w:rsid w:val="0058041A"/>
    <w:rsid w:val="00584026"/>
    <w:rsid w:val="00591368"/>
    <w:rsid w:val="00591A7D"/>
    <w:rsid w:val="00592252"/>
    <w:rsid w:val="00592472"/>
    <w:rsid w:val="00592D30"/>
    <w:rsid w:val="00596654"/>
    <w:rsid w:val="00597D00"/>
    <w:rsid w:val="005A0709"/>
    <w:rsid w:val="005A318E"/>
    <w:rsid w:val="005A593C"/>
    <w:rsid w:val="005B0CE4"/>
    <w:rsid w:val="005B12D8"/>
    <w:rsid w:val="005B3823"/>
    <w:rsid w:val="005B3B3D"/>
    <w:rsid w:val="005B4F4C"/>
    <w:rsid w:val="005B758B"/>
    <w:rsid w:val="005C11BD"/>
    <w:rsid w:val="005C1302"/>
    <w:rsid w:val="005C510C"/>
    <w:rsid w:val="005C63D4"/>
    <w:rsid w:val="005C643B"/>
    <w:rsid w:val="005D2418"/>
    <w:rsid w:val="005D329C"/>
    <w:rsid w:val="005D45DA"/>
    <w:rsid w:val="005D6E37"/>
    <w:rsid w:val="005E0C55"/>
    <w:rsid w:val="005E1640"/>
    <w:rsid w:val="005E2C18"/>
    <w:rsid w:val="005E3A4A"/>
    <w:rsid w:val="005E3E23"/>
    <w:rsid w:val="005E3EE0"/>
    <w:rsid w:val="005F0A99"/>
    <w:rsid w:val="005F244C"/>
    <w:rsid w:val="005F30D1"/>
    <w:rsid w:val="005F41B9"/>
    <w:rsid w:val="005F6E73"/>
    <w:rsid w:val="00600C8B"/>
    <w:rsid w:val="006017DC"/>
    <w:rsid w:val="00601DA3"/>
    <w:rsid w:val="00601FD6"/>
    <w:rsid w:val="0060202C"/>
    <w:rsid w:val="00603F05"/>
    <w:rsid w:val="0060668C"/>
    <w:rsid w:val="00612206"/>
    <w:rsid w:val="006129E3"/>
    <w:rsid w:val="00614B83"/>
    <w:rsid w:val="006151C1"/>
    <w:rsid w:val="006154B8"/>
    <w:rsid w:val="00616FC9"/>
    <w:rsid w:val="006206A9"/>
    <w:rsid w:val="0062312D"/>
    <w:rsid w:val="00623568"/>
    <w:rsid w:val="00626E1B"/>
    <w:rsid w:val="006274F2"/>
    <w:rsid w:val="0063110E"/>
    <w:rsid w:val="00631937"/>
    <w:rsid w:val="00634656"/>
    <w:rsid w:val="006348AE"/>
    <w:rsid w:val="00640E25"/>
    <w:rsid w:val="00642FF0"/>
    <w:rsid w:val="00643A1A"/>
    <w:rsid w:val="00643B68"/>
    <w:rsid w:val="00645309"/>
    <w:rsid w:val="006459DC"/>
    <w:rsid w:val="006463CF"/>
    <w:rsid w:val="00651DD3"/>
    <w:rsid w:val="00652295"/>
    <w:rsid w:val="00652816"/>
    <w:rsid w:val="0065350B"/>
    <w:rsid w:val="0065503C"/>
    <w:rsid w:val="00655210"/>
    <w:rsid w:val="006611C9"/>
    <w:rsid w:val="00671C7D"/>
    <w:rsid w:val="0067414B"/>
    <w:rsid w:val="00676458"/>
    <w:rsid w:val="006769F6"/>
    <w:rsid w:val="00676F78"/>
    <w:rsid w:val="006847DE"/>
    <w:rsid w:val="006855C8"/>
    <w:rsid w:val="00686D1F"/>
    <w:rsid w:val="00687955"/>
    <w:rsid w:val="00690F6D"/>
    <w:rsid w:val="00691FB0"/>
    <w:rsid w:val="00694989"/>
    <w:rsid w:val="00694E44"/>
    <w:rsid w:val="00695007"/>
    <w:rsid w:val="006A0F54"/>
    <w:rsid w:val="006A2B1B"/>
    <w:rsid w:val="006A3844"/>
    <w:rsid w:val="006A38C9"/>
    <w:rsid w:val="006A4FCC"/>
    <w:rsid w:val="006A6084"/>
    <w:rsid w:val="006B032B"/>
    <w:rsid w:val="006B3351"/>
    <w:rsid w:val="006B3712"/>
    <w:rsid w:val="006B4068"/>
    <w:rsid w:val="006C01A2"/>
    <w:rsid w:val="006C0559"/>
    <w:rsid w:val="006C17E5"/>
    <w:rsid w:val="006C2961"/>
    <w:rsid w:val="006C33AF"/>
    <w:rsid w:val="006C47E1"/>
    <w:rsid w:val="006C6397"/>
    <w:rsid w:val="006D0F60"/>
    <w:rsid w:val="006D2262"/>
    <w:rsid w:val="006D69AE"/>
    <w:rsid w:val="006D6E69"/>
    <w:rsid w:val="006D78D4"/>
    <w:rsid w:val="006D7C7A"/>
    <w:rsid w:val="006E0574"/>
    <w:rsid w:val="006E27B0"/>
    <w:rsid w:val="006E4596"/>
    <w:rsid w:val="006E70C6"/>
    <w:rsid w:val="006F2612"/>
    <w:rsid w:val="006F49AD"/>
    <w:rsid w:val="00702897"/>
    <w:rsid w:val="007032AA"/>
    <w:rsid w:val="007039D1"/>
    <w:rsid w:val="0071103F"/>
    <w:rsid w:val="007110F8"/>
    <w:rsid w:val="00712D1C"/>
    <w:rsid w:val="007137F8"/>
    <w:rsid w:val="00715028"/>
    <w:rsid w:val="00715626"/>
    <w:rsid w:val="00721A0F"/>
    <w:rsid w:val="00725FED"/>
    <w:rsid w:val="007279AE"/>
    <w:rsid w:val="00730099"/>
    <w:rsid w:val="00732CDC"/>
    <w:rsid w:val="00740AE0"/>
    <w:rsid w:val="00741E3D"/>
    <w:rsid w:val="0074351B"/>
    <w:rsid w:val="007449CA"/>
    <w:rsid w:val="00744A93"/>
    <w:rsid w:val="00745050"/>
    <w:rsid w:val="00747206"/>
    <w:rsid w:val="007518EE"/>
    <w:rsid w:val="007570AB"/>
    <w:rsid w:val="0076235B"/>
    <w:rsid w:val="00762385"/>
    <w:rsid w:val="00764DDA"/>
    <w:rsid w:val="00765582"/>
    <w:rsid w:val="00765D26"/>
    <w:rsid w:val="00765F81"/>
    <w:rsid w:val="00766DCA"/>
    <w:rsid w:val="007800D2"/>
    <w:rsid w:val="00780CF7"/>
    <w:rsid w:val="00783454"/>
    <w:rsid w:val="00784ADA"/>
    <w:rsid w:val="00785C1C"/>
    <w:rsid w:val="00786848"/>
    <w:rsid w:val="00791941"/>
    <w:rsid w:val="007936D0"/>
    <w:rsid w:val="0079396E"/>
    <w:rsid w:val="00793E3C"/>
    <w:rsid w:val="00794092"/>
    <w:rsid w:val="0079492B"/>
    <w:rsid w:val="00794EEF"/>
    <w:rsid w:val="00795097"/>
    <w:rsid w:val="007974E7"/>
    <w:rsid w:val="00797F99"/>
    <w:rsid w:val="007A2FCB"/>
    <w:rsid w:val="007A3457"/>
    <w:rsid w:val="007A3CF6"/>
    <w:rsid w:val="007A4A57"/>
    <w:rsid w:val="007A7E89"/>
    <w:rsid w:val="007B0DDF"/>
    <w:rsid w:val="007B17C1"/>
    <w:rsid w:val="007B682F"/>
    <w:rsid w:val="007B6DA8"/>
    <w:rsid w:val="007C01CC"/>
    <w:rsid w:val="007C0A7E"/>
    <w:rsid w:val="007C19D2"/>
    <w:rsid w:val="007C30DF"/>
    <w:rsid w:val="007C34E7"/>
    <w:rsid w:val="007C366F"/>
    <w:rsid w:val="007C3E3C"/>
    <w:rsid w:val="007C4F08"/>
    <w:rsid w:val="007D4248"/>
    <w:rsid w:val="007D687B"/>
    <w:rsid w:val="007E36BB"/>
    <w:rsid w:val="007E725F"/>
    <w:rsid w:val="007E77DA"/>
    <w:rsid w:val="007F27EB"/>
    <w:rsid w:val="007F2DDC"/>
    <w:rsid w:val="00802784"/>
    <w:rsid w:val="00803DE5"/>
    <w:rsid w:val="00805698"/>
    <w:rsid w:val="00807715"/>
    <w:rsid w:val="00807B15"/>
    <w:rsid w:val="00810A31"/>
    <w:rsid w:val="00813F4C"/>
    <w:rsid w:val="008145F7"/>
    <w:rsid w:val="0081661F"/>
    <w:rsid w:val="008177D8"/>
    <w:rsid w:val="008208F7"/>
    <w:rsid w:val="00821057"/>
    <w:rsid w:val="0082794C"/>
    <w:rsid w:val="00830658"/>
    <w:rsid w:val="00832C7D"/>
    <w:rsid w:val="008339AB"/>
    <w:rsid w:val="00833C68"/>
    <w:rsid w:val="00834195"/>
    <w:rsid w:val="00835AD6"/>
    <w:rsid w:val="00836A75"/>
    <w:rsid w:val="00837968"/>
    <w:rsid w:val="00842AFA"/>
    <w:rsid w:val="008432AB"/>
    <w:rsid w:val="008438BB"/>
    <w:rsid w:val="0084501C"/>
    <w:rsid w:val="00851013"/>
    <w:rsid w:val="0085119F"/>
    <w:rsid w:val="00851655"/>
    <w:rsid w:val="00852932"/>
    <w:rsid w:val="0085431A"/>
    <w:rsid w:val="008545D6"/>
    <w:rsid w:val="00856D9C"/>
    <w:rsid w:val="00856E93"/>
    <w:rsid w:val="008576BC"/>
    <w:rsid w:val="00857BB6"/>
    <w:rsid w:val="00863263"/>
    <w:rsid w:val="0086683D"/>
    <w:rsid w:val="008676E5"/>
    <w:rsid w:val="00870F29"/>
    <w:rsid w:val="00872CBF"/>
    <w:rsid w:val="008734DA"/>
    <w:rsid w:val="008748A8"/>
    <w:rsid w:val="00874D9A"/>
    <w:rsid w:val="00875B62"/>
    <w:rsid w:val="00875E58"/>
    <w:rsid w:val="0087644E"/>
    <w:rsid w:val="0087660F"/>
    <w:rsid w:val="00876658"/>
    <w:rsid w:val="00876668"/>
    <w:rsid w:val="00882173"/>
    <w:rsid w:val="00882C0B"/>
    <w:rsid w:val="00884F17"/>
    <w:rsid w:val="008864BA"/>
    <w:rsid w:val="00886CC4"/>
    <w:rsid w:val="00887192"/>
    <w:rsid w:val="008907BE"/>
    <w:rsid w:val="0089131D"/>
    <w:rsid w:val="00897233"/>
    <w:rsid w:val="008A0A5C"/>
    <w:rsid w:val="008A0D06"/>
    <w:rsid w:val="008A3820"/>
    <w:rsid w:val="008A3EE5"/>
    <w:rsid w:val="008A500A"/>
    <w:rsid w:val="008A5250"/>
    <w:rsid w:val="008A5C6E"/>
    <w:rsid w:val="008A6258"/>
    <w:rsid w:val="008A7A4E"/>
    <w:rsid w:val="008B22E5"/>
    <w:rsid w:val="008B2840"/>
    <w:rsid w:val="008B7857"/>
    <w:rsid w:val="008C12D9"/>
    <w:rsid w:val="008C1DC8"/>
    <w:rsid w:val="008C2E42"/>
    <w:rsid w:val="008C54BF"/>
    <w:rsid w:val="008D0756"/>
    <w:rsid w:val="008D0F6C"/>
    <w:rsid w:val="008D119E"/>
    <w:rsid w:val="008D3095"/>
    <w:rsid w:val="008E0F19"/>
    <w:rsid w:val="008E1300"/>
    <w:rsid w:val="008E1E2A"/>
    <w:rsid w:val="008E4C13"/>
    <w:rsid w:val="008E4C5E"/>
    <w:rsid w:val="008E7107"/>
    <w:rsid w:val="008F01A2"/>
    <w:rsid w:val="008F0604"/>
    <w:rsid w:val="00902121"/>
    <w:rsid w:val="009021F6"/>
    <w:rsid w:val="00905A57"/>
    <w:rsid w:val="00907CFA"/>
    <w:rsid w:val="0091013B"/>
    <w:rsid w:val="0091158A"/>
    <w:rsid w:val="00911978"/>
    <w:rsid w:val="00911A88"/>
    <w:rsid w:val="009146A1"/>
    <w:rsid w:val="0091572E"/>
    <w:rsid w:val="0091625A"/>
    <w:rsid w:val="009164D6"/>
    <w:rsid w:val="009200D9"/>
    <w:rsid w:val="0092455D"/>
    <w:rsid w:val="00924AE2"/>
    <w:rsid w:val="00930607"/>
    <w:rsid w:val="00930ED1"/>
    <w:rsid w:val="0093289C"/>
    <w:rsid w:val="00932BF3"/>
    <w:rsid w:val="009335CB"/>
    <w:rsid w:val="00936CBA"/>
    <w:rsid w:val="00941430"/>
    <w:rsid w:val="00942EBF"/>
    <w:rsid w:val="00943353"/>
    <w:rsid w:val="00943987"/>
    <w:rsid w:val="00946937"/>
    <w:rsid w:val="0095100A"/>
    <w:rsid w:val="0095264B"/>
    <w:rsid w:val="009550E5"/>
    <w:rsid w:val="00965DF0"/>
    <w:rsid w:val="00966B4B"/>
    <w:rsid w:val="00966DB9"/>
    <w:rsid w:val="00970810"/>
    <w:rsid w:val="00982C2B"/>
    <w:rsid w:val="00983410"/>
    <w:rsid w:val="00984EBF"/>
    <w:rsid w:val="009859CC"/>
    <w:rsid w:val="00987DDD"/>
    <w:rsid w:val="0099111E"/>
    <w:rsid w:val="0099171C"/>
    <w:rsid w:val="0099469F"/>
    <w:rsid w:val="00994BE6"/>
    <w:rsid w:val="00995363"/>
    <w:rsid w:val="0099558B"/>
    <w:rsid w:val="009A027A"/>
    <w:rsid w:val="009A3BD9"/>
    <w:rsid w:val="009A40A9"/>
    <w:rsid w:val="009A5644"/>
    <w:rsid w:val="009A7000"/>
    <w:rsid w:val="009A7B8F"/>
    <w:rsid w:val="009B4C7A"/>
    <w:rsid w:val="009C0B6C"/>
    <w:rsid w:val="009D0818"/>
    <w:rsid w:val="009D0B49"/>
    <w:rsid w:val="009D1516"/>
    <w:rsid w:val="009D38DD"/>
    <w:rsid w:val="009D4BCE"/>
    <w:rsid w:val="009D4F23"/>
    <w:rsid w:val="009D6177"/>
    <w:rsid w:val="009D6E2F"/>
    <w:rsid w:val="009D76BB"/>
    <w:rsid w:val="009E13E5"/>
    <w:rsid w:val="009E1534"/>
    <w:rsid w:val="009E2714"/>
    <w:rsid w:val="009E32A1"/>
    <w:rsid w:val="009E3864"/>
    <w:rsid w:val="009E4E62"/>
    <w:rsid w:val="009E5229"/>
    <w:rsid w:val="009E60DB"/>
    <w:rsid w:val="009E6EB7"/>
    <w:rsid w:val="009F1889"/>
    <w:rsid w:val="009F31B7"/>
    <w:rsid w:val="009F6C1C"/>
    <w:rsid w:val="009F6E80"/>
    <w:rsid w:val="00A00BB8"/>
    <w:rsid w:val="00A031F5"/>
    <w:rsid w:val="00A0548A"/>
    <w:rsid w:val="00A079F1"/>
    <w:rsid w:val="00A07AB1"/>
    <w:rsid w:val="00A11A24"/>
    <w:rsid w:val="00A11BA6"/>
    <w:rsid w:val="00A123EC"/>
    <w:rsid w:val="00A145F1"/>
    <w:rsid w:val="00A14E13"/>
    <w:rsid w:val="00A16130"/>
    <w:rsid w:val="00A168CC"/>
    <w:rsid w:val="00A2213C"/>
    <w:rsid w:val="00A25788"/>
    <w:rsid w:val="00A26926"/>
    <w:rsid w:val="00A3033E"/>
    <w:rsid w:val="00A31EFE"/>
    <w:rsid w:val="00A32BC2"/>
    <w:rsid w:val="00A344A5"/>
    <w:rsid w:val="00A3657D"/>
    <w:rsid w:val="00A36F03"/>
    <w:rsid w:val="00A41D02"/>
    <w:rsid w:val="00A42047"/>
    <w:rsid w:val="00A46840"/>
    <w:rsid w:val="00A46C98"/>
    <w:rsid w:val="00A46F20"/>
    <w:rsid w:val="00A47390"/>
    <w:rsid w:val="00A477DA"/>
    <w:rsid w:val="00A502AB"/>
    <w:rsid w:val="00A5193A"/>
    <w:rsid w:val="00A5664C"/>
    <w:rsid w:val="00A57068"/>
    <w:rsid w:val="00A575B8"/>
    <w:rsid w:val="00A60580"/>
    <w:rsid w:val="00A63208"/>
    <w:rsid w:val="00A63333"/>
    <w:rsid w:val="00A6507F"/>
    <w:rsid w:val="00A72224"/>
    <w:rsid w:val="00A73C7B"/>
    <w:rsid w:val="00A775D6"/>
    <w:rsid w:val="00A77FA1"/>
    <w:rsid w:val="00A8089E"/>
    <w:rsid w:val="00A8197F"/>
    <w:rsid w:val="00A81EF5"/>
    <w:rsid w:val="00A82180"/>
    <w:rsid w:val="00A8529B"/>
    <w:rsid w:val="00A90F21"/>
    <w:rsid w:val="00A91AB2"/>
    <w:rsid w:val="00A92BC6"/>
    <w:rsid w:val="00A94FBB"/>
    <w:rsid w:val="00A950FE"/>
    <w:rsid w:val="00A96ABF"/>
    <w:rsid w:val="00AA4CAC"/>
    <w:rsid w:val="00AA5AD8"/>
    <w:rsid w:val="00AA5D6C"/>
    <w:rsid w:val="00AA7659"/>
    <w:rsid w:val="00AB03D0"/>
    <w:rsid w:val="00AB1119"/>
    <w:rsid w:val="00AB25E4"/>
    <w:rsid w:val="00AB28E5"/>
    <w:rsid w:val="00AB2ED5"/>
    <w:rsid w:val="00AB4223"/>
    <w:rsid w:val="00AB5704"/>
    <w:rsid w:val="00AC40E5"/>
    <w:rsid w:val="00AC4E76"/>
    <w:rsid w:val="00AC734C"/>
    <w:rsid w:val="00AD1B0D"/>
    <w:rsid w:val="00AD1EBE"/>
    <w:rsid w:val="00AD2486"/>
    <w:rsid w:val="00AD7C59"/>
    <w:rsid w:val="00AE0310"/>
    <w:rsid w:val="00AE096D"/>
    <w:rsid w:val="00AE5918"/>
    <w:rsid w:val="00AF084D"/>
    <w:rsid w:val="00AF0E90"/>
    <w:rsid w:val="00AF499C"/>
    <w:rsid w:val="00AF6E92"/>
    <w:rsid w:val="00AF723C"/>
    <w:rsid w:val="00AF72C0"/>
    <w:rsid w:val="00AF7D43"/>
    <w:rsid w:val="00AF7E51"/>
    <w:rsid w:val="00B00AB3"/>
    <w:rsid w:val="00B00C4C"/>
    <w:rsid w:val="00B04FAD"/>
    <w:rsid w:val="00B0609A"/>
    <w:rsid w:val="00B0659B"/>
    <w:rsid w:val="00B07380"/>
    <w:rsid w:val="00B12861"/>
    <w:rsid w:val="00B13FBB"/>
    <w:rsid w:val="00B16257"/>
    <w:rsid w:val="00B16E97"/>
    <w:rsid w:val="00B17617"/>
    <w:rsid w:val="00B20E79"/>
    <w:rsid w:val="00B22108"/>
    <w:rsid w:val="00B227ED"/>
    <w:rsid w:val="00B22F5E"/>
    <w:rsid w:val="00B241C4"/>
    <w:rsid w:val="00B26EB3"/>
    <w:rsid w:val="00B27094"/>
    <w:rsid w:val="00B2709F"/>
    <w:rsid w:val="00B310D7"/>
    <w:rsid w:val="00B31BC6"/>
    <w:rsid w:val="00B35CF2"/>
    <w:rsid w:val="00B40A00"/>
    <w:rsid w:val="00B40DB2"/>
    <w:rsid w:val="00B410D1"/>
    <w:rsid w:val="00B424DC"/>
    <w:rsid w:val="00B50B36"/>
    <w:rsid w:val="00B51DA6"/>
    <w:rsid w:val="00B53190"/>
    <w:rsid w:val="00B56094"/>
    <w:rsid w:val="00B608E9"/>
    <w:rsid w:val="00B60B0A"/>
    <w:rsid w:val="00B638C4"/>
    <w:rsid w:val="00B66816"/>
    <w:rsid w:val="00B6712C"/>
    <w:rsid w:val="00B70231"/>
    <w:rsid w:val="00B715F4"/>
    <w:rsid w:val="00B74F49"/>
    <w:rsid w:val="00B77CB0"/>
    <w:rsid w:val="00B80F88"/>
    <w:rsid w:val="00B810B8"/>
    <w:rsid w:val="00B8196E"/>
    <w:rsid w:val="00B8319D"/>
    <w:rsid w:val="00B83DD8"/>
    <w:rsid w:val="00B8447B"/>
    <w:rsid w:val="00B84A41"/>
    <w:rsid w:val="00B86A22"/>
    <w:rsid w:val="00B86F0B"/>
    <w:rsid w:val="00B90005"/>
    <w:rsid w:val="00B92E46"/>
    <w:rsid w:val="00B92ECE"/>
    <w:rsid w:val="00B93E7D"/>
    <w:rsid w:val="00B95D4E"/>
    <w:rsid w:val="00BA342B"/>
    <w:rsid w:val="00BA352B"/>
    <w:rsid w:val="00BA38C5"/>
    <w:rsid w:val="00BA6416"/>
    <w:rsid w:val="00BA7845"/>
    <w:rsid w:val="00BB0713"/>
    <w:rsid w:val="00BB3E1F"/>
    <w:rsid w:val="00BB4838"/>
    <w:rsid w:val="00BB6135"/>
    <w:rsid w:val="00BC034D"/>
    <w:rsid w:val="00BC5C54"/>
    <w:rsid w:val="00BC5E46"/>
    <w:rsid w:val="00BC5F46"/>
    <w:rsid w:val="00BD0F40"/>
    <w:rsid w:val="00BD10E6"/>
    <w:rsid w:val="00BD2C0E"/>
    <w:rsid w:val="00BD2F5D"/>
    <w:rsid w:val="00BD382A"/>
    <w:rsid w:val="00BD59C3"/>
    <w:rsid w:val="00BD64B7"/>
    <w:rsid w:val="00BE02ED"/>
    <w:rsid w:val="00BE08DC"/>
    <w:rsid w:val="00BE104D"/>
    <w:rsid w:val="00BE13AD"/>
    <w:rsid w:val="00BE160A"/>
    <w:rsid w:val="00BE19B0"/>
    <w:rsid w:val="00BE4F8D"/>
    <w:rsid w:val="00BE7455"/>
    <w:rsid w:val="00BF3416"/>
    <w:rsid w:val="00C00A67"/>
    <w:rsid w:val="00C04033"/>
    <w:rsid w:val="00C047C8"/>
    <w:rsid w:val="00C05C43"/>
    <w:rsid w:val="00C06206"/>
    <w:rsid w:val="00C06EB2"/>
    <w:rsid w:val="00C101F3"/>
    <w:rsid w:val="00C10499"/>
    <w:rsid w:val="00C12BE6"/>
    <w:rsid w:val="00C1759C"/>
    <w:rsid w:val="00C20FA9"/>
    <w:rsid w:val="00C218AE"/>
    <w:rsid w:val="00C23275"/>
    <w:rsid w:val="00C23C87"/>
    <w:rsid w:val="00C25474"/>
    <w:rsid w:val="00C31D1D"/>
    <w:rsid w:val="00C31EA5"/>
    <w:rsid w:val="00C37BD3"/>
    <w:rsid w:val="00C427BA"/>
    <w:rsid w:val="00C44DDC"/>
    <w:rsid w:val="00C44E1C"/>
    <w:rsid w:val="00C4722B"/>
    <w:rsid w:val="00C50828"/>
    <w:rsid w:val="00C53580"/>
    <w:rsid w:val="00C54D5F"/>
    <w:rsid w:val="00C663D0"/>
    <w:rsid w:val="00C665DC"/>
    <w:rsid w:val="00C669CC"/>
    <w:rsid w:val="00C670C7"/>
    <w:rsid w:val="00C7375C"/>
    <w:rsid w:val="00C7653C"/>
    <w:rsid w:val="00C76C67"/>
    <w:rsid w:val="00C77352"/>
    <w:rsid w:val="00C817E0"/>
    <w:rsid w:val="00C83B61"/>
    <w:rsid w:val="00C877EB"/>
    <w:rsid w:val="00C90468"/>
    <w:rsid w:val="00C91E8D"/>
    <w:rsid w:val="00C925C9"/>
    <w:rsid w:val="00C92688"/>
    <w:rsid w:val="00C927AC"/>
    <w:rsid w:val="00C93CF9"/>
    <w:rsid w:val="00C94C63"/>
    <w:rsid w:val="00C9676F"/>
    <w:rsid w:val="00CA0A02"/>
    <w:rsid w:val="00CA2085"/>
    <w:rsid w:val="00CA46A1"/>
    <w:rsid w:val="00CB0375"/>
    <w:rsid w:val="00CB0507"/>
    <w:rsid w:val="00CB1F98"/>
    <w:rsid w:val="00CB3C74"/>
    <w:rsid w:val="00CB52A4"/>
    <w:rsid w:val="00CB76A0"/>
    <w:rsid w:val="00CC0E9B"/>
    <w:rsid w:val="00CC2FD2"/>
    <w:rsid w:val="00CC330C"/>
    <w:rsid w:val="00CC3E52"/>
    <w:rsid w:val="00CC5700"/>
    <w:rsid w:val="00CC6051"/>
    <w:rsid w:val="00CD004C"/>
    <w:rsid w:val="00CD1E42"/>
    <w:rsid w:val="00CD219D"/>
    <w:rsid w:val="00CD38B1"/>
    <w:rsid w:val="00CD41EB"/>
    <w:rsid w:val="00CE01AD"/>
    <w:rsid w:val="00CE1334"/>
    <w:rsid w:val="00CE2275"/>
    <w:rsid w:val="00CE3754"/>
    <w:rsid w:val="00CE5289"/>
    <w:rsid w:val="00CE53BE"/>
    <w:rsid w:val="00CE57E0"/>
    <w:rsid w:val="00CE6BFC"/>
    <w:rsid w:val="00CE7235"/>
    <w:rsid w:val="00CF0B57"/>
    <w:rsid w:val="00CF1895"/>
    <w:rsid w:val="00CF358A"/>
    <w:rsid w:val="00CF3E15"/>
    <w:rsid w:val="00CF4B03"/>
    <w:rsid w:val="00CF54D8"/>
    <w:rsid w:val="00CF5507"/>
    <w:rsid w:val="00CF5BA4"/>
    <w:rsid w:val="00CF7E37"/>
    <w:rsid w:val="00D01B14"/>
    <w:rsid w:val="00D20DB8"/>
    <w:rsid w:val="00D2102D"/>
    <w:rsid w:val="00D225E2"/>
    <w:rsid w:val="00D22DFB"/>
    <w:rsid w:val="00D230C6"/>
    <w:rsid w:val="00D23B51"/>
    <w:rsid w:val="00D3081D"/>
    <w:rsid w:val="00D30FDA"/>
    <w:rsid w:val="00D31D34"/>
    <w:rsid w:val="00D32637"/>
    <w:rsid w:val="00D333FD"/>
    <w:rsid w:val="00D34DC0"/>
    <w:rsid w:val="00D35AA9"/>
    <w:rsid w:val="00D36450"/>
    <w:rsid w:val="00D434D8"/>
    <w:rsid w:val="00D441B8"/>
    <w:rsid w:val="00D44F81"/>
    <w:rsid w:val="00D476EC"/>
    <w:rsid w:val="00D52E2D"/>
    <w:rsid w:val="00D53892"/>
    <w:rsid w:val="00D56B60"/>
    <w:rsid w:val="00D57F6E"/>
    <w:rsid w:val="00D60367"/>
    <w:rsid w:val="00D614CD"/>
    <w:rsid w:val="00D628B6"/>
    <w:rsid w:val="00D645F5"/>
    <w:rsid w:val="00D70B55"/>
    <w:rsid w:val="00D72E17"/>
    <w:rsid w:val="00D75D32"/>
    <w:rsid w:val="00D76D6C"/>
    <w:rsid w:val="00D76D9B"/>
    <w:rsid w:val="00D8057F"/>
    <w:rsid w:val="00D8409D"/>
    <w:rsid w:val="00D84CF3"/>
    <w:rsid w:val="00D84DCC"/>
    <w:rsid w:val="00D86113"/>
    <w:rsid w:val="00D87BF4"/>
    <w:rsid w:val="00D90A05"/>
    <w:rsid w:val="00D91DD5"/>
    <w:rsid w:val="00D92E03"/>
    <w:rsid w:val="00D9362D"/>
    <w:rsid w:val="00D945AD"/>
    <w:rsid w:val="00D94EB1"/>
    <w:rsid w:val="00D954BC"/>
    <w:rsid w:val="00DA06FD"/>
    <w:rsid w:val="00DA18F2"/>
    <w:rsid w:val="00DA61FA"/>
    <w:rsid w:val="00DA739C"/>
    <w:rsid w:val="00DA782E"/>
    <w:rsid w:val="00DB1D98"/>
    <w:rsid w:val="00DB27C2"/>
    <w:rsid w:val="00DB44AE"/>
    <w:rsid w:val="00DB6FEC"/>
    <w:rsid w:val="00DB7E02"/>
    <w:rsid w:val="00DC224A"/>
    <w:rsid w:val="00DC31A8"/>
    <w:rsid w:val="00DC4453"/>
    <w:rsid w:val="00DC4B86"/>
    <w:rsid w:val="00DC6262"/>
    <w:rsid w:val="00DD2794"/>
    <w:rsid w:val="00DD2A7C"/>
    <w:rsid w:val="00DD3034"/>
    <w:rsid w:val="00DD4862"/>
    <w:rsid w:val="00DE2E95"/>
    <w:rsid w:val="00DE4F61"/>
    <w:rsid w:val="00DE56A3"/>
    <w:rsid w:val="00DE5CA3"/>
    <w:rsid w:val="00DE780B"/>
    <w:rsid w:val="00DF0C26"/>
    <w:rsid w:val="00DF0ECE"/>
    <w:rsid w:val="00DF1069"/>
    <w:rsid w:val="00DF1296"/>
    <w:rsid w:val="00DF4D31"/>
    <w:rsid w:val="00DF50F3"/>
    <w:rsid w:val="00DF5E30"/>
    <w:rsid w:val="00E00180"/>
    <w:rsid w:val="00E002B3"/>
    <w:rsid w:val="00E02356"/>
    <w:rsid w:val="00E024DF"/>
    <w:rsid w:val="00E03C95"/>
    <w:rsid w:val="00E11BCB"/>
    <w:rsid w:val="00E1653B"/>
    <w:rsid w:val="00E23214"/>
    <w:rsid w:val="00E24B02"/>
    <w:rsid w:val="00E267F8"/>
    <w:rsid w:val="00E27947"/>
    <w:rsid w:val="00E30130"/>
    <w:rsid w:val="00E30310"/>
    <w:rsid w:val="00E311D7"/>
    <w:rsid w:val="00E32B0F"/>
    <w:rsid w:val="00E33441"/>
    <w:rsid w:val="00E3604A"/>
    <w:rsid w:val="00E40662"/>
    <w:rsid w:val="00E40C65"/>
    <w:rsid w:val="00E41137"/>
    <w:rsid w:val="00E41CC5"/>
    <w:rsid w:val="00E42A03"/>
    <w:rsid w:val="00E47AD9"/>
    <w:rsid w:val="00E47B98"/>
    <w:rsid w:val="00E50260"/>
    <w:rsid w:val="00E513C3"/>
    <w:rsid w:val="00E5178A"/>
    <w:rsid w:val="00E52E4A"/>
    <w:rsid w:val="00E5471B"/>
    <w:rsid w:val="00E60AFD"/>
    <w:rsid w:val="00E65A44"/>
    <w:rsid w:val="00E66B5E"/>
    <w:rsid w:val="00E71568"/>
    <w:rsid w:val="00E74651"/>
    <w:rsid w:val="00E74848"/>
    <w:rsid w:val="00E74B66"/>
    <w:rsid w:val="00E751EB"/>
    <w:rsid w:val="00E77521"/>
    <w:rsid w:val="00E832B1"/>
    <w:rsid w:val="00E838B6"/>
    <w:rsid w:val="00E84FB0"/>
    <w:rsid w:val="00E8792B"/>
    <w:rsid w:val="00E87EC7"/>
    <w:rsid w:val="00E87FE5"/>
    <w:rsid w:val="00E9010E"/>
    <w:rsid w:val="00E90C1A"/>
    <w:rsid w:val="00E9114C"/>
    <w:rsid w:val="00E92201"/>
    <w:rsid w:val="00E92824"/>
    <w:rsid w:val="00E92B5E"/>
    <w:rsid w:val="00E9342B"/>
    <w:rsid w:val="00E93FB8"/>
    <w:rsid w:val="00E9416B"/>
    <w:rsid w:val="00E9534C"/>
    <w:rsid w:val="00E96303"/>
    <w:rsid w:val="00EA1431"/>
    <w:rsid w:val="00EA1F10"/>
    <w:rsid w:val="00EA29DB"/>
    <w:rsid w:val="00EA2F93"/>
    <w:rsid w:val="00EA6EDE"/>
    <w:rsid w:val="00EA79EA"/>
    <w:rsid w:val="00EB174B"/>
    <w:rsid w:val="00EB2FEC"/>
    <w:rsid w:val="00EB7748"/>
    <w:rsid w:val="00EC032F"/>
    <w:rsid w:val="00EC5139"/>
    <w:rsid w:val="00ED2B95"/>
    <w:rsid w:val="00ED3E34"/>
    <w:rsid w:val="00ED4166"/>
    <w:rsid w:val="00ED488E"/>
    <w:rsid w:val="00ED48FA"/>
    <w:rsid w:val="00ED4AFA"/>
    <w:rsid w:val="00ED78F7"/>
    <w:rsid w:val="00ED7AAF"/>
    <w:rsid w:val="00EE11C7"/>
    <w:rsid w:val="00EE153F"/>
    <w:rsid w:val="00EE212C"/>
    <w:rsid w:val="00EE2983"/>
    <w:rsid w:val="00EE5743"/>
    <w:rsid w:val="00EE7D8C"/>
    <w:rsid w:val="00EF0BEF"/>
    <w:rsid w:val="00EF1B1D"/>
    <w:rsid w:val="00EF1DF3"/>
    <w:rsid w:val="00EF5458"/>
    <w:rsid w:val="00EF7A6D"/>
    <w:rsid w:val="00F008A4"/>
    <w:rsid w:val="00F01540"/>
    <w:rsid w:val="00F044C7"/>
    <w:rsid w:val="00F06B3A"/>
    <w:rsid w:val="00F0763B"/>
    <w:rsid w:val="00F07B19"/>
    <w:rsid w:val="00F115A0"/>
    <w:rsid w:val="00F12CFB"/>
    <w:rsid w:val="00F13265"/>
    <w:rsid w:val="00F2609D"/>
    <w:rsid w:val="00F30639"/>
    <w:rsid w:val="00F30BEB"/>
    <w:rsid w:val="00F30BF9"/>
    <w:rsid w:val="00F314EC"/>
    <w:rsid w:val="00F36FA2"/>
    <w:rsid w:val="00F37528"/>
    <w:rsid w:val="00F40231"/>
    <w:rsid w:val="00F43576"/>
    <w:rsid w:val="00F5114F"/>
    <w:rsid w:val="00F524BA"/>
    <w:rsid w:val="00F52D0E"/>
    <w:rsid w:val="00F5357E"/>
    <w:rsid w:val="00F54368"/>
    <w:rsid w:val="00F544EE"/>
    <w:rsid w:val="00F546DB"/>
    <w:rsid w:val="00F546FC"/>
    <w:rsid w:val="00F556B3"/>
    <w:rsid w:val="00F56A8F"/>
    <w:rsid w:val="00F60448"/>
    <w:rsid w:val="00F666EC"/>
    <w:rsid w:val="00F722AC"/>
    <w:rsid w:val="00F7247F"/>
    <w:rsid w:val="00F735EC"/>
    <w:rsid w:val="00F77F99"/>
    <w:rsid w:val="00F819B0"/>
    <w:rsid w:val="00F8281C"/>
    <w:rsid w:val="00F83350"/>
    <w:rsid w:val="00F838AE"/>
    <w:rsid w:val="00F8403A"/>
    <w:rsid w:val="00F845E4"/>
    <w:rsid w:val="00F8657D"/>
    <w:rsid w:val="00F913DB"/>
    <w:rsid w:val="00F9160D"/>
    <w:rsid w:val="00F93CC4"/>
    <w:rsid w:val="00F94EA3"/>
    <w:rsid w:val="00F9501B"/>
    <w:rsid w:val="00F95700"/>
    <w:rsid w:val="00F9580B"/>
    <w:rsid w:val="00F96D70"/>
    <w:rsid w:val="00FA2CB1"/>
    <w:rsid w:val="00FA63F1"/>
    <w:rsid w:val="00FA6BFE"/>
    <w:rsid w:val="00FA6C0C"/>
    <w:rsid w:val="00FB002C"/>
    <w:rsid w:val="00FB4D44"/>
    <w:rsid w:val="00FB5DFF"/>
    <w:rsid w:val="00FB7BC6"/>
    <w:rsid w:val="00FC02ED"/>
    <w:rsid w:val="00FC178C"/>
    <w:rsid w:val="00FC1C46"/>
    <w:rsid w:val="00FC1EA4"/>
    <w:rsid w:val="00FC2DFD"/>
    <w:rsid w:val="00FC5D65"/>
    <w:rsid w:val="00FC6110"/>
    <w:rsid w:val="00FC675E"/>
    <w:rsid w:val="00FC7466"/>
    <w:rsid w:val="00FC7AE3"/>
    <w:rsid w:val="00FD23CB"/>
    <w:rsid w:val="00FD3280"/>
    <w:rsid w:val="00FD4A08"/>
    <w:rsid w:val="00FD4EFB"/>
    <w:rsid w:val="00FD6CD2"/>
    <w:rsid w:val="00FE08E0"/>
    <w:rsid w:val="00FE0BF6"/>
    <w:rsid w:val="00FE3105"/>
    <w:rsid w:val="00FE4973"/>
    <w:rsid w:val="00FF1132"/>
    <w:rsid w:val="00FF20A8"/>
    <w:rsid w:val="00FF3ECE"/>
    <w:rsid w:val="00FF573E"/>
    <w:rsid w:val="00FF67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609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260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609D"/>
    <w:rPr>
      <w:rFonts w:ascii="Calibri" w:eastAsia="Calibri" w:hAnsi="Calibri" w:cs="Times New Roman"/>
      <w:sz w:val="20"/>
      <w:szCs w:val="20"/>
    </w:rPr>
  </w:style>
  <w:style w:type="character" w:styleId="Znakapoznpodarou">
    <w:name w:val="footnote reference"/>
    <w:uiPriority w:val="99"/>
    <w:semiHidden/>
    <w:unhideWhenUsed/>
    <w:rsid w:val="00F2609D"/>
    <w:rPr>
      <w:vertAlign w:val="superscript"/>
    </w:rPr>
  </w:style>
  <w:style w:type="paragraph" w:styleId="Zkladntext">
    <w:name w:val="Body Text"/>
    <w:basedOn w:val="Normln"/>
    <w:link w:val="ZkladntextChar"/>
    <w:semiHidden/>
    <w:rsid w:val="00BA7845"/>
    <w:pPr>
      <w:spacing w:after="0" w:line="240" w:lineRule="auto"/>
      <w:jc w:val="both"/>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BA7845"/>
    <w:rPr>
      <w:rFonts w:ascii="Arial" w:eastAsia="Times New Roman" w:hAnsi="Arial" w:cs="Arial"/>
      <w:sz w:val="20"/>
      <w:szCs w:val="24"/>
      <w:lang w:eastAsia="cs-CZ"/>
    </w:rPr>
  </w:style>
  <w:style w:type="paragraph" w:styleId="Textbubliny">
    <w:name w:val="Balloon Text"/>
    <w:basedOn w:val="Normln"/>
    <w:link w:val="TextbublinyChar"/>
    <w:uiPriority w:val="99"/>
    <w:semiHidden/>
    <w:unhideWhenUsed/>
    <w:rsid w:val="002417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1781"/>
    <w:rPr>
      <w:rFonts w:ascii="Tahoma" w:eastAsia="Calibri" w:hAnsi="Tahoma" w:cs="Tahoma"/>
      <w:sz w:val="16"/>
      <w:szCs w:val="16"/>
    </w:rPr>
  </w:style>
  <w:style w:type="paragraph" w:styleId="Odstavecseseznamem">
    <w:name w:val="List Paragraph"/>
    <w:basedOn w:val="Normln"/>
    <w:uiPriority w:val="34"/>
    <w:qFormat/>
    <w:rsid w:val="006017DC"/>
    <w:pPr>
      <w:ind w:left="720"/>
      <w:contextualSpacing/>
    </w:pPr>
  </w:style>
  <w:style w:type="character" w:styleId="Siln">
    <w:name w:val="Strong"/>
    <w:basedOn w:val="Standardnpsmoodstavce"/>
    <w:uiPriority w:val="22"/>
    <w:qFormat/>
    <w:rsid w:val="00FB4D44"/>
    <w:rPr>
      <w:b/>
      <w:bCs/>
    </w:rPr>
  </w:style>
  <w:style w:type="character" w:styleId="Hypertextovodkaz">
    <w:name w:val="Hyperlink"/>
    <w:basedOn w:val="Standardnpsmoodstavce"/>
    <w:uiPriority w:val="99"/>
    <w:semiHidden/>
    <w:unhideWhenUsed/>
    <w:rsid w:val="00FB4D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8753">
      <w:bodyDiv w:val="1"/>
      <w:marLeft w:val="0"/>
      <w:marRight w:val="0"/>
      <w:marTop w:val="0"/>
      <w:marBottom w:val="0"/>
      <w:divBdr>
        <w:top w:val="none" w:sz="0" w:space="0" w:color="auto"/>
        <w:left w:val="none" w:sz="0" w:space="0" w:color="auto"/>
        <w:bottom w:val="none" w:sz="0" w:space="0" w:color="auto"/>
        <w:right w:val="none" w:sz="0" w:space="0" w:color="auto"/>
      </w:divBdr>
      <w:divsChild>
        <w:div w:id="1006401613">
          <w:marLeft w:val="0"/>
          <w:marRight w:val="0"/>
          <w:marTop w:val="0"/>
          <w:marBottom w:val="0"/>
          <w:divBdr>
            <w:top w:val="none" w:sz="0" w:space="0" w:color="auto"/>
            <w:left w:val="none" w:sz="0" w:space="0" w:color="auto"/>
            <w:bottom w:val="none" w:sz="0" w:space="0" w:color="auto"/>
            <w:right w:val="none" w:sz="0" w:space="0" w:color="auto"/>
          </w:divBdr>
        </w:div>
        <w:div w:id="1247687205">
          <w:marLeft w:val="0"/>
          <w:marRight w:val="0"/>
          <w:marTop w:val="0"/>
          <w:marBottom w:val="0"/>
          <w:divBdr>
            <w:top w:val="none" w:sz="0" w:space="0" w:color="auto"/>
            <w:left w:val="none" w:sz="0" w:space="0" w:color="auto"/>
            <w:bottom w:val="none" w:sz="0" w:space="0" w:color="auto"/>
            <w:right w:val="none" w:sz="0" w:space="0" w:color="auto"/>
          </w:divBdr>
        </w:div>
        <w:div w:id="1170827318">
          <w:marLeft w:val="0"/>
          <w:marRight w:val="0"/>
          <w:marTop w:val="0"/>
          <w:marBottom w:val="0"/>
          <w:divBdr>
            <w:top w:val="none" w:sz="0" w:space="0" w:color="auto"/>
            <w:left w:val="none" w:sz="0" w:space="0" w:color="auto"/>
            <w:bottom w:val="none" w:sz="0" w:space="0" w:color="auto"/>
            <w:right w:val="none" w:sz="0" w:space="0" w:color="auto"/>
          </w:divBdr>
        </w:div>
        <w:div w:id="1980725146">
          <w:marLeft w:val="0"/>
          <w:marRight w:val="0"/>
          <w:marTop w:val="0"/>
          <w:marBottom w:val="0"/>
          <w:divBdr>
            <w:top w:val="none" w:sz="0" w:space="0" w:color="auto"/>
            <w:left w:val="none" w:sz="0" w:space="0" w:color="auto"/>
            <w:bottom w:val="none" w:sz="0" w:space="0" w:color="auto"/>
            <w:right w:val="none" w:sz="0" w:space="0" w:color="auto"/>
          </w:divBdr>
        </w:div>
        <w:div w:id="160631919">
          <w:marLeft w:val="0"/>
          <w:marRight w:val="0"/>
          <w:marTop w:val="0"/>
          <w:marBottom w:val="0"/>
          <w:divBdr>
            <w:top w:val="none" w:sz="0" w:space="0" w:color="auto"/>
            <w:left w:val="none" w:sz="0" w:space="0" w:color="auto"/>
            <w:bottom w:val="none" w:sz="0" w:space="0" w:color="auto"/>
            <w:right w:val="none" w:sz="0" w:space="0" w:color="auto"/>
          </w:divBdr>
        </w:div>
      </w:divsChild>
    </w:div>
    <w:div w:id="888540754">
      <w:bodyDiv w:val="1"/>
      <w:marLeft w:val="0"/>
      <w:marRight w:val="0"/>
      <w:marTop w:val="0"/>
      <w:marBottom w:val="0"/>
      <w:divBdr>
        <w:top w:val="none" w:sz="0" w:space="0" w:color="auto"/>
        <w:left w:val="none" w:sz="0" w:space="0" w:color="auto"/>
        <w:bottom w:val="none" w:sz="0" w:space="0" w:color="auto"/>
        <w:right w:val="none" w:sz="0" w:space="0" w:color="auto"/>
      </w:divBdr>
      <w:divsChild>
        <w:div w:id="1251231551">
          <w:marLeft w:val="0"/>
          <w:marRight w:val="0"/>
          <w:marTop w:val="0"/>
          <w:marBottom w:val="0"/>
          <w:divBdr>
            <w:top w:val="none" w:sz="0" w:space="0" w:color="auto"/>
            <w:left w:val="none" w:sz="0" w:space="0" w:color="auto"/>
            <w:bottom w:val="none" w:sz="0" w:space="0" w:color="auto"/>
            <w:right w:val="none" w:sz="0" w:space="0" w:color="auto"/>
          </w:divBdr>
        </w:div>
        <w:div w:id="1792553502">
          <w:marLeft w:val="0"/>
          <w:marRight w:val="0"/>
          <w:marTop w:val="0"/>
          <w:marBottom w:val="0"/>
          <w:divBdr>
            <w:top w:val="none" w:sz="0" w:space="0" w:color="auto"/>
            <w:left w:val="none" w:sz="0" w:space="0" w:color="auto"/>
            <w:bottom w:val="none" w:sz="0" w:space="0" w:color="auto"/>
            <w:right w:val="none" w:sz="0" w:space="0" w:color="auto"/>
          </w:divBdr>
        </w:div>
      </w:divsChild>
    </w:div>
    <w:div w:id="900822160">
      <w:bodyDiv w:val="1"/>
      <w:marLeft w:val="0"/>
      <w:marRight w:val="0"/>
      <w:marTop w:val="0"/>
      <w:marBottom w:val="0"/>
      <w:divBdr>
        <w:top w:val="none" w:sz="0" w:space="0" w:color="auto"/>
        <w:left w:val="none" w:sz="0" w:space="0" w:color="auto"/>
        <w:bottom w:val="none" w:sz="0" w:space="0" w:color="auto"/>
        <w:right w:val="none" w:sz="0" w:space="0" w:color="auto"/>
      </w:divBdr>
      <w:divsChild>
        <w:div w:id="1223711970">
          <w:marLeft w:val="0"/>
          <w:marRight w:val="0"/>
          <w:marTop w:val="0"/>
          <w:marBottom w:val="0"/>
          <w:divBdr>
            <w:top w:val="none" w:sz="0" w:space="0" w:color="auto"/>
            <w:left w:val="none" w:sz="0" w:space="0" w:color="auto"/>
            <w:bottom w:val="none" w:sz="0" w:space="0" w:color="auto"/>
            <w:right w:val="none" w:sz="0" w:space="0" w:color="auto"/>
          </w:divBdr>
        </w:div>
        <w:div w:id="1750694960">
          <w:marLeft w:val="0"/>
          <w:marRight w:val="0"/>
          <w:marTop w:val="0"/>
          <w:marBottom w:val="0"/>
          <w:divBdr>
            <w:top w:val="none" w:sz="0" w:space="0" w:color="auto"/>
            <w:left w:val="none" w:sz="0" w:space="0" w:color="auto"/>
            <w:bottom w:val="none" w:sz="0" w:space="0" w:color="auto"/>
            <w:right w:val="none" w:sz="0" w:space="0" w:color="auto"/>
          </w:divBdr>
        </w:div>
        <w:div w:id="1480077826">
          <w:marLeft w:val="0"/>
          <w:marRight w:val="0"/>
          <w:marTop w:val="0"/>
          <w:marBottom w:val="0"/>
          <w:divBdr>
            <w:top w:val="none" w:sz="0" w:space="0" w:color="auto"/>
            <w:left w:val="none" w:sz="0" w:space="0" w:color="auto"/>
            <w:bottom w:val="none" w:sz="0" w:space="0" w:color="auto"/>
            <w:right w:val="none" w:sz="0" w:space="0" w:color="auto"/>
          </w:divBdr>
        </w:div>
        <w:div w:id="343167435">
          <w:marLeft w:val="0"/>
          <w:marRight w:val="0"/>
          <w:marTop w:val="0"/>
          <w:marBottom w:val="0"/>
          <w:divBdr>
            <w:top w:val="none" w:sz="0" w:space="0" w:color="auto"/>
            <w:left w:val="none" w:sz="0" w:space="0" w:color="auto"/>
            <w:bottom w:val="none" w:sz="0" w:space="0" w:color="auto"/>
            <w:right w:val="none" w:sz="0" w:space="0" w:color="auto"/>
          </w:divBdr>
        </w:div>
        <w:div w:id="1739472091">
          <w:marLeft w:val="0"/>
          <w:marRight w:val="0"/>
          <w:marTop w:val="0"/>
          <w:marBottom w:val="0"/>
          <w:divBdr>
            <w:top w:val="none" w:sz="0" w:space="0" w:color="auto"/>
            <w:left w:val="none" w:sz="0" w:space="0" w:color="auto"/>
            <w:bottom w:val="none" w:sz="0" w:space="0" w:color="auto"/>
            <w:right w:val="none" w:sz="0" w:space="0" w:color="auto"/>
          </w:divBdr>
        </w:div>
      </w:divsChild>
    </w:div>
    <w:div w:id="1452477768">
      <w:bodyDiv w:val="1"/>
      <w:marLeft w:val="0"/>
      <w:marRight w:val="0"/>
      <w:marTop w:val="0"/>
      <w:marBottom w:val="0"/>
      <w:divBdr>
        <w:top w:val="none" w:sz="0" w:space="0" w:color="auto"/>
        <w:left w:val="none" w:sz="0" w:space="0" w:color="auto"/>
        <w:bottom w:val="none" w:sz="0" w:space="0" w:color="auto"/>
        <w:right w:val="none" w:sz="0" w:space="0" w:color="auto"/>
      </w:divBdr>
      <w:divsChild>
        <w:div w:id="1540240499">
          <w:marLeft w:val="0"/>
          <w:marRight w:val="0"/>
          <w:marTop w:val="0"/>
          <w:marBottom w:val="0"/>
          <w:divBdr>
            <w:top w:val="none" w:sz="0" w:space="0" w:color="auto"/>
            <w:left w:val="none" w:sz="0" w:space="0" w:color="auto"/>
            <w:bottom w:val="none" w:sz="0" w:space="0" w:color="auto"/>
            <w:right w:val="none" w:sz="0" w:space="0" w:color="auto"/>
          </w:divBdr>
        </w:div>
        <w:div w:id="785467523">
          <w:marLeft w:val="0"/>
          <w:marRight w:val="0"/>
          <w:marTop w:val="0"/>
          <w:marBottom w:val="0"/>
          <w:divBdr>
            <w:top w:val="none" w:sz="0" w:space="0" w:color="auto"/>
            <w:left w:val="none" w:sz="0" w:space="0" w:color="auto"/>
            <w:bottom w:val="none" w:sz="0" w:space="0" w:color="auto"/>
            <w:right w:val="none" w:sz="0" w:space="0" w:color="auto"/>
          </w:divBdr>
        </w:div>
        <w:div w:id="1437287759">
          <w:marLeft w:val="0"/>
          <w:marRight w:val="0"/>
          <w:marTop w:val="0"/>
          <w:marBottom w:val="0"/>
          <w:divBdr>
            <w:top w:val="none" w:sz="0" w:space="0" w:color="auto"/>
            <w:left w:val="none" w:sz="0" w:space="0" w:color="auto"/>
            <w:bottom w:val="none" w:sz="0" w:space="0" w:color="auto"/>
            <w:right w:val="none" w:sz="0" w:space="0" w:color="auto"/>
          </w:divBdr>
        </w:div>
        <w:div w:id="369232094">
          <w:marLeft w:val="0"/>
          <w:marRight w:val="0"/>
          <w:marTop w:val="0"/>
          <w:marBottom w:val="0"/>
          <w:divBdr>
            <w:top w:val="none" w:sz="0" w:space="0" w:color="auto"/>
            <w:left w:val="none" w:sz="0" w:space="0" w:color="auto"/>
            <w:bottom w:val="none" w:sz="0" w:space="0" w:color="auto"/>
            <w:right w:val="none" w:sz="0" w:space="0" w:color="auto"/>
          </w:divBdr>
        </w:div>
        <w:div w:id="96300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7.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5.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chart" Target="charts/chart1.xml"/><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877931925176023E-2"/>
          <c:y val="1.8051443569553807E-2"/>
          <c:w val="0.77085864266966631"/>
          <c:h val="0.97128188976377949"/>
        </c:manualLayout>
      </c:layout>
      <c:doughnutChart>
        <c:varyColors val="1"/>
        <c:ser>
          <c:idx val="0"/>
          <c:order val="0"/>
          <c:spPr>
            <a:solidFill>
              <a:schemeClr val="bg1"/>
            </a:solidFill>
            <a:ln w="12700">
              <a:solidFill>
                <a:schemeClr val="tx1"/>
              </a:solidFill>
              <a:prstDash val="solid"/>
            </a:ln>
          </c:spPr>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showLegendKey val="0"/>
            <c:showVal val="0"/>
            <c:showCatName val="1"/>
            <c:showSerName val="0"/>
            <c:showPercent val="0"/>
            <c:showBubbleSize val="0"/>
            <c:showLeaderLines val="0"/>
          </c:dLbls>
          <c:cat>
            <c:strRef>
              <c:f>'13-2018_d- cel  '!$H$2:$H$15</c:f>
              <c:strCache>
                <c:ptCount val="14"/>
                <c:pt idx="0">
                  <c:v>DE</c:v>
                </c:pt>
                <c:pt idx="1">
                  <c:v>CN</c:v>
                </c:pt>
                <c:pt idx="2">
                  <c:v>PL</c:v>
                </c:pt>
                <c:pt idx="3">
                  <c:v>SK</c:v>
                </c:pt>
                <c:pt idx="4">
                  <c:v>IT</c:v>
                </c:pt>
                <c:pt idx="5">
                  <c:v>FR</c:v>
                </c:pt>
                <c:pt idx="6">
                  <c:v>RU</c:v>
                </c:pt>
                <c:pt idx="7">
                  <c:v>AT</c:v>
                </c:pt>
                <c:pt idx="8">
                  <c:v>NL</c:v>
                </c:pt>
                <c:pt idx="9">
                  <c:v>US</c:v>
                </c:pt>
                <c:pt idx="10">
                  <c:v>HU</c:v>
                </c:pt>
                <c:pt idx="11">
                  <c:v>KR</c:v>
                </c:pt>
                <c:pt idx="12">
                  <c:v>GB</c:v>
                </c:pt>
                <c:pt idx="13">
                  <c:v>ostatní</c:v>
                </c:pt>
              </c:strCache>
            </c:strRef>
          </c:cat>
          <c:val>
            <c:numRef>
              <c:f>'13-2018_d- cel  '!$I$2:$I$15</c:f>
              <c:numCache>
                <c:formatCode>#,##0</c:formatCode>
                <c:ptCount val="14"/>
                <c:pt idx="0">
                  <c:v>1007126613150</c:v>
                </c:pt>
                <c:pt idx="1">
                  <c:v>568498412768</c:v>
                </c:pt>
                <c:pt idx="2">
                  <c:v>308381313081</c:v>
                </c:pt>
                <c:pt idx="3">
                  <c:v>200177613682</c:v>
                </c:pt>
                <c:pt idx="4">
                  <c:v>167501853411</c:v>
                </c:pt>
                <c:pt idx="5">
                  <c:v>130831048892</c:v>
                </c:pt>
                <c:pt idx="6">
                  <c:v>127696137919</c:v>
                </c:pt>
                <c:pt idx="7">
                  <c:v>118031839506</c:v>
                </c:pt>
                <c:pt idx="8">
                  <c:v>111424224608</c:v>
                </c:pt>
                <c:pt idx="9">
                  <c:v>101352024401</c:v>
                </c:pt>
                <c:pt idx="10">
                  <c:v>96182093240</c:v>
                </c:pt>
                <c:pt idx="11">
                  <c:v>93041930719</c:v>
                </c:pt>
                <c:pt idx="12">
                  <c:v>83180564474</c:v>
                </c:pt>
                <c:pt idx="13">
                  <c:v>909745075289</c:v>
                </c:pt>
              </c:numCache>
            </c:numRef>
          </c:val>
        </c:ser>
        <c:dLbls>
          <c:showLegendKey val="0"/>
          <c:showVal val="0"/>
          <c:showCatName val="1"/>
          <c:showSerName val="0"/>
          <c:showPercent val="1"/>
          <c:showBubbleSize val="0"/>
          <c:showLeaderLines val="0"/>
        </c:dLbls>
        <c:firstSliceAng val="0"/>
        <c:holeSize val="32"/>
      </c:doughnutChart>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cs-CZ"/>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0.34921</cdr:x>
      <cdr:y>0.43242</cdr:y>
    </cdr:from>
    <cdr:to>
      <cdr:x>0.55556</cdr:x>
      <cdr:y>0.59654</cdr:y>
    </cdr:to>
    <cdr:sp macro="" textlink="">
      <cdr:nvSpPr>
        <cdr:cNvPr id="2" name="TextovéPole 1"/>
        <cdr:cNvSpPr txBox="1"/>
      </cdr:nvSpPr>
      <cdr:spPr>
        <a:xfrm xmlns:a="http://schemas.openxmlformats.org/drawingml/2006/main">
          <a:off x="1041713" y="1029698"/>
          <a:ext cx="615554" cy="3908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cs-CZ" sz="800" b="1">
              <a:latin typeface="Arial" panose="020B0604020202020204" pitchFamily="34" charset="0"/>
              <a:cs typeface="Arial" panose="020B0604020202020204" pitchFamily="34" charset="0"/>
            </a:rPr>
            <a:t>4 023,2</a:t>
          </a:r>
        </a:p>
        <a:p xmlns:a="http://schemas.openxmlformats.org/drawingml/2006/main">
          <a:pPr algn="ctr"/>
          <a:r>
            <a:rPr lang="cs-CZ" sz="800" b="1">
              <a:latin typeface="Arial" panose="020B0604020202020204" pitchFamily="34" charset="0"/>
              <a:cs typeface="Arial" panose="020B0604020202020204" pitchFamily="34" charset="0"/>
            </a:rPr>
            <a:t>mld. Kč</a:t>
          </a: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BB74D-27F1-4245-9D8C-53B17A79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9412</TotalTime>
  <Pages>10</Pages>
  <Words>2189</Words>
  <Characters>12920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bartlova327</dc:creator>
  <cp:lastModifiedBy>Monika Bartlová</cp:lastModifiedBy>
  <cp:revision>775</cp:revision>
  <cp:lastPrinted>2019-09-23T06:12:00Z</cp:lastPrinted>
  <dcterms:created xsi:type="dcterms:W3CDTF">2015-06-12T06:36:00Z</dcterms:created>
  <dcterms:modified xsi:type="dcterms:W3CDTF">2019-09-25T04:55:00Z</dcterms:modified>
</cp:coreProperties>
</file>