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26413" w14:textId="0F959C72" w:rsidR="00773C24" w:rsidRPr="00B34B01" w:rsidRDefault="0097252D" w:rsidP="007239E6">
      <w:pPr>
        <w:pStyle w:val="Nadpis1"/>
      </w:pPr>
      <w:r w:rsidRPr="00B34B01">
        <w:t xml:space="preserve">3. </w:t>
      </w:r>
      <w:r w:rsidR="00B34B01" w:rsidRPr="00B34B01">
        <w:t xml:space="preserve">Analytická část </w:t>
      </w:r>
      <w:bookmarkStart w:id="0" w:name="_Toc415056893"/>
    </w:p>
    <w:p w14:paraId="5B45F941" w14:textId="77777777" w:rsidR="00080E37" w:rsidRPr="007239E6" w:rsidRDefault="0097252D" w:rsidP="00E77335">
      <w:pPr>
        <w:pStyle w:val="Nadpis2"/>
        <w:spacing w:after="120"/>
        <w:jc w:val="both"/>
        <w:rPr>
          <w:sz w:val="24"/>
        </w:rPr>
      </w:pPr>
      <w:r w:rsidRPr="007239E6">
        <w:rPr>
          <w:sz w:val="24"/>
        </w:rPr>
        <w:t>3.1</w:t>
      </w:r>
      <w:bookmarkEnd w:id="0"/>
      <w:r w:rsidR="00052731" w:rsidRPr="007239E6">
        <w:rPr>
          <w:sz w:val="24"/>
        </w:rPr>
        <w:t xml:space="preserve"> </w:t>
      </w:r>
      <w:r w:rsidR="00BB5FE5" w:rsidRPr="007239E6">
        <w:rPr>
          <w:sz w:val="24"/>
        </w:rPr>
        <w:t xml:space="preserve">Celková veřejná podpora </w:t>
      </w:r>
      <w:proofErr w:type="spellStart"/>
      <w:r w:rsidR="00BB5FE5" w:rsidRPr="007239E6">
        <w:rPr>
          <w:sz w:val="24"/>
        </w:rPr>
        <w:t>VaV</w:t>
      </w:r>
      <w:proofErr w:type="spellEnd"/>
      <w:r w:rsidR="00BB5FE5" w:rsidRPr="007239E6">
        <w:rPr>
          <w:sz w:val="24"/>
        </w:rPr>
        <w:t xml:space="preserve"> v soukromých podnicích – základní údaje</w:t>
      </w:r>
      <w:r w:rsidR="00052731" w:rsidRPr="007239E6">
        <w:rPr>
          <w:sz w:val="24"/>
        </w:rPr>
        <w:t xml:space="preserve"> </w:t>
      </w:r>
    </w:p>
    <w:p w14:paraId="26780FFA" w14:textId="6F06C481" w:rsidR="009F15A0" w:rsidRDefault="00B452E4" w:rsidP="009F15A0">
      <w:pPr>
        <w:spacing w:before="120"/>
        <w:jc w:val="both"/>
      </w:pPr>
      <w:r>
        <w:t>V roce 2017</w:t>
      </w:r>
      <w:r w:rsidR="006F6EE2">
        <w:t xml:space="preserve"> </w:t>
      </w:r>
      <w:r w:rsidR="00287CCF">
        <w:t xml:space="preserve">dosáhly celkové výdaje na výzkum a vývoj (ukazatel GERD) </w:t>
      </w:r>
      <w:r w:rsidR="006F6EE2">
        <w:t>v</w:t>
      </w:r>
      <w:r w:rsidR="00EF0F1E">
        <w:t xml:space="preserve"> České republice </w:t>
      </w:r>
      <w:r w:rsidR="00162454">
        <w:t xml:space="preserve">rekordní </w:t>
      </w:r>
      <w:r w:rsidR="00287CCF">
        <w:t>hodnoty</w:t>
      </w:r>
      <w:r w:rsidR="006278B3">
        <w:t xml:space="preserve"> </w:t>
      </w:r>
      <w:r w:rsidR="00162454">
        <w:t>90,4</w:t>
      </w:r>
      <w:r w:rsidR="006278B3">
        <w:t> </w:t>
      </w:r>
      <w:r w:rsidR="00EF0F1E">
        <w:t>mld.</w:t>
      </w:r>
      <w:r w:rsidR="006278B3">
        <w:t> </w:t>
      </w:r>
      <w:r w:rsidR="00EF0F1E">
        <w:t>Kč, z </w:t>
      </w:r>
      <w:r w:rsidR="0017776E">
        <w:t xml:space="preserve">toho </w:t>
      </w:r>
      <w:r w:rsidR="00287CCF">
        <w:t>v </w:t>
      </w:r>
      <w:r w:rsidR="0017776E" w:rsidRPr="003D476F">
        <w:t>soukrom</w:t>
      </w:r>
      <w:r w:rsidR="00287CCF">
        <w:t xml:space="preserve">ých podnicích byla </w:t>
      </w:r>
      <w:r w:rsidR="001C5C0E">
        <w:t>n</w:t>
      </w:r>
      <w:r w:rsidR="00287CCF">
        <w:t>a zde provedený výzkum a vývoj (dále je</w:t>
      </w:r>
      <w:r w:rsidR="001C5C0E">
        <w:t>n</w:t>
      </w:r>
      <w:r w:rsidR="00287CCF">
        <w:t xml:space="preserve"> </w:t>
      </w:r>
      <w:proofErr w:type="spellStart"/>
      <w:r w:rsidR="00287CCF">
        <w:t>VaV</w:t>
      </w:r>
      <w:proofErr w:type="spellEnd"/>
      <w:r w:rsidR="00287CCF">
        <w:t xml:space="preserve">) vynaložena </w:t>
      </w:r>
      <w:r w:rsidR="00925407">
        <w:t xml:space="preserve">více než </w:t>
      </w:r>
      <w:r w:rsidR="003D476F" w:rsidRPr="003D476F">
        <w:t>polovin</w:t>
      </w:r>
      <w:r w:rsidR="001C5C0E">
        <w:t>a</w:t>
      </w:r>
      <w:r w:rsidR="00395AD8">
        <w:t xml:space="preserve"> této částky (54,3</w:t>
      </w:r>
      <w:r w:rsidR="0017776E" w:rsidRPr="003D476F">
        <w:t xml:space="preserve"> mld. Kč)</w:t>
      </w:r>
      <w:r w:rsidR="00EF0F1E" w:rsidRPr="003D476F">
        <w:t>.</w:t>
      </w:r>
      <w:r w:rsidR="00EF0F1E">
        <w:t xml:space="preserve"> </w:t>
      </w:r>
      <w:r w:rsidR="001C12AE">
        <w:t>Oproti roku 2016 narostly výdaje na</w:t>
      </w:r>
      <w:r w:rsidR="00B51581">
        <w:t xml:space="preserve"> </w:t>
      </w:r>
      <w:proofErr w:type="spellStart"/>
      <w:r w:rsidR="00B51581">
        <w:t>VaV</w:t>
      </w:r>
      <w:proofErr w:type="spellEnd"/>
      <w:r w:rsidR="00B51581">
        <w:t xml:space="preserve"> v soukromých podnicích o 15</w:t>
      </w:r>
      <w:r w:rsidR="001C12AE">
        <w:t xml:space="preserve">,7 %. </w:t>
      </w:r>
      <w:r w:rsidR="002257DA">
        <w:t>Od roku 2010 výdaje soukromých podniků</w:t>
      </w:r>
      <w:r w:rsidR="006E42AA">
        <w:t xml:space="preserve"> na </w:t>
      </w:r>
      <w:proofErr w:type="spellStart"/>
      <w:r w:rsidR="006E42AA">
        <w:t>VaV</w:t>
      </w:r>
      <w:proofErr w:type="spellEnd"/>
      <w:r w:rsidR="002257DA">
        <w:t xml:space="preserve"> </w:t>
      </w:r>
      <w:r w:rsidR="001C5C0E">
        <w:t xml:space="preserve">kontinuálně </w:t>
      </w:r>
      <w:r w:rsidR="002257DA">
        <w:t>rostou průměrným ročním tempem ve výš</w:t>
      </w:r>
      <w:r w:rsidR="005745F8">
        <w:t>i 10</w:t>
      </w:r>
      <w:r w:rsidR="002257DA">
        <w:t xml:space="preserve"> %. </w:t>
      </w:r>
    </w:p>
    <w:p w14:paraId="6709A9BB" w14:textId="48C81FB2" w:rsidR="00181BC2" w:rsidRDefault="00AB1F4B" w:rsidP="00A74DC3">
      <w:pPr>
        <w:spacing w:before="120" w:after="120"/>
        <w:jc w:val="both"/>
        <w:rPr>
          <w:b/>
        </w:rPr>
      </w:pPr>
      <w:r>
        <w:rPr>
          <w:b/>
        </w:rPr>
        <w:t>GRAF</w:t>
      </w:r>
      <w:r w:rsidR="00181BC2" w:rsidRPr="00645105">
        <w:rPr>
          <w:b/>
        </w:rPr>
        <w:t xml:space="preserve"> 1: </w:t>
      </w:r>
      <w:r w:rsidR="001C5C0E">
        <w:rPr>
          <w:b/>
        </w:rPr>
        <w:t>V</w:t>
      </w:r>
      <w:r w:rsidR="00CC52FA">
        <w:rPr>
          <w:b/>
        </w:rPr>
        <w:t xml:space="preserve">ýdaje </w:t>
      </w:r>
      <w:r w:rsidR="001C5C0E">
        <w:rPr>
          <w:b/>
        </w:rPr>
        <w:t xml:space="preserve">na </w:t>
      </w:r>
      <w:proofErr w:type="spellStart"/>
      <w:r w:rsidR="001C5C0E">
        <w:rPr>
          <w:b/>
        </w:rPr>
        <w:t>VaV</w:t>
      </w:r>
      <w:proofErr w:type="spellEnd"/>
      <w:r w:rsidR="001C5C0E">
        <w:rPr>
          <w:b/>
        </w:rPr>
        <w:t xml:space="preserve"> v soukromých podnicích ČR</w:t>
      </w:r>
      <w:r w:rsidR="00545C15">
        <w:rPr>
          <w:b/>
        </w:rPr>
        <w:t>, 2007–2017</w:t>
      </w:r>
    </w:p>
    <w:p w14:paraId="78C168CF" w14:textId="0FD22F3B" w:rsidR="00AB1F4B" w:rsidRDefault="00146BE0" w:rsidP="00181BC2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 wp14:anchorId="0D6A930C" wp14:editId="299990AB">
            <wp:extent cx="5982840" cy="2450102"/>
            <wp:effectExtent l="0" t="0" r="0" b="762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EDED366" w14:textId="0D48BB7F" w:rsidR="00832C5B" w:rsidRPr="00DD319B" w:rsidRDefault="00832C5B" w:rsidP="000B3704">
      <w:pPr>
        <w:spacing w:before="120" w:after="120"/>
        <w:rPr>
          <w:i/>
          <w:sz w:val="16"/>
        </w:rPr>
      </w:pPr>
      <w:r w:rsidRPr="00DD319B">
        <w:rPr>
          <w:i/>
          <w:sz w:val="16"/>
        </w:rPr>
        <w:t xml:space="preserve">Zdroj dat: </w:t>
      </w:r>
      <w:r w:rsidR="000A07B0" w:rsidRPr="00DD319B">
        <w:rPr>
          <w:i/>
          <w:sz w:val="16"/>
        </w:rPr>
        <w:t>ČSÚ – Šetření</w:t>
      </w:r>
      <w:r w:rsidRPr="00DD319B">
        <w:rPr>
          <w:i/>
          <w:sz w:val="16"/>
        </w:rPr>
        <w:t xml:space="preserve"> o </w:t>
      </w:r>
      <w:proofErr w:type="spellStart"/>
      <w:r w:rsidRPr="00DD319B">
        <w:rPr>
          <w:i/>
          <w:sz w:val="16"/>
        </w:rPr>
        <w:t>VaV</w:t>
      </w:r>
      <w:proofErr w:type="spellEnd"/>
      <w:r w:rsidRPr="00DD319B">
        <w:rPr>
          <w:i/>
          <w:sz w:val="16"/>
        </w:rPr>
        <w:t xml:space="preserve"> (VTR 5-01) </w:t>
      </w:r>
    </w:p>
    <w:p w14:paraId="3560AFD2" w14:textId="0EAE474D" w:rsidR="00690C1C" w:rsidRDefault="002064C5" w:rsidP="00C66F99">
      <w:pPr>
        <w:spacing w:before="120"/>
        <w:jc w:val="both"/>
      </w:pPr>
      <w:r>
        <w:t>Soukromé podniky získaly</w:t>
      </w:r>
      <w:r w:rsidR="008E257C">
        <w:t xml:space="preserve"> v</w:t>
      </w:r>
      <w:r>
        <w:t> roce 2017</w:t>
      </w:r>
      <w:r w:rsidR="00635458">
        <w:t xml:space="preserve"> </w:t>
      </w:r>
      <w:r w:rsidR="005F7DE8">
        <w:t>pro své výzkumné a vývojové činnosti</w:t>
      </w:r>
      <w:r w:rsidR="00635458">
        <w:t xml:space="preserve"> </w:t>
      </w:r>
      <w:r w:rsidR="009874BD">
        <w:t xml:space="preserve">veřejnou podporu </w:t>
      </w:r>
      <w:r w:rsidR="00AB6EEC">
        <w:t>v souhrnné výši 6,5</w:t>
      </w:r>
      <w:r w:rsidR="00635458">
        <w:t xml:space="preserve"> mld. Kč. </w:t>
      </w:r>
      <w:r w:rsidR="002257DA">
        <w:t xml:space="preserve">Český stát </w:t>
      </w:r>
      <w:r w:rsidR="005F7DE8">
        <w:t xml:space="preserve">podpořil </w:t>
      </w:r>
      <w:proofErr w:type="spellStart"/>
      <w:r w:rsidR="005F7DE8">
        <w:t>VaV</w:t>
      </w:r>
      <w:proofErr w:type="spellEnd"/>
      <w:r w:rsidR="005F7DE8">
        <w:t xml:space="preserve"> prováděný v soukromých podnicích částkou </w:t>
      </w:r>
      <w:r w:rsidR="00AB6EEC">
        <w:t>5,6</w:t>
      </w:r>
      <w:r w:rsidR="002257DA">
        <w:t xml:space="preserve"> </w:t>
      </w:r>
      <w:r w:rsidR="002257DA" w:rsidRPr="007A22BC">
        <w:t>mld. Kč</w:t>
      </w:r>
      <w:r w:rsidR="005F7DE8">
        <w:t xml:space="preserve">, z tohoto formou přímé podpory ze státního rozpočtu ČR podniky </w:t>
      </w:r>
      <w:r w:rsidR="008E257C">
        <w:t>obdržely</w:t>
      </w:r>
      <w:r w:rsidR="00AB6EEC">
        <w:t xml:space="preserve"> rovné 3</w:t>
      </w:r>
      <w:r w:rsidR="005F7DE8">
        <w:t xml:space="preserve"> mld. Kč</w:t>
      </w:r>
      <w:r w:rsidR="00CE4101">
        <w:t xml:space="preserve"> a f</w:t>
      </w:r>
      <w:r w:rsidR="004F1890">
        <w:t>ormou nepřímé podpory prostřednictvím</w:t>
      </w:r>
      <w:r w:rsidR="004F1890" w:rsidRPr="00E5766A">
        <w:t xml:space="preserve"> daňových odpočtů výdajů na </w:t>
      </w:r>
      <w:proofErr w:type="spellStart"/>
      <w:r w:rsidR="004F1890" w:rsidRPr="00E5766A">
        <w:t>VaV</w:t>
      </w:r>
      <w:proofErr w:type="spellEnd"/>
      <w:r w:rsidR="004F1890" w:rsidRPr="00E5766A">
        <w:t xml:space="preserve"> od základu daně z</w:t>
      </w:r>
      <w:r w:rsidR="004F1890">
        <w:t> </w:t>
      </w:r>
      <w:r w:rsidR="004F1890" w:rsidRPr="00E5766A">
        <w:t>příjm</w:t>
      </w:r>
      <w:r w:rsidR="008E257C">
        <w:t>u</w:t>
      </w:r>
      <w:r w:rsidR="004F1890">
        <w:t xml:space="preserve"> </w:t>
      </w:r>
      <w:r w:rsidR="008E257C">
        <w:t>získaly</w:t>
      </w:r>
      <w:r w:rsidR="004F1890">
        <w:t xml:space="preserve"> podporu ve vý</w:t>
      </w:r>
      <w:r w:rsidR="00A9412A">
        <w:t>ši 2,5</w:t>
      </w:r>
      <w:r w:rsidR="008E257C">
        <w:t> </w:t>
      </w:r>
      <w:r w:rsidR="004F1890">
        <w:t>mld.</w:t>
      </w:r>
      <w:r w:rsidR="008E257C">
        <w:t> </w:t>
      </w:r>
      <w:r w:rsidR="004F1890">
        <w:t xml:space="preserve">Kč. </w:t>
      </w:r>
      <w:r w:rsidR="00690C1C">
        <w:t xml:space="preserve">Zahraniční veřejná podpora </w:t>
      </w:r>
      <w:proofErr w:type="spellStart"/>
      <w:r w:rsidR="006E42AA">
        <w:t>VaV</w:t>
      </w:r>
      <w:proofErr w:type="spellEnd"/>
      <w:r w:rsidR="006E42AA">
        <w:t xml:space="preserve"> </w:t>
      </w:r>
      <w:r w:rsidR="00690C1C">
        <w:t>(zejména z</w:t>
      </w:r>
      <w:r w:rsidR="006E42AA">
        <w:t> </w:t>
      </w:r>
      <w:r w:rsidR="008E257C" w:rsidRPr="008E257C">
        <w:t>Evropsk</w:t>
      </w:r>
      <w:r w:rsidR="008E257C">
        <w:t>ých</w:t>
      </w:r>
      <w:r w:rsidR="008E257C" w:rsidRPr="008E257C">
        <w:t xml:space="preserve"> strukturální</w:t>
      </w:r>
      <w:r w:rsidR="008E257C">
        <w:t>ch</w:t>
      </w:r>
      <w:r w:rsidR="008E257C" w:rsidRPr="008E257C">
        <w:t xml:space="preserve"> a investiční</w:t>
      </w:r>
      <w:r w:rsidR="008E257C">
        <w:t>ch</w:t>
      </w:r>
      <w:r w:rsidR="008E257C" w:rsidRPr="008E257C">
        <w:t xml:space="preserve"> fond</w:t>
      </w:r>
      <w:r w:rsidR="008E257C">
        <w:t>ů</w:t>
      </w:r>
      <w:r w:rsidR="004C728B">
        <w:t>/ESIF/</w:t>
      </w:r>
      <w:r w:rsidR="00690C1C">
        <w:t xml:space="preserve">) </w:t>
      </w:r>
      <w:r w:rsidR="00AB6EEC">
        <w:t>dosáhla u soukromých podniků 938</w:t>
      </w:r>
      <w:r w:rsidR="0080029B">
        <w:t> </w:t>
      </w:r>
      <w:r w:rsidR="00690C1C">
        <w:t xml:space="preserve">mil. Kč. </w:t>
      </w:r>
    </w:p>
    <w:p w14:paraId="5945D4DE" w14:textId="1FF3F0F7" w:rsidR="00690C1C" w:rsidRDefault="00690C1C" w:rsidP="00690C1C">
      <w:pPr>
        <w:spacing w:before="120" w:after="120"/>
        <w:jc w:val="both"/>
        <w:rPr>
          <w:b/>
        </w:rPr>
      </w:pPr>
      <w:r>
        <w:rPr>
          <w:b/>
        </w:rPr>
        <w:t>GRAF 2</w:t>
      </w:r>
      <w:r w:rsidRPr="00645105">
        <w:rPr>
          <w:b/>
        </w:rPr>
        <w:t xml:space="preserve">: </w:t>
      </w:r>
      <w:r w:rsidR="003E006B">
        <w:rPr>
          <w:b/>
        </w:rPr>
        <w:t>Veřejná podpora</w:t>
      </w:r>
      <w:r w:rsidRPr="00645105">
        <w:rPr>
          <w:b/>
        </w:rPr>
        <w:t xml:space="preserve"> </w:t>
      </w:r>
      <w:proofErr w:type="spellStart"/>
      <w:r w:rsidRPr="00645105">
        <w:rPr>
          <w:b/>
        </w:rPr>
        <w:t>VaV</w:t>
      </w:r>
      <w:proofErr w:type="spellEnd"/>
      <w:r w:rsidRPr="00645105">
        <w:rPr>
          <w:b/>
        </w:rPr>
        <w:t xml:space="preserve"> </w:t>
      </w:r>
      <w:r>
        <w:rPr>
          <w:b/>
        </w:rPr>
        <w:t>v soukromých podnicích ČR</w:t>
      </w:r>
      <w:r w:rsidR="00FE7571">
        <w:rPr>
          <w:b/>
        </w:rPr>
        <w:t xml:space="preserve"> (</w:t>
      </w:r>
      <w:r>
        <w:rPr>
          <w:b/>
        </w:rPr>
        <w:t>mil. Kč</w:t>
      </w:r>
      <w:r w:rsidR="00FE7571">
        <w:rPr>
          <w:b/>
        </w:rPr>
        <w:t>)</w:t>
      </w:r>
      <w:r w:rsidR="00545C15">
        <w:rPr>
          <w:b/>
        </w:rPr>
        <w:t>, 2007–2017</w:t>
      </w:r>
    </w:p>
    <w:p w14:paraId="670430B9" w14:textId="5774034B" w:rsidR="00690C1C" w:rsidRDefault="00CA68A8" w:rsidP="00690C1C">
      <w:pPr>
        <w:spacing w:before="120"/>
        <w:jc w:val="both"/>
      </w:pPr>
      <w:r>
        <w:rPr>
          <w:noProof/>
        </w:rPr>
        <w:drawing>
          <wp:inline distT="0" distB="0" distL="0" distR="0" wp14:anchorId="18AF4265" wp14:editId="0ED372E1">
            <wp:extent cx="6120001" cy="2520000"/>
            <wp:effectExtent l="0" t="0" r="0" b="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CE0E83" w14:textId="768EAAFC" w:rsidR="00690C1C" w:rsidRDefault="00016501" w:rsidP="00CA68A8">
      <w:pPr>
        <w:spacing w:before="120"/>
        <w:jc w:val="both"/>
      </w:pPr>
      <w:r w:rsidRPr="00DD319B">
        <w:rPr>
          <w:i/>
          <w:sz w:val="16"/>
        </w:rPr>
        <w:t xml:space="preserve">Zdroj dat: ČSÚ podle administrativních dat GFŘ, </w:t>
      </w:r>
      <w:r w:rsidR="006E42AA" w:rsidRPr="00DD319B">
        <w:rPr>
          <w:i/>
          <w:sz w:val="16"/>
        </w:rPr>
        <w:t>ČSÚ – Šetření</w:t>
      </w:r>
      <w:r w:rsidRPr="00DD319B">
        <w:rPr>
          <w:i/>
          <w:sz w:val="16"/>
        </w:rPr>
        <w:t xml:space="preserve"> o </w:t>
      </w:r>
      <w:proofErr w:type="spellStart"/>
      <w:r w:rsidRPr="00DD319B">
        <w:rPr>
          <w:i/>
          <w:sz w:val="16"/>
        </w:rPr>
        <w:t>VaV</w:t>
      </w:r>
      <w:proofErr w:type="spellEnd"/>
      <w:r w:rsidRPr="00DD319B">
        <w:rPr>
          <w:i/>
          <w:sz w:val="16"/>
        </w:rPr>
        <w:t xml:space="preserve"> (VTR 5-01</w:t>
      </w:r>
      <w:r w:rsidR="006E42AA">
        <w:rPr>
          <w:i/>
          <w:sz w:val="16"/>
        </w:rPr>
        <w:t>)</w:t>
      </w:r>
    </w:p>
    <w:p w14:paraId="4A0F813E" w14:textId="77777777" w:rsidR="00690C1C" w:rsidRDefault="00690C1C" w:rsidP="00690C1C">
      <w:pPr>
        <w:spacing w:before="120"/>
        <w:ind w:firstLine="284"/>
        <w:jc w:val="both"/>
      </w:pPr>
    </w:p>
    <w:p w14:paraId="4FDE1691" w14:textId="1E5474ED" w:rsidR="00484EC2" w:rsidRDefault="00AF6948" w:rsidP="00C66F99">
      <w:pPr>
        <w:spacing w:before="240"/>
        <w:jc w:val="both"/>
      </w:pPr>
      <w:r>
        <w:lastRenderedPageBreak/>
        <w:t>V roce 2017</w:t>
      </w:r>
      <w:r w:rsidR="00D5555C">
        <w:t xml:space="preserve"> </w:t>
      </w:r>
      <w:r w:rsidR="00D5555C" w:rsidRPr="00C43588">
        <w:t xml:space="preserve">soukromé podniky prostřednictvím </w:t>
      </w:r>
      <w:r w:rsidR="00D5555C">
        <w:t>přímé domácí</w:t>
      </w:r>
      <w:r w:rsidR="00D5555C" w:rsidRPr="00C43588">
        <w:t xml:space="preserve"> a nepřím</w:t>
      </w:r>
      <w:r w:rsidR="00D5555C">
        <w:t xml:space="preserve">é </w:t>
      </w:r>
      <w:r w:rsidR="009D49F7">
        <w:t>veřejné podpory financovaly 10,2</w:t>
      </w:r>
      <w:r w:rsidR="00D5555C" w:rsidRPr="00C43588">
        <w:t xml:space="preserve"> % ze svých celkových výdajů na </w:t>
      </w:r>
      <w:proofErr w:type="spellStart"/>
      <w:r w:rsidR="00D5555C" w:rsidRPr="00C43588">
        <w:t>VaV</w:t>
      </w:r>
      <w:proofErr w:type="spellEnd"/>
      <w:r w:rsidR="00101A10">
        <w:t>.</w:t>
      </w:r>
      <w:r w:rsidR="00D5555C">
        <w:t xml:space="preserve"> </w:t>
      </w:r>
      <w:r w:rsidR="00E86C04">
        <w:t xml:space="preserve">V letech </w:t>
      </w:r>
      <w:r>
        <w:t>2007 až 2017</w:t>
      </w:r>
      <w:r w:rsidR="00182FF5" w:rsidRPr="00E608AE">
        <w:t xml:space="preserve"> ušetřily </w:t>
      </w:r>
      <w:r w:rsidR="00C66519">
        <w:t>tyto</w:t>
      </w:r>
      <w:r w:rsidR="00182FF5" w:rsidRPr="00E608AE">
        <w:t xml:space="preserve"> </w:t>
      </w:r>
      <w:r w:rsidR="00FF78E9">
        <w:t>podniky</w:t>
      </w:r>
      <w:r w:rsidR="00182FF5" w:rsidRPr="00E608AE">
        <w:t xml:space="preserve"> </w:t>
      </w:r>
      <w:r w:rsidR="00C708C3">
        <w:t xml:space="preserve">díky </w:t>
      </w:r>
      <w:r w:rsidR="00E86C04">
        <w:t xml:space="preserve">daňové </w:t>
      </w:r>
      <w:r w:rsidR="00182FF5">
        <w:t>podpo</w:t>
      </w:r>
      <w:r w:rsidR="00E86C04">
        <w:t>ře</w:t>
      </w:r>
      <w:r w:rsidR="0054607B">
        <w:t xml:space="preserve"> </w:t>
      </w:r>
      <w:proofErr w:type="spellStart"/>
      <w:r w:rsidR="0054607B">
        <w:t>VaV</w:t>
      </w:r>
      <w:proofErr w:type="spellEnd"/>
      <w:r w:rsidR="00182FF5">
        <w:t xml:space="preserve"> </w:t>
      </w:r>
      <w:r w:rsidR="0054607B">
        <w:t xml:space="preserve">více </w:t>
      </w:r>
      <w:r w:rsidR="0054607B" w:rsidRPr="0054607B">
        <w:t xml:space="preserve">než </w:t>
      </w:r>
      <w:r>
        <w:t>20</w:t>
      </w:r>
      <w:r w:rsidR="00182FF5" w:rsidRPr="00E608AE">
        <w:t xml:space="preserve"> miliard korun</w:t>
      </w:r>
      <w:r w:rsidR="00895501">
        <w:t>. Z</w:t>
      </w:r>
      <w:r w:rsidR="00895501" w:rsidRPr="00AE1D7E">
        <w:t>e státního r</w:t>
      </w:r>
      <w:r w:rsidR="00895501">
        <w:t>ozpočtu ČR</w:t>
      </w:r>
      <w:r w:rsidR="00E86C04">
        <w:t xml:space="preserve"> </w:t>
      </w:r>
      <w:r w:rsidR="00182FF5" w:rsidRPr="00AE1D7E">
        <w:t xml:space="preserve">získaly </w:t>
      </w:r>
      <w:r w:rsidR="002728E5">
        <w:t>pro svůj výzkum a vývoj</w:t>
      </w:r>
      <w:r w:rsidR="009D49F7">
        <w:t xml:space="preserve"> 40</w:t>
      </w:r>
      <w:r w:rsidR="00182FF5" w:rsidRPr="00AE1D7E">
        <w:t xml:space="preserve"> miliard korun. </w:t>
      </w:r>
      <w:r w:rsidR="00D73536">
        <w:t xml:space="preserve">Celkem tak český stát během </w:t>
      </w:r>
      <w:r w:rsidR="002B030B">
        <w:t>uve</w:t>
      </w:r>
      <w:r w:rsidR="000B4802">
        <w:t>deného období</w:t>
      </w:r>
      <w:r w:rsidR="00D73536">
        <w:t xml:space="preserve"> podpořil </w:t>
      </w:r>
      <w:proofErr w:type="spellStart"/>
      <w:r w:rsidR="00D73536">
        <w:t>VaV</w:t>
      </w:r>
      <w:proofErr w:type="spellEnd"/>
      <w:r w:rsidR="00D73536">
        <w:t xml:space="preserve"> v s</w:t>
      </w:r>
      <w:r w:rsidR="009D49F7">
        <w:t xml:space="preserve">oukromých podnicích částkou </w:t>
      </w:r>
      <w:r w:rsidR="00E13C79">
        <w:t xml:space="preserve">rovných </w:t>
      </w:r>
      <w:r w:rsidR="009D49F7">
        <w:t>60</w:t>
      </w:r>
      <w:r w:rsidR="00D73536">
        <w:t xml:space="preserve"> mld. Kč. </w:t>
      </w:r>
    </w:p>
    <w:p w14:paraId="161499DC" w14:textId="7CCC6468" w:rsidR="003B75ED" w:rsidRDefault="00832C5B" w:rsidP="00C66F99">
      <w:pPr>
        <w:spacing w:before="120"/>
        <w:jc w:val="both"/>
      </w:pPr>
      <w:r w:rsidRPr="00E608AE">
        <w:t xml:space="preserve">Kromě výše uvedené veřejné podpory z domácích zdrojů, financovaly soukromé podniky </w:t>
      </w:r>
      <w:r w:rsidR="004C728B">
        <w:t>svůj</w:t>
      </w:r>
      <w:r w:rsidRPr="00E608AE">
        <w:t xml:space="preserve"> </w:t>
      </w:r>
      <w:proofErr w:type="spellStart"/>
      <w:r w:rsidRPr="00E608AE">
        <w:t>VaV</w:t>
      </w:r>
      <w:proofErr w:type="spellEnd"/>
      <w:r w:rsidRPr="00E608AE">
        <w:t xml:space="preserve"> </w:t>
      </w:r>
      <w:r w:rsidR="003C1098">
        <w:t xml:space="preserve">také </w:t>
      </w:r>
      <w:r w:rsidRPr="00E608AE">
        <w:t>z </w:t>
      </w:r>
      <w:r w:rsidRPr="00AE1D7E">
        <w:t>veřejných zahraniční</w:t>
      </w:r>
      <w:r>
        <w:t>ch zdrojů</w:t>
      </w:r>
      <w:r w:rsidR="00267DE8">
        <w:t xml:space="preserve"> (zejména ESIF)</w:t>
      </w:r>
      <w:r>
        <w:t>.</w:t>
      </w:r>
      <w:r w:rsidR="00271FCF">
        <w:t xml:space="preserve"> Financování </w:t>
      </w:r>
      <w:proofErr w:type="spellStart"/>
      <w:r w:rsidR="00271FCF">
        <w:t>VaV</w:t>
      </w:r>
      <w:proofErr w:type="spellEnd"/>
      <w:r w:rsidR="00271FCF">
        <w:t xml:space="preserve"> ze zahraničních</w:t>
      </w:r>
      <w:r w:rsidR="0072728F">
        <w:t xml:space="preserve"> veřejných zdrojů se v roce 2017 podílelo 1,7</w:t>
      </w:r>
      <w:r w:rsidR="00271FCF">
        <w:t xml:space="preserve"> % na celkových výdajích soukromý</w:t>
      </w:r>
      <w:r w:rsidR="0072728F">
        <w:t xml:space="preserve">ch podniků na </w:t>
      </w:r>
      <w:proofErr w:type="spellStart"/>
      <w:r w:rsidR="0072728F">
        <w:t>VaV</w:t>
      </w:r>
      <w:proofErr w:type="spellEnd"/>
      <w:r w:rsidR="0072728F">
        <w:t>, přitom v roce 2016</w:t>
      </w:r>
      <w:r w:rsidR="00271FCF">
        <w:t xml:space="preserve"> to bylo</w:t>
      </w:r>
      <w:r w:rsidR="0072728F">
        <w:t xml:space="preserve"> pouze 0,9</w:t>
      </w:r>
      <w:r w:rsidR="00271FCF">
        <w:t> %.</w:t>
      </w:r>
      <w:r w:rsidR="0072728F">
        <w:t xml:space="preserve"> </w:t>
      </w:r>
      <w:r w:rsidR="0072728F" w:rsidRPr="005E601C">
        <w:t>Oproti roku 2016 došlo k razantnímu nárůstu</w:t>
      </w:r>
      <w:r w:rsidR="00B67811" w:rsidRPr="005E601C">
        <w:t xml:space="preserve"> prostředků z evropských fondů</w:t>
      </w:r>
      <w:r w:rsidR="00267DE8" w:rsidRPr="005E601C">
        <w:t xml:space="preserve"> (ESIF)</w:t>
      </w:r>
      <w:r w:rsidR="009D49F7">
        <w:t xml:space="preserve"> o 509 mil. Kč (+135</w:t>
      </w:r>
      <w:r w:rsidR="0072728F" w:rsidRPr="005E601C">
        <w:t> </w:t>
      </w:r>
      <w:r w:rsidR="00B67811" w:rsidRPr="005E601C">
        <w:t xml:space="preserve">%). </w:t>
      </w:r>
      <w:r w:rsidR="00271FCF" w:rsidRPr="005E601C">
        <w:t>Z</w:t>
      </w:r>
      <w:r w:rsidR="00244AD0" w:rsidRPr="005E601C">
        <w:t>a posledních deset let (2008 až 2017</w:t>
      </w:r>
      <w:r w:rsidRPr="005E601C">
        <w:t xml:space="preserve">) </w:t>
      </w:r>
      <w:r w:rsidR="00271FCF" w:rsidRPr="005E601C">
        <w:t xml:space="preserve">získaly soukromé podniky </w:t>
      </w:r>
      <w:r w:rsidR="005E601C" w:rsidRPr="005E601C">
        <w:t>rovných 10</w:t>
      </w:r>
      <w:r w:rsidR="00B67811" w:rsidRPr="005E601C">
        <w:t> </w:t>
      </w:r>
      <w:r w:rsidRPr="005E601C">
        <w:t>mld.</w:t>
      </w:r>
      <w:r w:rsidR="00B67811" w:rsidRPr="005E601C">
        <w:t> </w:t>
      </w:r>
      <w:r w:rsidRPr="005E601C">
        <w:t>Kč.</w:t>
      </w:r>
      <w:r w:rsidR="0054607B">
        <w:t xml:space="preserve"> </w:t>
      </w:r>
    </w:p>
    <w:p w14:paraId="779793CC" w14:textId="764C46A1" w:rsidR="00AB1F4B" w:rsidRDefault="00AB1F4B" w:rsidP="00DE349B">
      <w:pPr>
        <w:spacing w:before="120" w:after="120"/>
        <w:jc w:val="both"/>
        <w:rPr>
          <w:b/>
        </w:rPr>
      </w:pPr>
      <w:r w:rsidRPr="00645105">
        <w:rPr>
          <w:b/>
        </w:rPr>
        <w:t xml:space="preserve">TAB 1: Financování </w:t>
      </w:r>
      <w:proofErr w:type="spellStart"/>
      <w:r w:rsidRPr="00645105">
        <w:rPr>
          <w:b/>
        </w:rPr>
        <w:t>VaV</w:t>
      </w:r>
      <w:proofErr w:type="spellEnd"/>
      <w:r w:rsidRPr="00645105">
        <w:rPr>
          <w:b/>
        </w:rPr>
        <w:t xml:space="preserve"> </w:t>
      </w:r>
      <w:r>
        <w:rPr>
          <w:b/>
        </w:rPr>
        <w:t xml:space="preserve">v soukromých podnicích ČR </w:t>
      </w:r>
      <w:r w:rsidRPr="00645105">
        <w:rPr>
          <w:b/>
        </w:rPr>
        <w:t>z v</w:t>
      </w:r>
      <w:r w:rsidR="00F52B42">
        <w:rPr>
          <w:b/>
        </w:rPr>
        <w:t>eřejných zdrojů v mil. Kč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52B42" w:rsidRPr="00F52B42" w14:paraId="4E1AC493" w14:textId="77777777" w:rsidTr="00F52B4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971651B" w14:textId="2783808F" w:rsidR="00F52B42" w:rsidRPr="00F52B42" w:rsidRDefault="00F52B42" w:rsidP="00F52B42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E40A9E7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1C2EEBD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E4DB12F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59340D3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2AB617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A988F96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C93173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67AFF50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7A1878B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AD98D0E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7051658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9371A05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1EDE298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</w:tr>
      <w:tr w:rsidR="00F52B42" w:rsidRPr="00F52B42" w14:paraId="25F56E27" w14:textId="77777777" w:rsidTr="00F52B42">
        <w:trPr>
          <w:trHeight w:val="2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3F40FD8" w14:textId="77777777" w:rsidR="00F52B42" w:rsidRPr="00F52B42" w:rsidRDefault="00F52B42" w:rsidP="00F52B42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510C68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4 157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F9C3894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4 531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7334707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4 875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538B967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4 501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C2D6070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5 091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3D96F1F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5 599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788C836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7 652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575923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8 311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A761BB8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7 956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0124B59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7 625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8E13F37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7 212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4430F6D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5 259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BB3A609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6 494</w:t>
            </w:r>
          </w:p>
        </w:tc>
      </w:tr>
      <w:tr w:rsidR="00F52B42" w:rsidRPr="00F52B42" w14:paraId="5C139B6C" w14:textId="77777777" w:rsidTr="00F52B42">
        <w:trPr>
          <w:trHeight w:val="2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38FA190" w14:textId="77777777" w:rsidR="00F52B42" w:rsidRPr="00F52B42" w:rsidRDefault="00F52B42" w:rsidP="00F52B42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835F185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3 910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87F5DD9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4 420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9402234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4 726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C6CEC99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4 347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9BD7CE8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4 739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56D8329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4 914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54D7C2F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6 422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8A1EB12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6 545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6C3DCC4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6 251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2F93322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6 041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D2B505B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5 680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1B684F4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4 843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21789F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5 556</w:t>
            </w:r>
          </w:p>
        </w:tc>
      </w:tr>
      <w:tr w:rsidR="00F52B42" w:rsidRPr="00F52B42" w14:paraId="2120D63B" w14:textId="77777777" w:rsidTr="00F52B42">
        <w:trPr>
          <w:trHeight w:val="2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73E52E7" w14:textId="77777777" w:rsidR="00F52B42" w:rsidRPr="00F52B42" w:rsidRDefault="00F52B42" w:rsidP="00F52B42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CFF628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3 049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C72A8A2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3 367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5BC2A6A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3 522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EB3FD00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3 327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9FDB055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3 690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46283BA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3 597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26417B0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4 586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4ED9FB7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4 562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B151516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3 954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2D6AC28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3 778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0975917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3 156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941AA0A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2 459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724FD94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3 040</w:t>
            </w:r>
          </w:p>
        </w:tc>
      </w:tr>
      <w:tr w:rsidR="00F52B42" w:rsidRPr="00F52B42" w14:paraId="3BD5A374" w14:textId="77777777" w:rsidTr="00F52B42">
        <w:trPr>
          <w:trHeight w:val="2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3C76982" w14:textId="77777777" w:rsidR="00F52B42" w:rsidRPr="00F52B42" w:rsidRDefault="00F52B42" w:rsidP="00F52B42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4274C10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861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29DBF4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1 053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8BEF85B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1 204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14A8970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1 020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3874103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1 049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6D5FA3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1 317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9EBE51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1 836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9BFB103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1 983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9F6B965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2 297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9335AD2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2 263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22FD8F9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2 525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0A38227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2 384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BC4E6C3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2 516</w:t>
            </w:r>
          </w:p>
        </w:tc>
      </w:tr>
      <w:tr w:rsidR="00F52B42" w:rsidRPr="00F52B42" w14:paraId="725A287A" w14:textId="77777777" w:rsidTr="00F52B42">
        <w:trPr>
          <w:trHeight w:val="2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DEC601A" w14:textId="77777777" w:rsidR="00F52B42" w:rsidRPr="00F52B42" w:rsidRDefault="00F52B42" w:rsidP="00F52B42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02F7972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852E67F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F619F68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F2D29A0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2A2DEF5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D500BFC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2E8981E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1 230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0209202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1 766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C8E5223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1 705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AF1C27B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1 583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7BEEA9C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1 532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23B3B50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55F4155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938</w:t>
            </w:r>
          </w:p>
        </w:tc>
      </w:tr>
    </w:tbl>
    <w:p w14:paraId="3A2259D0" w14:textId="28D849F7" w:rsidR="00F52B42" w:rsidRPr="00645105" w:rsidRDefault="00F52B42" w:rsidP="00F52B42">
      <w:pPr>
        <w:spacing w:before="120" w:after="120"/>
        <w:jc w:val="both"/>
        <w:rPr>
          <w:b/>
        </w:rPr>
      </w:pPr>
      <w:r>
        <w:rPr>
          <w:b/>
        </w:rPr>
        <w:t>TAB 2</w:t>
      </w:r>
      <w:r w:rsidRPr="00645105">
        <w:rPr>
          <w:b/>
        </w:rPr>
        <w:t xml:space="preserve">: Financování </w:t>
      </w:r>
      <w:proofErr w:type="spellStart"/>
      <w:r w:rsidRPr="00645105">
        <w:rPr>
          <w:b/>
        </w:rPr>
        <w:t>VaV</w:t>
      </w:r>
      <w:proofErr w:type="spellEnd"/>
      <w:r w:rsidRPr="00645105">
        <w:rPr>
          <w:b/>
        </w:rPr>
        <w:t xml:space="preserve"> </w:t>
      </w:r>
      <w:r>
        <w:rPr>
          <w:b/>
        </w:rPr>
        <w:t xml:space="preserve">v soukromých podnicích ČR </w:t>
      </w:r>
      <w:r w:rsidRPr="00645105">
        <w:rPr>
          <w:b/>
        </w:rPr>
        <w:t>z v</w:t>
      </w:r>
      <w:r>
        <w:rPr>
          <w:b/>
        </w:rPr>
        <w:t xml:space="preserve">eřejných zdrojů jako procentní podíl na celkových podnikových výdajích na </w:t>
      </w:r>
      <w:proofErr w:type="spellStart"/>
      <w:r>
        <w:rPr>
          <w:b/>
        </w:rPr>
        <w:t>VaV</w:t>
      </w:r>
      <w:proofErr w:type="spellEnd"/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52B42" w:rsidRPr="00F52B42" w14:paraId="487A09EF" w14:textId="77777777" w:rsidTr="00F52B42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D71242D" w14:textId="2C42FD9E" w:rsidR="00F52B42" w:rsidRPr="00F52B42" w:rsidRDefault="00F52B42" w:rsidP="00F52B42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885CD14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196656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977C491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BCA18D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98E84E0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B8C595E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24D5CBE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CEBA696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7629FDC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D9B8CD1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761C38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5257891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98F45EB" w14:textId="77777777" w:rsidR="00F52B42" w:rsidRPr="00F52B42" w:rsidRDefault="00F52B42" w:rsidP="00F52B4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</w:tr>
      <w:tr w:rsidR="00F52B42" w:rsidRPr="00F52B42" w14:paraId="41881A3C" w14:textId="77777777" w:rsidTr="00F52B42">
        <w:trPr>
          <w:trHeight w:val="2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CDBED32" w14:textId="77777777" w:rsidR="00F52B42" w:rsidRPr="00F52B42" w:rsidRDefault="00F52B42" w:rsidP="00F52B42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C2742B2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20,1%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93694F6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18,8%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DFD633A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17,8%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CD49B4F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17,1%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3570DA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19,6%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DB28A9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20,1%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57AB58B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23,5%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F93594E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22,6%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2D5EDEF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19,9%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415D98B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17,0%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5477CAB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15,7%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286776C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11,2%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BA0592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12,0%</w:t>
            </w:r>
          </w:p>
        </w:tc>
      </w:tr>
      <w:tr w:rsidR="00F52B42" w:rsidRPr="00F52B42" w14:paraId="54494421" w14:textId="77777777" w:rsidTr="00F52B42">
        <w:trPr>
          <w:trHeight w:val="2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D634212" w14:textId="77777777" w:rsidR="00F52B42" w:rsidRPr="00F52B42" w:rsidRDefault="00F52B42" w:rsidP="00F52B42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3EA70F4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19,0%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3FBEDE5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18,3%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2E25F4F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17,3%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16F098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16,5%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BCC6F5C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18,3%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CD8F09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17,7%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991C3D7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19,7%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812EECA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17,8%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95F937F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15,7%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2AA605A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13,5%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D3F4838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12,4%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FC258EC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10,3%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DDA21A4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10,2%</w:t>
            </w:r>
          </w:p>
        </w:tc>
      </w:tr>
      <w:tr w:rsidR="00F52B42" w:rsidRPr="00F52B42" w14:paraId="44FAACFA" w14:textId="77777777" w:rsidTr="00F52B42">
        <w:trPr>
          <w:trHeight w:val="2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9C77EA2" w14:textId="77777777" w:rsidR="00F52B42" w:rsidRPr="00F52B42" w:rsidRDefault="00F52B42" w:rsidP="00F52B42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551BBC2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14,8%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B9CD013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13,9%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9E7577F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12,9%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B1480DF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12,6%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CA0CDC4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14,2%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002C17A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12,9%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4C5471A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14,1%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F458BF0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12,4%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A162158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9,9%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E0A1EC9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8,4%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54BDB90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6,9%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A32F548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5,2%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FF8C06B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5,6%</w:t>
            </w:r>
          </w:p>
        </w:tc>
      </w:tr>
      <w:tr w:rsidR="00F52B42" w:rsidRPr="00F52B42" w14:paraId="3AB744A1" w14:textId="77777777" w:rsidTr="00F52B42">
        <w:trPr>
          <w:trHeight w:val="2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FCAC012" w14:textId="77777777" w:rsidR="00F52B42" w:rsidRPr="00F52B42" w:rsidRDefault="00F52B42" w:rsidP="00F52B42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F52B42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03756CC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4,2%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60984EF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4,4%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63DA0D7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4,4%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5501C1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3,9%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D518858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4,0%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BE8A5CF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4,7%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72DCA31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5,6%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2B2AB64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5,4%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B660340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5,8%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397ABFC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5,1%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CAD8E3B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5,5%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936434D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5,1%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1C0C0F4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i/>
                <w:iCs/>
                <w:sz w:val="16"/>
                <w:szCs w:val="16"/>
              </w:rPr>
              <w:t>4,6%</w:t>
            </w:r>
          </w:p>
        </w:tc>
      </w:tr>
      <w:tr w:rsidR="00F52B42" w:rsidRPr="00F52B42" w14:paraId="0FFEF2B6" w14:textId="77777777" w:rsidTr="00F52B42">
        <w:trPr>
          <w:trHeight w:val="25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3D0B539" w14:textId="77777777" w:rsidR="00F52B42" w:rsidRPr="00F52B42" w:rsidRDefault="00F52B42" w:rsidP="00F52B42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8C5124B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1,2%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B5B7EC4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0,5%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01B15E5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0,5%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A23D33A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0,6%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B6B142A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1,4%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5F15CA8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2,5%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77C8B39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3,8%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FF5DCA8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4,8%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61ECF6D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4,3%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70883DB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3,5%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CB73AAE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3,3%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C53020D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0,9%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7826238" w14:textId="77777777" w:rsidR="00F52B42" w:rsidRPr="00F52B42" w:rsidRDefault="00F52B42" w:rsidP="00F52B42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F52B42">
              <w:rPr>
                <w:rFonts w:cs="Arial"/>
                <w:b/>
                <w:bCs/>
                <w:i/>
                <w:iCs/>
                <w:sz w:val="16"/>
                <w:szCs w:val="16"/>
              </w:rPr>
              <w:t>1,7%</w:t>
            </w:r>
          </w:p>
        </w:tc>
      </w:tr>
    </w:tbl>
    <w:p w14:paraId="77F2638B" w14:textId="34A8FF1B" w:rsidR="00181BC2" w:rsidRPr="00DD319B" w:rsidRDefault="00181BC2" w:rsidP="00E331F9">
      <w:pPr>
        <w:spacing w:before="60" w:after="240"/>
        <w:rPr>
          <w:i/>
          <w:sz w:val="16"/>
        </w:rPr>
      </w:pPr>
      <w:r w:rsidRPr="00DD319B">
        <w:rPr>
          <w:i/>
          <w:sz w:val="16"/>
        </w:rPr>
        <w:t xml:space="preserve">Zdroj dat: ČSÚ podle administrativních dat GFŘ, </w:t>
      </w:r>
      <w:r w:rsidR="003E7290">
        <w:rPr>
          <w:i/>
          <w:sz w:val="16"/>
        </w:rPr>
        <w:t>ČSÚ – Šetření</w:t>
      </w:r>
      <w:r w:rsidRPr="00DD319B">
        <w:rPr>
          <w:i/>
          <w:sz w:val="16"/>
        </w:rPr>
        <w:t xml:space="preserve"> o </w:t>
      </w:r>
      <w:proofErr w:type="spellStart"/>
      <w:r w:rsidRPr="00DD319B">
        <w:rPr>
          <w:i/>
          <w:sz w:val="16"/>
        </w:rPr>
        <w:t>VaV</w:t>
      </w:r>
      <w:proofErr w:type="spellEnd"/>
      <w:r w:rsidRPr="00DD319B">
        <w:rPr>
          <w:i/>
          <w:sz w:val="16"/>
        </w:rPr>
        <w:t xml:space="preserve"> (VTR 5-01) </w:t>
      </w:r>
    </w:p>
    <w:p w14:paraId="0F8EC1CA" w14:textId="4FAFFA54" w:rsidR="00BF7EC0" w:rsidRPr="00484121" w:rsidRDefault="00BF7EC0" w:rsidP="00BF7EC0">
      <w:pPr>
        <w:spacing w:before="120" w:after="120"/>
        <w:jc w:val="both"/>
        <w:rPr>
          <w:b/>
        </w:rPr>
      </w:pPr>
      <w:r w:rsidRPr="00484121">
        <w:t xml:space="preserve">Následující graf ukazuje vývoj podílového zastoupení jednotlivých typů veřejné podpory </w:t>
      </w:r>
      <w:proofErr w:type="spellStart"/>
      <w:r w:rsidRPr="00484121">
        <w:t>VaV</w:t>
      </w:r>
      <w:proofErr w:type="spellEnd"/>
      <w:r w:rsidRPr="00484121">
        <w:t xml:space="preserve"> na celkových výdajích soukromých podniků na </w:t>
      </w:r>
      <w:proofErr w:type="spellStart"/>
      <w:r w:rsidRPr="00484121">
        <w:t>VaV</w:t>
      </w:r>
      <w:proofErr w:type="spellEnd"/>
      <w:r w:rsidRPr="00484121">
        <w:t xml:space="preserve">. </w:t>
      </w:r>
      <w:r>
        <w:t>P</w:t>
      </w:r>
      <w:r w:rsidRPr="00484121">
        <w:t xml:space="preserve">odíl přímé veřejné podpory </w:t>
      </w:r>
      <w:proofErr w:type="spellStart"/>
      <w:r w:rsidRPr="00484121">
        <w:t>VaV</w:t>
      </w:r>
      <w:proofErr w:type="spellEnd"/>
      <w:r w:rsidR="00F75ABF">
        <w:t xml:space="preserve"> začal v roce 2012</w:t>
      </w:r>
      <w:r>
        <w:t xml:space="preserve"> klesat</w:t>
      </w:r>
      <w:r w:rsidRPr="00484121">
        <w:t xml:space="preserve">. V roce 2016 došlo k vyrovnání podílů přímé (rozpočtové) podpory </w:t>
      </w:r>
      <w:proofErr w:type="spellStart"/>
      <w:r w:rsidRPr="00484121">
        <w:t>VaV</w:t>
      </w:r>
      <w:proofErr w:type="spellEnd"/>
      <w:r w:rsidRPr="00484121">
        <w:t xml:space="preserve"> a nepřímé (daňové) podpory </w:t>
      </w:r>
      <w:proofErr w:type="spellStart"/>
      <w:r w:rsidRPr="00484121">
        <w:t>VaV</w:t>
      </w:r>
      <w:proofErr w:type="spellEnd"/>
      <w:r w:rsidRPr="00484121">
        <w:t>.</w:t>
      </w:r>
      <w:r w:rsidR="00441BA1">
        <w:t xml:space="preserve"> V roce 2017 se změnil negativní trend a přímá veřejná podpora </w:t>
      </w:r>
      <w:proofErr w:type="spellStart"/>
      <w:r w:rsidR="00441BA1">
        <w:t>VaV</w:t>
      </w:r>
      <w:proofErr w:type="spellEnd"/>
      <w:r w:rsidR="00441BA1">
        <w:t xml:space="preserve"> opět začala růst. Meziročně se zvýšila o 581 mil. Kč (o 24 %).</w:t>
      </w:r>
      <w:r w:rsidRPr="00484121">
        <w:t xml:space="preserve"> </w:t>
      </w:r>
      <w:r w:rsidR="00626E12">
        <w:t xml:space="preserve">Zvýšil se i podíl této podpory </w:t>
      </w:r>
      <w:proofErr w:type="spellStart"/>
      <w:r w:rsidR="00626E12">
        <w:t>VaV</w:t>
      </w:r>
      <w:proofErr w:type="spellEnd"/>
      <w:r w:rsidR="00626E12">
        <w:t xml:space="preserve"> na celkových výdajích na </w:t>
      </w:r>
      <w:proofErr w:type="spellStart"/>
      <w:r w:rsidR="00626E12">
        <w:t>VaV</w:t>
      </w:r>
      <w:proofErr w:type="spellEnd"/>
      <w:r w:rsidR="00626E12">
        <w:t xml:space="preserve">. Naopak v případě daňové podpory </w:t>
      </w:r>
      <w:proofErr w:type="spellStart"/>
      <w:r w:rsidR="00626E12">
        <w:t>VaV</w:t>
      </w:r>
      <w:proofErr w:type="spellEnd"/>
      <w:r w:rsidR="00626E12">
        <w:t xml:space="preserve"> se podíl snížil na 4,6 % (z 5,1 % v roce 2016).</w:t>
      </w:r>
      <w:r w:rsidRPr="00484121">
        <w:t xml:space="preserve"> </w:t>
      </w:r>
    </w:p>
    <w:p w14:paraId="0C0AAA4B" w14:textId="45C8E012" w:rsidR="00A55C50" w:rsidRDefault="00A55C50" w:rsidP="00A55C50">
      <w:pPr>
        <w:spacing w:before="120" w:after="120"/>
        <w:jc w:val="both"/>
        <w:rPr>
          <w:b/>
        </w:rPr>
      </w:pPr>
      <w:r w:rsidRPr="00484121">
        <w:rPr>
          <w:b/>
        </w:rPr>
        <w:t xml:space="preserve">GRAF </w:t>
      </w:r>
      <w:r>
        <w:rPr>
          <w:b/>
        </w:rPr>
        <w:t>3</w:t>
      </w:r>
      <w:r w:rsidRPr="00484121">
        <w:rPr>
          <w:b/>
        </w:rPr>
        <w:t xml:space="preserve">: Financování </w:t>
      </w:r>
      <w:proofErr w:type="spellStart"/>
      <w:r w:rsidRPr="00484121">
        <w:rPr>
          <w:b/>
        </w:rPr>
        <w:t>VaV</w:t>
      </w:r>
      <w:proofErr w:type="spellEnd"/>
      <w:r w:rsidRPr="00484121">
        <w:rPr>
          <w:b/>
        </w:rPr>
        <w:t xml:space="preserve"> v soukromých podnicích ČR z veřejných zdrojů – podíl na celkových výdajích s</w:t>
      </w:r>
      <w:r w:rsidR="005C4344">
        <w:rPr>
          <w:b/>
        </w:rPr>
        <w:t xml:space="preserve">oukromých podniků na </w:t>
      </w:r>
      <w:proofErr w:type="spellStart"/>
      <w:r w:rsidR="005C4344">
        <w:rPr>
          <w:b/>
        </w:rPr>
        <w:t>VaV</w:t>
      </w:r>
      <w:proofErr w:type="spellEnd"/>
      <w:r w:rsidR="005C4344">
        <w:rPr>
          <w:b/>
        </w:rPr>
        <w:t xml:space="preserve"> (BERD),</w:t>
      </w:r>
      <w:r w:rsidRPr="00484121">
        <w:rPr>
          <w:b/>
        </w:rPr>
        <w:t xml:space="preserve"> 2007–2017</w:t>
      </w:r>
    </w:p>
    <w:p w14:paraId="1033B652" w14:textId="16CCD2B8" w:rsidR="00A55C50" w:rsidRDefault="00746A14" w:rsidP="00A55C50">
      <w:pPr>
        <w:spacing w:line="240" w:lineRule="auto"/>
        <w:rPr>
          <w:i/>
          <w:sz w:val="16"/>
        </w:rPr>
      </w:pPr>
      <w:r>
        <w:rPr>
          <w:noProof/>
        </w:rPr>
        <w:drawing>
          <wp:inline distT="0" distB="0" distL="0" distR="0" wp14:anchorId="4ABC8CCC" wp14:editId="29DA8780">
            <wp:extent cx="6048000" cy="2268000"/>
            <wp:effectExtent l="0" t="0" r="0" b="0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BE8E94" w14:textId="0DFB5A1F" w:rsidR="00B72231" w:rsidRDefault="00A55C50" w:rsidP="00A55C50">
      <w:pPr>
        <w:spacing w:before="120" w:after="120"/>
        <w:jc w:val="both"/>
      </w:pPr>
      <w:r w:rsidRPr="00DD319B">
        <w:rPr>
          <w:i/>
          <w:sz w:val="16"/>
        </w:rPr>
        <w:t xml:space="preserve">Zdroj dat: ČSÚ podle administrativních dat GFŘ, ČSÚ </w:t>
      </w:r>
      <w:r>
        <w:rPr>
          <w:i/>
          <w:sz w:val="16"/>
        </w:rPr>
        <w:t>–</w:t>
      </w:r>
      <w:r w:rsidRPr="00DD319B">
        <w:rPr>
          <w:i/>
          <w:sz w:val="16"/>
        </w:rPr>
        <w:t xml:space="preserve"> </w:t>
      </w:r>
      <w:r>
        <w:rPr>
          <w:i/>
          <w:sz w:val="16"/>
        </w:rPr>
        <w:t>Š</w:t>
      </w:r>
      <w:r w:rsidRPr="00DD319B">
        <w:rPr>
          <w:i/>
          <w:sz w:val="16"/>
        </w:rPr>
        <w:t xml:space="preserve">etření o </w:t>
      </w:r>
      <w:proofErr w:type="spellStart"/>
      <w:r w:rsidRPr="00DD319B">
        <w:rPr>
          <w:i/>
          <w:sz w:val="16"/>
        </w:rPr>
        <w:t>VaV</w:t>
      </w:r>
      <w:proofErr w:type="spellEnd"/>
      <w:r w:rsidRPr="00DD319B">
        <w:rPr>
          <w:i/>
          <w:sz w:val="16"/>
        </w:rPr>
        <w:t xml:space="preserve"> (VTR 5-01)</w:t>
      </w:r>
    </w:p>
    <w:p w14:paraId="10F88FF0" w14:textId="42AAA3CE" w:rsidR="00EB1CE5" w:rsidRDefault="006950BA" w:rsidP="00224077">
      <w:pPr>
        <w:spacing w:before="120"/>
        <w:jc w:val="both"/>
      </w:pPr>
      <w:r>
        <w:lastRenderedPageBreak/>
        <w:t>Z</w:t>
      </w:r>
      <w:r w:rsidR="00877BA6">
        <w:t>aměříme</w:t>
      </w:r>
      <w:r>
        <w:t>-li se</w:t>
      </w:r>
      <w:r w:rsidR="00877BA6">
        <w:t xml:space="preserve"> na podíl financování </w:t>
      </w:r>
      <w:proofErr w:type="spellStart"/>
      <w:r w:rsidR="00877BA6">
        <w:t>VaV</w:t>
      </w:r>
      <w:proofErr w:type="spellEnd"/>
      <w:r w:rsidR="00877BA6">
        <w:t xml:space="preserve"> soukromých podni</w:t>
      </w:r>
      <w:r w:rsidR="00BE41CD">
        <w:t>ků</w:t>
      </w:r>
      <w:r w:rsidR="00877BA6">
        <w:t xml:space="preserve"> veřejný</w:t>
      </w:r>
      <w:r w:rsidR="006C201D">
        <w:t>mi</w:t>
      </w:r>
      <w:r w:rsidR="00877BA6">
        <w:t xml:space="preserve"> domácí</w:t>
      </w:r>
      <w:r w:rsidR="006C201D">
        <w:t>mi</w:t>
      </w:r>
      <w:r w:rsidR="00877BA6">
        <w:t xml:space="preserve"> zdroj</w:t>
      </w:r>
      <w:r w:rsidR="006C201D">
        <w:t>i</w:t>
      </w:r>
      <w:r w:rsidR="00877BA6">
        <w:t xml:space="preserve"> na celkových výdajích státního rozpočtu ČR, </w:t>
      </w:r>
      <w:r w:rsidR="003138DC">
        <w:t xml:space="preserve">dosáhlo toto financování </w:t>
      </w:r>
      <w:r w:rsidR="00877BA6">
        <w:t>v roce 20</w:t>
      </w:r>
      <w:r w:rsidR="006E5572">
        <w:t>17 výše 0,43</w:t>
      </w:r>
      <w:r w:rsidR="007C1FFE">
        <w:t> </w:t>
      </w:r>
      <w:r w:rsidR="0032130A">
        <w:t xml:space="preserve">%, na kterém se podílela </w:t>
      </w:r>
      <w:r w:rsidR="00911684">
        <w:t>přímá</w:t>
      </w:r>
      <w:r w:rsidR="00E74422">
        <w:t xml:space="preserve"> </w:t>
      </w:r>
      <w:r w:rsidR="006E5572">
        <w:t xml:space="preserve">podpora </w:t>
      </w:r>
      <w:proofErr w:type="spellStart"/>
      <w:r w:rsidR="006E5572">
        <w:t>VaV</w:t>
      </w:r>
      <w:proofErr w:type="spellEnd"/>
      <w:r w:rsidR="006E5572">
        <w:t xml:space="preserve"> 0,24</w:t>
      </w:r>
      <w:r w:rsidR="0032130A">
        <w:t xml:space="preserve"> % a </w:t>
      </w:r>
      <w:r w:rsidR="00877BA6">
        <w:t>nepřímá</w:t>
      </w:r>
      <w:r w:rsidR="00E74422">
        <w:t xml:space="preserve"> </w:t>
      </w:r>
      <w:r w:rsidR="00104526">
        <w:t xml:space="preserve">veřejná </w:t>
      </w:r>
      <w:r w:rsidR="00E74422">
        <w:t xml:space="preserve">podpora </w:t>
      </w:r>
      <w:proofErr w:type="spellStart"/>
      <w:r w:rsidR="00E74422">
        <w:t>VaV</w:t>
      </w:r>
      <w:proofErr w:type="spellEnd"/>
      <w:r w:rsidR="006E5572">
        <w:t xml:space="preserve"> 0,20</w:t>
      </w:r>
      <w:r w:rsidR="0032130A">
        <w:t> %</w:t>
      </w:r>
      <w:r w:rsidR="00C37EA8">
        <w:t xml:space="preserve">. </w:t>
      </w:r>
      <w:r w:rsidR="00877BA6">
        <w:t>Ne</w:t>
      </w:r>
      <w:r w:rsidR="00BA3D19" w:rsidRPr="002C7779">
        <w:t>j</w:t>
      </w:r>
      <w:r w:rsidR="00877BA6" w:rsidRPr="002C7779">
        <w:t>v</w:t>
      </w:r>
      <w:r w:rsidR="00877BA6">
        <w:t xml:space="preserve">yššího podílu veřejné podpory </w:t>
      </w:r>
      <w:proofErr w:type="spellStart"/>
      <w:r w:rsidR="00877BA6">
        <w:t>VaV</w:t>
      </w:r>
      <w:proofErr w:type="spellEnd"/>
      <w:r w:rsidR="00877BA6">
        <w:t xml:space="preserve"> </w:t>
      </w:r>
      <w:r w:rsidR="006E5572">
        <w:t>na</w:t>
      </w:r>
      <w:r w:rsidR="00877BA6">
        <w:t xml:space="preserve"> státní</w:t>
      </w:r>
      <w:r w:rsidR="006E5572">
        <w:t>m</w:t>
      </w:r>
      <w:r w:rsidR="00877BA6">
        <w:t xml:space="preserve"> rozpočtu</w:t>
      </w:r>
      <w:r w:rsidR="006E5572">
        <w:t xml:space="preserve"> ČR (0,57</w:t>
      </w:r>
      <w:r w:rsidR="003104D4">
        <w:t xml:space="preserve"> %)</w:t>
      </w:r>
      <w:r w:rsidR="00877BA6">
        <w:t xml:space="preserve"> bylo </w:t>
      </w:r>
      <w:r w:rsidR="00725B5F">
        <w:t xml:space="preserve">dosaženo </w:t>
      </w:r>
      <w:r w:rsidR="006E5572">
        <w:t>v roce</w:t>
      </w:r>
      <w:r w:rsidR="005A2579">
        <w:t xml:space="preserve"> 2012. </w:t>
      </w:r>
      <w:r w:rsidR="00E50680">
        <w:t>Podíl o</w:t>
      </w:r>
      <w:r w:rsidR="00EB1CE5">
        <w:t xml:space="preserve">d tohoto roku až do roku 2016 </w:t>
      </w:r>
      <w:r w:rsidR="00591058">
        <w:t xml:space="preserve">postupně </w:t>
      </w:r>
      <w:r w:rsidR="00EB1CE5">
        <w:t>klesal</w:t>
      </w:r>
      <w:r w:rsidR="00591058">
        <w:t xml:space="preserve"> z důvodu</w:t>
      </w:r>
      <w:r w:rsidR="00911684">
        <w:t xml:space="preserve"> </w:t>
      </w:r>
      <w:r w:rsidR="00591058">
        <w:t>snižujícího se</w:t>
      </w:r>
      <w:r w:rsidR="00E50680">
        <w:t xml:space="preserve"> </w:t>
      </w:r>
      <w:r w:rsidR="00877BA6">
        <w:t xml:space="preserve">podílu přímé domácí </w:t>
      </w:r>
      <w:r w:rsidR="00E50680">
        <w:t xml:space="preserve">veřejné </w:t>
      </w:r>
      <w:r w:rsidR="00877BA6">
        <w:t>podpory</w:t>
      </w:r>
      <w:r w:rsidR="00E50680">
        <w:t xml:space="preserve"> </w:t>
      </w:r>
      <w:proofErr w:type="spellStart"/>
      <w:r w:rsidR="00E50680">
        <w:t>VaV</w:t>
      </w:r>
      <w:proofErr w:type="spellEnd"/>
      <w:r w:rsidR="00877BA6">
        <w:t xml:space="preserve">. Pokles přímé </w:t>
      </w:r>
      <w:r w:rsidR="005854DA">
        <w:t xml:space="preserve">veřejné </w:t>
      </w:r>
      <w:r w:rsidR="00877BA6">
        <w:t xml:space="preserve">podpory </w:t>
      </w:r>
      <w:r w:rsidR="00EB1CE5">
        <w:t>nebyl</w:t>
      </w:r>
      <w:r w:rsidR="00911684">
        <w:t xml:space="preserve"> </w:t>
      </w:r>
      <w:r w:rsidR="00EB1CE5">
        <w:t xml:space="preserve">v </w:t>
      </w:r>
      <w:r w:rsidR="00911684">
        <w:t>dostatečné míře</w:t>
      </w:r>
      <w:r w:rsidR="00CE53F6">
        <w:t xml:space="preserve"> kompenzován </w:t>
      </w:r>
      <w:r w:rsidR="00877BA6">
        <w:t>nárůst</w:t>
      </w:r>
      <w:r w:rsidR="00CE53F6">
        <w:t>em</w:t>
      </w:r>
      <w:r w:rsidR="00877BA6">
        <w:t xml:space="preserve"> nepřímé </w:t>
      </w:r>
      <w:r w:rsidR="00FF73AD">
        <w:t xml:space="preserve">veřejné </w:t>
      </w:r>
      <w:r w:rsidR="00877BA6">
        <w:t>podpory</w:t>
      </w:r>
      <w:r w:rsidR="005060B8">
        <w:t xml:space="preserve">. </w:t>
      </w:r>
    </w:p>
    <w:p w14:paraId="0770B3B6" w14:textId="42D87431" w:rsidR="00877BA6" w:rsidRDefault="005060B8" w:rsidP="00224077">
      <w:pPr>
        <w:spacing w:before="120"/>
        <w:jc w:val="both"/>
      </w:pPr>
      <w:r>
        <w:t>Přímá zahraniční podpora dosáhla</w:t>
      </w:r>
      <w:r w:rsidR="00E74422">
        <w:t xml:space="preserve"> v roce 2017</w:t>
      </w:r>
      <w:r>
        <w:t xml:space="preserve"> v r</w:t>
      </w:r>
      <w:r w:rsidR="00EB1CE5">
        <w:t>elaci ke státnímu rozpočtu</w:t>
      </w:r>
      <w:r w:rsidR="00E74422">
        <w:t xml:space="preserve"> ČR</w:t>
      </w:r>
      <w:r w:rsidR="006E5572">
        <w:t xml:space="preserve"> podílu pouhých 0,07</w:t>
      </w:r>
      <w:r>
        <w:t xml:space="preserve"> %, přitom v přechozím roce to bylo </w:t>
      </w:r>
      <w:r w:rsidR="00EB1CE5">
        <w:t xml:space="preserve">ještě </w:t>
      </w:r>
      <w:r w:rsidR="00E74422">
        <w:t xml:space="preserve">o polovinu </w:t>
      </w:r>
      <w:r w:rsidR="00EB1CE5">
        <w:t>méně (0,03 %)</w:t>
      </w:r>
      <w:r>
        <w:t xml:space="preserve">. </w:t>
      </w:r>
      <w:r w:rsidR="00C00376">
        <w:t xml:space="preserve">Maximálních hodnot bylo dosaženo v letech </w:t>
      </w:r>
      <w:r>
        <w:t>2012 a 2013</w:t>
      </w:r>
      <w:r w:rsidR="00C00376">
        <w:t>, kdy</w:t>
      </w:r>
      <w:r>
        <w:t xml:space="preserve"> tento podíl činil 0,15 %. </w:t>
      </w:r>
    </w:p>
    <w:p w14:paraId="026A8010" w14:textId="4DD3FDA8" w:rsidR="00645105" w:rsidRPr="00645105" w:rsidRDefault="00645105" w:rsidP="00DE349B">
      <w:pPr>
        <w:spacing w:before="120" w:after="120"/>
        <w:jc w:val="both"/>
        <w:rPr>
          <w:b/>
        </w:rPr>
      </w:pPr>
      <w:r w:rsidRPr="00645105">
        <w:rPr>
          <w:b/>
        </w:rPr>
        <w:t xml:space="preserve">TAB </w:t>
      </w:r>
      <w:r w:rsidR="00591058">
        <w:rPr>
          <w:b/>
        </w:rPr>
        <w:t>3</w:t>
      </w:r>
      <w:r w:rsidRPr="00645105">
        <w:rPr>
          <w:b/>
        </w:rPr>
        <w:t xml:space="preserve">: Financování </w:t>
      </w:r>
      <w:proofErr w:type="spellStart"/>
      <w:r w:rsidRPr="00645105">
        <w:rPr>
          <w:b/>
        </w:rPr>
        <w:t>VaV</w:t>
      </w:r>
      <w:proofErr w:type="spellEnd"/>
      <w:r w:rsidRPr="00645105">
        <w:rPr>
          <w:b/>
        </w:rPr>
        <w:t xml:space="preserve"> </w:t>
      </w:r>
      <w:r w:rsidR="00672B6E">
        <w:rPr>
          <w:b/>
        </w:rPr>
        <w:t>v</w:t>
      </w:r>
      <w:r w:rsidR="0013794D">
        <w:rPr>
          <w:b/>
        </w:rPr>
        <w:t xml:space="preserve"> soukromých </w:t>
      </w:r>
      <w:r w:rsidR="00672B6E">
        <w:rPr>
          <w:b/>
        </w:rPr>
        <w:t xml:space="preserve">podnicích ČR </w:t>
      </w:r>
      <w:r w:rsidRPr="00645105">
        <w:rPr>
          <w:b/>
        </w:rPr>
        <w:t xml:space="preserve">z veřejných zdrojů – základní </w:t>
      </w:r>
      <w:r>
        <w:rPr>
          <w:b/>
        </w:rPr>
        <w:t>poměrové ukazatele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D27218" w:rsidRPr="00D27218" w14:paraId="682BB1CD" w14:textId="77777777" w:rsidTr="00D27218">
        <w:trPr>
          <w:trHeight w:val="66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51AD247" w14:textId="77777777" w:rsidR="00D27218" w:rsidRPr="00D27218" w:rsidRDefault="00D27218" w:rsidP="00D2721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 xml:space="preserve">a) podíl na celkových výdajích ze státního rozpočtu ČR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101D306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094FDE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649C474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7025C0C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0922442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185C108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34B2D92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1FEF77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326F43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3E33EAB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FE82473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7CB3335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9785398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</w:tr>
      <w:tr w:rsidR="00D27218" w:rsidRPr="00D27218" w14:paraId="195F5BCF" w14:textId="77777777" w:rsidTr="00D27218">
        <w:trPr>
          <w:trHeight w:val="25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F50FF87" w14:textId="77777777" w:rsidR="00D27218" w:rsidRPr="00D27218" w:rsidRDefault="00D27218" w:rsidP="00D2721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167DA21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827CFAC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A56CF5B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F5D8FAE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35DD3D7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194997A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CD0A3E6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0,66%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B2CB2CD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0,72%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CD4533E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0,68%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88A333C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0,63%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8DC6A1A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0,56%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ADF3119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F6B7B20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0,51%</w:t>
            </w:r>
          </w:p>
        </w:tc>
      </w:tr>
      <w:tr w:rsidR="00D27218" w:rsidRPr="00D27218" w14:paraId="61C97446" w14:textId="77777777" w:rsidTr="00D27218">
        <w:trPr>
          <w:trHeight w:val="25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A51DE3A" w14:textId="77777777" w:rsidR="00D27218" w:rsidRPr="00D27218" w:rsidRDefault="00D27218" w:rsidP="00D2721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1C7429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4528DD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E1976E2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1F291E6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1D3D73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6F3DE00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498866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0,56%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A6A216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0,57%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4900E10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0,53%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57844A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0,50%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1EE36B2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AB532D0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46B41D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0,43%</w:t>
            </w:r>
          </w:p>
        </w:tc>
      </w:tr>
      <w:tr w:rsidR="00D27218" w:rsidRPr="00D27218" w14:paraId="5A1CA778" w14:textId="77777777" w:rsidTr="00D27218">
        <w:trPr>
          <w:trHeight w:val="25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87E90DA" w14:textId="77777777" w:rsidR="00D27218" w:rsidRPr="00D27218" w:rsidRDefault="00D27218" w:rsidP="00D27218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D27218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A87B27D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0,33%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2D76790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0,33%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CACC66B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0,32%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B44DF2B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0,31%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C326ED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0,32%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5D29EB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0,31%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C20D629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0,40%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2C4B56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0,40%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F6F96A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0,34%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6F2FF32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0,31%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3351767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0,24%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6CF960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0,20%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4BB223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0,24%</w:t>
            </w:r>
          </w:p>
        </w:tc>
      </w:tr>
      <w:tr w:rsidR="00D27218" w:rsidRPr="00D27218" w14:paraId="39A68735" w14:textId="77777777" w:rsidTr="00D27218">
        <w:trPr>
          <w:trHeight w:val="25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8517A5E" w14:textId="77777777" w:rsidR="00D27218" w:rsidRPr="00D27218" w:rsidRDefault="00D27218" w:rsidP="00D27218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D27218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8D01E7A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32DD5E2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0,10%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0731559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A06AD6E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D38345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03D020B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F840CF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0,16%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7F1C5E2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0,17%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1413DC7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0,20%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EEBCA7E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0,19%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6C41D6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0,19%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CA84217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0,20%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DFC787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0,20%</w:t>
            </w:r>
          </w:p>
        </w:tc>
      </w:tr>
      <w:tr w:rsidR="00D27218" w:rsidRPr="00D27218" w14:paraId="78E93A03" w14:textId="77777777" w:rsidTr="00D27218">
        <w:trPr>
          <w:trHeight w:val="25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49DE082" w14:textId="77777777" w:rsidR="00D27218" w:rsidRPr="00D27218" w:rsidRDefault="00D27218" w:rsidP="00D27218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7BAB669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0F4DC8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CBCB641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EA8B09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88B1D3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BECC60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57709A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2BB6F6A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BAE2479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2BA368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CCAF3EC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0FC698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E68E36A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0,07%</w:t>
            </w:r>
          </w:p>
        </w:tc>
      </w:tr>
      <w:tr w:rsidR="00D27218" w:rsidRPr="00D27218" w14:paraId="39039174" w14:textId="77777777" w:rsidTr="00D27218">
        <w:trPr>
          <w:trHeight w:val="98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3837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86319" w14:textId="77777777" w:rsidR="00D27218" w:rsidRPr="00D27218" w:rsidRDefault="00D27218" w:rsidP="00D27218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E8642" w14:textId="77777777" w:rsidR="00D27218" w:rsidRPr="00D27218" w:rsidRDefault="00D27218" w:rsidP="00D27218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5317" w14:textId="77777777" w:rsidR="00D27218" w:rsidRPr="00D27218" w:rsidRDefault="00D27218" w:rsidP="00D27218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D6D47" w14:textId="77777777" w:rsidR="00D27218" w:rsidRPr="00D27218" w:rsidRDefault="00D27218" w:rsidP="00D27218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6010D" w14:textId="77777777" w:rsidR="00D27218" w:rsidRPr="00D27218" w:rsidRDefault="00D27218" w:rsidP="00D27218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3BC6" w14:textId="77777777" w:rsidR="00D27218" w:rsidRPr="00D27218" w:rsidRDefault="00D27218" w:rsidP="00D27218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CB8F" w14:textId="77777777" w:rsidR="00D27218" w:rsidRPr="00D27218" w:rsidRDefault="00D27218" w:rsidP="00D27218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025D" w14:textId="77777777" w:rsidR="00D27218" w:rsidRPr="00D27218" w:rsidRDefault="00D27218" w:rsidP="00D27218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5ACB0" w14:textId="77777777" w:rsidR="00D27218" w:rsidRPr="00D27218" w:rsidRDefault="00D27218" w:rsidP="00D27218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9C00" w14:textId="77777777" w:rsidR="00D27218" w:rsidRPr="00D27218" w:rsidRDefault="00D27218" w:rsidP="00D27218">
            <w:pPr>
              <w:spacing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D27218" w:rsidRPr="00D27218" w14:paraId="25152FA0" w14:textId="77777777" w:rsidTr="00D2721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8EFE6BB" w14:textId="77777777" w:rsidR="00D27218" w:rsidRPr="00D27218" w:rsidRDefault="00D27218" w:rsidP="00D2721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b) podíl na HDP ČR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6737ABD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738603B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D07A6B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F5438C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C2D222E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A85341F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32D7B61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E30437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A2592DC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E7FFCCE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F12407A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4079C4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68C07D4" w14:textId="77777777" w:rsidR="00D27218" w:rsidRPr="00D27218" w:rsidRDefault="00D27218" w:rsidP="00D2721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2017</w:t>
            </w:r>
          </w:p>
        </w:tc>
      </w:tr>
      <w:tr w:rsidR="00D27218" w:rsidRPr="00D27218" w14:paraId="49A9E60C" w14:textId="77777777" w:rsidTr="00D27218">
        <w:trPr>
          <w:trHeight w:val="25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8D0DE46" w14:textId="77777777" w:rsidR="00D27218" w:rsidRPr="00D27218" w:rsidRDefault="00D27218" w:rsidP="00D2721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Veřejné zdroje celkem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FEBF26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9BF447D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9B35EE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14CA88D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4EADA87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0CE347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1BEFD97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7134D3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0,20%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A8627A2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7AB4B93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17F4721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AD89912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27550CE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</w:tr>
      <w:tr w:rsidR="00D27218" w:rsidRPr="00D27218" w14:paraId="416E8C72" w14:textId="77777777" w:rsidTr="00D27218">
        <w:trPr>
          <w:trHeight w:val="25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5EB33D4" w14:textId="77777777" w:rsidR="00D27218" w:rsidRPr="00D27218" w:rsidRDefault="00D27218" w:rsidP="00D27218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Domácí celkem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B2FFAD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AB71E76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E18879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E163C90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61E4D8E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3923A7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BDAE1EC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719CEA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419FE83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445CE9E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51453E0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7E26EF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4C9166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0,11%</w:t>
            </w:r>
          </w:p>
        </w:tc>
      </w:tr>
      <w:tr w:rsidR="00D27218" w:rsidRPr="00D27218" w14:paraId="20201A79" w14:textId="77777777" w:rsidTr="00D27218">
        <w:trPr>
          <w:trHeight w:val="25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90ECF60" w14:textId="77777777" w:rsidR="00D27218" w:rsidRPr="00D27218" w:rsidRDefault="00D27218" w:rsidP="00D27218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D27218">
              <w:rPr>
                <w:rFonts w:cs="Arial"/>
                <w:sz w:val="16"/>
                <w:szCs w:val="16"/>
              </w:rPr>
              <w:t>Přímá podpora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836672C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A20DFE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0,10%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A3A3706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65DAB0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0,08%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2783C0A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9A3FA17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2BE0F83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065CF30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0,11%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CCA198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0,10%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0437AD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0,09%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67CC2F31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0,07%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F3B67B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5065CBA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0,06%</w:t>
            </w:r>
          </w:p>
        </w:tc>
      </w:tr>
      <w:tr w:rsidR="00D27218" w:rsidRPr="00D27218" w14:paraId="6E29B34F" w14:textId="77777777" w:rsidTr="00D27218">
        <w:trPr>
          <w:trHeight w:val="25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AA451B4" w14:textId="77777777" w:rsidR="00D27218" w:rsidRPr="00D27218" w:rsidRDefault="00D27218" w:rsidP="00D27218">
            <w:pPr>
              <w:spacing w:line="240" w:lineRule="auto"/>
              <w:ind w:firstLineChars="200" w:firstLine="320"/>
              <w:rPr>
                <w:rFonts w:cs="Arial"/>
                <w:sz w:val="16"/>
                <w:szCs w:val="16"/>
              </w:rPr>
            </w:pPr>
            <w:r w:rsidRPr="00D27218">
              <w:rPr>
                <w:rFonts w:cs="Arial"/>
                <w:sz w:val="16"/>
                <w:szCs w:val="16"/>
              </w:rPr>
              <w:t>Nepřímá podpora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CDF0D47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40D410B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B85448C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2A38AF3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71648D1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0CF4712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8A53C2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602A33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E3BCA5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0,06%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6CE849C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BC22B37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300AEF3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C449589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i/>
                <w:iCs/>
                <w:sz w:val="16"/>
                <w:szCs w:val="16"/>
              </w:rPr>
              <w:t>0,05%</w:t>
            </w:r>
          </w:p>
        </w:tc>
      </w:tr>
      <w:tr w:rsidR="00D27218" w:rsidRPr="00D27218" w14:paraId="33DE7C23" w14:textId="77777777" w:rsidTr="00D27218">
        <w:trPr>
          <w:trHeight w:val="25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0D0D85B" w14:textId="77777777" w:rsidR="00D27218" w:rsidRPr="00D27218" w:rsidRDefault="00D27218" w:rsidP="00D27218">
            <w:pPr>
              <w:spacing w:line="240" w:lineRule="auto"/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sz w:val="16"/>
                <w:szCs w:val="16"/>
              </w:rPr>
              <w:t>Zahraniční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709023B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FA79635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B3A43FF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154F7830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0,00%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4C2882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5EE1B48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0,02%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A996E3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5B257A96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7DCA116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761CA59A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0,04%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409F24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0,03%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C9FF524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0,01%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F8C4922" w14:textId="77777777" w:rsidR="00D27218" w:rsidRPr="00D27218" w:rsidRDefault="00D27218" w:rsidP="00D27218">
            <w:pPr>
              <w:spacing w:line="240" w:lineRule="auto"/>
              <w:jc w:val="right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D27218">
              <w:rPr>
                <w:rFonts w:cs="Arial"/>
                <w:b/>
                <w:bCs/>
                <w:i/>
                <w:iCs/>
                <w:sz w:val="16"/>
                <w:szCs w:val="16"/>
              </w:rPr>
              <w:t>0,02%</w:t>
            </w:r>
          </w:p>
        </w:tc>
      </w:tr>
    </w:tbl>
    <w:p w14:paraId="4B9106A1" w14:textId="34F21996" w:rsidR="00436398" w:rsidRDefault="00645105" w:rsidP="00436398">
      <w:pPr>
        <w:spacing w:before="60" w:after="360"/>
        <w:rPr>
          <w:i/>
          <w:sz w:val="16"/>
        </w:rPr>
      </w:pPr>
      <w:r w:rsidRPr="00DD319B">
        <w:rPr>
          <w:i/>
          <w:sz w:val="16"/>
        </w:rPr>
        <w:t xml:space="preserve">Zdroj dat: ČSÚ podle administrativních dat GFŘ, </w:t>
      </w:r>
      <w:r w:rsidR="00CE308D" w:rsidRPr="00DD319B">
        <w:rPr>
          <w:i/>
          <w:sz w:val="16"/>
        </w:rPr>
        <w:t>ČSÚ – Šetření</w:t>
      </w:r>
      <w:r w:rsidRPr="00DD319B">
        <w:rPr>
          <w:i/>
          <w:sz w:val="16"/>
        </w:rPr>
        <w:t xml:space="preserve"> o </w:t>
      </w:r>
      <w:proofErr w:type="spellStart"/>
      <w:r w:rsidRPr="00DD319B">
        <w:rPr>
          <w:i/>
          <w:sz w:val="16"/>
        </w:rPr>
        <w:t>VaV</w:t>
      </w:r>
      <w:proofErr w:type="spellEnd"/>
      <w:r w:rsidRPr="00DD319B">
        <w:rPr>
          <w:i/>
          <w:sz w:val="16"/>
        </w:rPr>
        <w:t xml:space="preserve"> (VTR 5-01)</w:t>
      </w:r>
      <w:r w:rsidR="005A1B66">
        <w:rPr>
          <w:i/>
          <w:sz w:val="16"/>
        </w:rPr>
        <w:t xml:space="preserve">, </w:t>
      </w:r>
      <w:r w:rsidR="00CE308D">
        <w:rPr>
          <w:i/>
          <w:sz w:val="16"/>
        </w:rPr>
        <w:t>ČSÚ – Národní</w:t>
      </w:r>
      <w:r w:rsidR="00CC6896">
        <w:rPr>
          <w:i/>
          <w:sz w:val="16"/>
        </w:rPr>
        <w:t xml:space="preserve"> účty</w:t>
      </w:r>
    </w:p>
    <w:p w14:paraId="7D9C0F4A" w14:textId="77777777" w:rsidR="00BF7EC0" w:rsidRDefault="00BF7EC0" w:rsidP="00BF7EC0">
      <w:pPr>
        <w:spacing w:before="120"/>
        <w:jc w:val="both"/>
      </w:pPr>
      <w:r>
        <w:t xml:space="preserve">Celkový objem veřejné podpory </w:t>
      </w:r>
      <w:proofErr w:type="spellStart"/>
      <w:r>
        <w:t>VaV</w:t>
      </w:r>
      <w:proofErr w:type="spellEnd"/>
      <w:r>
        <w:t>, na níž dosáhly soukromé podniky v roce 2017, odpovídala podílu 0,14 % hrubého domácího produktu (dále HDP</w:t>
      </w:r>
      <w:r>
        <w:rPr>
          <w:rStyle w:val="Znakapoznpodarou"/>
        </w:rPr>
        <w:footnoteReference w:id="1"/>
      </w:r>
      <w:r>
        <w:t xml:space="preserve">). V případě přímé (rozpočtové) podpory </w:t>
      </w:r>
      <w:proofErr w:type="spellStart"/>
      <w:r>
        <w:t>VaV</w:t>
      </w:r>
      <w:proofErr w:type="spellEnd"/>
      <w:r>
        <w:t xml:space="preserve"> podíl dosáhl 0,06 % a nepřímé (daňové) podpory </w:t>
      </w:r>
      <w:proofErr w:type="spellStart"/>
      <w:r>
        <w:t>VaV</w:t>
      </w:r>
      <w:proofErr w:type="spellEnd"/>
      <w:r>
        <w:t xml:space="preserve"> pak 0,05 %. Podíl zahraniční podpory </w:t>
      </w:r>
      <w:proofErr w:type="spellStart"/>
      <w:r>
        <w:t>VaV</w:t>
      </w:r>
      <w:proofErr w:type="spellEnd"/>
      <w:r>
        <w:t xml:space="preserve"> u soukromých podniků na HDP byl výrazně nižší (0,02 %) než u obou zmíněných forem domácí podpory. </w:t>
      </w:r>
    </w:p>
    <w:p w14:paraId="1A5986D5" w14:textId="2C28AB26" w:rsidR="00A55C50" w:rsidRDefault="00A55C50" w:rsidP="00A55C50">
      <w:pPr>
        <w:spacing w:before="120" w:after="120"/>
        <w:jc w:val="both"/>
        <w:rPr>
          <w:b/>
        </w:rPr>
      </w:pPr>
      <w:r>
        <w:rPr>
          <w:b/>
        </w:rPr>
        <w:t>GRAF 4</w:t>
      </w:r>
      <w:r w:rsidRPr="00645105">
        <w:rPr>
          <w:b/>
        </w:rPr>
        <w:t xml:space="preserve">: Financování </w:t>
      </w:r>
      <w:proofErr w:type="spellStart"/>
      <w:r w:rsidRPr="00645105">
        <w:rPr>
          <w:b/>
        </w:rPr>
        <w:t>VaV</w:t>
      </w:r>
      <w:proofErr w:type="spellEnd"/>
      <w:r w:rsidRPr="00645105">
        <w:rPr>
          <w:b/>
        </w:rPr>
        <w:t xml:space="preserve"> </w:t>
      </w:r>
      <w:r>
        <w:rPr>
          <w:b/>
        </w:rPr>
        <w:t xml:space="preserve">v soukromých podnicích ČR </w:t>
      </w:r>
      <w:r w:rsidRPr="00645105">
        <w:rPr>
          <w:b/>
        </w:rPr>
        <w:t>z v</w:t>
      </w:r>
      <w:r>
        <w:rPr>
          <w:b/>
        </w:rPr>
        <w:t>eřejných zdrojů – podíl na HDP</w:t>
      </w:r>
      <w:r w:rsidR="005C4344">
        <w:rPr>
          <w:b/>
        </w:rPr>
        <w:t>, 2007–2017</w:t>
      </w:r>
    </w:p>
    <w:p w14:paraId="7796565F" w14:textId="682EE5AE" w:rsidR="00A55C50" w:rsidRDefault="00816275" w:rsidP="00A55C50">
      <w:pPr>
        <w:spacing w:before="120"/>
        <w:jc w:val="both"/>
      </w:pPr>
      <w:r>
        <w:rPr>
          <w:noProof/>
        </w:rPr>
        <w:drawing>
          <wp:inline distT="0" distB="0" distL="0" distR="0" wp14:anchorId="6A2E205F" wp14:editId="2BAC26C0">
            <wp:extent cx="6077666" cy="2268000"/>
            <wp:effectExtent l="0" t="0" r="0" b="0"/>
            <wp:docPr id="18" name="Graf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5B83AD6" w14:textId="423BCB5E" w:rsidR="00261DBF" w:rsidRPr="00BF7EC0" w:rsidRDefault="00A55C50" w:rsidP="00BF7EC0">
      <w:pPr>
        <w:spacing w:before="120"/>
        <w:jc w:val="both"/>
      </w:pPr>
      <w:r w:rsidRPr="00DD319B">
        <w:rPr>
          <w:i/>
          <w:sz w:val="16"/>
        </w:rPr>
        <w:t xml:space="preserve">Zdroj dat: ČSÚ podle administrativních dat GFŘ, ČSÚ </w:t>
      </w:r>
      <w:r>
        <w:rPr>
          <w:i/>
          <w:sz w:val="16"/>
        </w:rPr>
        <w:t>–</w:t>
      </w:r>
      <w:r w:rsidRPr="00DD319B">
        <w:rPr>
          <w:i/>
          <w:sz w:val="16"/>
        </w:rPr>
        <w:t xml:space="preserve"> </w:t>
      </w:r>
      <w:r>
        <w:rPr>
          <w:i/>
          <w:sz w:val="16"/>
        </w:rPr>
        <w:t>Š</w:t>
      </w:r>
      <w:r w:rsidRPr="00DD319B">
        <w:rPr>
          <w:i/>
          <w:sz w:val="16"/>
        </w:rPr>
        <w:t xml:space="preserve">etření o </w:t>
      </w:r>
      <w:proofErr w:type="spellStart"/>
      <w:r w:rsidRPr="00DD319B">
        <w:rPr>
          <w:i/>
          <w:sz w:val="16"/>
        </w:rPr>
        <w:t>VaV</w:t>
      </w:r>
      <w:proofErr w:type="spellEnd"/>
      <w:r w:rsidRPr="00DD319B">
        <w:rPr>
          <w:i/>
          <w:sz w:val="16"/>
        </w:rPr>
        <w:t xml:space="preserve"> (VTR 5-01)</w:t>
      </w:r>
      <w:r>
        <w:rPr>
          <w:i/>
          <w:sz w:val="16"/>
        </w:rPr>
        <w:t>, Národní účty (HDP)</w:t>
      </w:r>
      <w:r w:rsidR="00261DBF">
        <w:rPr>
          <w:sz w:val="24"/>
        </w:rPr>
        <w:br w:type="page"/>
      </w:r>
    </w:p>
    <w:p w14:paraId="57B5F03E" w14:textId="77777777" w:rsidR="005C3DF6" w:rsidRPr="007239E6" w:rsidRDefault="00BB5FE5" w:rsidP="00BB5FE5">
      <w:pPr>
        <w:pStyle w:val="Nadpis2"/>
        <w:spacing w:after="120"/>
        <w:jc w:val="both"/>
        <w:rPr>
          <w:sz w:val="24"/>
        </w:rPr>
      </w:pPr>
      <w:r w:rsidRPr="007239E6">
        <w:rPr>
          <w:sz w:val="24"/>
        </w:rPr>
        <w:lastRenderedPageBreak/>
        <w:t>3.</w:t>
      </w:r>
      <w:r w:rsidR="008777BA" w:rsidRPr="007239E6">
        <w:rPr>
          <w:sz w:val="24"/>
        </w:rPr>
        <w:t xml:space="preserve">2 </w:t>
      </w:r>
      <w:r w:rsidR="00EA00A2" w:rsidRPr="007239E6">
        <w:rPr>
          <w:sz w:val="24"/>
        </w:rPr>
        <w:t xml:space="preserve">Nepřímá veřejná podpora </w:t>
      </w:r>
      <w:proofErr w:type="spellStart"/>
      <w:r w:rsidR="00EA00A2" w:rsidRPr="007239E6">
        <w:rPr>
          <w:sz w:val="24"/>
        </w:rPr>
        <w:t>VaV</w:t>
      </w:r>
      <w:proofErr w:type="spellEnd"/>
      <w:r w:rsidR="00EA00A2" w:rsidRPr="007239E6">
        <w:rPr>
          <w:sz w:val="24"/>
        </w:rPr>
        <w:t xml:space="preserve"> v soukromých podnicích – základní údaje</w:t>
      </w:r>
    </w:p>
    <w:p w14:paraId="79CE65D1" w14:textId="151D99B5" w:rsidR="00261DBF" w:rsidRDefault="006979C7" w:rsidP="00524CD4">
      <w:pPr>
        <w:spacing w:before="120"/>
        <w:jc w:val="both"/>
      </w:pPr>
      <w:r>
        <w:t xml:space="preserve">Instrument nepřímé veřejné podpory </w:t>
      </w:r>
      <w:r w:rsidR="00887167">
        <w:t>výzkumu a vývoje byl v České republice</w:t>
      </w:r>
      <w:r>
        <w:t xml:space="preserve"> z</w:t>
      </w:r>
      <w:r w:rsidR="001B00E4">
        <w:t>aveden v roce 2005, kdy podniky</w:t>
      </w:r>
      <w:r>
        <w:t xml:space="preserve"> provádějící </w:t>
      </w:r>
      <w:r w:rsidR="00C76348">
        <w:t>výzkum a vývoj</w:t>
      </w:r>
      <w:r>
        <w:t xml:space="preserve"> mohly poprvé odečíst své náklady (výdaje) související s realizací </w:t>
      </w:r>
      <w:proofErr w:type="spellStart"/>
      <w:r>
        <w:t>VaV</w:t>
      </w:r>
      <w:proofErr w:type="spellEnd"/>
      <w:r>
        <w:t xml:space="preserve"> projektů</w:t>
      </w:r>
      <w:r w:rsidR="005F17D5">
        <w:t xml:space="preserve"> od základu daně</w:t>
      </w:r>
      <w:r w:rsidR="001F6760">
        <w:t xml:space="preserve"> z příjmu</w:t>
      </w:r>
      <w:r>
        <w:t xml:space="preserve">. V období let </w:t>
      </w:r>
      <w:r w:rsidR="002F7270" w:rsidRPr="007A22BC">
        <w:t>2005</w:t>
      </w:r>
      <w:r>
        <w:t xml:space="preserve"> až 2015 počet soukromých podniků, které pro své výzkumné a vývojové činnosti využily daňovou podporu</w:t>
      </w:r>
      <w:r w:rsidR="001B22A7">
        <w:t xml:space="preserve"> </w:t>
      </w:r>
      <w:proofErr w:type="spellStart"/>
      <w:r w:rsidR="001B22A7">
        <w:t>VaV</w:t>
      </w:r>
      <w:proofErr w:type="spellEnd"/>
      <w:r w:rsidR="001B22A7">
        <w:t xml:space="preserve"> kontinuálně rostl</w:t>
      </w:r>
      <w:r w:rsidR="00B03CC3">
        <w:t xml:space="preserve"> </w:t>
      </w:r>
      <w:r>
        <w:t xml:space="preserve">průměrným </w:t>
      </w:r>
      <w:r w:rsidR="001B22A7">
        <w:t xml:space="preserve">ročním tempem </w:t>
      </w:r>
      <w:r>
        <w:t xml:space="preserve">ve výši </w:t>
      </w:r>
      <w:r w:rsidR="001B22A7">
        <w:t>11</w:t>
      </w:r>
      <w:r>
        <w:t xml:space="preserve"> %. </w:t>
      </w:r>
      <w:r w:rsidR="00261DBF">
        <w:t xml:space="preserve">Rostoucí trend </w:t>
      </w:r>
      <w:r>
        <w:t>skončil v roce 201</w:t>
      </w:r>
      <w:r w:rsidR="00992BDC">
        <w:t>5</w:t>
      </w:r>
      <w:r w:rsidR="00261DBF">
        <w:t xml:space="preserve">. </w:t>
      </w:r>
    </w:p>
    <w:p w14:paraId="7E250752" w14:textId="632DDD71" w:rsidR="00101389" w:rsidRDefault="00261DBF" w:rsidP="00511C88">
      <w:pPr>
        <w:spacing w:before="120"/>
        <w:jc w:val="both"/>
      </w:pPr>
      <w:r>
        <w:t>Pokud v</w:t>
      </w:r>
      <w:r w:rsidR="009142BB" w:rsidRPr="009142BB">
        <w:t xml:space="preserve"> roce 2005 využilo odečet výdajů na </w:t>
      </w:r>
      <w:proofErr w:type="spellStart"/>
      <w:r w:rsidR="009142BB" w:rsidRPr="009142BB">
        <w:t>VaV</w:t>
      </w:r>
      <w:proofErr w:type="spellEnd"/>
      <w:r w:rsidR="009142BB" w:rsidRPr="009142BB">
        <w:t xml:space="preserve"> celkem 454 </w:t>
      </w:r>
      <w:r>
        <w:t xml:space="preserve">podniků, pak </w:t>
      </w:r>
      <w:r w:rsidR="00E23AED">
        <w:t>v roce 2017</w:t>
      </w:r>
      <w:r w:rsidR="009142BB" w:rsidRPr="009142BB">
        <w:t xml:space="preserve"> jich</w:t>
      </w:r>
      <w:r w:rsidR="00992BDC">
        <w:t xml:space="preserve"> bylo</w:t>
      </w:r>
      <w:r w:rsidR="00014D9E">
        <w:t xml:space="preserve"> </w:t>
      </w:r>
      <w:r w:rsidR="009142BB" w:rsidRPr="009142BB">
        <w:t>1</w:t>
      </w:r>
      <w:r w:rsidR="00E23AED">
        <w:t> 135</w:t>
      </w:r>
      <w:r w:rsidR="0063562D">
        <w:t xml:space="preserve">, tedy </w:t>
      </w:r>
      <w:r w:rsidR="00992BDC">
        <w:t>2,5x více</w:t>
      </w:r>
      <w:r w:rsidR="009142BB">
        <w:t>.</w:t>
      </w:r>
      <w:r w:rsidR="009142BB" w:rsidRPr="009142BB">
        <w:t xml:space="preserve"> </w:t>
      </w:r>
      <w:r w:rsidR="000F6938">
        <w:t>Oproti roku 2016</w:t>
      </w:r>
      <w:r w:rsidR="00DB3C3F">
        <w:t xml:space="preserve"> </w:t>
      </w:r>
      <w:r w:rsidR="00E67CC2">
        <w:t>došlo</w:t>
      </w:r>
      <w:r w:rsidR="00DB3C3F">
        <w:t xml:space="preserve"> ale</w:t>
      </w:r>
      <w:r w:rsidR="00E67CC2">
        <w:t xml:space="preserve"> ke snížení počtu soukromých podniků, které vy</w:t>
      </w:r>
      <w:r w:rsidR="000F6938">
        <w:t xml:space="preserve">užily daňovou podporu </w:t>
      </w:r>
      <w:proofErr w:type="spellStart"/>
      <w:r w:rsidR="000F6938">
        <w:t>VaV</w:t>
      </w:r>
      <w:proofErr w:type="spellEnd"/>
      <w:r w:rsidR="000F6938">
        <w:t>, o 9 % (o 113</w:t>
      </w:r>
      <w:r w:rsidR="00E67CC2">
        <w:t xml:space="preserve"> subjektů). </w:t>
      </w:r>
      <w:r w:rsidR="00AD6866">
        <w:t>Jedná se v pořadí o druhý výraznější</w:t>
      </w:r>
      <w:r w:rsidR="00964646">
        <w:t xml:space="preserve"> pokles počtu soukromých podniků využívajících nepřímou</w:t>
      </w:r>
      <w:r w:rsidR="00AD6866">
        <w:t xml:space="preserve"> </w:t>
      </w:r>
      <w:r w:rsidR="00964646">
        <w:t>v</w:t>
      </w:r>
      <w:r w:rsidR="00DB3C3F">
        <w:t>eřejnou</w:t>
      </w:r>
      <w:r w:rsidR="00AD6866">
        <w:t xml:space="preserve"> (daňovou)</w:t>
      </w:r>
      <w:r w:rsidR="00DB3C3F">
        <w:t xml:space="preserve"> podporu </w:t>
      </w:r>
      <w:proofErr w:type="spellStart"/>
      <w:r w:rsidR="00DB3C3F">
        <w:t>VaV</w:t>
      </w:r>
      <w:proofErr w:type="spellEnd"/>
      <w:r w:rsidR="00DB3C3F">
        <w:t xml:space="preserve"> od zavedení</w:t>
      </w:r>
      <w:r w:rsidR="00964646">
        <w:t xml:space="preserve"> </w:t>
      </w:r>
      <w:r w:rsidR="00887167">
        <w:t>této</w:t>
      </w:r>
      <w:r w:rsidR="00964646">
        <w:t xml:space="preserve"> podpory </w:t>
      </w:r>
      <w:proofErr w:type="spellStart"/>
      <w:r w:rsidR="00964646">
        <w:t>VaV</w:t>
      </w:r>
      <w:proofErr w:type="spellEnd"/>
      <w:r w:rsidR="00964646">
        <w:t xml:space="preserve"> v ČR. </w:t>
      </w:r>
      <w:r w:rsidR="00463E74">
        <w:t>N</w:t>
      </w:r>
      <w:r w:rsidR="002F702A">
        <w:t xml:space="preserve">ejvyšší meziroční nárůst počtu soukromých podniků, které využily </w:t>
      </w:r>
      <w:r w:rsidR="009366ED">
        <w:t>tento typ veřejné</w:t>
      </w:r>
      <w:r w:rsidR="002F702A">
        <w:t xml:space="preserve"> podpo</w:t>
      </w:r>
      <w:r w:rsidR="009366ED">
        <w:t>ry</w:t>
      </w:r>
      <w:r w:rsidR="00F37371">
        <w:t xml:space="preserve"> </w:t>
      </w:r>
      <w:proofErr w:type="spellStart"/>
      <w:r w:rsidR="00F37371">
        <w:t>VaV</w:t>
      </w:r>
      <w:proofErr w:type="spellEnd"/>
      <w:r w:rsidR="00F37371">
        <w:t>,</w:t>
      </w:r>
      <w:r w:rsidR="00463E8E">
        <w:t xml:space="preserve"> </w:t>
      </w:r>
      <w:r w:rsidR="00AD0857">
        <w:t>byl zaznamenán mezi roky</w:t>
      </w:r>
      <w:r w:rsidR="002F702A">
        <w:t xml:space="preserve"> 2010 a 2011</w:t>
      </w:r>
      <w:r w:rsidR="009366ED">
        <w:t>, a to ve výši 20 %</w:t>
      </w:r>
      <w:r w:rsidR="00620F61">
        <w:t>.</w:t>
      </w:r>
      <w:r w:rsidR="002F702A">
        <w:t xml:space="preserve"> </w:t>
      </w:r>
    </w:p>
    <w:p w14:paraId="6D96D37E" w14:textId="460B8D67" w:rsidR="00E6382B" w:rsidRDefault="007A5FA4" w:rsidP="00511C88">
      <w:pPr>
        <w:spacing w:before="120"/>
        <w:jc w:val="both"/>
      </w:pPr>
      <w:r>
        <w:rPr>
          <w:b/>
        </w:rPr>
        <w:t xml:space="preserve">GRAF </w:t>
      </w:r>
      <w:r w:rsidR="0069364F">
        <w:rPr>
          <w:b/>
        </w:rPr>
        <w:t>5</w:t>
      </w:r>
      <w:r w:rsidR="00E6382B">
        <w:rPr>
          <w:b/>
        </w:rPr>
        <w:t>: Nepřímá veřejná pod</w:t>
      </w:r>
      <w:r w:rsidR="008909AD">
        <w:rPr>
          <w:b/>
        </w:rPr>
        <w:t xml:space="preserve">pora </w:t>
      </w:r>
      <w:proofErr w:type="spellStart"/>
      <w:r w:rsidR="008909AD">
        <w:rPr>
          <w:b/>
        </w:rPr>
        <w:t>VaV</w:t>
      </w:r>
      <w:proofErr w:type="spellEnd"/>
      <w:r w:rsidR="00E6382B">
        <w:rPr>
          <w:b/>
        </w:rPr>
        <w:t xml:space="preserve"> a počet soukromých podniků, které u</w:t>
      </w:r>
      <w:r w:rsidR="002401BE">
        <w:rPr>
          <w:b/>
        </w:rPr>
        <w:t>platnily daňové zvýhodnění</w:t>
      </w:r>
      <w:r w:rsidR="008909AD">
        <w:rPr>
          <w:b/>
        </w:rPr>
        <w:t xml:space="preserve"> </w:t>
      </w:r>
      <w:proofErr w:type="spellStart"/>
      <w:r w:rsidR="008909AD">
        <w:rPr>
          <w:b/>
        </w:rPr>
        <w:t>VaV</w:t>
      </w:r>
      <w:proofErr w:type="spellEnd"/>
      <w:r w:rsidR="00256B36">
        <w:rPr>
          <w:b/>
        </w:rPr>
        <w:t>,</w:t>
      </w:r>
      <w:r w:rsidR="002401BE">
        <w:rPr>
          <w:b/>
        </w:rPr>
        <w:t xml:space="preserve"> 2007</w:t>
      </w:r>
      <w:r w:rsidR="000F6938">
        <w:rPr>
          <w:b/>
        </w:rPr>
        <w:t>–2017</w:t>
      </w:r>
    </w:p>
    <w:p w14:paraId="4E3C689B" w14:textId="44DA608E" w:rsidR="00B72231" w:rsidRDefault="001D7FEF" w:rsidP="00511C88">
      <w:pPr>
        <w:spacing w:before="120"/>
        <w:jc w:val="both"/>
        <w:rPr>
          <w:color w:val="FF0000"/>
        </w:rPr>
      </w:pPr>
      <w:r>
        <w:rPr>
          <w:noProof/>
        </w:rPr>
        <w:drawing>
          <wp:inline distT="0" distB="0" distL="0" distR="0" wp14:anchorId="08B70A7F" wp14:editId="41DF9587">
            <wp:extent cx="6112058" cy="2448000"/>
            <wp:effectExtent l="0" t="0" r="3175" b="0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85E86F" w14:textId="77777777" w:rsidR="00B72231" w:rsidRDefault="00B72231" w:rsidP="00511C88">
      <w:pPr>
        <w:spacing w:before="120"/>
        <w:jc w:val="both"/>
        <w:rPr>
          <w:i/>
          <w:sz w:val="16"/>
        </w:rPr>
      </w:pPr>
      <w:r w:rsidRPr="00DD319B">
        <w:rPr>
          <w:i/>
          <w:sz w:val="16"/>
        </w:rPr>
        <w:t>Zdroj dat: ČSÚ podle a</w:t>
      </w:r>
      <w:r>
        <w:rPr>
          <w:i/>
          <w:sz w:val="16"/>
        </w:rPr>
        <w:t>dministrativních dat GFŘ</w:t>
      </w:r>
    </w:p>
    <w:p w14:paraId="7232DA44" w14:textId="01A93077" w:rsidR="00027D2B" w:rsidRPr="005C20C3" w:rsidRDefault="00285B5F" w:rsidP="00224077">
      <w:pPr>
        <w:spacing w:before="120"/>
        <w:jc w:val="both"/>
      </w:pPr>
      <w:r w:rsidRPr="005C20C3">
        <w:t>S narůstajícím</w:t>
      </w:r>
      <w:r w:rsidR="002E24FF" w:rsidRPr="005C20C3">
        <w:t> počt</w:t>
      </w:r>
      <w:r w:rsidRPr="005C20C3">
        <w:t>em</w:t>
      </w:r>
      <w:r w:rsidR="002E24FF" w:rsidRPr="005C20C3">
        <w:t xml:space="preserve"> podniků využívajících </w:t>
      </w:r>
      <w:r w:rsidR="0004366C" w:rsidRPr="005C20C3">
        <w:t>nepřímou veřejnou podporu</w:t>
      </w:r>
      <w:r w:rsidR="002E24FF" w:rsidRPr="005C20C3">
        <w:t xml:space="preserve"> </w:t>
      </w:r>
      <w:proofErr w:type="spellStart"/>
      <w:r w:rsidR="002E24FF" w:rsidRPr="005C20C3">
        <w:t>VaV</w:t>
      </w:r>
      <w:proofErr w:type="spellEnd"/>
      <w:r w:rsidR="002E24FF" w:rsidRPr="005C20C3">
        <w:t xml:space="preserve"> rostly </w:t>
      </w:r>
      <w:r w:rsidR="00DC1338" w:rsidRPr="005C20C3">
        <w:t xml:space="preserve">rovněž </w:t>
      </w:r>
      <w:r w:rsidR="00261DBF" w:rsidRPr="005C20C3">
        <w:t xml:space="preserve">souhrnné odečtené výdaje na </w:t>
      </w:r>
      <w:proofErr w:type="spellStart"/>
      <w:r w:rsidR="00261DBF" w:rsidRPr="005C20C3">
        <w:t>VaV</w:t>
      </w:r>
      <w:proofErr w:type="spellEnd"/>
      <w:r w:rsidR="00261DBF" w:rsidRPr="005C20C3">
        <w:t xml:space="preserve">, i když nikoliv kontinuálně jako v případě </w:t>
      </w:r>
      <w:r w:rsidR="00361916" w:rsidRPr="005C20C3">
        <w:t xml:space="preserve">ukazatele </w:t>
      </w:r>
      <w:r w:rsidR="00261DBF" w:rsidRPr="005C20C3">
        <w:t xml:space="preserve">počtu soukromých podniků využívajících </w:t>
      </w:r>
      <w:r w:rsidR="005C20C3" w:rsidRPr="005C20C3">
        <w:t>daňovou podporu</w:t>
      </w:r>
      <w:r w:rsidR="00261DBF" w:rsidRPr="005C20C3">
        <w:t xml:space="preserve"> </w:t>
      </w:r>
      <w:proofErr w:type="spellStart"/>
      <w:r w:rsidR="00261DBF" w:rsidRPr="005C20C3">
        <w:t>VaV</w:t>
      </w:r>
      <w:proofErr w:type="spellEnd"/>
      <w:r w:rsidR="00261DBF" w:rsidRPr="005C20C3">
        <w:t>.</w:t>
      </w:r>
      <w:r w:rsidR="002E24FF" w:rsidRPr="005C20C3">
        <w:t xml:space="preserve"> </w:t>
      </w:r>
      <w:r w:rsidR="00261DBF" w:rsidRPr="005C20C3">
        <w:t xml:space="preserve">Po roce 2010, kdy se daňová sazba </w:t>
      </w:r>
      <w:r w:rsidR="00361916" w:rsidRPr="005C20C3">
        <w:t xml:space="preserve">právnických osob </w:t>
      </w:r>
      <w:r w:rsidR="00261DBF" w:rsidRPr="005C20C3">
        <w:t xml:space="preserve">ustálila na </w:t>
      </w:r>
      <w:r w:rsidR="00517B68" w:rsidRPr="005C20C3">
        <w:t xml:space="preserve">hodnotě </w:t>
      </w:r>
      <w:r w:rsidR="00261DBF" w:rsidRPr="005C20C3">
        <w:t xml:space="preserve">19 %, </w:t>
      </w:r>
      <w:r w:rsidR="005C20C3" w:rsidRPr="005C20C3">
        <w:t xml:space="preserve">rostla </w:t>
      </w:r>
      <w:r w:rsidR="00261DBF" w:rsidRPr="005C20C3">
        <w:t xml:space="preserve">výše nepřímé veřejné podpory </w:t>
      </w:r>
      <w:proofErr w:type="spellStart"/>
      <w:r w:rsidR="00261DBF" w:rsidRPr="005C20C3">
        <w:t>VaV</w:t>
      </w:r>
      <w:proofErr w:type="spellEnd"/>
      <w:r w:rsidR="00261DBF" w:rsidRPr="005C20C3">
        <w:t xml:space="preserve"> </w:t>
      </w:r>
      <w:r w:rsidR="005C20C3" w:rsidRPr="005C20C3">
        <w:t>nepřetržitě až do roku 2013, následně přichází trend střídání pok</w:t>
      </w:r>
      <w:r w:rsidR="00082755">
        <w:t>lesů (roky 2014, 2016) a nárůstů</w:t>
      </w:r>
      <w:r w:rsidR="005C20C3" w:rsidRPr="005C20C3">
        <w:t xml:space="preserve"> (roky 2015, 2017). </w:t>
      </w:r>
      <w:r w:rsidR="004752A7" w:rsidRPr="005C20C3">
        <w:t>V roce 2017</w:t>
      </w:r>
      <w:r w:rsidR="00AD2E3D">
        <w:t xml:space="preserve"> </w:t>
      </w:r>
      <w:r w:rsidR="004752A7" w:rsidRPr="005C20C3">
        <w:t>poklesl</w:t>
      </w:r>
      <w:r w:rsidR="00027D2B" w:rsidRPr="005C20C3">
        <w:t xml:space="preserve"> počet soukromý</w:t>
      </w:r>
      <w:r w:rsidR="005C20C3" w:rsidRPr="005C20C3">
        <w:t>ch</w:t>
      </w:r>
      <w:r w:rsidR="00260106" w:rsidRPr="005C20C3">
        <w:t xml:space="preserve"> podniků, které pro svůj výzkum a vývoj využily nepřím</w:t>
      </w:r>
      <w:r w:rsidR="00517B68" w:rsidRPr="005C20C3">
        <w:t>ou podporu</w:t>
      </w:r>
      <w:r w:rsidR="00AD2E3D">
        <w:t xml:space="preserve"> </w:t>
      </w:r>
      <w:proofErr w:type="spellStart"/>
      <w:r w:rsidR="00AD2E3D">
        <w:t>VaV</w:t>
      </w:r>
      <w:proofErr w:type="spellEnd"/>
      <w:r w:rsidR="00517B68" w:rsidRPr="005C20C3">
        <w:t xml:space="preserve">, </w:t>
      </w:r>
      <w:r w:rsidR="004752A7" w:rsidRPr="005C20C3">
        <w:t xml:space="preserve">ale zvýšil se </w:t>
      </w:r>
      <w:r w:rsidR="00260106" w:rsidRPr="005C20C3">
        <w:t xml:space="preserve">objem odečtených výdajů na </w:t>
      </w:r>
      <w:proofErr w:type="spellStart"/>
      <w:r w:rsidR="00260106" w:rsidRPr="005C20C3">
        <w:t>VaV</w:t>
      </w:r>
      <w:proofErr w:type="spellEnd"/>
      <w:r w:rsidR="005C20C3" w:rsidRPr="005C20C3">
        <w:t xml:space="preserve"> a tím i částka uplatněné daňové podpory </w:t>
      </w:r>
      <w:proofErr w:type="spellStart"/>
      <w:r w:rsidR="005C20C3" w:rsidRPr="005C20C3">
        <w:t>VaV</w:t>
      </w:r>
      <w:proofErr w:type="spellEnd"/>
      <w:r w:rsidR="00260106" w:rsidRPr="005C20C3">
        <w:t xml:space="preserve">. </w:t>
      </w:r>
      <w:r w:rsidR="00027D2B" w:rsidRPr="005C20C3">
        <w:t xml:space="preserve">  </w:t>
      </w:r>
    </w:p>
    <w:p w14:paraId="23EC4AEE" w14:textId="4E3F3EF7" w:rsidR="00101389" w:rsidRPr="00715D75" w:rsidRDefault="002E24FF" w:rsidP="00224077">
      <w:pPr>
        <w:spacing w:before="120"/>
        <w:jc w:val="both"/>
        <w:rPr>
          <w:color w:val="FF0000"/>
        </w:rPr>
      </w:pPr>
      <w:r>
        <w:t>Zatí</w:t>
      </w:r>
      <w:r w:rsidR="00925189">
        <w:t>mco v roce 2005 byly od základu daně</w:t>
      </w:r>
      <w:r>
        <w:t xml:space="preserve"> v daňových přiznáních podniků odečteny </w:t>
      </w:r>
      <w:r w:rsidRPr="007A22BC">
        <w:t xml:space="preserve">výdaje na </w:t>
      </w:r>
      <w:proofErr w:type="spellStart"/>
      <w:r w:rsidRPr="007A22BC">
        <w:t>VaV</w:t>
      </w:r>
      <w:proofErr w:type="spellEnd"/>
      <w:r w:rsidRPr="007A22BC">
        <w:t xml:space="preserve"> v</w:t>
      </w:r>
      <w:r>
        <w:t xml:space="preserve"> souhrnném </w:t>
      </w:r>
      <w:r w:rsidRPr="007A22BC">
        <w:t>objemu 3,2</w:t>
      </w:r>
      <w:r>
        <w:t> </w:t>
      </w:r>
      <w:r w:rsidRPr="007A22BC">
        <w:t>mld. Kč</w:t>
      </w:r>
      <w:r>
        <w:t xml:space="preserve">, čímž byla získána </w:t>
      </w:r>
      <w:r w:rsidRPr="007A22BC">
        <w:t>nepřím</w:t>
      </w:r>
      <w:r>
        <w:t xml:space="preserve">á </w:t>
      </w:r>
      <w:r w:rsidR="006D78AF">
        <w:t xml:space="preserve">veřejná </w:t>
      </w:r>
      <w:r w:rsidRPr="007A22BC">
        <w:t>podpor</w:t>
      </w:r>
      <w:r>
        <w:t>a</w:t>
      </w:r>
      <w:r w:rsidR="006D78AF">
        <w:t xml:space="preserve"> </w:t>
      </w:r>
      <w:proofErr w:type="spellStart"/>
      <w:r w:rsidR="006D78AF">
        <w:t>VaV</w:t>
      </w:r>
      <w:proofErr w:type="spellEnd"/>
      <w:r>
        <w:rPr>
          <w:rStyle w:val="Znakapoznpodarou"/>
        </w:rPr>
        <w:footnoteReference w:id="2"/>
      </w:r>
      <w:r w:rsidRPr="007A22BC">
        <w:t xml:space="preserve"> </w:t>
      </w:r>
      <w:r w:rsidR="006D78AF">
        <w:t xml:space="preserve">v hodnotě </w:t>
      </w:r>
      <w:r w:rsidRPr="007A22BC">
        <w:t xml:space="preserve">819 mil. Kč, </w:t>
      </w:r>
      <w:r w:rsidRPr="00FA564F">
        <w:t>v roc</w:t>
      </w:r>
      <w:r w:rsidR="004752A7">
        <w:t>e 2017</w:t>
      </w:r>
      <w:r w:rsidRPr="00FA564F">
        <w:t xml:space="preserve"> dosáhl</w:t>
      </w:r>
      <w:r w:rsidR="001F1EA8" w:rsidRPr="00FA564F">
        <w:t>y</w:t>
      </w:r>
      <w:r w:rsidRPr="00FA564F">
        <w:t xml:space="preserve"> odečten</w:t>
      </w:r>
      <w:r w:rsidR="001F1EA8" w:rsidRPr="00FA564F">
        <w:t>é</w:t>
      </w:r>
      <w:r w:rsidRPr="00FA564F">
        <w:t xml:space="preserve"> výdaj</w:t>
      </w:r>
      <w:r w:rsidR="001F1EA8" w:rsidRPr="00FA564F">
        <w:t>e</w:t>
      </w:r>
      <w:r w:rsidR="004752A7">
        <w:t xml:space="preserve"> 13,2</w:t>
      </w:r>
      <w:r w:rsidRPr="00FA564F">
        <w:t> mld. Kč.</w:t>
      </w:r>
      <w:r w:rsidR="00124C7E" w:rsidRPr="00FA564F">
        <w:t xml:space="preserve"> Při dané sazbě daně právnických osob </w:t>
      </w:r>
      <w:r w:rsidR="00B1291C" w:rsidRPr="00FA564F">
        <w:t xml:space="preserve">činila </w:t>
      </w:r>
      <w:r w:rsidR="00124C7E" w:rsidRPr="00FA564F">
        <w:t>výše</w:t>
      </w:r>
      <w:r w:rsidR="004752A7">
        <w:t xml:space="preserve"> nepřímé veřejné podpory </w:t>
      </w:r>
      <w:proofErr w:type="spellStart"/>
      <w:r w:rsidR="004752A7">
        <w:t>VaV</w:t>
      </w:r>
      <w:proofErr w:type="spellEnd"/>
      <w:r w:rsidR="004752A7">
        <w:t xml:space="preserve"> 2,5</w:t>
      </w:r>
      <w:r w:rsidR="00124C7E" w:rsidRPr="00FA564F">
        <w:t xml:space="preserve"> mld. Kč.</w:t>
      </w:r>
      <w:r w:rsidR="00503742" w:rsidRPr="00FA564F">
        <w:t xml:space="preserve"> </w:t>
      </w:r>
      <w:r w:rsidR="00BF3D17" w:rsidRPr="00FA564F">
        <w:t xml:space="preserve">Srovnáme-li hodnotu </w:t>
      </w:r>
      <w:r w:rsidR="004752A7">
        <w:t>s rokem 2016</w:t>
      </w:r>
      <w:r w:rsidR="00FA564F" w:rsidRPr="00FA564F">
        <w:t xml:space="preserve">, </w:t>
      </w:r>
      <w:r w:rsidR="004752A7">
        <w:t>vzrostla</w:t>
      </w:r>
      <w:r w:rsidR="00BF3D17" w:rsidRPr="00FA564F">
        <w:t xml:space="preserve"> podpora </w:t>
      </w:r>
      <w:r w:rsidR="00E20999" w:rsidRPr="00FA564F">
        <w:t>o</w:t>
      </w:r>
      <w:r w:rsidR="004752A7">
        <w:t xml:space="preserve"> 5,5</w:t>
      </w:r>
      <w:r w:rsidR="00413856" w:rsidRPr="00FA564F">
        <w:t> %</w:t>
      </w:r>
      <w:r w:rsidR="004752A7">
        <w:t xml:space="preserve"> (o 131</w:t>
      </w:r>
      <w:r w:rsidR="00533490">
        <w:t> mil. </w:t>
      </w:r>
      <w:r w:rsidR="00FA564F" w:rsidRPr="00FA564F">
        <w:t>Kč)</w:t>
      </w:r>
      <w:r w:rsidR="00413856" w:rsidRPr="00FA564F">
        <w:t>.</w:t>
      </w:r>
      <w:r w:rsidR="00E20999" w:rsidRPr="00FA564F">
        <w:t xml:space="preserve"> </w:t>
      </w:r>
      <w:r w:rsidR="001A2F1F">
        <w:t>Za období let 20</w:t>
      </w:r>
      <w:r w:rsidR="004F5721">
        <w:t>07</w:t>
      </w:r>
      <w:r w:rsidR="001A2F1F">
        <w:t xml:space="preserve"> až </w:t>
      </w:r>
      <w:r w:rsidR="004752A7">
        <w:t>2017</w:t>
      </w:r>
      <w:r w:rsidR="0004366C" w:rsidRPr="00FA564F">
        <w:t xml:space="preserve"> </w:t>
      </w:r>
      <w:r w:rsidR="00854C42" w:rsidRPr="00FA564F">
        <w:t xml:space="preserve">ušetřily </w:t>
      </w:r>
      <w:r w:rsidR="0004366C" w:rsidRPr="00FA564F">
        <w:t>soukromé podniky díky daňov</w:t>
      </w:r>
      <w:r w:rsidR="004752A7">
        <w:t xml:space="preserve">é podpoře </w:t>
      </w:r>
      <w:proofErr w:type="spellStart"/>
      <w:r w:rsidR="004752A7">
        <w:t>VaV</w:t>
      </w:r>
      <w:proofErr w:type="spellEnd"/>
      <w:r w:rsidR="004752A7">
        <w:t xml:space="preserve"> částku 20,4</w:t>
      </w:r>
      <w:r w:rsidR="00533490">
        <w:t> mld. </w:t>
      </w:r>
      <w:r w:rsidR="0004366C" w:rsidRPr="00FA564F">
        <w:t>Kč</w:t>
      </w:r>
      <w:r w:rsidR="00D72D65" w:rsidRPr="00FA564F">
        <w:t xml:space="preserve">. Od základu daně </w:t>
      </w:r>
      <w:r w:rsidR="0004366C" w:rsidRPr="00FA564F">
        <w:t>od</w:t>
      </w:r>
      <w:r w:rsidR="00FA564F" w:rsidRPr="00FA564F">
        <w:t xml:space="preserve">ečetly výdaje na </w:t>
      </w:r>
      <w:proofErr w:type="spellStart"/>
      <w:r w:rsidR="00FA564F" w:rsidRPr="00FA564F">
        <w:t>VaV</w:t>
      </w:r>
      <w:proofErr w:type="spellEnd"/>
      <w:r w:rsidR="00FA564F" w:rsidRPr="00FA564F">
        <w:t xml:space="preserve"> v</w:t>
      </w:r>
      <w:r w:rsidR="00533490">
        <w:t xml:space="preserve"> celkovém </w:t>
      </w:r>
      <w:r w:rsidR="00FA564F" w:rsidRPr="00FA564F">
        <w:t xml:space="preserve">objemu </w:t>
      </w:r>
      <w:r w:rsidR="004752A7">
        <w:t>105</w:t>
      </w:r>
      <w:r w:rsidR="00FA564F" w:rsidRPr="00FA564F">
        <w:t> mld. </w:t>
      </w:r>
      <w:r w:rsidR="0004366C" w:rsidRPr="00FA564F">
        <w:t>Kč</w:t>
      </w:r>
      <w:r w:rsidR="004C008B">
        <w:t xml:space="preserve">, z toho velké podniky s více </w:t>
      </w:r>
      <w:r w:rsidR="00806451">
        <w:t>než 250 zaměstnanci uplatnily</w:t>
      </w:r>
      <w:r w:rsidR="004C008B">
        <w:t xml:space="preserve"> rovných 74 mld. Kč.</w:t>
      </w:r>
      <w:r w:rsidR="00E20999">
        <w:t xml:space="preserve"> </w:t>
      </w:r>
      <w:r w:rsidR="00124C7E">
        <w:t xml:space="preserve"> </w:t>
      </w:r>
      <w:r>
        <w:t xml:space="preserve"> </w:t>
      </w:r>
    </w:p>
    <w:p w14:paraId="0A89FFE4" w14:textId="031F3661" w:rsidR="002401BE" w:rsidRDefault="002B6DF3" w:rsidP="002401BE">
      <w:pPr>
        <w:spacing w:before="120"/>
        <w:jc w:val="both"/>
      </w:pPr>
      <w:r>
        <w:rPr>
          <w:b/>
        </w:rPr>
        <w:lastRenderedPageBreak/>
        <w:t xml:space="preserve">GRAF </w:t>
      </w:r>
      <w:r w:rsidR="0069364F">
        <w:rPr>
          <w:b/>
        </w:rPr>
        <w:t>6</w:t>
      </w:r>
      <w:r w:rsidR="002401BE">
        <w:rPr>
          <w:b/>
        </w:rPr>
        <w:t>: Výše odečtených výdajů</w:t>
      </w:r>
      <w:r w:rsidR="003912FF">
        <w:rPr>
          <w:b/>
        </w:rPr>
        <w:t xml:space="preserve"> (nákladů)</w:t>
      </w:r>
      <w:r w:rsidR="002401BE">
        <w:rPr>
          <w:b/>
        </w:rPr>
        <w:t xml:space="preserve"> na </w:t>
      </w:r>
      <w:proofErr w:type="spellStart"/>
      <w:r w:rsidR="002401BE">
        <w:rPr>
          <w:b/>
        </w:rPr>
        <w:t>VaV</w:t>
      </w:r>
      <w:proofErr w:type="spellEnd"/>
      <w:r w:rsidR="00F20C3E">
        <w:rPr>
          <w:b/>
        </w:rPr>
        <w:t xml:space="preserve"> u soukromých podniků, 2007–2017</w:t>
      </w:r>
      <w:r w:rsidR="002401BE">
        <w:rPr>
          <w:b/>
        </w:rPr>
        <w:t xml:space="preserve"> </w:t>
      </w:r>
    </w:p>
    <w:p w14:paraId="6B2A9322" w14:textId="0839C3D8" w:rsidR="002401BE" w:rsidRDefault="00ED5438" w:rsidP="00F80F7B">
      <w:pPr>
        <w:spacing w:before="120"/>
        <w:jc w:val="both"/>
      </w:pPr>
      <w:r>
        <w:rPr>
          <w:noProof/>
        </w:rPr>
        <w:drawing>
          <wp:inline distT="0" distB="0" distL="0" distR="0" wp14:anchorId="2B1AE0DB" wp14:editId="43AF1B26">
            <wp:extent cx="6120130" cy="2455545"/>
            <wp:effectExtent l="0" t="0" r="0" b="1905"/>
            <wp:docPr id="29" name="Graf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5B803A" w14:textId="77777777" w:rsidR="0034730D" w:rsidRPr="0034730D" w:rsidRDefault="0034730D" w:rsidP="00F80F7B">
      <w:pPr>
        <w:spacing w:before="120"/>
        <w:jc w:val="both"/>
        <w:rPr>
          <w:i/>
          <w:sz w:val="16"/>
        </w:rPr>
      </w:pPr>
      <w:r w:rsidRPr="00DD319B">
        <w:rPr>
          <w:i/>
          <w:sz w:val="16"/>
        </w:rPr>
        <w:t>Zdroj dat: ČSÚ podle a</w:t>
      </w:r>
      <w:r>
        <w:rPr>
          <w:i/>
          <w:sz w:val="16"/>
        </w:rPr>
        <w:t>dministrativních dat GFŘ</w:t>
      </w:r>
    </w:p>
    <w:p w14:paraId="7777208D" w14:textId="33FDA5AF" w:rsidR="00B119FD" w:rsidRDefault="00AC6C48" w:rsidP="00224077">
      <w:pPr>
        <w:spacing w:before="120"/>
        <w:jc w:val="both"/>
      </w:pPr>
      <w:r>
        <w:t>V roce 2017</w:t>
      </w:r>
      <w:r w:rsidR="006E1F73" w:rsidRPr="006E1F73">
        <w:t xml:space="preserve"> byla průměrná výše odpočtu</w:t>
      </w:r>
      <w:r w:rsidR="006E1F73">
        <w:t xml:space="preserve"> výdajů</w:t>
      </w:r>
      <w:r w:rsidR="006E1F73" w:rsidRPr="006E1F73">
        <w:t xml:space="preserve"> na </w:t>
      </w:r>
      <w:proofErr w:type="spellStart"/>
      <w:r w:rsidR="006E1F73" w:rsidRPr="006E1F73">
        <w:t>Va</w:t>
      </w:r>
      <w:r>
        <w:t>V</w:t>
      </w:r>
      <w:proofErr w:type="spellEnd"/>
      <w:r>
        <w:t xml:space="preserve"> připadající na jeden podnik 11,7</w:t>
      </w:r>
      <w:r w:rsidR="006E1F73" w:rsidRPr="006E1F73">
        <w:t xml:space="preserve"> mil Kč</w:t>
      </w:r>
      <w:r w:rsidR="00AD2E3D">
        <w:t>, což byl</w:t>
      </w:r>
      <w:r>
        <w:t xml:space="preserve"> doposud nejvyšší zaznamenaný </w:t>
      </w:r>
      <w:r w:rsidR="00CF72A1">
        <w:t>průměrn</w:t>
      </w:r>
      <w:r w:rsidR="002C46D6">
        <w:t>ý</w:t>
      </w:r>
      <w:r w:rsidR="00CF72A1">
        <w:t xml:space="preserve"> </w:t>
      </w:r>
      <w:r w:rsidR="00342153">
        <w:t>odeč</w:t>
      </w:r>
      <w:r w:rsidR="002C46D6">
        <w:t>et</w:t>
      </w:r>
      <w:r w:rsidR="00342153">
        <w:t xml:space="preserve"> </w:t>
      </w:r>
      <w:r w:rsidR="00CF72A1">
        <w:t>připad</w:t>
      </w:r>
      <w:r w:rsidR="00BF752C">
        <w:t>a</w:t>
      </w:r>
      <w:r>
        <w:t>jící na jeden podnik</w:t>
      </w:r>
      <w:r w:rsidR="000546F3">
        <w:t>.</w:t>
      </w:r>
      <w:r w:rsidR="00CF72A1">
        <w:t xml:space="preserve"> </w:t>
      </w:r>
    </w:p>
    <w:p w14:paraId="60531B18" w14:textId="4EA689A1" w:rsidR="002E24FF" w:rsidRDefault="002E24FF" w:rsidP="00224077">
      <w:pPr>
        <w:spacing w:before="120"/>
        <w:jc w:val="both"/>
      </w:pPr>
      <w:r w:rsidRPr="00B119FD">
        <w:rPr>
          <w:i/>
        </w:rPr>
        <w:t xml:space="preserve">Pokud bychom brali v potaz pouze soukromé podniky, u nichž máme podrobné informace o jejich prováděném </w:t>
      </w:r>
      <w:proofErr w:type="spellStart"/>
      <w:r w:rsidRPr="00B119FD">
        <w:rPr>
          <w:i/>
        </w:rPr>
        <w:t>VaV</w:t>
      </w:r>
      <w:proofErr w:type="spellEnd"/>
      <w:r w:rsidRPr="00B119FD">
        <w:rPr>
          <w:i/>
        </w:rPr>
        <w:t xml:space="preserve"> z ročního statistické</w:t>
      </w:r>
      <w:r w:rsidR="005963DF" w:rsidRPr="00B119FD">
        <w:rPr>
          <w:i/>
        </w:rPr>
        <w:t>ho</w:t>
      </w:r>
      <w:r w:rsidRPr="00B119FD">
        <w:rPr>
          <w:i/>
        </w:rPr>
        <w:t xml:space="preserve"> šetření o výzkumu a vývoji VTR 5-01, </w:t>
      </w:r>
      <w:r w:rsidR="005963DF" w:rsidRPr="00B119FD">
        <w:rPr>
          <w:i/>
        </w:rPr>
        <w:t>využilo</w:t>
      </w:r>
      <w:r w:rsidR="005E6DBE" w:rsidRPr="00B119FD">
        <w:rPr>
          <w:i/>
        </w:rPr>
        <w:t xml:space="preserve"> by </w:t>
      </w:r>
      <w:r w:rsidR="00EF5E53" w:rsidRPr="00B119FD">
        <w:rPr>
          <w:i/>
        </w:rPr>
        <w:t>v roce 2017</w:t>
      </w:r>
      <w:r w:rsidRPr="00B119FD">
        <w:rPr>
          <w:i/>
        </w:rPr>
        <w:t xml:space="preserve"> možnosti daň</w:t>
      </w:r>
      <w:r w:rsidR="00413D2F" w:rsidRPr="00B119FD">
        <w:rPr>
          <w:i/>
        </w:rPr>
        <w:t xml:space="preserve">ového odpočtu výdajů na </w:t>
      </w:r>
      <w:proofErr w:type="spellStart"/>
      <w:r w:rsidR="00413D2F" w:rsidRPr="00B119FD">
        <w:rPr>
          <w:i/>
        </w:rPr>
        <w:t>VaV</w:t>
      </w:r>
      <w:proofErr w:type="spellEnd"/>
      <w:r w:rsidR="00926679" w:rsidRPr="00B119FD">
        <w:rPr>
          <w:i/>
        </w:rPr>
        <w:t xml:space="preserve"> </w:t>
      </w:r>
      <w:r w:rsidR="002731F4" w:rsidRPr="00B119FD">
        <w:rPr>
          <w:i/>
        </w:rPr>
        <w:t>32,9</w:t>
      </w:r>
      <w:r w:rsidR="00A00B99" w:rsidRPr="00B119FD">
        <w:rPr>
          <w:i/>
        </w:rPr>
        <w:t> %</w:t>
      </w:r>
      <w:r w:rsidRPr="00B119FD">
        <w:rPr>
          <w:i/>
        </w:rPr>
        <w:t xml:space="preserve"> těchto podniků. </w:t>
      </w:r>
      <w:r w:rsidR="00A00B99" w:rsidRPr="00B119FD">
        <w:rPr>
          <w:i/>
        </w:rPr>
        <w:t>V roce 2010 to byla jedna čtvrtina</w:t>
      </w:r>
      <w:r w:rsidRPr="00B119FD">
        <w:rPr>
          <w:i/>
        </w:rPr>
        <w:t>.</w:t>
      </w:r>
      <w:r w:rsidR="00926679" w:rsidRPr="00B119FD">
        <w:rPr>
          <w:i/>
        </w:rPr>
        <w:t xml:space="preserve"> V</w:t>
      </w:r>
      <w:r w:rsidR="00BF0AA3" w:rsidRPr="00B119FD">
        <w:rPr>
          <w:i/>
        </w:rPr>
        <w:t> roce 2017</w:t>
      </w:r>
      <w:r w:rsidR="00B20CAF" w:rsidRPr="00B119FD">
        <w:rPr>
          <w:i/>
        </w:rPr>
        <w:t xml:space="preserve"> </w:t>
      </w:r>
      <w:r w:rsidR="00926679" w:rsidRPr="00B119FD">
        <w:rPr>
          <w:i/>
        </w:rPr>
        <w:t>soukromé podniky</w:t>
      </w:r>
      <w:r w:rsidR="005963DF" w:rsidRPr="00B119FD">
        <w:rPr>
          <w:i/>
        </w:rPr>
        <w:t xml:space="preserve"> pre</w:t>
      </w:r>
      <w:r w:rsidR="00926679" w:rsidRPr="00B119FD">
        <w:rPr>
          <w:i/>
        </w:rPr>
        <w:t>ferovaly</w:t>
      </w:r>
      <w:r w:rsidR="00A00B99" w:rsidRPr="00B119FD">
        <w:rPr>
          <w:i/>
        </w:rPr>
        <w:t xml:space="preserve"> </w:t>
      </w:r>
      <w:r w:rsidR="00413D2F" w:rsidRPr="00B119FD">
        <w:rPr>
          <w:i/>
        </w:rPr>
        <w:t xml:space="preserve">přímou </w:t>
      </w:r>
      <w:r w:rsidR="00B20CAF" w:rsidRPr="00B119FD">
        <w:rPr>
          <w:i/>
        </w:rPr>
        <w:t xml:space="preserve">veřejnou </w:t>
      </w:r>
      <w:r w:rsidR="005963DF" w:rsidRPr="00B119FD">
        <w:rPr>
          <w:i/>
        </w:rPr>
        <w:t xml:space="preserve">podporu </w:t>
      </w:r>
      <w:proofErr w:type="spellStart"/>
      <w:r w:rsidR="005963DF" w:rsidRPr="00B119FD">
        <w:rPr>
          <w:i/>
        </w:rPr>
        <w:t>VaV</w:t>
      </w:r>
      <w:proofErr w:type="spellEnd"/>
      <w:r w:rsidR="005963DF" w:rsidRPr="00B119FD">
        <w:rPr>
          <w:i/>
        </w:rPr>
        <w:t xml:space="preserve"> před</w:t>
      </w:r>
      <w:r w:rsidR="00413D2F" w:rsidRPr="00B119FD">
        <w:rPr>
          <w:i/>
        </w:rPr>
        <w:t xml:space="preserve"> </w:t>
      </w:r>
      <w:r w:rsidR="00425A39" w:rsidRPr="00B119FD">
        <w:rPr>
          <w:i/>
        </w:rPr>
        <w:t>ne</w:t>
      </w:r>
      <w:r w:rsidR="00413D2F" w:rsidRPr="00B119FD">
        <w:rPr>
          <w:i/>
        </w:rPr>
        <w:t xml:space="preserve">přímou </w:t>
      </w:r>
      <w:r w:rsidR="00847A9F">
        <w:rPr>
          <w:i/>
        </w:rPr>
        <w:t>podporou</w:t>
      </w:r>
      <w:r w:rsidR="00926679" w:rsidRPr="00B119FD">
        <w:rPr>
          <w:i/>
        </w:rPr>
        <w:t>. V uvedeném roce</w:t>
      </w:r>
      <w:r w:rsidR="0038391D" w:rsidRPr="00B119FD">
        <w:rPr>
          <w:i/>
        </w:rPr>
        <w:t xml:space="preserve"> participovalo</w:t>
      </w:r>
      <w:r w:rsidR="00413D2F" w:rsidRPr="00B119FD">
        <w:rPr>
          <w:i/>
        </w:rPr>
        <w:t xml:space="preserve"> na projektech financov</w:t>
      </w:r>
      <w:r w:rsidR="00BF752C" w:rsidRPr="00B119FD">
        <w:rPr>
          <w:i/>
        </w:rPr>
        <w:t xml:space="preserve">aných z veřejných rozpočtů </w:t>
      </w:r>
      <w:r w:rsidR="00FA34C6" w:rsidRPr="00B119FD">
        <w:rPr>
          <w:i/>
        </w:rPr>
        <w:t>40</w:t>
      </w:r>
      <w:r w:rsidR="00BE7F9B" w:rsidRPr="00B119FD">
        <w:rPr>
          <w:i/>
        </w:rPr>
        <w:t> </w:t>
      </w:r>
      <w:r w:rsidR="0038391D" w:rsidRPr="00B119FD">
        <w:rPr>
          <w:i/>
        </w:rPr>
        <w:t>% soukromých podniků</w:t>
      </w:r>
      <w:r w:rsidR="00413D2F" w:rsidRPr="00B119FD">
        <w:rPr>
          <w:i/>
        </w:rPr>
        <w:t>.</w:t>
      </w:r>
      <w:r w:rsidR="00577204" w:rsidRPr="00B119FD">
        <w:rPr>
          <w:i/>
        </w:rPr>
        <w:t xml:space="preserve"> Zajímav</w:t>
      </w:r>
      <w:r w:rsidR="00B20CAF" w:rsidRPr="00B119FD">
        <w:rPr>
          <w:i/>
        </w:rPr>
        <w:t xml:space="preserve">á je rovněž </w:t>
      </w:r>
      <w:r w:rsidR="00577204" w:rsidRPr="00B119FD">
        <w:rPr>
          <w:i/>
        </w:rPr>
        <w:t xml:space="preserve">skutečnost, že </w:t>
      </w:r>
      <w:r w:rsidR="007361AB" w:rsidRPr="00B119FD">
        <w:rPr>
          <w:i/>
        </w:rPr>
        <w:t xml:space="preserve">mezi </w:t>
      </w:r>
      <w:r w:rsidR="00C23D40" w:rsidRPr="00B119FD">
        <w:rPr>
          <w:i/>
        </w:rPr>
        <w:t>soukromý</w:t>
      </w:r>
      <w:r w:rsidR="001D1747" w:rsidRPr="00B119FD">
        <w:rPr>
          <w:i/>
        </w:rPr>
        <w:t>mi</w:t>
      </w:r>
      <w:r w:rsidR="00C23D40" w:rsidRPr="00B119FD">
        <w:rPr>
          <w:i/>
        </w:rPr>
        <w:t xml:space="preserve"> podnik</w:t>
      </w:r>
      <w:r w:rsidR="0059258E" w:rsidRPr="00B119FD">
        <w:rPr>
          <w:i/>
        </w:rPr>
        <w:t>y</w:t>
      </w:r>
      <w:r w:rsidR="00926679" w:rsidRPr="00B119FD">
        <w:rPr>
          <w:i/>
        </w:rPr>
        <w:t>, které byly sledovány</w:t>
      </w:r>
      <w:r w:rsidR="0059258E" w:rsidRPr="00B119FD">
        <w:rPr>
          <w:i/>
        </w:rPr>
        <w:t xml:space="preserve"> </w:t>
      </w:r>
      <w:r w:rsidR="00926679" w:rsidRPr="00B119FD">
        <w:rPr>
          <w:i/>
        </w:rPr>
        <w:t xml:space="preserve">v rámci </w:t>
      </w:r>
      <w:r w:rsidR="0059258E" w:rsidRPr="00B119FD">
        <w:rPr>
          <w:i/>
        </w:rPr>
        <w:t>šetřen</w:t>
      </w:r>
      <w:r w:rsidR="00926679" w:rsidRPr="00B119FD">
        <w:rPr>
          <w:i/>
        </w:rPr>
        <w:t>í o výzkumu a vývoji</w:t>
      </w:r>
      <w:r w:rsidR="00C23D40" w:rsidRPr="00B119FD">
        <w:rPr>
          <w:i/>
        </w:rPr>
        <w:t xml:space="preserve">, </w:t>
      </w:r>
      <w:r w:rsidR="00FA34C6" w:rsidRPr="00B119FD">
        <w:rPr>
          <w:i/>
        </w:rPr>
        <w:t>jich třetina nevyužila</w:t>
      </w:r>
      <w:r w:rsidR="00C23D40" w:rsidRPr="00B119FD">
        <w:rPr>
          <w:i/>
        </w:rPr>
        <w:t xml:space="preserve"> žádnou formu veřejné podpory </w:t>
      </w:r>
      <w:proofErr w:type="spellStart"/>
      <w:r w:rsidR="00C23D40" w:rsidRPr="00B119FD">
        <w:rPr>
          <w:i/>
        </w:rPr>
        <w:t>VaV</w:t>
      </w:r>
      <w:proofErr w:type="spellEnd"/>
      <w:r w:rsidR="00C23D40" w:rsidRPr="00B119FD">
        <w:rPr>
          <w:i/>
        </w:rPr>
        <w:t xml:space="preserve"> (</w:t>
      </w:r>
      <w:r w:rsidR="00642B43" w:rsidRPr="00B119FD">
        <w:rPr>
          <w:i/>
        </w:rPr>
        <w:t xml:space="preserve">tzn. </w:t>
      </w:r>
      <w:r w:rsidR="00FA34C6" w:rsidRPr="00B119FD">
        <w:rPr>
          <w:i/>
        </w:rPr>
        <w:t>ani zahraniční)</w:t>
      </w:r>
      <w:r w:rsidR="00C23D40" w:rsidRPr="00B119FD">
        <w:rPr>
          <w:i/>
        </w:rPr>
        <w:t>.</w:t>
      </w:r>
      <w:r w:rsidR="00413D2F" w:rsidRPr="00B119FD">
        <w:rPr>
          <w:i/>
        </w:rPr>
        <w:t xml:space="preserve"> </w:t>
      </w:r>
      <w:r w:rsidR="0063342F" w:rsidRPr="00B119FD">
        <w:rPr>
          <w:i/>
        </w:rPr>
        <w:t xml:space="preserve">Obě formy veřejné podpory </w:t>
      </w:r>
      <w:proofErr w:type="spellStart"/>
      <w:r w:rsidR="0063342F" w:rsidRPr="00B119FD">
        <w:rPr>
          <w:i/>
        </w:rPr>
        <w:t>VaV</w:t>
      </w:r>
      <w:proofErr w:type="spellEnd"/>
      <w:r w:rsidR="006C6B07" w:rsidRPr="00B119FD">
        <w:rPr>
          <w:i/>
        </w:rPr>
        <w:t xml:space="preserve"> současně</w:t>
      </w:r>
      <w:r w:rsidR="00FA34C6" w:rsidRPr="00B119FD">
        <w:rPr>
          <w:i/>
        </w:rPr>
        <w:t xml:space="preserve"> využilo naopak 6,6</w:t>
      </w:r>
      <w:r w:rsidR="00926679" w:rsidRPr="00B119FD">
        <w:rPr>
          <w:i/>
        </w:rPr>
        <w:t> </w:t>
      </w:r>
      <w:r w:rsidR="0063342F" w:rsidRPr="00B119FD">
        <w:rPr>
          <w:i/>
        </w:rPr>
        <w:t>% soukromých podniků.</w:t>
      </w:r>
    </w:p>
    <w:p w14:paraId="453C028D" w14:textId="30AEC6E6" w:rsidR="00AA026C" w:rsidRPr="002521B9" w:rsidRDefault="00C276E7" w:rsidP="00224077">
      <w:pPr>
        <w:spacing w:before="120"/>
        <w:jc w:val="both"/>
      </w:pPr>
      <w:r w:rsidRPr="002521B9">
        <w:t xml:space="preserve">V roce 2017 dosáhl podíl neuplatněných výdajů na </w:t>
      </w:r>
      <w:proofErr w:type="spellStart"/>
      <w:r w:rsidRPr="002521B9">
        <w:t>VaV</w:t>
      </w:r>
      <w:proofErr w:type="spellEnd"/>
      <w:r w:rsidRPr="002521B9">
        <w:t xml:space="preserve"> od základu daně </w:t>
      </w:r>
      <w:r w:rsidR="0077211E" w:rsidRPr="002521B9">
        <w:t>(</w:t>
      </w:r>
      <w:r w:rsidR="00847A9F">
        <w:t xml:space="preserve">tj. </w:t>
      </w:r>
      <w:r w:rsidRPr="002521B9">
        <w:t>převedených do dalších let</w:t>
      </w:r>
      <w:r w:rsidR="0033571C" w:rsidRPr="002521B9">
        <w:t>)</w:t>
      </w:r>
      <w:r w:rsidRPr="002521B9">
        <w:t xml:space="preserve"> na </w:t>
      </w:r>
      <w:r w:rsidR="00AA026C" w:rsidRPr="002521B9">
        <w:t>odečtených výdaj</w:t>
      </w:r>
      <w:r w:rsidRPr="002521B9">
        <w:t>ích</w:t>
      </w:r>
      <w:r w:rsidR="00AA026C" w:rsidRPr="002521B9">
        <w:t xml:space="preserve"> uplatněných v daňovém přiznání v daném roce</w:t>
      </w:r>
      <w:r w:rsidRPr="002521B9">
        <w:t xml:space="preserve"> 38 %. V předchozím roce tento podíl</w:t>
      </w:r>
      <w:r w:rsidR="0063741F">
        <w:t xml:space="preserve"> </w:t>
      </w:r>
      <w:proofErr w:type="gramStart"/>
      <w:r w:rsidR="0063741F">
        <w:t xml:space="preserve">činil </w:t>
      </w:r>
      <w:r w:rsidRPr="002521B9">
        <w:t xml:space="preserve"> </w:t>
      </w:r>
      <w:r w:rsidR="0063741F">
        <w:t xml:space="preserve"> </w:t>
      </w:r>
      <w:r w:rsidR="00113488" w:rsidRPr="002521B9">
        <w:t>rekordní</w:t>
      </w:r>
      <w:r w:rsidR="0063741F">
        <w:t>ch</w:t>
      </w:r>
      <w:proofErr w:type="gramEnd"/>
      <w:r w:rsidR="00113488" w:rsidRPr="002521B9">
        <w:t xml:space="preserve"> </w:t>
      </w:r>
      <w:r w:rsidRPr="002521B9">
        <w:t>77 %</w:t>
      </w:r>
      <w:r w:rsidR="00113488" w:rsidRPr="002521B9">
        <w:t>.</w:t>
      </w:r>
      <w:r w:rsidR="00652D61" w:rsidRPr="002521B9">
        <w:t xml:space="preserve"> Nejnižší podíl ve výši 5 % byl zaznamenán v roce 2010.</w:t>
      </w:r>
      <w:r w:rsidR="002521B9" w:rsidRPr="002521B9">
        <w:t xml:space="preserve"> </w:t>
      </w:r>
    </w:p>
    <w:p w14:paraId="27054FDE" w14:textId="22178A4F" w:rsidR="006671D2" w:rsidRDefault="006671D2" w:rsidP="006671D2">
      <w:pPr>
        <w:spacing w:before="120"/>
        <w:jc w:val="both"/>
        <w:rPr>
          <w:b/>
        </w:rPr>
      </w:pPr>
      <w:r w:rsidRPr="002521B9">
        <w:rPr>
          <w:b/>
        </w:rPr>
        <w:t xml:space="preserve">GRAF </w:t>
      </w:r>
      <w:r w:rsidR="0069364F" w:rsidRPr="002521B9">
        <w:rPr>
          <w:b/>
        </w:rPr>
        <w:t>7</w:t>
      </w:r>
      <w:r w:rsidRPr="002521B9">
        <w:rPr>
          <w:b/>
        </w:rPr>
        <w:t xml:space="preserve">: Výše odečtených výdajů (nákladů) na </w:t>
      </w:r>
      <w:proofErr w:type="spellStart"/>
      <w:r w:rsidRPr="002521B9">
        <w:rPr>
          <w:b/>
        </w:rPr>
        <w:t>VaV</w:t>
      </w:r>
      <w:proofErr w:type="spellEnd"/>
      <w:r w:rsidR="003328E9" w:rsidRPr="002521B9">
        <w:rPr>
          <w:b/>
        </w:rPr>
        <w:t xml:space="preserve"> u soukromých podniků dle</w:t>
      </w:r>
      <w:r w:rsidR="00C2040D" w:rsidRPr="002521B9">
        <w:rPr>
          <w:b/>
        </w:rPr>
        <w:t xml:space="preserve"> roku</w:t>
      </w:r>
      <w:r w:rsidRPr="002521B9">
        <w:rPr>
          <w:b/>
        </w:rPr>
        <w:t xml:space="preserve"> </w:t>
      </w:r>
      <w:r w:rsidR="00247DD2" w:rsidRPr="002521B9">
        <w:rPr>
          <w:b/>
        </w:rPr>
        <w:t>uplatnění</w:t>
      </w:r>
      <w:r w:rsidR="00C2040D" w:rsidRPr="002521B9">
        <w:rPr>
          <w:b/>
        </w:rPr>
        <w:t xml:space="preserve"> odečtu od základu daně</w:t>
      </w:r>
      <w:r w:rsidRPr="002521B9">
        <w:rPr>
          <w:b/>
        </w:rPr>
        <w:t xml:space="preserve"> (mil. Kč), 2007–2017</w:t>
      </w:r>
    </w:p>
    <w:p w14:paraId="7D669D0B" w14:textId="3268D60F" w:rsidR="006671D2" w:rsidRDefault="002E34BF" w:rsidP="006671D2">
      <w:pPr>
        <w:spacing w:before="120"/>
        <w:jc w:val="both"/>
        <w:rPr>
          <w:i/>
          <w:sz w:val="16"/>
        </w:rPr>
      </w:pPr>
      <w:r>
        <w:rPr>
          <w:noProof/>
        </w:rPr>
        <w:drawing>
          <wp:inline distT="0" distB="0" distL="0" distR="0" wp14:anchorId="7AE8D57D" wp14:editId="7A4FE724">
            <wp:extent cx="6120000" cy="2448000"/>
            <wp:effectExtent l="0" t="0" r="0" b="0"/>
            <wp:docPr id="31" name="Graf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387DD2" w14:textId="53E1181B" w:rsidR="006671D2" w:rsidRPr="0034730D" w:rsidRDefault="006671D2" w:rsidP="006671D2">
      <w:pPr>
        <w:spacing w:before="120"/>
        <w:jc w:val="both"/>
        <w:rPr>
          <w:i/>
          <w:sz w:val="16"/>
        </w:rPr>
      </w:pPr>
      <w:r w:rsidRPr="00DD319B">
        <w:rPr>
          <w:i/>
          <w:sz w:val="16"/>
        </w:rPr>
        <w:t>Zdroj dat: ČSÚ podle a</w:t>
      </w:r>
      <w:r>
        <w:rPr>
          <w:i/>
          <w:sz w:val="16"/>
        </w:rPr>
        <w:t>dministrativních dat GFŘ</w:t>
      </w:r>
    </w:p>
    <w:p w14:paraId="56274AA7" w14:textId="77777777" w:rsidR="005C7569" w:rsidRDefault="005C7569" w:rsidP="005C7569">
      <w:pPr>
        <w:spacing w:before="120"/>
        <w:jc w:val="both"/>
        <w:rPr>
          <w:i/>
        </w:rPr>
      </w:pPr>
    </w:p>
    <w:p w14:paraId="6F434261" w14:textId="4BF376F4" w:rsidR="004972CB" w:rsidRDefault="008224C3" w:rsidP="005C7569">
      <w:pPr>
        <w:shd w:val="clear" w:color="auto" w:fill="DAEEF3" w:themeFill="accent5" w:themeFillTint="33"/>
        <w:spacing w:before="120"/>
        <w:jc w:val="both"/>
        <w:rPr>
          <w:i/>
        </w:rPr>
      </w:pPr>
      <w:r>
        <w:rPr>
          <w:i/>
        </w:rPr>
        <w:lastRenderedPageBreak/>
        <w:t>V dalším textu bude analyzován</w:t>
      </w:r>
      <w:r w:rsidR="004972CB" w:rsidRPr="004972CB">
        <w:rPr>
          <w:i/>
        </w:rPr>
        <w:t xml:space="preserve"> pouze ukazatel nepřímé </w:t>
      </w:r>
      <w:r w:rsidR="00386236">
        <w:rPr>
          <w:i/>
        </w:rPr>
        <w:t xml:space="preserve">veřejné podpory </w:t>
      </w:r>
      <w:proofErr w:type="spellStart"/>
      <w:r w:rsidR="00386236">
        <w:rPr>
          <w:i/>
        </w:rPr>
        <w:t>VaV</w:t>
      </w:r>
      <w:proofErr w:type="spellEnd"/>
      <w:r w:rsidR="00386236">
        <w:rPr>
          <w:i/>
        </w:rPr>
        <w:t>. Údaje o objemu</w:t>
      </w:r>
      <w:r w:rsidR="004972CB" w:rsidRPr="004972CB">
        <w:rPr>
          <w:i/>
        </w:rPr>
        <w:t xml:space="preserve"> odečtených výdajů na </w:t>
      </w:r>
      <w:proofErr w:type="spellStart"/>
      <w:r w:rsidR="004972CB" w:rsidRPr="004972CB">
        <w:rPr>
          <w:i/>
        </w:rPr>
        <w:t>VaV</w:t>
      </w:r>
      <w:proofErr w:type="spellEnd"/>
      <w:r w:rsidR="004972CB" w:rsidRPr="004972CB">
        <w:rPr>
          <w:i/>
        </w:rPr>
        <w:t xml:space="preserve"> v různých členěních naleznete v tabulkové příloze.</w:t>
      </w:r>
      <w:r>
        <w:rPr>
          <w:i/>
        </w:rPr>
        <w:t xml:space="preserve"> </w:t>
      </w:r>
    </w:p>
    <w:p w14:paraId="02567B34" w14:textId="183061C3" w:rsidR="0018416B" w:rsidRDefault="00BC0AD9" w:rsidP="00224077">
      <w:pPr>
        <w:spacing w:before="120"/>
        <w:jc w:val="both"/>
      </w:pPr>
      <w:r>
        <w:t xml:space="preserve">Mezi </w:t>
      </w:r>
      <w:r w:rsidR="00DE3AD5" w:rsidRPr="003E1A32">
        <w:t>soukromý</w:t>
      </w:r>
      <w:r>
        <w:t>mi</w:t>
      </w:r>
      <w:r w:rsidR="00DE3AD5" w:rsidRPr="003E1A32">
        <w:t xml:space="preserve"> podnik</w:t>
      </w:r>
      <w:r>
        <w:t>y</w:t>
      </w:r>
      <w:r w:rsidR="0070607A" w:rsidRPr="003E1A32">
        <w:t xml:space="preserve">, </w:t>
      </w:r>
      <w:r>
        <w:t xml:space="preserve">které </w:t>
      </w:r>
      <w:r w:rsidR="00452FAC">
        <w:t>v roce 2017</w:t>
      </w:r>
      <w:r w:rsidR="00DE3AD5" w:rsidRPr="003E1A32">
        <w:t xml:space="preserve"> uplatnily daňový odpočet výdajů na </w:t>
      </w:r>
      <w:proofErr w:type="spellStart"/>
      <w:r w:rsidR="00DE3AD5" w:rsidRPr="003E1A32">
        <w:t>VaV</w:t>
      </w:r>
      <w:proofErr w:type="spellEnd"/>
      <w:r w:rsidR="00D05CBC" w:rsidRPr="003E1A32">
        <w:t xml:space="preserve">, </w:t>
      </w:r>
      <w:r w:rsidR="00741F63">
        <w:t xml:space="preserve">tímto způsobem </w:t>
      </w:r>
      <w:r w:rsidR="00AA28E1">
        <w:t xml:space="preserve">ušetřilo </w:t>
      </w:r>
      <w:r w:rsidR="00D05CBC" w:rsidRPr="003E1A32">
        <w:t>méně než milion korun</w:t>
      </w:r>
      <w:r w:rsidR="004F7168">
        <w:t xml:space="preserve"> </w:t>
      </w:r>
      <w:r w:rsidR="004F7168" w:rsidRPr="00FE05E8">
        <w:t>69 %</w:t>
      </w:r>
      <w:r w:rsidR="004F7168">
        <w:t xml:space="preserve"> podniků</w:t>
      </w:r>
      <w:r w:rsidR="00D05CBC" w:rsidRPr="003E1A32">
        <w:t xml:space="preserve">. </w:t>
      </w:r>
      <w:r w:rsidR="000265DC" w:rsidRPr="00592A8D">
        <w:t xml:space="preserve">Tato skutečnost souvisí </w:t>
      </w:r>
      <w:r w:rsidR="00C34457" w:rsidRPr="00592A8D">
        <w:t xml:space="preserve">i </w:t>
      </w:r>
      <w:r w:rsidR="000265DC" w:rsidRPr="00592A8D">
        <w:t>s tím, že</w:t>
      </w:r>
      <w:r w:rsidR="00AD67C2" w:rsidRPr="00592A8D">
        <w:t xml:space="preserve"> v České republice </w:t>
      </w:r>
      <w:r w:rsidR="00B04635" w:rsidRPr="00592A8D">
        <w:t>tři čtvrtiny</w:t>
      </w:r>
      <w:r w:rsidR="006347D0" w:rsidRPr="00592A8D">
        <w:t xml:space="preserve"> </w:t>
      </w:r>
      <w:r w:rsidR="00AD67C2" w:rsidRPr="00592A8D">
        <w:t>podniků prov</w:t>
      </w:r>
      <w:r w:rsidR="003E1A32" w:rsidRPr="00592A8D">
        <w:t xml:space="preserve">ádějících </w:t>
      </w:r>
      <w:proofErr w:type="spellStart"/>
      <w:r w:rsidR="003E1A32" w:rsidRPr="00592A8D">
        <w:t>VaV</w:t>
      </w:r>
      <w:proofErr w:type="spellEnd"/>
      <w:r w:rsidR="003E1A32" w:rsidRPr="00592A8D">
        <w:t xml:space="preserve"> za </w:t>
      </w:r>
      <w:r w:rsidR="005963DF" w:rsidRPr="00592A8D">
        <w:t>tuto činnost utratilo</w:t>
      </w:r>
      <w:r w:rsidR="00503123" w:rsidRPr="00592A8D">
        <w:t xml:space="preserve"> v roce </w:t>
      </w:r>
      <w:r w:rsidR="00FE05E8" w:rsidRPr="00592A8D">
        <w:t>2017</w:t>
      </w:r>
      <w:r w:rsidR="00AD67C2" w:rsidRPr="00592A8D">
        <w:t xml:space="preserve"> méně než </w:t>
      </w:r>
      <w:r w:rsidR="006347D0" w:rsidRPr="00592A8D">
        <w:t>10</w:t>
      </w:r>
      <w:r w:rsidR="00386236" w:rsidRPr="00592A8D">
        <w:t xml:space="preserve"> </w:t>
      </w:r>
      <w:r w:rsidR="00AD67C2" w:rsidRPr="00592A8D">
        <w:t>mil</w:t>
      </w:r>
      <w:r w:rsidR="00453F26" w:rsidRPr="00592A8D">
        <w:t>. Kč.</w:t>
      </w:r>
      <w:r w:rsidR="004944EE">
        <w:t xml:space="preserve"> </w:t>
      </w:r>
      <w:r w:rsidR="00D05CBC" w:rsidRPr="003E1A32">
        <w:t>Naopak n</w:t>
      </w:r>
      <w:r w:rsidR="00A11E10" w:rsidRPr="003E1A32">
        <w:t xml:space="preserve">epřímou veřejnou podporu </w:t>
      </w:r>
      <w:proofErr w:type="spellStart"/>
      <w:r w:rsidR="00A11E10" w:rsidRPr="003E1A32">
        <w:t>VaV</w:t>
      </w:r>
      <w:proofErr w:type="spellEnd"/>
      <w:r w:rsidR="00A11E10" w:rsidRPr="003E1A32">
        <w:t xml:space="preserve"> </w:t>
      </w:r>
      <w:r w:rsidR="0023512E" w:rsidRPr="003E1A32">
        <w:t>přesahující 10 mil. Kč získal</w:t>
      </w:r>
      <w:r w:rsidR="00306BFA">
        <w:t>a</w:t>
      </w:r>
      <w:r w:rsidR="00F02B3F" w:rsidRPr="003E1A32">
        <w:t xml:space="preserve"> </w:t>
      </w:r>
      <w:r w:rsidR="00D05CBC" w:rsidRPr="003E1A32">
        <w:t xml:space="preserve">jen </w:t>
      </w:r>
      <w:r w:rsidR="00F02B3F" w:rsidRPr="003E1A32">
        <w:t xml:space="preserve">3 </w:t>
      </w:r>
      <w:r w:rsidR="00F02B3F" w:rsidRPr="003E1A32">
        <w:rPr>
          <w:lang w:val="en-US"/>
        </w:rPr>
        <w:t>%</w:t>
      </w:r>
      <w:r w:rsidR="00FE05E8">
        <w:rPr>
          <w:lang w:val="en-US"/>
        </w:rPr>
        <w:t xml:space="preserve"> (33</w:t>
      </w:r>
      <w:r w:rsidR="00D05CBC" w:rsidRPr="003E1A32">
        <w:rPr>
          <w:lang w:val="en-US"/>
        </w:rPr>
        <w:t>)</w:t>
      </w:r>
      <w:r w:rsidR="00DE1008" w:rsidRPr="003E1A32">
        <w:t xml:space="preserve"> </w:t>
      </w:r>
      <w:r w:rsidR="00501BA8" w:rsidRPr="003E1A32">
        <w:t xml:space="preserve">soukromých </w:t>
      </w:r>
      <w:r w:rsidR="00DE1008" w:rsidRPr="003E1A32">
        <w:t>podniků</w:t>
      </w:r>
      <w:r w:rsidR="00645A9B">
        <w:t xml:space="preserve">, z toho 24 z nich mělo zahraniční vlastníky. </w:t>
      </w:r>
      <w:r w:rsidR="005A704F">
        <w:t xml:space="preserve">Nejvíce podniků (620) ušetří daňovým odečtem výdajů na </w:t>
      </w:r>
      <w:proofErr w:type="spellStart"/>
      <w:r w:rsidR="005A704F">
        <w:t>VaV</w:t>
      </w:r>
      <w:proofErr w:type="spellEnd"/>
      <w:r w:rsidR="005A704F">
        <w:t xml:space="preserve"> částku v rozmezí 0,1 až 0,99 mil. Kč.</w:t>
      </w:r>
      <w:r w:rsidR="00D67670">
        <w:t xml:space="preserve"> Jednalo se v převážně o střední podniky s 50 až 249 zaměstnanci.</w:t>
      </w:r>
    </w:p>
    <w:p w14:paraId="4AC12606" w14:textId="73D40C48" w:rsidR="00FC47B4" w:rsidRDefault="00EC15F8" w:rsidP="0097638C">
      <w:pPr>
        <w:spacing w:before="120" w:after="120"/>
        <w:jc w:val="both"/>
        <w:rPr>
          <w:b/>
        </w:rPr>
      </w:pPr>
      <w:r>
        <w:rPr>
          <w:b/>
        </w:rPr>
        <w:t xml:space="preserve">GRAF </w:t>
      </w:r>
      <w:r w:rsidR="0069364F">
        <w:rPr>
          <w:b/>
        </w:rPr>
        <w:t>8</w:t>
      </w:r>
      <w:r w:rsidR="00FC47B4" w:rsidRPr="00710A84">
        <w:rPr>
          <w:b/>
        </w:rPr>
        <w:t xml:space="preserve">: </w:t>
      </w:r>
      <w:r w:rsidR="009A7503">
        <w:rPr>
          <w:b/>
        </w:rPr>
        <w:t>S</w:t>
      </w:r>
      <w:r w:rsidR="00FC47B4">
        <w:rPr>
          <w:b/>
        </w:rPr>
        <w:t>oukrom</w:t>
      </w:r>
      <w:r w:rsidR="009A7503">
        <w:rPr>
          <w:b/>
        </w:rPr>
        <w:t>é</w:t>
      </w:r>
      <w:r w:rsidR="00FC47B4">
        <w:rPr>
          <w:b/>
        </w:rPr>
        <w:t xml:space="preserve"> podnik</w:t>
      </w:r>
      <w:r w:rsidR="009A7503">
        <w:rPr>
          <w:b/>
        </w:rPr>
        <w:t>y</w:t>
      </w:r>
      <w:r w:rsidR="00CB6F91">
        <w:rPr>
          <w:b/>
        </w:rPr>
        <w:t xml:space="preserve"> využívající</w:t>
      </w:r>
      <w:r w:rsidR="00794BA7" w:rsidRPr="004E7D3D">
        <w:rPr>
          <w:b/>
        </w:rPr>
        <w:t xml:space="preserve"> </w:t>
      </w:r>
      <w:r w:rsidR="004E7D3D" w:rsidRPr="004E7D3D">
        <w:rPr>
          <w:b/>
        </w:rPr>
        <w:t>nepřím</w:t>
      </w:r>
      <w:r w:rsidR="000265DC">
        <w:rPr>
          <w:b/>
        </w:rPr>
        <w:t>ou</w:t>
      </w:r>
      <w:r w:rsidR="004E7D3D" w:rsidRPr="004E7D3D">
        <w:rPr>
          <w:b/>
        </w:rPr>
        <w:t xml:space="preserve"> veřejn</w:t>
      </w:r>
      <w:r w:rsidR="00CB6F91">
        <w:rPr>
          <w:b/>
        </w:rPr>
        <w:t>ou</w:t>
      </w:r>
      <w:r w:rsidR="004E7D3D" w:rsidRPr="004E7D3D">
        <w:rPr>
          <w:b/>
        </w:rPr>
        <w:t xml:space="preserve"> podpor</w:t>
      </w:r>
      <w:r w:rsidR="000265DC">
        <w:rPr>
          <w:b/>
        </w:rPr>
        <w:t>u</w:t>
      </w:r>
      <w:r w:rsidR="004E7D3D" w:rsidRPr="004E7D3D">
        <w:rPr>
          <w:b/>
        </w:rPr>
        <w:t xml:space="preserve"> </w:t>
      </w:r>
      <w:proofErr w:type="spellStart"/>
      <w:r w:rsidR="004E7D3D" w:rsidRPr="004E7D3D">
        <w:rPr>
          <w:b/>
        </w:rPr>
        <w:t>VaV</w:t>
      </w:r>
      <w:proofErr w:type="spellEnd"/>
      <w:r w:rsidR="009A7503">
        <w:rPr>
          <w:b/>
        </w:rPr>
        <w:t xml:space="preserve"> podle její výše</w:t>
      </w:r>
      <w:r w:rsidR="00951123">
        <w:rPr>
          <w:b/>
        </w:rPr>
        <w:t>, 2010</w:t>
      </w:r>
      <w:r w:rsidR="00CF600C">
        <w:rPr>
          <w:b/>
        </w:rPr>
        <w:t>–2017</w:t>
      </w:r>
    </w:p>
    <w:p w14:paraId="6EDC8D7E" w14:textId="28E82769" w:rsidR="00FC47B4" w:rsidRPr="00710A84" w:rsidRDefault="0097638C" w:rsidP="00FC47B4">
      <w:pPr>
        <w:jc w:val="both"/>
        <w:rPr>
          <w:b/>
        </w:rPr>
      </w:pPr>
      <w:r w:rsidRPr="0097638C">
        <w:rPr>
          <w:noProof/>
        </w:rPr>
        <w:t xml:space="preserve"> </w:t>
      </w:r>
      <w:r w:rsidR="00C92B7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F45ABB" wp14:editId="348CAE47">
                <wp:simplePos x="0" y="0"/>
                <wp:positionH relativeFrom="column">
                  <wp:posOffset>3810</wp:posOffset>
                </wp:positionH>
                <wp:positionV relativeFrom="page">
                  <wp:posOffset>2524125</wp:posOffset>
                </wp:positionV>
                <wp:extent cx="6120000" cy="2340000"/>
                <wp:effectExtent l="0" t="0" r="0" b="3175"/>
                <wp:wrapTight wrapText="bothSides">
                  <wp:wrapPolygon edited="0">
                    <wp:start x="0" y="0"/>
                    <wp:lineTo x="0" y="21453"/>
                    <wp:lineTo x="21517" y="21453"/>
                    <wp:lineTo x="21517" y="0"/>
                    <wp:lineTo x="0" y="0"/>
                  </wp:wrapPolygon>
                </wp:wrapTight>
                <wp:docPr id="6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2340000"/>
                          <a:chOff x="0" y="0"/>
                          <a:chExt cx="6120000" cy="2160000"/>
                        </a:xfrm>
                      </wpg:grpSpPr>
                      <wpg:graphicFrame>
                        <wpg:cNvPr id="9" name="Graf 9">
                          <a:extLst>
                            <a:ext uri="{FF2B5EF4-FFF2-40B4-BE49-F238E27FC236}">
                              <a16:creationId xmlns:a16="http://schemas.microsoft.com/office/drawing/2014/main" id="{00000000-0008-0000-0900-000003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6120000" cy="216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  <wpg:graphicFrame>
                        <wpg:cNvPr id="11" name="Graf 11">
                          <a:extLst>
                            <a:ext uri="{FF2B5EF4-FFF2-40B4-BE49-F238E27FC236}">
                              <a16:creationId xmlns:a16="http://schemas.microsoft.com/office/drawing/2014/main" id="{00000000-0008-0000-0900-000006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4343400" y="0"/>
                          <a:ext cx="1620000" cy="176212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FA572" id="Skupina 3" o:spid="_x0000_s1026" style="position:absolute;margin-left:.3pt;margin-top:198.75pt;width:481.9pt;height:184.25pt;z-index:-251657216;mso-position-vertical-relative:page;mso-width-relative:margin;mso-height-relative:margin" coordsize="61200,21600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9" o:spid="_x0000_s1027" type="#_x0000_t75" style="position:absolute;width:61203;height:21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">
                  <v:imagedata r:id="rId17" o:title=""/>
                  <o:lock v:ext="edit" aspectratio="f"/>
                </v:shape>
                <v:shape id="Graf 11" o:spid="_x0000_s1028" type="#_x0000_t75" style="position:absolute;left:43403;width:16215;height:17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">
                  <v:imagedata r:id="rId18" o:title=""/>
                  <o:lock v:ext="edit" aspectratio="f"/>
                </v:shape>
                <w10:wrap type="tight" anchory="page"/>
              </v:group>
            </w:pict>
          </mc:Fallback>
        </mc:AlternateContent>
      </w:r>
    </w:p>
    <w:p w14:paraId="1E2D1F66" w14:textId="77777777" w:rsidR="00BF24B9" w:rsidRPr="004C3AE6" w:rsidRDefault="00FC47B4" w:rsidP="00C92B71">
      <w:pPr>
        <w:jc w:val="both"/>
      </w:pPr>
      <w:r w:rsidRPr="004C3AE6">
        <w:rPr>
          <w:i/>
          <w:sz w:val="16"/>
        </w:rPr>
        <w:t xml:space="preserve">Zdroj: ČSÚ podle administrativních dat GFŘ </w:t>
      </w:r>
    </w:p>
    <w:p w14:paraId="441A5303" w14:textId="0ABDCEBE" w:rsidR="00BF24B9" w:rsidRDefault="00BF24B9" w:rsidP="00224077">
      <w:pPr>
        <w:spacing w:before="120"/>
        <w:jc w:val="both"/>
      </w:pPr>
      <w:r>
        <w:t>Zajímavá je skutečnost, že zatímco mezi podniky pod zahraniční kontrolou, jež uplatnily daňový odpočet</w:t>
      </w:r>
      <w:r w:rsidR="0064533C">
        <w:t xml:space="preserve"> </w:t>
      </w:r>
      <w:proofErr w:type="spellStart"/>
      <w:r w:rsidR="0064533C">
        <w:t>VaV</w:t>
      </w:r>
      <w:proofErr w:type="spellEnd"/>
      <w:r>
        <w:t>, ušetřila v roce 201</w:t>
      </w:r>
      <w:r w:rsidR="00747B3A">
        <w:t>7</w:t>
      </w:r>
      <w:r>
        <w:t xml:space="preserve"> </w:t>
      </w:r>
      <w:r w:rsidR="00DC1D1D">
        <w:t>téměř</w:t>
      </w:r>
      <w:r w:rsidR="00201767">
        <w:t xml:space="preserve"> polovina </w:t>
      </w:r>
      <w:r>
        <w:t>částku přesahující milión korun, mezi domácími podniky dosáhla s</w:t>
      </w:r>
      <w:r w:rsidR="00243A5B">
        <w:t>rovnatelné úspory jen čtvrtina</w:t>
      </w:r>
      <w:r w:rsidR="00201767">
        <w:t xml:space="preserve"> (24</w:t>
      </w:r>
      <w:r>
        <w:t> </w:t>
      </w:r>
      <w:r>
        <w:rPr>
          <w:lang w:val="en-US"/>
        </w:rPr>
        <w:t>%</w:t>
      </w:r>
      <w:r>
        <w:t>). Na nepřímou veřejnou podporu přesahující 10 mil. Kč dosáhlo 1 % soukromých domácích podniků. V</w:t>
      </w:r>
      <w:r w:rsidR="0064533C">
        <w:t>e</w:t>
      </w:r>
      <w:r>
        <w:t xml:space="preserve"> skupině podniků pod zahraniční kontrolou to bylo 7 %. </w:t>
      </w:r>
    </w:p>
    <w:p w14:paraId="2B2E9F48" w14:textId="77777777" w:rsidR="00EC5C30" w:rsidRDefault="00B15254" w:rsidP="00224077">
      <w:pPr>
        <w:spacing w:before="120"/>
        <w:jc w:val="both"/>
      </w:pPr>
      <w:r w:rsidRPr="00EC5C30">
        <w:t>Mezi soukromými podniky</w:t>
      </w:r>
      <w:r w:rsidR="00A04299" w:rsidRPr="00EC5C30">
        <w:rPr>
          <w:rStyle w:val="Znakapoznpodarou"/>
        </w:rPr>
        <w:footnoteReference w:id="3"/>
      </w:r>
      <w:r w:rsidRPr="00EC5C30">
        <w:t xml:space="preserve"> využívajícími nepřímou podporu </w:t>
      </w:r>
      <w:proofErr w:type="spellStart"/>
      <w:r w:rsidRPr="00EC5C30">
        <w:t>VaV</w:t>
      </w:r>
      <w:proofErr w:type="spellEnd"/>
      <w:r w:rsidRPr="00EC5C30">
        <w:t xml:space="preserve"> </w:t>
      </w:r>
      <w:r w:rsidR="00963AA4" w:rsidRPr="00EC5C30">
        <w:t xml:space="preserve">z hlediska jejich počtu </w:t>
      </w:r>
      <w:r w:rsidRPr="00EC5C30">
        <w:t>dlouhodobě převažují subjekty v domácím vlastnictví nad podniky pod zahraniční kontrolou</w:t>
      </w:r>
      <w:r w:rsidR="00745E09" w:rsidRPr="00EC5C30">
        <w:t>. V</w:t>
      </w:r>
      <w:r w:rsidR="00171CD8" w:rsidRPr="00EC5C30">
        <w:t> roce 201</w:t>
      </w:r>
      <w:r w:rsidR="00EA5ABB" w:rsidRPr="00EC5C30">
        <w:t>7</w:t>
      </w:r>
      <w:r w:rsidR="00171CD8" w:rsidRPr="00EC5C30">
        <w:t xml:space="preserve"> </w:t>
      </w:r>
      <w:r w:rsidR="00745E09" w:rsidRPr="00EC5C30">
        <w:t xml:space="preserve">jich </w:t>
      </w:r>
      <w:r w:rsidR="00171CD8" w:rsidRPr="00EC5C30">
        <w:t xml:space="preserve">bylo </w:t>
      </w:r>
      <w:r w:rsidR="00EA5ABB" w:rsidRPr="00EC5C30">
        <w:t>2,4</w:t>
      </w:r>
      <w:r w:rsidR="00171CD8" w:rsidRPr="00EC5C30">
        <w:t>krát</w:t>
      </w:r>
      <w:r w:rsidR="00745E09" w:rsidRPr="00EC5C30">
        <w:t xml:space="preserve"> více</w:t>
      </w:r>
      <w:r w:rsidRPr="00EC5C30">
        <w:t>.</w:t>
      </w:r>
      <w:r w:rsidR="00121F3D" w:rsidRPr="00EC5C30">
        <w:t xml:space="preserve"> Tato skutečnost </w:t>
      </w:r>
      <w:r w:rsidR="004836E2" w:rsidRPr="00EC5C30">
        <w:t xml:space="preserve">odráží rozdělení </w:t>
      </w:r>
      <w:r w:rsidR="00731782" w:rsidRPr="00EC5C30">
        <w:t>celkov</w:t>
      </w:r>
      <w:r w:rsidR="004836E2" w:rsidRPr="00EC5C30">
        <w:t>ého</w:t>
      </w:r>
      <w:r w:rsidR="00731782" w:rsidRPr="00EC5C30">
        <w:t xml:space="preserve"> poč</w:t>
      </w:r>
      <w:r w:rsidR="004836E2" w:rsidRPr="00EC5C30">
        <w:t>tu</w:t>
      </w:r>
      <w:r w:rsidR="00731782" w:rsidRPr="00EC5C30">
        <w:t xml:space="preserve"> podniků provádějících </w:t>
      </w:r>
      <w:proofErr w:type="spellStart"/>
      <w:r w:rsidR="00731782" w:rsidRPr="00EC5C30">
        <w:t>VaV</w:t>
      </w:r>
      <w:proofErr w:type="spellEnd"/>
      <w:r w:rsidR="00171CD8" w:rsidRPr="00EC5C30">
        <w:t xml:space="preserve"> na území ČR</w:t>
      </w:r>
      <w:r w:rsidR="009142BB" w:rsidRPr="00EC5C30">
        <w:t xml:space="preserve">. </w:t>
      </w:r>
    </w:p>
    <w:p w14:paraId="40EF7474" w14:textId="704892A4" w:rsidR="00121F3D" w:rsidRPr="00EC5C30" w:rsidRDefault="009142BB" w:rsidP="00224077">
      <w:pPr>
        <w:spacing w:before="120"/>
        <w:jc w:val="both"/>
        <w:rPr>
          <w:strike/>
          <w:color w:val="C00000"/>
        </w:rPr>
      </w:pPr>
      <w:r w:rsidRPr="00EC5C30">
        <w:t xml:space="preserve">V rámci </w:t>
      </w:r>
      <w:r w:rsidR="004944EE" w:rsidRPr="00EC5C30">
        <w:t>r</w:t>
      </w:r>
      <w:r w:rsidRPr="00EC5C30">
        <w:t xml:space="preserve">očního šetření </w:t>
      </w:r>
      <w:r w:rsidR="004944EE" w:rsidRPr="00EC5C30">
        <w:t>o výzkumu a vývoji (</w:t>
      </w:r>
      <w:r w:rsidR="00434E4A" w:rsidRPr="00EC5C30">
        <w:t>VTR 5-01</w:t>
      </w:r>
      <w:r w:rsidR="004944EE" w:rsidRPr="00EC5C30">
        <w:t>)</w:t>
      </w:r>
      <w:r w:rsidRPr="00EC5C30">
        <w:t xml:space="preserve"> bylo zjištěno</w:t>
      </w:r>
      <w:r w:rsidR="00731782" w:rsidRPr="00EC5C30">
        <w:t>,</w:t>
      </w:r>
      <w:r w:rsidR="004836E2" w:rsidRPr="00EC5C30">
        <w:t xml:space="preserve"> </w:t>
      </w:r>
      <w:r w:rsidRPr="00EC5C30">
        <w:t xml:space="preserve">že počet </w:t>
      </w:r>
      <w:r w:rsidR="00731782" w:rsidRPr="00EC5C30">
        <w:t>domácí</w:t>
      </w:r>
      <w:r w:rsidRPr="00EC5C30">
        <w:t>ch</w:t>
      </w:r>
      <w:r w:rsidR="00731782" w:rsidRPr="00EC5C30">
        <w:t xml:space="preserve"> </w:t>
      </w:r>
      <w:r w:rsidR="00D90BEC" w:rsidRPr="00EC5C30">
        <w:t>podnik</w:t>
      </w:r>
      <w:r w:rsidRPr="00EC5C30">
        <w:t>ů</w:t>
      </w:r>
      <w:r w:rsidR="00D90BEC" w:rsidRPr="00EC5C30">
        <w:t xml:space="preserve"> </w:t>
      </w:r>
      <w:r w:rsidR="00523DBF" w:rsidRPr="00EC5C30">
        <w:t xml:space="preserve">provádějících </w:t>
      </w:r>
      <w:proofErr w:type="spellStart"/>
      <w:r w:rsidR="00523DBF" w:rsidRPr="00EC5C30">
        <w:t>VaV</w:t>
      </w:r>
      <w:proofErr w:type="spellEnd"/>
      <w:r w:rsidR="00523DBF" w:rsidRPr="00EC5C30">
        <w:t xml:space="preserve"> je výrazně vyšší než</w:t>
      </w:r>
      <w:r w:rsidR="00963AA4" w:rsidRPr="00EC5C30">
        <w:t xml:space="preserve"> počet</w:t>
      </w:r>
      <w:r w:rsidR="00523DBF" w:rsidRPr="00EC5C30">
        <w:t xml:space="preserve"> </w:t>
      </w:r>
      <w:r w:rsidR="000265DC" w:rsidRPr="00EC5C30">
        <w:t>podnik</w:t>
      </w:r>
      <w:r w:rsidR="00523DBF" w:rsidRPr="00EC5C30">
        <w:t>ů</w:t>
      </w:r>
      <w:r w:rsidR="000265DC" w:rsidRPr="00EC5C30">
        <w:t xml:space="preserve"> pod </w:t>
      </w:r>
      <w:r w:rsidR="00731782" w:rsidRPr="00EC5C30">
        <w:t>zahraniční</w:t>
      </w:r>
      <w:r w:rsidR="00D90BEC" w:rsidRPr="00EC5C30">
        <w:t xml:space="preserve"> </w:t>
      </w:r>
      <w:r w:rsidR="000265DC" w:rsidRPr="00EC5C30">
        <w:t>kontrolou</w:t>
      </w:r>
      <w:r w:rsidR="00D90BEC" w:rsidRPr="00EC5C30">
        <w:t xml:space="preserve">. </w:t>
      </w:r>
      <w:r w:rsidR="003A1F7F" w:rsidRPr="00EC5C30">
        <w:t>V posledních pěti letech</w:t>
      </w:r>
      <w:r w:rsidR="00D90BEC" w:rsidRPr="00EC5C30">
        <w:t xml:space="preserve"> na jeden podnik pod zahraniční kontrolou provádějící </w:t>
      </w:r>
      <w:proofErr w:type="spellStart"/>
      <w:r w:rsidR="00D90BEC" w:rsidRPr="00EC5C30">
        <w:t>VaV</w:t>
      </w:r>
      <w:proofErr w:type="spellEnd"/>
      <w:r w:rsidR="00D90BEC" w:rsidRPr="00EC5C30">
        <w:t xml:space="preserve"> připadaly tři </w:t>
      </w:r>
      <w:r w:rsidR="00A04299" w:rsidRPr="00EC5C30">
        <w:t>soukromé</w:t>
      </w:r>
      <w:r w:rsidR="00963AA4" w:rsidRPr="00EC5C30">
        <w:t xml:space="preserve"> domácí</w:t>
      </w:r>
      <w:r w:rsidR="00A04299" w:rsidRPr="00EC5C30">
        <w:t xml:space="preserve"> </w:t>
      </w:r>
      <w:r w:rsidR="00D90BEC" w:rsidRPr="00EC5C30">
        <w:t>podniky.</w:t>
      </w:r>
      <w:r w:rsidR="008E41C1" w:rsidRPr="00EC5C30">
        <w:t xml:space="preserve"> </w:t>
      </w:r>
      <w:r w:rsidR="003F278C" w:rsidRPr="00EC5C30">
        <w:t xml:space="preserve">Ze soukromých podniků, </w:t>
      </w:r>
      <w:r w:rsidR="00AD67C2" w:rsidRPr="00EC5C30">
        <w:t xml:space="preserve">u kterých za rok </w:t>
      </w:r>
      <w:r w:rsidR="003A1F7F" w:rsidRPr="00EC5C30">
        <w:t>2017</w:t>
      </w:r>
      <w:r w:rsidR="003F278C" w:rsidRPr="00EC5C30">
        <w:t xml:space="preserve"> byly </w:t>
      </w:r>
      <w:r w:rsidR="00AD67C2" w:rsidRPr="00EC5C30">
        <w:t xml:space="preserve">známy podrobné údaje o jejich </w:t>
      </w:r>
      <w:proofErr w:type="spellStart"/>
      <w:r w:rsidR="00AD67C2" w:rsidRPr="00EC5C30">
        <w:t>VaV</w:t>
      </w:r>
      <w:proofErr w:type="spellEnd"/>
      <w:r w:rsidR="00AD67C2" w:rsidRPr="00EC5C30">
        <w:t xml:space="preserve"> činnosti z šetření </w:t>
      </w:r>
      <w:r w:rsidR="00C43F49" w:rsidRPr="00EC5C30">
        <w:t>VTR 5-01</w:t>
      </w:r>
      <w:r w:rsidR="003F278C" w:rsidRPr="00EC5C30">
        <w:t xml:space="preserve">, nepřímou veřejnou podporu využily </w:t>
      </w:r>
      <w:r w:rsidR="00080342" w:rsidRPr="00EC5C30">
        <w:t>častěji</w:t>
      </w:r>
      <w:r w:rsidR="003F278C" w:rsidRPr="00EC5C30">
        <w:t xml:space="preserve"> zahranič</w:t>
      </w:r>
      <w:r w:rsidR="003A1F7F" w:rsidRPr="00EC5C30">
        <w:t>ní podniky (42 %) než domácí (30</w:t>
      </w:r>
      <w:r w:rsidR="003F278C" w:rsidRPr="00EC5C30">
        <w:t xml:space="preserve"> %). </w:t>
      </w:r>
    </w:p>
    <w:p w14:paraId="3D53623A" w14:textId="5CE510DC" w:rsidR="00B15254" w:rsidRPr="00190BF6" w:rsidRDefault="00891302" w:rsidP="00224077">
      <w:pPr>
        <w:spacing w:before="120"/>
        <w:jc w:val="both"/>
        <w:rPr>
          <w:rFonts w:eastAsia="MS Gothic"/>
          <w:b/>
          <w:bCs/>
          <w:color w:val="009BB4"/>
          <w:szCs w:val="26"/>
        </w:rPr>
      </w:pPr>
      <w:r w:rsidRPr="00891302">
        <w:t xml:space="preserve">Jak bylo uvedeno dříve, soukromé domácí podniky využívají, oproti podnikům pod zahraniční kontrolou, v mnohem vyšší míře přímou </w:t>
      </w:r>
      <w:r w:rsidR="00FC11A6">
        <w:t>veřejnou podporu. Z</w:t>
      </w:r>
      <w:r w:rsidRPr="00891302">
        <w:t xml:space="preserve"> důvodů exkluzivity (viz m</w:t>
      </w:r>
      <w:r w:rsidR="00FC11A6">
        <w:t>etodická část) nemohou</w:t>
      </w:r>
      <w:r w:rsidR="00461A58">
        <w:t xml:space="preserve"> využít na</w:t>
      </w:r>
      <w:r w:rsidR="00FC11A6">
        <w:t xml:space="preserve"> výzkumné a vývojové projekty</w:t>
      </w:r>
      <w:r w:rsidRPr="00891302">
        <w:t xml:space="preserve"> podpořené přímo ze státního rozpočtu nebo ze zdrojů </w:t>
      </w:r>
      <w:r w:rsidR="00BA5D4A">
        <w:t>Evropské unie</w:t>
      </w:r>
      <w:r w:rsidR="00FC11A6">
        <w:t xml:space="preserve"> (např. Evropské strukturální a investiční fondy)</w:t>
      </w:r>
      <w:r w:rsidRPr="00891302">
        <w:t xml:space="preserve"> zároveň podporu nepřímou.</w:t>
      </w:r>
      <w:r w:rsidR="00A70410">
        <w:t xml:space="preserve"> </w:t>
      </w:r>
      <w:r w:rsidR="00D90BEC">
        <w:t xml:space="preserve"> </w:t>
      </w:r>
      <w:r w:rsidR="00731782">
        <w:t xml:space="preserve"> </w:t>
      </w:r>
      <w:r w:rsidR="00B15254">
        <w:t xml:space="preserve"> </w:t>
      </w:r>
    </w:p>
    <w:p w14:paraId="6A714257" w14:textId="77777777" w:rsidR="007B09B5" w:rsidRDefault="007B09B5" w:rsidP="009A4061">
      <w:pPr>
        <w:spacing w:before="120"/>
        <w:jc w:val="both"/>
        <w:rPr>
          <w:b/>
        </w:rPr>
      </w:pPr>
    </w:p>
    <w:p w14:paraId="42EC2DFA" w14:textId="64CCF4F4" w:rsidR="00B15254" w:rsidRPr="00710A84" w:rsidRDefault="00224FAC" w:rsidP="009A4061">
      <w:pPr>
        <w:spacing w:before="120"/>
        <w:jc w:val="both"/>
        <w:rPr>
          <w:b/>
        </w:rPr>
      </w:pPr>
      <w:r>
        <w:rPr>
          <w:b/>
        </w:rPr>
        <w:lastRenderedPageBreak/>
        <w:t xml:space="preserve">GRAF </w:t>
      </w:r>
      <w:r w:rsidR="0069364F">
        <w:rPr>
          <w:b/>
        </w:rPr>
        <w:t>9</w:t>
      </w:r>
      <w:r w:rsidR="00B15254" w:rsidRPr="00113CE1">
        <w:rPr>
          <w:b/>
        </w:rPr>
        <w:t xml:space="preserve">: </w:t>
      </w:r>
      <w:r w:rsidR="008E41C1">
        <w:rPr>
          <w:b/>
        </w:rPr>
        <w:t>Soukromé podniky</w:t>
      </w:r>
      <w:r w:rsidR="00CB6F91">
        <w:rPr>
          <w:b/>
        </w:rPr>
        <w:t xml:space="preserve"> využívající </w:t>
      </w:r>
      <w:r w:rsidR="008E41C1" w:rsidRPr="004E7D3D">
        <w:rPr>
          <w:b/>
        </w:rPr>
        <w:t>nepřím</w:t>
      </w:r>
      <w:r w:rsidR="00CB6F91">
        <w:rPr>
          <w:b/>
        </w:rPr>
        <w:t>ou</w:t>
      </w:r>
      <w:r w:rsidR="008E41C1" w:rsidRPr="004E7D3D">
        <w:rPr>
          <w:b/>
        </w:rPr>
        <w:t xml:space="preserve"> veřejn</w:t>
      </w:r>
      <w:r w:rsidR="00CB6F91">
        <w:rPr>
          <w:b/>
        </w:rPr>
        <w:t>ou</w:t>
      </w:r>
      <w:r w:rsidR="008E41C1" w:rsidRPr="004E7D3D">
        <w:rPr>
          <w:b/>
        </w:rPr>
        <w:t xml:space="preserve"> podpor</w:t>
      </w:r>
      <w:r w:rsidR="00CB6F91">
        <w:rPr>
          <w:b/>
        </w:rPr>
        <w:t>u</w:t>
      </w:r>
      <w:r w:rsidR="008E41C1" w:rsidRPr="004E7D3D">
        <w:rPr>
          <w:b/>
        </w:rPr>
        <w:t xml:space="preserve"> </w:t>
      </w:r>
      <w:proofErr w:type="spellStart"/>
      <w:r w:rsidR="008E41C1" w:rsidRPr="004E7D3D">
        <w:rPr>
          <w:b/>
        </w:rPr>
        <w:t>VaV</w:t>
      </w:r>
      <w:proofErr w:type="spellEnd"/>
      <w:r w:rsidR="008E41C1">
        <w:rPr>
          <w:b/>
        </w:rPr>
        <w:t xml:space="preserve"> </w:t>
      </w:r>
      <w:r w:rsidR="00D90BEC" w:rsidRPr="00F536F9">
        <w:rPr>
          <w:b/>
        </w:rPr>
        <w:t>podle jejich vlastnictví</w:t>
      </w:r>
      <w:r w:rsidR="0091647B">
        <w:rPr>
          <w:b/>
        </w:rPr>
        <w:t xml:space="preserve"> (počet a výše podpory)</w:t>
      </w:r>
      <w:r w:rsidR="00951123">
        <w:rPr>
          <w:b/>
        </w:rPr>
        <w:t>, 2010</w:t>
      </w:r>
      <w:r w:rsidR="0060348B">
        <w:rPr>
          <w:b/>
        </w:rPr>
        <w:t>–2017</w:t>
      </w:r>
    </w:p>
    <w:p w14:paraId="79ACA0AA" w14:textId="69AAA269" w:rsidR="00B15254" w:rsidRDefault="00B5168E" w:rsidP="00B15254">
      <w:pPr>
        <w:jc w:val="both"/>
      </w:pPr>
      <w:r w:rsidRPr="00B5168E">
        <w:rPr>
          <w:noProof/>
        </w:rPr>
        <w:t xml:space="preserve"> </w:t>
      </w:r>
      <w:r w:rsidR="00B96B3A">
        <w:rPr>
          <w:noProof/>
        </w:rPr>
        <w:drawing>
          <wp:inline distT="0" distB="0" distL="0" distR="0" wp14:anchorId="38FD1477" wp14:editId="34316206">
            <wp:extent cx="2962275" cy="2083435"/>
            <wp:effectExtent l="0" t="0" r="0" b="0"/>
            <wp:docPr id="32" name="Graf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B96B3A" w:rsidRPr="00B96B3A">
        <w:rPr>
          <w:noProof/>
        </w:rPr>
        <w:t xml:space="preserve"> </w:t>
      </w:r>
      <w:r w:rsidR="00B96B3A">
        <w:rPr>
          <w:noProof/>
        </w:rPr>
        <w:drawing>
          <wp:inline distT="0" distB="0" distL="0" distR="0" wp14:anchorId="430FE168" wp14:editId="3A60A373">
            <wp:extent cx="3076575" cy="2083435"/>
            <wp:effectExtent l="0" t="0" r="0" b="0"/>
            <wp:docPr id="33" name="Graf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D76E1F" w:rsidRPr="00D76E1F" w:rsidDel="00D76E1F">
        <w:rPr>
          <w:noProof/>
        </w:rPr>
        <w:t xml:space="preserve"> </w:t>
      </w:r>
    </w:p>
    <w:p w14:paraId="6E9C9995" w14:textId="77777777" w:rsidR="003D53AA" w:rsidRPr="004C3AE6" w:rsidRDefault="003D53AA" w:rsidP="003D53AA">
      <w:pPr>
        <w:jc w:val="both"/>
        <w:rPr>
          <w:i/>
          <w:sz w:val="16"/>
          <w:szCs w:val="18"/>
        </w:rPr>
      </w:pPr>
      <w:r w:rsidRPr="004C3AE6">
        <w:rPr>
          <w:i/>
          <w:sz w:val="16"/>
        </w:rPr>
        <w:t xml:space="preserve">Zdroj: ČSÚ podle </w:t>
      </w:r>
      <w:r w:rsidR="001667C4" w:rsidRPr="004C3AE6">
        <w:rPr>
          <w:i/>
          <w:sz w:val="16"/>
          <w:szCs w:val="18"/>
        </w:rPr>
        <w:t>administrativních dat GFŘ</w:t>
      </w:r>
    </w:p>
    <w:p w14:paraId="08BCE4D7" w14:textId="2E973C49" w:rsidR="00CE4504" w:rsidRDefault="00E023FA" w:rsidP="00224077">
      <w:pPr>
        <w:spacing w:before="120"/>
        <w:jc w:val="both"/>
      </w:pPr>
      <w:r w:rsidRPr="00D218F2">
        <w:t>V roce 201</w:t>
      </w:r>
      <w:r w:rsidR="00781100" w:rsidRPr="00D218F2">
        <w:t>7</w:t>
      </w:r>
      <w:r w:rsidR="00CE4504" w:rsidRPr="00D218F2">
        <w:t xml:space="preserve"> připadla</w:t>
      </w:r>
      <w:r w:rsidR="00CE4504">
        <w:t xml:space="preserve"> v průměru na jeden podnik nepřímá veřejná podpora </w:t>
      </w:r>
      <w:proofErr w:type="spellStart"/>
      <w:r w:rsidR="00CE4504">
        <w:t>VaV</w:t>
      </w:r>
      <w:proofErr w:type="spellEnd"/>
      <w:r w:rsidR="00CE4504">
        <w:t xml:space="preserve"> ve výši </w:t>
      </w:r>
      <w:r w:rsidR="00781100">
        <w:t>2,2</w:t>
      </w:r>
      <w:r w:rsidR="00CE4504">
        <w:t xml:space="preserve"> mil. Kč. U soukromých zahraničních podniků to bylo dvakrát více. U soukromých domácích podniků byla průměrná částka nižší (1 mil. Kč), a to </w:t>
      </w:r>
      <w:r w:rsidR="000537B8">
        <w:t xml:space="preserve">z důvodu vyššího počtu podniků (také vyššího zastoupení mikro a malých podniků) a nižší celkové částky nepřímé podpory </w:t>
      </w:r>
      <w:proofErr w:type="spellStart"/>
      <w:r w:rsidR="000537B8">
        <w:t>VaV</w:t>
      </w:r>
      <w:proofErr w:type="spellEnd"/>
      <w:r w:rsidR="000537B8">
        <w:t xml:space="preserve"> než u zahraničních podniků. </w:t>
      </w:r>
      <w:r w:rsidR="00CE4504">
        <w:t xml:space="preserve">   </w:t>
      </w:r>
    </w:p>
    <w:p w14:paraId="51A3BB62" w14:textId="38B88D50" w:rsidR="005419BA" w:rsidRDefault="00CE08D6" w:rsidP="00224077">
      <w:pPr>
        <w:spacing w:before="120"/>
        <w:jc w:val="both"/>
      </w:pPr>
      <w:r>
        <w:t xml:space="preserve">Odpočty výdajů na </w:t>
      </w:r>
      <w:proofErr w:type="spellStart"/>
      <w:r>
        <w:t>VaV</w:t>
      </w:r>
      <w:proofErr w:type="spellEnd"/>
      <w:r w:rsidR="000B3355">
        <w:t xml:space="preserve"> a</w:t>
      </w:r>
      <w:r w:rsidR="00CB3DC4">
        <w:t xml:space="preserve"> z nich odvozená</w:t>
      </w:r>
      <w:r w:rsidR="000B3355">
        <w:t xml:space="preserve"> nepřímá veřejná podpora </w:t>
      </w:r>
      <w:proofErr w:type="spellStart"/>
      <w:r w:rsidR="000B3355">
        <w:t>VaV</w:t>
      </w:r>
      <w:proofErr w:type="spellEnd"/>
      <w:r>
        <w:t xml:space="preserve"> nebyly uplatňovány rovnoměrně ve všech </w:t>
      </w:r>
      <w:r w:rsidR="00182307">
        <w:t>velikostních skupinách podniků</w:t>
      </w:r>
      <w:r w:rsidR="000E0C52">
        <w:rPr>
          <w:rStyle w:val="Znakapoznpodarou"/>
        </w:rPr>
        <w:footnoteReference w:id="4"/>
      </w:r>
      <w:r w:rsidR="00182307">
        <w:t xml:space="preserve">. </w:t>
      </w:r>
      <w:r w:rsidR="00644C9D">
        <w:t xml:space="preserve">Nejvyšší </w:t>
      </w:r>
      <w:r w:rsidR="002E4155">
        <w:t>počet</w:t>
      </w:r>
      <w:r w:rsidR="00644C9D">
        <w:t xml:space="preserve"> </w:t>
      </w:r>
      <w:r w:rsidR="00135C14" w:rsidRPr="00135C14">
        <w:t>soukromý</w:t>
      </w:r>
      <w:r w:rsidR="00644C9D">
        <w:t xml:space="preserve">ch </w:t>
      </w:r>
      <w:r w:rsidR="00182307">
        <w:t>podnik</w:t>
      </w:r>
      <w:r w:rsidR="00644C9D">
        <w:t>ů</w:t>
      </w:r>
      <w:r w:rsidR="00135C14" w:rsidRPr="00135C14">
        <w:t>, které v roce 201</w:t>
      </w:r>
      <w:r w:rsidR="00EE0F63">
        <w:t>7</w:t>
      </w:r>
      <w:r w:rsidR="00135C14" w:rsidRPr="00135C14">
        <w:t xml:space="preserve"> </w:t>
      </w:r>
      <w:r w:rsidR="00644C9D">
        <w:t xml:space="preserve">uplatnily </w:t>
      </w:r>
      <w:r w:rsidR="00182307">
        <w:t xml:space="preserve">odpočty </w:t>
      </w:r>
      <w:r w:rsidR="00BE33B7">
        <w:t xml:space="preserve">výdajů </w:t>
      </w:r>
      <w:r w:rsidR="00AF775B">
        <w:t>na</w:t>
      </w:r>
      <w:r w:rsidR="00182307">
        <w:t xml:space="preserve"> </w:t>
      </w:r>
      <w:proofErr w:type="spellStart"/>
      <w:r w:rsidR="00182307">
        <w:t>VaV</w:t>
      </w:r>
      <w:proofErr w:type="spellEnd"/>
      <w:r w:rsidR="00644C9D">
        <w:t xml:space="preserve">, </w:t>
      </w:r>
      <w:r w:rsidR="009702B1">
        <w:t xml:space="preserve">byl zaznamenán v kategorii </w:t>
      </w:r>
      <w:r w:rsidR="002E4155">
        <w:t>středn</w:t>
      </w:r>
      <w:r w:rsidR="009702B1">
        <w:t xml:space="preserve">ě velkých podniků </w:t>
      </w:r>
      <w:r w:rsidR="009702B1" w:rsidRPr="00960BD9">
        <w:t>(4</w:t>
      </w:r>
      <w:r w:rsidR="00960BD9" w:rsidRPr="00960BD9">
        <w:t>08</w:t>
      </w:r>
      <w:r w:rsidR="009702B1" w:rsidRPr="00960BD9">
        <w:t>; 3</w:t>
      </w:r>
      <w:r w:rsidR="00960BD9" w:rsidRPr="00960BD9">
        <w:t>5</w:t>
      </w:r>
      <w:r w:rsidR="009702B1" w:rsidRPr="00960BD9">
        <w:t>,9 % z </w:t>
      </w:r>
      <w:r w:rsidR="009702B1">
        <w:t xml:space="preserve">celkového </w:t>
      </w:r>
      <w:r w:rsidR="00C401E1">
        <w:t>počtu soukromých podniků využívajících</w:t>
      </w:r>
      <w:r w:rsidR="009702B1">
        <w:t xml:space="preserve"> daňovou </w:t>
      </w:r>
      <w:r w:rsidR="00C401E1">
        <w:t>podpor</w:t>
      </w:r>
      <w:r w:rsidR="009702B1">
        <w:t xml:space="preserve">u </w:t>
      </w:r>
      <w:proofErr w:type="spellStart"/>
      <w:r w:rsidR="009702B1">
        <w:t>VaV</w:t>
      </w:r>
      <w:proofErr w:type="spellEnd"/>
      <w:r w:rsidR="009702B1">
        <w:t>)</w:t>
      </w:r>
      <w:r w:rsidR="002E4155">
        <w:t xml:space="preserve">. </w:t>
      </w:r>
      <w:r w:rsidR="009B4372">
        <w:t>Střední podniky</w:t>
      </w:r>
      <w:r w:rsidR="00D7198E">
        <w:t xml:space="preserve"> </w:t>
      </w:r>
      <w:r w:rsidR="00191E4B">
        <w:t xml:space="preserve">početně </w:t>
      </w:r>
      <w:r w:rsidR="00D57EE6">
        <w:t xml:space="preserve">převažují </w:t>
      </w:r>
      <w:r w:rsidR="001F20F5">
        <w:t xml:space="preserve">i </w:t>
      </w:r>
      <w:r w:rsidR="00D57EE6">
        <w:t xml:space="preserve">mezi jednotkami </w:t>
      </w:r>
      <w:r w:rsidR="002E4155">
        <w:t>provádějí</w:t>
      </w:r>
      <w:r w:rsidR="00CF0137">
        <w:t>cí</w:t>
      </w:r>
      <w:r w:rsidR="00D57EE6">
        <w:t>mi</w:t>
      </w:r>
      <w:r w:rsidR="002E4155">
        <w:t xml:space="preserve"> </w:t>
      </w:r>
      <w:proofErr w:type="spellStart"/>
      <w:r w:rsidR="002E4155">
        <w:t>VaV</w:t>
      </w:r>
      <w:proofErr w:type="spellEnd"/>
      <w:r w:rsidR="002E4155">
        <w:t xml:space="preserve"> na území </w:t>
      </w:r>
      <w:r w:rsidR="00971E56">
        <w:t>Č</w:t>
      </w:r>
      <w:r w:rsidR="002E4155">
        <w:t>eské republiky.</w:t>
      </w:r>
      <w:r w:rsidR="000B3355">
        <w:t xml:space="preserve"> Uvedená skupina soukromých podniků získala druhou nejvyšší</w:t>
      </w:r>
      <w:r w:rsidR="00C401E1">
        <w:t xml:space="preserve"> částku nepřímé podpory </w:t>
      </w:r>
      <w:proofErr w:type="spellStart"/>
      <w:r w:rsidR="00C401E1">
        <w:t>VaV</w:t>
      </w:r>
      <w:proofErr w:type="spellEnd"/>
      <w:r w:rsidR="00C401E1">
        <w:t xml:space="preserve"> </w:t>
      </w:r>
      <w:r w:rsidR="00C401E1" w:rsidRPr="00960BD9">
        <w:t>(</w:t>
      </w:r>
      <w:r w:rsidR="00960BD9" w:rsidRPr="00960BD9">
        <w:t>497</w:t>
      </w:r>
      <w:r w:rsidR="000B3355" w:rsidRPr="00960BD9">
        <w:t xml:space="preserve"> mil. Kč; </w:t>
      </w:r>
      <w:r w:rsidR="00960BD9" w:rsidRPr="00960BD9">
        <w:t>19,8</w:t>
      </w:r>
      <w:r w:rsidR="000B3355" w:rsidRPr="00960BD9">
        <w:t xml:space="preserve"> % z celkové </w:t>
      </w:r>
      <w:r w:rsidR="000B3355">
        <w:t xml:space="preserve">výše nepřímé veřejné podpory </w:t>
      </w:r>
      <w:proofErr w:type="spellStart"/>
      <w:r w:rsidR="000B3355">
        <w:t>VaV</w:t>
      </w:r>
      <w:proofErr w:type="spellEnd"/>
      <w:r w:rsidR="000B3355">
        <w:t xml:space="preserve">). Druhou nejpočetnější velikostní skupinou uplatňující daňové zvýhodnění </w:t>
      </w:r>
      <w:proofErr w:type="spellStart"/>
      <w:r w:rsidR="000B3355">
        <w:t>VaV</w:t>
      </w:r>
      <w:proofErr w:type="spellEnd"/>
      <w:r w:rsidR="000B3355">
        <w:t xml:space="preserve"> tvořily m</w:t>
      </w:r>
      <w:r w:rsidR="00574547">
        <w:t>alé podniky</w:t>
      </w:r>
      <w:r w:rsidR="000B3355">
        <w:t xml:space="preserve">, které </w:t>
      </w:r>
      <w:r w:rsidR="00574547">
        <w:t xml:space="preserve">uplatnily odečet výdajů na </w:t>
      </w:r>
      <w:proofErr w:type="spellStart"/>
      <w:r w:rsidR="00574547">
        <w:t>VaV</w:t>
      </w:r>
      <w:proofErr w:type="spellEnd"/>
      <w:r w:rsidR="00574547">
        <w:t xml:space="preserve"> ve </w:t>
      </w:r>
      <w:r w:rsidR="00440A9B">
        <w:t>294</w:t>
      </w:r>
      <w:r w:rsidR="00574547">
        <w:t xml:space="preserve"> případech</w:t>
      </w:r>
      <w:r w:rsidR="000B3355">
        <w:t xml:space="preserve"> a získaly</w:t>
      </w:r>
      <w:r w:rsidR="00574547">
        <w:t xml:space="preserve"> </w:t>
      </w:r>
      <w:r w:rsidR="000B3355">
        <w:t xml:space="preserve">tak </w:t>
      </w:r>
      <w:r w:rsidR="00C401E1">
        <w:t xml:space="preserve">nepřímou podporu </w:t>
      </w:r>
      <w:proofErr w:type="spellStart"/>
      <w:r w:rsidR="00C401E1">
        <w:t>VaV</w:t>
      </w:r>
      <w:proofErr w:type="spellEnd"/>
      <w:r w:rsidR="00C401E1">
        <w:t xml:space="preserve"> ve výši 1</w:t>
      </w:r>
      <w:r w:rsidR="00440A9B">
        <w:t>5</w:t>
      </w:r>
      <w:r w:rsidR="00C401E1">
        <w:t>2</w:t>
      </w:r>
      <w:r w:rsidR="000B3355">
        <w:t xml:space="preserve"> mil. Kč.</w:t>
      </w:r>
    </w:p>
    <w:p w14:paraId="0729D629" w14:textId="77777777" w:rsidR="00201A1B" w:rsidRDefault="00201A1B" w:rsidP="0054507F">
      <w:pPr>
        <w:rPr>
          <w:b/>
        </w:rPr>
      </w:pPr>
    </w:p>
    <w:p w14:paraId="6B098DAD" w14:textId="207FD101" w:rsidR="00DE25AE" w:rsidRPr="00BF09A3" w:rsidRDefault="00BF09A3" w:rsidP="00716471">
      <w:pPr>
        <w:spacing w:after="60"/>
        <w:rPr>
          <w:b/>
        </w:rPr>
      </w:pPr>
      <w:r w:rsidRPr="00A75964">
        <w:rPr>
          <w:b/>
        </w:rPr>
        <w:t xml:space="preserve">GRAF </w:t>
      </w:r>
      <w:r w:rsidR="0069364F">
        <w:rPr>
          <w:b/>
        </w:rPr>
        <w:t>10</w:t>
      </w:r>
      <w:r w:rsidRPr="00A75964">
        <w:rPr>
          <w:b/>
        </w:rPr>
        <w:t xml:space="preserve">: </w:t>
      </w:r>
      <w:r w:rsidR="009A4061">
        <w:rPr>
          <w:b/>
        </w:rPr>
        <w:t xml:space="preserve">Soukromé podniky využívající </w:t>
      </w:r>
      <w:r w:rsidR="009A4061" w:rsidRPr="004E7D3D">
        <w:rPr>
          <w:b/>
        </w:rPr>
        <w:t>nepřím</w:t>
      </w:r>
      <w:r w:rsidR="009A4061">
        <w:rPr>
          <w:b/>
        </w:rPr>
        <w:t>ou</w:t>
      </w:r>
      <w:r w:rsidR="009A4061" w:rsidRPr="004E7D3D">
        <w:rPr>
          <w:b/>
        </w:rPr>
        <w:t xml:space="preserve"> veřejn</w:t>
      </w:r>
      <w:r w:rsidR="009A4061">
        <w:rPr>
          <w:b/>
        </w:rPr>
        <w:t>ou</w:t>
      </w:r>
      <w:r w:rsidR="009A4061" w:rsidRPr="004E7D3D">
        <w:rPr>
          <w:b/>
        </w:rPr>
        <w:t xml:space="preserve"> podpor</w:t>
      </w:r>
      <w:r w:rsidR="009A4061">
        <w:rPr>
          <w:b/>
        </w:rPr>
        <w:t>u</w:t>
      </w:r>
      <w:r w:rsidR="009A4061" w:rsidRPr="004E7D3D">
        <w:rPr>
          <w:b/>
        </w:rPr>
        <w:t xml:space="preserve"> </w:t>
      </w:r>
      <w:proofErr w:type="spellStart"/>
      <w:r w:rsidR="009A4061" w:rsidRPr="004E7D3D">
        <w:rPr>
          <w:b/>
        </w:rPr>
        <w:t>VaV</w:t>
      </w:r>
      <w:proofErr w:type="spellEnd"/>
      <w:r w:rsidR="009A4061">
        <w:rPr>
          <w:b/>
        </w:rPr>
        <w:t xml:space="preserve"> </w:t>
      </w:r>
      <w:r w:rsidR="00201A1B" w:rsidRPr="00201A1B">
        <w:rPr>
          <w:b/>
        </w:rPr>
        <w:t xml:space="preserve">podle jejich </w:t>
      </w:r>
      <w:r w:rsidR="00201A1B">
        <w:rPr>
          <w:b/>
        </w:rPr>
        <w:t>velikosti</w:t>
      </w:r>
      <w:r w:rsidR="0018200F">
        <w:rPr>
          <w:b/>
        </w:rPr>
        <w:t xml:space="preserve"> (počet a výše podpory)</w:t>
      </w:r>
      <w:r w:rsidR="00951123">
        <w:rPr>
          <w:b/>
        </w:rPr>
        <w:t>, 2010</w:t>
      </w:r>
      <w:r w:rsidR="008C6BAC">
        <w:rPr>
          <w:b/>
        </w:rPr>
        <w:t>–201</w:t>
      </w:r>
      <w:r w:rsidR="00440A9B">
        <w:rPr>
          <w:b/>
        </w:rPr>
        <w:t>7</w:t>
      </w:r>
    </w:p>
    <w:p w14:paraId="0858C54D" w14:textId="145BADE8" w:rsidR="00BC1FBF" w:rsidRPr="00D90817" w:rsidRDefault="00D90817" w:rsidP="00D90817">
      <w:pPr>
        <w:jc w:val="both"/>
        <w:rPr>
          <w:rStyle w:val="st"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5A6E79" wp14:editId="5086AE7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120000" cy="2577600"/>
                <wp:effectExtent l="0" t="0" r="0" b="0"/>
                <wp:wrapTight wrapText="bothSides">
                  <wp:wrapPolygon edited="0">
                    <wp:start x="0" y="0"/>
                    <wp:lineTo x="0" y="21392"/>
                    <wp:lineTo x="21517" y="21392"/>
                    <wp:lineTo x="21517" y="319"/>
                    <wp:lineTo x="5783" y="0"/>
                    <wp:lineTo x="0" y="0"/>
                  </wp:wrapPolygon>
                </wp:wrapTight>
                <wp:docPr id="15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2577600"/>
                          <a:chOff x="0" y="0"/>
                          <a:chExt cx="6120000" cy="2577149"/>
                        </a:xfrm>
                      </wpg:grpSpPr>
                      <wpg:graphicFrame>
                        <wpg:cNvPr id="16" name="Graf 16">
                          <a:extLst>
                            <a:ext uri="{FF2B5EF4-FFF2-40B4-BE49-F238E27FC236}">
                              <a16:creationId xmlns:a16="http://schemas.microsoft.com/office/drawing/2014/main" id="{00000000-0008-0000-0B00-000007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57149"/>
                          <a:ext cx="6120000" cy="252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g:graphicFrame>
                      <wpg:graphicFrame>
                        <wpg:cNvPr id="19" name="Graf 19">
                          <a:extLst>
                            <a:ext uri="{FF2B5EF4-FFF2-40B4-BE49-F238E27FC236}">
                              <a16:creationId xmlns:a16="http://schemas.microsoft.com/office/drawing/2014/main" id="{00000000-0008-0000-0B00-000008000000}"/>
                            </a:ext>
                          </a:extLst>
                        </wpg:cNvPr>
                        <wpg:cNvFrPr>
                          <a:graphicFrameLocks/>
                        </wpg:cNvFrPr>
                        <wpg:xfrm>
                          <a:off x="0" y="0"/>
                          <a:ext cx="1620000" cy="21621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2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BA1F2" id="Skupina 1" o:spid="_x0000_s1026" style="position:absolute;margin-left:.3pt;margin-top:.1pt;width:481.9pt;height:202.95pt;z-index:-251655168;mso-width-relative:margin;mso-height-relative:margin" coordsize="61200,25771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">
                <v:shape id="Graf 16" o:spid="_x0000_s1027" type="#_x0000_t75" style="position:absolute;top:548;width:61203;height:25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">
                  <v:imagedata r:id="rId23" o:title=""/>
                  <o:lock v:ext="edit" aspectratio="f"/>
                </v:shape>
                <v:shape id="Graf 19" o:spid="_x0000_s1028" type="#_x0000_t75" style="position:absolute;width:16215;height:216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">
                  <v:imagedata r:id="rId24" o:title=""/>
                  <o:lock v:ext="edit" aspectratio="f"/>
                </v:shape>
                <w10:wrap type="tight"/>
              </v:group>
            </w:pict>
          </mc:Fallback>
        </mc:AlternateContent>
      </w:r>
      <w:r w:rsidR="00143208" w:rsidRPr="00143208">
        <w:rPr>
          <w:noProof/>
        </w:rPr>
        <w:t xml:space="preserve"> </w:t>
      </w:r>
      <w:r w:rsidR="00687F82" w:rsidRPr="00687F82">
        <w:rPr>
          <w:noProof/>
        </w:rPr>
        <w:t xml:space="preserve"> </w:t>
      </w:r>
      <w:r w:rsidR="00DE6696" w:rsidRPr="004C3AE6">
        <w:rPr>
          <w:i/>
          <w:sz w:val="16"/>
        </w:rPr>
        <w:t>Zdroj: ČSÚ podle administrativních dat GFŘ</w:t>
      </w:r>
      <w:r w:rsidR="00DE6696" w:rsidRPr="004C3AE6" w:rsidDel="00DE6696">
        <w:rPr>
          <w:i/>
          <w:sz w:val="16"/>
        </w:rPr>
        <w:t xml:space="preserve"> </w:t>
      </w:r>
    </w:p>
    <w:p w14:paraId="28CB89F1" w14:textId="77777777" w:rsidR="00D218F2" w:rsidRDefault="00D218F2" w:rsidP="00D218F2">
      <w:pPr>
        <w:spacing w:before="120"/>
        <w:jc w:val="both"/>
      </w:pPr>
    </w:p>
    <w:p w14:paraId="770B80D9" w14:textId="62EB0E2F" w:rsidR="00D218F2" w:rsidRDefault="00D218F2" w:rsidP="00D218F2">
      <w:pPr>
        <w:spacing w:before="120"/>
        <w:jc w:val="both"/>
      </w:pPr>
      <w:r>
        <w:lastRenderedPageBreak/>
        <w:t>Velké podniky mnohem častěji, a to především u podniků pod zahrani</w:t>
      </w:r>
      <w:r w:rsidR="004A54DA">
        <w:t xml:space="preserve">ční kontrolou, preferují nepřímou veřejnou podporu </w:t>
      </w:r>
      <w:proofErr w:type="spellStart"/>
      <w:r w:rsidR="004A54DA">
        <w:t>VaV</w:t>
      </w:r>
      <w:proofErr w:type="spellEnd"/>
      <w:r w:rsidR="004A54DA">
        <w:t xml:space="preserve"> před přímou veřejnou podporou</w:t>
      </w:r>
      <w:r>
        <w:t>. V roce 201</w:t>
      </w:r>
      <w:r w:rsidR="004E1E04">
        <w:t>7</w:t>
      </w:r>
      <w:r>
        <w:t xml:space="preserve"> využilo nepřímou veřejnou podporu </w:t>
      </w:r>
      <w:proofErr w:type="spellStart"/>
      <w:r>
        <w:t>VaV</w:t>
      </w:r>
      <w:proofErr w:type="spellEnd"/>
      <w:r>
        <w:t xml:space="preserve"> </w:t>
      </w:r>
      <w:r w:rsidR="004E1E04">
        <w:t>283</w:t>
      </w:r>
      <w:r>
        <w:t xml:space="preserve"> velkých podniků, které nárokovaly </w:t>
      </w:r>
      <w:r w:rsidR="004A54DA">
        <w:t>daňovou</w:t>
      </w:r>
      <w:r>
        <w:t xml:space="preserve"> podporu </w:t>
      </w:r>
      <w:proofErr w:type="spellStart"/>
      <w:r>
        <w:t>VaV</w:t>
      </w:r>
      <w:proofErr w:type="spellEnd"/>
      <w:r>
        <w:t xml:space="preserve"> v objemu 1,</w:t>
      </w:r>
      <w:r w:rsidR="004E1E04">
        <w:t>8</w:t>
      </w:r>
      <w:r>
        <w:t xml:space="preserve"> mld. Kč, což představuje více než </w:t>
      </w:r>
      <w:r w:rsidR="004E1E04">
        <w:t>tří čtvrtinový</w:t>
      </w:r>
      <w:r>
        <w:t xml:space="preserve"> podíl z celkové částky nepřímé veřejné podpory u soukromých podniků. Na jeden podnik tak v průměru připadala daňová podpora </w:t>
      </w:r>
      <w:proofErr w:type="spellStart"/>
      <w:r>
        <w:t>VaV</w:t>
      </w:r>
      <w:proofErr w:type="spellEnd"/>
      <w:r>
        <w:t xml:space="preserve"> ve výši </w:t>
      </w:r>
      <w:r w:rsidR="004E1E04">
        <w:t>6,5</w:t>
      </w:r>
      <w:r>
        <w:t xml:space="preserve"> mil. Kč. U středních podniků to bylo </w:t>
      </w:r>
      <w:r w:rsidR="004E1E04">
        <w:t>více než 5</w:t>
      </w:r>
      <w:r>
        <w:t xml:space="preserve">krát méně. </w:t>
      </w:r>
    </w:p>
    <w:p w14:paraId="54F9324C" w14:textId="734F3C7C" w:rsidR="00D218F2" w:rsidRDefault="00D218F2" w:rsidP="00224077">
      <w:pPr>
        <w:spacing w:before="120"/>
        <w:jc w:val="both"/>
      </w:pPr>
      <w:r>
        <w:t>Oproti roku 201</w:t>
      </w:r>
      <w:r w:rsidR="003D5195">
        <w:t>6</w:t>
      </w:r>
      <w:r>
        <w:t xml:space="preserve"> došlo k poklesu počtu soukromých podniků využívajících pro svůj </w:t>
      </w:r>
      <w:proofErr w:type="spellStart"/>
      <w:r>
        <w:t>VaV</w:t>
      </w:r>
      <w:proofErr w:type="spellEnd"/>
      <w:r>
        <w:t xml:space="preserve"> nepřímou veřejnou podporu ve všech velikostních skupinách</w:t>
      </w:r>
      <w:r w:rsidR="0022664C">
        <w:t xml:space="preserve"> </w:t>
      </w:r>
      <w:r w:rsidR="009E3903">
        <w:t>(</w:t>
      </w:r>
      <w:r w:rsidR="0022664C">
        <w:t>kromě mikro</w:t>
      </w:r>
      <w:r w:rsidR="00EA4AEE">
        <w:t xml:space="preserve"> </w:t>
      </w:r>
      <w:r w:rsidR="0022664C">
        <w:t>podniků</w:t>
      </w:r>
      <w:r w:rsidR="009E3903">
        <w:t>)</w:t>
      </w:r>
      <w:r>
        <w:t>, nejvíce pak v kategorii m</w:t>
      </w:r>
      <w:r w:rsidR="0022664C">
        <w:t>alých</w:t>
      </w:r>
      <w:r>
        <w:t xml:space="preserve"> podniků (meziroční pokles o 1</w:t>
      </w:r>
      <w:r w:rsidR="0022664C">
        <w:t>4</w:t>
      </w:r>
      <w:r>
        <w:t> %)</w:t>
      </w:r>
      <w:r w:rsidR="0022664C">
        <w:t xml:space="preserve"> a dále středních podniků (méně o 11 %)</w:t>
      </w:r>
      <w:r>
        <w:t xml:space="preserve">. Výše nepřímé veřejné podpory </w:t>
      </w:r>
      <w:proofErr w:type="spellStart"/>
      <w:r>
        <w:t>VaV</w:t>
      </w:r>
      <w:proofErr w:type="spellEnd"/>
      <w:r>
        <w:t xml:space="preserve"> ve srovnání s předchozím rokem 201</w:t>
      </w:r>
      <w:r w:rsidR="00B31896">
        <w:t>6</w:t>
      </w:r>
      <w:r>
        <w:t xml:space="preserve"> nejvýrazněji </w:t>
      </w:r>
      <w:r w:rsidR="00B31896">
        <w:t>vzrostla</w:t>
      </w:r>
      <w:r>
        <w:t xml:space="preserve"> v kategorii velkých podniků (v absolutním vyjádření o </w:t>
      </w:r>
      <w:r w:rsidR="00A17E3B">
        <w:t>250</w:t>
      </w:r>
      <w:r>
        <w:t xml:space="preserve"> mil. Kč; o </w:t>
      </w:r>
      <w:r w:rsidR="00A84141">
        <w:t>16</w:t>
      </w:r>
      <w:r>
        <w:t xml:space="preserve"> %). </w:t>
      </w:r>
      <w:r w:rsidR="00A84141">
        <w:t xml:space="preserve">V ostatních velikostních kategoriích nepřímá podpora </w:t>
      </w:r>
      <w:proofErr w:type="spellStart"/>
      <w:r w:rsidR="00A84141">
        <w:t>VaV</w:t>
      </w:r>
      <w:proofErr w:type="spellEnd"/>
      <w:r w:rsidR="00A84141">
        <w:t xml:space="preserve"> poklesla, nejvíce pak u malých podniků o 21 % (-40 mil. Kč). U středních podniků meziročně poklesla výše nepřímé podpory </w:t>
      </w:r>
      <w:proofErr w:type="spellStart"/>
      <w:r w:rsidR="00A84141">
        <w:t>VaV</w:t>
      </w:r>
      <w:proofErr w:type="spellEnd"/>
      <w:r w:rsidR="00A84141">
        <w:t xml:space="preserve"> o 14 % (-79 mil. Kč).  </w:t>
      </w:r>
    </w:p>
    <w:p w14:paraId="6E473345" w14:textId="069BE06E" w:rsidR="004A7DBE" w:rsidRDefault="00574547" w:rsidP="00224077">
      <w:pPr>
        <w:spacing w:before="120"/>
        <w:jc w:val="both"/>
      </w:pPr>
      <w:r>
        <w:t xml:space="preserve">Sledujeme-li </w:t>
      </w:r>
      <w:r w:rsidR="00F50352">
        <w:t xml:space="preserve">daňovou podporu </w:t>
      </w:r>
      <w:proofErr w:type="spellStart"/>
      <w:r w:rsidR="00F50352">
        <w:t>VaV</w:t>
      </w:r>
      <w:proofErr w:type="spellEnd"/>
      <w:r w:rsidR="00F50352">
        <w:t xml:space="preserve"> </w:t>
      </w:r>
      <w:r>
        <w:t xml:space="preserve">z hlediska </w:t>
      </w:r>
      <w:r w:rsidR="00DE7E9F">
        <w:t>ekonomické činnosti podniků</w:t>
      </w:r>
      <w:r w:rsidR="00445D1D">
        <w:t>,</w:t>
      </w:r>
      <w:r>
        <w:t xml:space="preserve"> </w:t>
      </w:r>
      <w:r w:rsidR="006B0C92">
        <w:t xml:space="preserve">tak zjistíme, že z celkového počtu podniků uplatňujících daňový odečet výdajů na </w:t>
      </w:r>
      <w:proofErr w:type="spellStart"/>
      <w:r w:rsidR="006B0C92">
        <w:t>VaV</w:t>
      </w:r>
      <w:proofErr w:type="spellEnd"/>
      <w:r w:rsidR="006B0C92">
        <w:t xml:space="preserve"> jich </w:t>
      </w:r>
      <w:r w:rsidR="00BB7E20">
        <w:t>více než polovina</w:t>
      </w:r>
      <w:r w:rsidR="009E3903">
        <w:t xml:space="preserve"> působila</w:t>
      </w:r>
      <w:r w:rsidR="006B0C92">
        <w:t xml:space="preserve"> </w:t>
      </w:r>
      <w:r>
        <w:t>ve zpracovatelském průmyslu (</w:t>
      </w:r>
      <w:r w:rsidR="001A6B8D">
        <w:t>CZ-</w:t>
      </w:r>
      <w:r>
        <w:t>NACE C). V roce 201</w:t>
      </w:r>
      <w:r w:rsidR="00BB7E20">
        <w:t>7</w:t>
      </w:r>
      <w:r>
        <w:t xml:space="preserve"> v dané </w:t>
      </w:r>
      <w:r w:rsidR="006D5215">
        <w:t>sekci</w:t>
      </w:r>
      <w:r>
        <w:t xml:space="preserve"> žádalo o daňový odpočet výdajů na </w:t>
      </w:r>
      <w:proofErr w:type="spellStart"/>
      <w:r>
        <w:t>VaV</w:t>
      </w:r>
      <w:proofErr w:type="spellEnd"/>
      <w:r>
        <w:t xml:space="preserve"> </w:t>
      </w:r>
      <w:r w:rsidR="00BB7E20">
        <w:t>658</w:t>
      </w:r>
      <w:r>
        <w:t xml:space="preserve"> soukromých podniků</w:t>
      </w:r>
      <w:r w:rsidR="00184606">
        <w:rPr>
          <w:rStyle w:val="Znakapoznpodarou"/>
        </w:rPr>
        <w:footnoteReference w:id="5"/>
      </w:r>
      <w:r w:rsidR="00D32602">
        <w:t xml:space="preserve">, tj. </w:t>
      </w:r>
      <w:r w:rsidR="00D32602" w:rsidRPr="006B5334">
        <w:t>2krát</w:t>
      </w:r>
      <w:r w:rsidR="00D32602">
        <w:t xml:space="preserve"> více než v roce 2007.</w:t>
      </w:r>
      <w:r w:rsidR="00C634DF">
        <w:t xml:space="preserve"> Uvedené podniky získaly daňovou podporu</w:t>
      </w:r>
      <w:r w:rsidR="00605C8E">
        <w:t xml:space="preserve"> </w:t>
      </w:r>
      <w:proofErr w:type="spellStart"/>
      <w:r w:rsidR="00605C8E">
        <w:t>VaV</w:t>
      </w:r>
      <w:proofErr w:type="spellEnd"/>
      <w:r w:rsidR="00605C8E">
        <w:t xml:space="preserve"> ve výši </w:t>
      </w:r>
      <w:r w:rsidR="00605C8E" w:rsidRPr="00D1430D">
        <w:t>1,</w:t>
      </w:r>
      <w:r w:rsidR="004A7DBE">
        <w:t>8</w:t>
      </w:r>
      <w:r w:rsidR="002656DE">
        <w:t xml:space="preserve"> mld. Kč</w:t>
      </w:r>
      <w:r w:rsidR="000F436F">
        <w:rPr>
          <w:rStyle w:val="Znakapoznpodarou"/>
        </w:rPr>
        <w:footnoteReference w:id="6"/>
      </w:r>
      <w:r w:rsidR="002656DE">
        <w:t>. V </w:t>
      </w:r>
      <w:r w:rsidR="00C634DF">
        <w:t>průměru</w:t>
      </w:r>
      <w:r w:rsidR="002656DE">
        <w:t xml:space="preserve"> získal podni</w:t>
      </w:r>
      <w:r w:rsidR="00184606">
        <w:t>k v</w:t>
      </w:r>
      <w:r w:rsidR="002656DE">
        <w:t xml:space="preserve">e zpracovatelském průmyslu </w:t>
      </w:r>
      <w:r w:rsidR="00184606" w:rsidRPr="0099779C">
        <w:t xml:space="preserve">nepřímou veřejnou </w:t>
      </w:r>
      <w:r w:rsidR="002656DE" w:rsidRPr="0099779C">
        <w:t>podporu</w:t>
      </w:r>
      <w:r w:rsidR="00184606" w:rsidRPr="0099779C">
        <w:t xml:space="preserve"> </w:t>
      </w:r>
      <w:proofErr w:type="spellStart"/>
      <w:r w:rsidR="00184606" w:rsidRPr="0099779C">
        <w:t>VaV</w:t>
      </w:r>
      <w:proofErr w:type="spellEnd"/>
      <w:r w:rsidR="002656DE" w:rsidRPr="0099779C">
        <w:t xml:space="preserve"> ve výši 2</w:t>
      </w:r>
      <w:r w:rsidR="00D1430D">
        <w:t>,</w:t>
      </w:r>
      <w:r w:rsidR="004A7DBE">
        <w:t>7</w:t>
      </w:r>
      <w:r w:rsidR="002656DE" w:rsidRPr="0099779C">
        <w:t xml:space="preserve"> mil. Kč</w:t>
      </w:r>
      <w:r w:rsidR="00C634DF" w:rsidRPr="0099779C">
        <w:t>.</w:t>
      </w:r>
      <w:r w:rsidRPr="0099779C">
        <w:t xml:space="preserve"> </w:t>
      </w:r>
    </w:p>
    <w:p w14:paraId="3E663AAA" w14:textId="19169471" w:rsidR="004A7DBE" w:rsidRDefault="004A7DBE" w:rsidP="004A7DBE">
      <w:pPr>
        <w:spacing w:before="120" w:after="60"/>
        <w:jc w:val="both"/>
        <w:rPr>
          <w:b/>
        </w:rPr>
      </w:pPr>
      <w:r w:rsidRPr="00FD2946">
        <w:rPr>
          <w:b/>
        </w:rPr>
        <w:t xml:space="preserve">GRAF </w:t>
      </w:r>
      <w:r>
        <w:rPr>
          <w:b/>
        </w:rPr>
        <w:t>11</w:t>
      </w:r>
      <w:r w:rsidRPr="00FD2946">
        <w:rPr>
          <w:b/>
        </w:rPr>
        <w:t xml:space="preserve">: Soukromé podniky využívající nepřímou veřejnou podporu </w:t>
      </w:r>
      <w:proofErr w:type="spellStart"/>
      <w:r w:rsidRPr="00FD2946">
        <w:rPr>
          <w:b/>
        </w:rPr>
        <w:t>VaV</w:t>
      </w:r>
      <w:proofErr w:type="spellEnd"/>
      <w:r w:rsidRPr="00FD2946" w:rsidDel="00C93A0D">
        <w:rPr>
          <w:b/>
        </w:rPr>
        <w:t xml:space="preserve"> </w:t>
      </w:r>
      <w:r w:rsidRPr="00FD2946">
        <w:rPr>
          <w:b/>
        </w:rPr>
        <w:t>podle odvětvových sekcí klasifikace CZ-NACE (počet a výše podpory)</w:t>
      </w:r>
      <w:r>
        <w:rPr>
          <w:b/>
        </w:rPr>
        <w:t>, 2010 a 201</w:t>
      </w:r>
      <w:r w:rsidR="003A3FDB">
        <w:rPr>
          <w:b/>
        </w:rPr>
        <w:t>7</w:t>
      </w:r>
    </w:p>
    <w:p w14:paraId="72E569DD" w14:textId="118DAF57" w:rsidR="004A7DBE" w:rsidRDefault="00BB4A76" w:rsidP="004A7DBE">
      <w:pPr>
        <w:spacing w:before="120"/>
        <w:jc w:val="both"/>
        <w:rPr>
          <w:noProof/>
        </w:rPr>
      </w:pPr>
      <w:r>
        <w:rPr>
          <w:noProof/>
        </w:rPr>
        <w:drawing>
          <wp:inline distT="0" distB="0" distL="0" distR="0" wp14:anchorId="73C5A5AC" wp14:editId="1DDB1A35">
            <wp:extent cx="6120000" cy="1731420"/>
            <wp:effectExtent l="0" t="0" r="0" b="2540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32334F" w:rsidRPr="0032334F">
        <w:rPr>
          <w:noProof/>
        </w:rPr>
        <w:t xml:space="preserve"> </w:t>
      </w:r>
      <w:r w:rsidR="00AC194C">
        <w:rPr>
          <w:noProof/>
        </w:rPr>
        <w:drawing>
          <wp:inline distT="0" distB="0" distL="0" distR="0" wp14:anchorId="038C685D" wp14:editId="2DA8B871">
            <wp:extent cx="6120000" cy="1440000"/>
            <wp:effectExtent l="0" t="0" r="0" b="825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AA58A70" w14:textId="661B48E1" w:rsidR="004A7DBE" w:rsidRDefault="004A7DBE" w:rsidP="004A7DBE">
      <w:pPr>
        <w:spacing w:before="120"/>
        <w:jc w:val="both"/>
      </w:pPr>
      <w:r w:rsidRPr="004C3AE6">
        <w:rPr>
          <w:i/>
          <w:sz w:val="16"/>
        </w:rPr>
        <w:t>Zdroj: ČSÚ podle administrativních dat GFŘ</w:t>
      </w:r>
    </w:p>
    <w:p w14:paraId="1DB3883D" w14:textId="794E39DF" w:rsidR="00A842D6" w:rsidRDefault="00CB79B5" w:rsidP="00224077">
      <w:pPr>
        <w:spacing w:before="120"/>
        <w:jc w:val="both"/>
      </w:pPr>
      <w:r w:rsidRPr="00F917D2">
        <w:t xml:space="preserve">Daňová podpora </w:t>
      </w:r>
      <w:proofErr w:type="spellStart"/>
      <w:r w:rsidRPr="00F917D2">
        <w:t>VaV</w:t>
      </w:r>
      <w:proofErr w:type="spellEnd"/>
      <w:r w:rsidRPr="00F917D2">
        <w:t xml:space="preserve"> je také důležitá pro soukromé podniky působící v oblasti Informa</w:t>
      </w:r>
      <w:r w:rsidR="001F4B9C">
        <w:t>čních a komunikačních činností, zkráceně poskytování IT služeb</w:t>
      </w:r>
      <w:r w:rsidRPr="00F917D2">
        <w:t xml:space="preserve"> [CZ-NACE J] a oblasti Profesních, vědeckých a technických činností [CZ-NACE M].</w:t>
      </w:r>
      <w:r w:rsidR="00D76E2C" w:rsidRPr="00F917D2">
        <w:t xml:space="preserve"> V oblasti poskytování IT sl</w:t>
      </w:r>
      <w:r w:rsidR="00A842D6">
        <w:t>užeb využilo v roce 201</w:t>
      </w:r>
      <w:r w:rsidR="004A7DBE">
        <w:t>7</w:t>
      </w:r>
      <w:r w:rsidR="00D76E2C" w:rsidRPr="00F917D2">
        <w:t xml:space="preserve"> </w:t>
      </w:r>
      <w:r w:rsidR="005363E4">
        <w:t>daňové zvýhodnění</w:t>
      </w:r>
      <w:r w:rsidR="00A842D6">
        <w:t xml:space="preserve"> </w:t>
      </w:r>
      <w:proofErr w:type="spellStart"/>
      <w:r w:rsidR="00A842D6">
        <w:t>VaV</w:t>
      </w:r>
      <w:proofErr w:type="spellEnd"/>
      <w:r w:rsidR="00A842D6">
        <w:t xml:space="preserve"> 1</w:t>
      </w:r>
      <w:r w:rsidR="004A7DBE">
        <w:t>68</w:t>
      </w:r>
      <w:r w:rsidR="00D76E2C" w:rsidRPr="00F917D2">
        <w:t xml:space="preserve"> podniků, které získaly </w:t>
      </w:r>
      <w:r w:rsidR="005363E4">
        <w:t xml:space="preserve">nepřímou veřejnou </w:t>
      </w:r>
      <w:r w:rsidR="00D76E2C" w:rsidRPr="00F917D2">
        <w:t>podporu</w:t>
      </w:r>
      <w:r w:rsidR="005363E4">
        <w:t xml:space="preserve"> </w:t>
      </w:r>
      <w:proofErr w:type="spellStart"/>
      <w:r w:rsidR="005363E4">
        <w:t>VaV</w:t>
      </w:r>
      <w:proofErr w:type="spellEnd"/>
      <w:r w:rsidR="00A842D6">
        <w:t xml:space="preserve"> ve výši </w:t>
      </w:r>
      <w:r w:rsidR="004A7DBE">
        <w:t>293</w:t>
      </w:r>
      <w:r w:rsidR="00D76E2C" w:rsidRPr="00F917D2">
        <w:t xml:space="preserve"> mil. Kč.</w:t>
      </w:r>
      <w:r w:rsidR="00A842D6">
        <w:t xml:space="preserve"> Oproti předcházejícímu roku využilo možnosti odečíst výdaje na </w:t>
      </w:r>
      <w:proofErr w:type="spellStart"/>
      <w:r w:rsidR="00A842D6">
        <w:t>VaV</w:t>
      </w:r>
      <w:proofErr w:type="spellEnd"/>
      <w:r w:rsidR="00A842D6">
        <w:t xml:space="preserve"> od základu daně o 1</w:t>
      </w:r>
      <w:r w:rsidR="004A7DBE">
        <w:t>2</w:t>
      </w:r>
      <w:r w:rsidR="00A842D6">
        <w:t xml:space="preserve"> soukromých podniků </w:t>
      </w:r>
      <w:r w:rsidR="004A7DBE">
        <w:t>méně</w:t>
      </w:r>
      <w:r w:rsidR="00B56E66">
        <w:t xml:space="preserve"> a </w:t>
      </w:r>
      <w:r w:rsidR="00386481">
        <w:t>p</w:t>
      </w:r>
      <w:r w:rsidR="00B56E66">
        <w:t>oklesla</w:t>
      </w:r>
      <w:r w:rsidR="00386481">
        <w:t xml:space="preserve"> i </w:t>
      </w:r>
      <w:r w:rsidR="00A842D6">
        <w:t xml:space="preserve">částka nepřímé podpory </w:t>
      </w:r>
      <w:proofErr w:type="spellStart"/>
      <w:r w:rsidR="00A842D6">
        <w:t>VaV</w:t>
      </w:r>
      <w:proofErr w:type="spellEnd"/>
      <w:r w:rsidR="00A842D6">
        <w:t xml:space="preserve"> o 14 % (v absolutním vyjádření o </w:t>
      </w:r>
      <w:r w:rsidR="00386481">
        <w:t>48</w:t>
      </w:r>
      <w:r w:rsidR="00A842D6">
        <w:t> mil. Kč méně)</w:t>
      </w:r>
      <w:r w:rsidR="0063086D">
        <w:t xml:space="preserve">. </w:t>
      </w:r>
    </w:p>
    <w:p w14:paraId="0B7E3E37" w14:textId="72F55B19" w:rsidR="00FA5FDF" w:rsidRPr="00951123" w:rsidRDefault="00D6275B" w:rsidP="00224077">
      <w:pPr>
        <w:spacing w:before="120"/>
        <w:jc w:val="both"/>
      </w:pPr>
      <w:r>
        <w:lastRenderedPageBreak/>
        <w:t xml:space="preserve">U podniků v CZ-NACE M využilo daňovou podporu </w:t>
      </w:r>
      <w:proofErr w:type="spellStart"/>
      <w:r>
        <w:t>VaV</w:t>
      </w:r>
      <w:proofErr w:type="spellEnd"/>
      <w:r w:rsidR="00631BD8">
        <w:t xml:space="preserve"> 14</w:t>
      </w:r>
      <w:r w:rsidR="0072337E">
        <w:t>6</w:t>
      </w:r>
      <w:r w:rsidR="00D76E2C" w:rsidRPr="00F917D2">
        <w:t xml:space="preserve"> podniků </w:t>
      </w:r>
      <w:r w:rsidR="000A4349">
        <w:t xml:space="preserve">(částka daňové podpory </w:t>
      </w:r>
      <w:proofErr w:type="spellStart"/>
      <w:r w:rsidR="000A4349">
        <w:t>VaV</w:t>
      </w:r>
      <w:proofErr w:type="spellEnd"/>
      <w:r w:rsidR="000A4349">
        <w:t xml:space="preserve"> – 2</w:t>
      </w:r>
      <w:r w:rsidR="0072337E">
        <w:t>68</w:t>
      </w:r>
      <w:r>
        <w:t> </w:t>
      </w:r>
      <w:r w:rsidR="00D76E2C" w:rsidRPr="00F917D2">
        <w:t>mil.</w:t>
      </w:r>
      <w:r w:rsidR="00B75A83">
        <w:t> </w:t>
      </w:r>
      <w:r w:rsidR="00D76E2C" w:rsidRPr="00F917D2">
        <w:t xml:space="preserve">Kč). </w:t>
      </w:r>
      <w:r w:rsidR="008C08CC" w:rsidRPr="0072337E">
        <w:t xml:space="preserve">Podniky zařazené v sekci M klasifikace CZ-NACE využívají častěji přímou veřejnou podporu </w:t>
      </w:r>
      <w:proofErr w:type="spellStart"/>
      <w:r w:rsidR="008C08CC" w:rsidRPr="0072337E">
        <w:t>VaV</w:t>
      </w:r>
      <w:proofErr w:type="spellEnd"/>
      <w:r w:rsidR="008C08CC" w:rsidRPr="0072337E">
        <w:t xml:space="preserve"> než nepřímou.</w:t>
      </w:r>
      <w:r w:rsidR="00CE2846" w:rsidRPr="0072337E">
        <w:t xml:space="preserve"> </w:t>
      </w:r>
      <w:r w:rsidR="0088780D" w:rsidRPr="0072337E">
        <w:t>To je dáno především tím, že</w:t>
      </w:r>
      <w:r w:rsidR="00490DC2" w:rsidRPr="0072337E">
        <w:t xml:space="preserve"> </w:t>
      </w:r>
      <w:r w:rsidR="0088780D" w:rsidRPr="0072337E">
        <w:t>v této odvětvové sekci se nacházející i podniky s převažující ek</w:t>
      </w:r>
      <w:r w:rsidR="00F03ED5" w:rsidRPr="0072337E">
        <w:t>onomickou činnosti v oblasti výzkumu a vývoje</w:t>
      </w:r>
      <w:r w:rsidR="009233C7">
        <w:t xml:space="preserve"> (CZ-</w:t>
      </w:r>
      <w:r w:rsidR="0088780D" w:rsidRPr="0072337E">
        <w:t>NACE 72) – soukromé výzkumné organizace, které jsou často příjemci přímé veřejné podpory</w:t>
      </w:r>
      <w:r w:rsidR="00993641">
        <w:t xml:space="preserve"> </w:t>
      </w:r>
      <w:proofErr w:type="spellStart"/>
      <w:r w:rsidR="00993641">
        <w:t>VaV</w:t>
      </w:r>
      <w:proofErr w:type="spellEnd"/>
      <w:r w:rsidR="0088780D" w:rsidRPr="0072337E">
        <w:t>.</w:t>
      </w:r>
      <w:r w:rsidR="000A4349" w:rsidRPr="0072337E">
        <w:t xml:space="preserve"> </w:t>
      </w:r>
      <w:r w:rsidR="000A4349" w:rsidRPr="00E061EE">
        <w:t>V sekci Profesních, vědeckých a technických činností došlo ve srovnání s rokem 201</w:t>
      </w:r>
      <w:r w:rsidR="0072337E" w:rsidRPr="00E061EE">
        <w:t>6</w:t>
      </w:r>
      <w:r w:rsidR="000A4349" w:rsidRPr="00E061EE">
        <w:t xml:space="preserve"> k nárůstu </w:t>
      </w:r>
      <w:r w:rsidR="00F03ED5" w:rsidRPr="00E061EE">
        <w:t xml:space="preserve">poskytnuté </w:t>
      </w:r>
      <w:r w:rsidR="000A4349" w:rsidRPr="00E061EE">
        <w:t xml:space="preserve">částky daňové podpory </w:t>
      </w:r>
      <w:proofErr w:type="spellStart"/>
      <w:r w:rsidR="000A4349" w:rsidRPr="00E061EE">
        <w:t>VaV</w:t>
      </w:r>
      <w:proofErr w:type="spellEnd"/>
      <w:r w:rsidR="000A4349" w:rsidRPr="00E061EE">
        <w:t xml:space="preserve"> o </w:t>
      </w:r>
      <w:r w:rsidR="0072337E" w:rsidRPr="00E061EE">
        <w:t>5</w:t>
      </w:r>
      <w:r w:rsidR="000A4349" w:rsidRPr="00E061EE">
        <w:t xml:space="preserve"> % (v absolutním vyjádření o </w:t>
      </w:r>
      <w:r w:rsidR="0072337E" w:rsidRPr="00E061EE">
        <w:t>13</w:t>
      </w:r>
      <w:r w:rsidR="000A4349" w:rsidRPr="00E061EE">
        <w:t xml:space="preserve"> mil. Kč)</w:t>
      </w:r>
      <w:r w:rsidR="00CC56B2" w:rsidRPr="00E061EE">
        <w:t>.</w:t>
      </w:r>
      <w:r w:rsidR="0088780D" w:rsidRPr="00951123">
        <w:t xml:space="preserve">  </w:t>
      </w:r>
    </w:p>
    <w:p w14:paraId="05258459" w14:textId="775F9C1B" w:rsidR="00574547" w:rsidRDefault="00405BB9" w:rsidP="00224077">
      <w:pPr>
        <w:spacing w:before="120"/>
        <w:jc w:val="both"/>
      </w:pPr>
      <w:r>
        <w:t xml:space="preserve">Jestliže </w:t>
      </w:r>
      <w:r w:rsidR="00574547">
        <w:t xml:space="preserve">v roce 2007 nevyužil možnosti odpočtu výdajů na </w:t>
      </w:r>
      <w:proofErr w:type="spellStart"/>
      <w:r w:rsidR="00574547">
        <w:t>V</w:t>
      </w:r>
      <w:r w:rsidR="00AA77CA">
        <w:t>aV</w:t>
      </w:r>
      <w:proofErr w:type="spellEnd"/>
      <w:r w:rsidR="00AA77CA">
        <w:t xml:space="preserve"> žádný podnik v sekci </w:t>
      </w:r>
      <w:r w:rsidR="00CD6A92">
        <w:t>P</w:t>
      </w:r>
      <w:r w:rsidR="00574547">
        <w:t>eněžnictví a pojišťovnictví</w:t>
      </w:r>
      <w:r w:rsidR="00CD6A92">
        <w:t xml:space="preserve"> (CZ-NACE K)</w:t>
      </w:r>
      <w:r w:rsidR="00574547">
        <w:t>, pak v roce 201</w:t>
      </w:r>
      <w:r w:rsidR="0072337E">
        <w:t>7</w:t>
      </w:r>
      <w:r w:rsidR="00574547">
        <w:t xml:space="preserve"> to bylo 2</w:t>
      </w:r>
      <w:r w:rsidR="0072337E">
        <w:t>5</w:t>
      </w:r>
      <w:r w:rsidR="00574547">
        <w:t xml:space="preserve"> podniků</w:t>
      </w:r>
      <w:r w:rsidR="00D46EE4">
        <w:t>. Část</w:t>
      </w:r>
      <w:r w:rsidR="00ED38EF">
        <w:t xml:space="preserve">ka daňové podpory </w:t>
      </w:r>
      <w:proofErr w:type="spellStart"/>
      <w:r w:rsidR="00ED38EF">
        <w:t>VaV</w:t>
      </w:r>
      <w:proofErr w:type="spellEnd"/>
      <w:r w:rsidR="00ED38EF">
        <w:t xml:space="preserve"> dosáhla </w:t>
      </w:r>
      <w:r w:rsidR="0072337E">
        <w:t>65</w:t>
      </w:r>
      <w:r w:rsidR="00ED38EF">
        <w:t> mil. </w:t>
      </w:r>
      <w:r w:rsidR="00D46EE4">
        <w:t>Kč</w:t>
      </w:r>
      <w:r w:rsidR="00574547">
        <w:t>. Podniky</w:t>
      </w:r>
      <w:r w:rsidR="00F03ED5">
        <w:t xml:space="preserve"> (zejména bankovní instituce)</w:t>
      </w:r>
      <w:r w:rsidR="00574547">
        <w:t xml:space="preserve"> z této sekce se naučily využívat </w:t>
      </w:r>
      <w:r w:rsidR="00DE7E9F">
        <w:t xml:space="preserve">daňové podpory </w:t>
      </w:r>
      <w:proofErr w:type="spellStart"/>
      <w:r w:rsidR="00DE7E9F">
        <w:t>VaV</w:t>
      </w:r>
      <w:proofErr w:type="spellEnd"/>
      <w:r w:rsidR="00574547">
        <w:t xml:space="preserve"> a preferují tento nást</w:t>
      </w:r>
      <w:r w:rsidR="00577F03">
        <w:t>roj před přímou veřejnou podporou</w:t>
      </w:r>
      <w:r w:rsidR="00574547">
        <w:t xml:space="preserve"> </w:t>
      </w:r>
      <w:proofErr w:type="spellStart"/>
      <w:r w:rsidR="00574547">
        <w:t>VaV</w:t>
      </w:r>
      <w:proofErr w:type="spellEnd"/>
      <w:r w:rsidR="00574547">
        <w:t>, kterou v roce 201</w:t>
      </w:r>
      <w:r w:rsidR="0072337E">
        <w:t>7</w:t>
      </w:r>
      <w:r w:rsidR="00574547">
        <w:t xml:space="preserve"> nevyužil ani jeden z nich.</w:t>
      </w:r>
    </w:p>
    <w:p w14:paraId="3BEE0385" w14:textId="37CF4691" w:rsidR="00510D4F" w:rsidRDefault="004A6C99" w:rsidP="006E3720">
      <w:pPr>
        <w:spacing w:before="120"/>
        <w:jc w:val="both"/>
        <w:rPr>
          <w:b/>
        </w:rPr>
      </w:pPr>
      <w:r>
        <w:rPr>
          <w:b/>
        </w:rPr>
        <w:t>GRAF 1</w:t>
      </w:r>
      <w:r w:rsidR="0069364F">
        <w:rPr>
          <w:b/>
        </w:rPr>
        <w:t>2</w:t>
      </w:r>
      <w:r w:rsidR="00E158E3" w:rsidRPr="006E3720">
        <w:rPr>
          <w:b/>
        </w:rPr>
        <w:t xml:space="preserve">: </w:t>
      </w:r>
      <w:r w:rsidR="00C93A0D" w:rsidRPr="006E3720">
        <w:rPr>
          <w:b/>
        </w:rPr>
        <w:t xml:space="preserve">Soukromé podniky využívající nepřímou veřejnou podporu </w:t>
      </w:r>
      <w:proofErr w:type="spellStart"/>
      <w:r w:rsidR="00C93A0D" w:rsidRPr="006E3720">
        <w:rPr>
          <w:b/>
        </w:rPr>
        <w:t>VaV</w:t>
      </w:r>
      <w:proofErr w:type="spellEnd"/>
      <w:r w:rsidR="00C93A0D" w:rsidRPr="006E3720" w:rsidDel="00C93A0D">
        <w:rPr>
          <w:b/>
        </w:rPr>
        <w:t xml:space="preserve"> </w:t>
      </w:r>
      <w:r w:rsidR="00F35998" w:rsidRPr="006E3720">
        <w:rPr>
          <w:b/>
        </w:rPr>
        <w:t xml:space="preserve">ve zpracovatelském průmyslu </w:t>
      </w:r>
      <w:r w:rsidR="005419BA" w:rsidRPr="006E3720">
        <w:rPr>
          <w:b/>
        </w:rPr>
        <w:t>podle odvětví klasifikace CZ</w:t>
      </w:r>
      <w:r w:rsidR="00D87C69" w:rsidRPr="006E3720">
        <w:rPr>
          <w:b/>
        </w:rPr>
        <w:t>-</w:t>
      </w:r>
      <w:r w:rsidR="005419BA" w:rsidRPr="006E3720">
        <w:rPr>
          <w:b/>
        </w:rPr>
        <w:t>NACE</w:t>
      </w:r>
      <w:r w:rsidR="009400D5">
        <w:rPr>
          <w:b/>
        </w:rPr>
        <w:t>, 2017</w:t>
      </w:r>
    </w:p>
    <w:p w14:paraId="3509D604" w14:textId="13677624" w:rsidR="006E3720" w:rsidRPr="006E3720" w:rsidRDefault="009400D5" w:rsidP="006E3720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 wp14:anchorId="71BAC497" wp14:editId="0E939B97">
            <wp:extent cx="6120000" cy="2880000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9400D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D56D37" wp14:editId="13E7B1F3">
            <wp:extent cx="6120000" cy="2880000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56422FB" w14:textId="77777777" w:rsidR="00603BF6" w:rsidRPr="004C3AE6" w:rsidRDefault="006E0C59" w:rsidP="006E1970">
      <w:pPr>
        <w:spacing w:before="60" w:after="100" w:afterAutospacing="1"/>
        <w:jc w:val="both"/>
        <w:rPr>
          <w:i/>
          <w:sz w:val="16"/>
        </w:rPr>
      </w:pPr>
      <w:r w:rsidRPr="004C3AE6">
        <w:rPr>
          <w:i/>
          <w:sz w:val="16"/>
        </w:rPr>
        <w:t xml:space="preserve">Zdroj: ČSÚ podle administrativních dat GFŘ </w:t>
      </w:r>
    </w:p>
    <w:p w14:paraId="09D096F6" w14:textId="77777777" w:rsidR="00F62ADC" w:rsidRDefault="00F62ADC" w:rsidP="0072337E">
      <w:pPr>
        <w:spacing w:before="120"/>
        <w:jc w:val="both"/>
      </w:pPr>
    </w:p>
    <w:p w14:paraId="081015EB" w14:textId="59EDCDFB" w:rsidR="0072337E" w:rsidRPr="004A7DBE" w:rsidRDefault="0072337E" w:rsidP="0072337E">
      <w:pPr>
        <w:spacing w:before="120"/>
        <w:jc w:val="both"/>
        <w:rPr>
          <w:i/>
          <w:sz w:val="16"/>
        </w:rPr>
      </w:pPr>
      <w:r w:rsidRPr="0083029F">
        <w:lastRenderedPageBreak/>
        <w:t>Ve zpracovatelském</w:t>
      </w:r>
      <w:r>
        <w:t xml:space="preserve"> průmyslu uplatnily daňový odečet výdajů na </w:t>
      </w:r>
      <w:proofErr w:type="spellStart"/>
      <w:r>
        <w:t>VaV</w:t>
      </w:r>
      <w:proofErr w:type="spellEnd"/>
      <w:r>
        <w:t xml:space="preserve"> nejvíce soukromé podniky (1</w:t>
      </w:r>
      <w:r w:rsidR="00EE3668">
        <w:t>58</w:t>
      </w:r>
      <w:r>
        <w:t xml:space="preserve"> subjektů) ve</w:t>
      </w:r>
      <w:r w:rsidRPr="00183BA3">
        <w:t xml:space="preserve"> strojírenské</w:t>
      </w:r>
      <w:r>
        <w:t>m</w:t>
      </w:r>
      <w:r w:rsidRPr="00183BA3">
        <w:t xml:space="preserve"> průmyslu (</w:t>
      </w:r>
      <w:r>
        <w:t xml:space="preserve">CZ-NACE 28). </w:t>
      </w:r>
      <w:r w:rsidRPr="00882081">
        <w:t xml:space="preserve">Ze všech podniků provádějících </w:t>
      </w:r>
      <w:proofErr w:type="spellStart"/>
      <w:r w:rsidRPr="00882081">
        <w:t>VaV</w:t>
      </w:r>
      <w:proofErr w:type="spellEnd"/>
      <w:r w:rsidRPr="00882081">
        <w:t xml:space="preserve"> ve strojírenském</w:t>
      </w:r>
      <w:r w:rsidR="007C2268">
        <w:t xml:space="preserve"> průmyslu</w:t>
      </w:r>
      <w:r w:rsidRPr="00882081">
        <w:t xml:space="preserve">, o kterých máme informace ze šetření </w:t>
      </w:r>
      <w:r>
        <w:t>o výzkumu a vývoji (</w:t>
      </w:r>
      <w:r w:rsidRPr="00882081">
        <w:t>VTR 5-01</w:t>
      </w:r>
      <w:r w:rsidR="00ED6076">
        <w:t>)</w:t>
      </w:r>
      <w:r w:rsidRPr="00882081">
        <w:t xml:space="preserve">, využila </w:t>
      </w:r>
      <w:r>
        <w:t>v roce 201</w:t>
      </w:r>
      <w:r w:rsidR="0083029F">
        <w:t>7</w:t>
      </w:r>
      <w:r>
        <w:t xml:space="preserve"> </w:t>
      </w:r>
      <w:r w:rsidRPr="00882081">
        <w:t xml:space="preserve">nepřímou veřejnou podporu </w:t>
      </w:r>
      <w:proofErr w:type="spellStart"/>
      <w:r w:rsidRPr="00882081">
        <w:t>VaV</w:t>
      </w:r>
      <w:proofErr w:type="spellEnd"/>
      <w:r w:rsidRPr="00882081">
        <w:t xml:space="preserve"> </w:t>
      </w:r>
      <w:r w:rsidR="0083029F">
        <w:t>méně než</w:t>
      </w:r>
      <w:r w:rsidRPr="00882081">
        <w:t xml:space="preserve"> </w:t>
      </w:r>
      <w:r w:rsidRPr="0038023A">
        <w:t>polovina (4</w:t>
      </w:r>
      <w:r w:rsidR="0083029F">
        <w:t>1</w:t>
      </w:r>
      <w:r w:rsidRPr="0038023A">
        <w:t xml:space="preserve"> %). Podniky</w:t>
      </w:r>
      <w:r>
        <w:t xml:space="preserve"> v tomto odvětví nárokovaly daňovou podporu pro své výzkumné a vývojové činnosti ve výši 2</w:t>
      </w:r>
      <w:r w:rsidR="0096245A">
        <w:t>99</w:t>
      </w:r>
      <w:r>
        <w:t xml:space="preserve"> mil. Kč.</w:t>
      </w:r>
    </w:p>
    <w:p w14:paraId="6C25A060" w14:textId="4D4F597A" w:rsidR="0072337E" w:rsidRDefault="0072337E" w:rsidP="0072337E">
      <w:pPr>
        <w:spacing w:before="120"/>
        <w:jc w:val="both"/>
      </w:pPr>
      <w:r>
        <w:t xml:space="preserve">Ze všech odvětví zpracovatelského průmyslu uplatnily vůbec nejvyšší částku daňové podpory </w:t>
      </w:r>
      <w:proofErr w:type="spellStart"/>
      <w:r>
        <w:t>VaV</w:t>
      </w:r>
      <w:proofErr w:type="spellEnd"/>
      <w:r>
        <w:t xml:space="preserve"> (</w:t>
      </w:r>
      <w:r w:rsidR="009A4E1E">
        <w:t>710</w:t>
      </w:r>
      <w:r>
        <w:t> mil. Kč) podniky působící v</w:t>
      </w:r>
      <w:r w:rsidRPr="00183BA3">
        <w:t> automobilové</w:t>
      </w:r>
      <w:r>
        <w:t>m</w:t>
      </w:r>
      <w:r w:rsidRPr="00183BA3">
        <w:t xml:space="preserve"> průmyslu (</w:t>
      </w:r>
      <w:r>
        <w:t>CZ-</w:t>
      </w:r>
      <w:r w:rsidRPr="00183BA3">
        <w:t>NACE 29)</w:t>
      </w:r>
      <w:r>
        <w:t xml:space="preserve">. Uvedenou částku obdrželo celkem </w:t>
      </w:r>
      <w:r w:rsidR="009A4E1E">
        <w:t>37</w:t>
      </w:r>
      <w:r>
        <w:t xml:space="preserve"> soukromých podniků. Na jeden podnik tak v průměru připadlo </w:t>
      </w:r>
      <w:r w:rsidR="008B0F3B">
        <w:t>19,2</w:t>
      </w:r>
      <w:r>
        <w:t xml:space="preserve"> mil. Kč</w:t>
      </w:r>
      <w:r>
        <w:rPr>
          <w:rStyle w:val="Znakapoznpodarou"/>
        </w:rPr>
        <w:footnoteReference w:id="7"/>
      </w:r>
      <w:r>
        <w:t xml:space="preserve">. </w:t>
      </w:r>
      <w:r w:rsidRPr="00183BA3">
        <w:t xml:space="preserve">Z uvedeného celkového počtu podniků, které uplatnily odečet výdajů </w:t>
      </w:r>
      <w:proofErr w:type="spellStart"/>
      <w:r w:rsidRPr="00183BA3">
        <w:t>VaV</w:t>
      </w:r>
      <w:proofErr w:type="spellEnd"/>
      <w:r w:rsidRPr="00183BA3">
        <w:t xml:space="preserve"> v tomto odvětví, jich </w:t>
      </w:r>
      <w:r w:rsidR="005176F5" w:rsidRPr="005176F5">
        <w:t>28</w:t>
      </w:r>
      <w:r w:rsidRPr="005176F5">
        <w:t xml:space="preserve"> spadalo do kategorie velkých podnikatelských subjektů. Zbytek tvořily malé a střední subjekty. Z pohledu vlastnictví početně o polovinu převažovaly zahraniční podniky (</w:t>
      </w:r>
      <w:r w:rsidR="005176F5" w:rsidRPr="005176F5">
        <w:t>26</w:t>
      </w:r>
      <w:r w:rsidRPr="005176F5">
        <w:t>) nad domácími (1</w:t>
      </w:r>
      <w:r w:rsidR="005176F5" w:rsidRPr="005176F5">
        <w:t>1</w:t>
      </w:r>
      <w:r w:rsidRPr="005176F5">
        <w:t>).</w:t>
      </w:r>
      <w:r>
        <w:t xml:space="preserve"> </w:t>
      </w:r>
    </w:p>
    <w:p w14:paraId="316A4E9B" w14:textId="77777777" w:rsidR="003F263C" w:rsidRDefault="0072337E" w:rsidP="00224077">
      <w:pPr>
        <w:spacing w:before="120"/>
        <w:jc w:val="both"/>
      </w:pPr>
      <w:r w:rsidRPr="00E2338A">
        <w:t xml:space="preserve">Pokud v automobilovém průmyslu početně nejvíce využívají daňovou podporu </w:t>
      </w:r>
      <w:proofErr w:type="spellStart"/>
      <w:r w:rsidRPr="00E2338A">
        <w:t>VaV</w:t>
      </w:r>
      <w:proofErr w:type="spellEnd"/>
      <w:r w:rsidRPr="00E2338A">
        <w:t xml:space="preserve"> velké podniky, pak naopak v odvětví zabývající se výrobou počítačů, elektronických a optických přístrojů či zařízení, potažmo elektronickém průmyslu (CZ-NACE 26), jsou to malé a střední soukromé podniky (8</w:t>
      </w:r>
      <w:r w:rsidR="00565E96">
        <w:t>7</w:t>
      </w:r>
      <w:r w:rsidRPr="00E2338A">
        <w:t xml:space="preserve"> % z celkového počtu podniků v tomto odvětví). </w:t>
      </w:r>
    </w:p>
    <w:p w14:paraId="30675AB8" w14:textId="0D992E55" w:rsidR="0072337E" w:rsidRDefault="003F263C" w:rsidP="00224077">
      <w:pPr>
        <w:spacing w:before="120"/>
        <w:jc w:val="both"/>
      </w:pPr>
      <w:r>
        <w:t xml:space="preserve">Nejméně nepřímé </w:t>
      </w:r>
      <w:r w:rsidR="008C2775">
        <w:t>veřejné</w:t>
      </w:r>
      <w:r w:rsidR="00C45B5D">
        <w:t xml:space="preserve"> podpory </w:t>
      </w:r>
      <w:proofErr w:type="spellStart"/>
      <w:r w:rsidR="00C45B5D">
        <w:t>VaV</w:t>
      </w:r>
      <w:proofErr w:type="spellEnd"/>
      <w:r w:rsidR="00C45B5D">
        <w:t xml:space="preserve"> bylo</w:t>
      </w:r>
      <w:r>
        <w:t xml:space="preserve"> zjištěn</w:t>
      </w:r>
      <w:r w:rsidR="00C45B5D">
        <w:t>o</w:t>
      </w:r>
      <w:r>
        <w:t xml:space="preserve"> v odvětvích s nízkou intenzitou </w:t>
      </w:r>
      <w:proofErr w:type="spellStart"/>
      <w:r>
        <w:t>VaV</w:t>
      </w:r>
      <w:proofErr w:type="spellEnd"/>
      <w:r>
        <w:t>, kam se řadí D</w:t>
      </w:r>
      <w:r w:rsidRPr="003F263C">
        <w:t>řevozpracující a papírenský průmysl</w:t>
      </w:r>
      <w:r>
        <w:t xml:space="preserve"> </w:t>
      </w:r>
      <w:r w:rsidRPr="003F263C">
        <w:t>(</w:t>
      </w:r>
      <w:r>
        <w:t xml:space="preserve">CZ-NACE </w:t>
      </w:r>
      <w:r w:rsidRPr="003F263C">
        <w:t>16-17, 31)</w:t>
      </w:r>
      <w:r>
        <w:t xml:space="preserve"> a </w:t>
      </w:r>
      <w:r w:rsidRPr="003F263C">
        <w:t>Metalurgický průmysl (</w:t>
      </w:r>
      <w:r>
        <w:t xml:space="preserve">CZ-NACE </w:t>
      </w:r>
      <w:r w:rsidRPr="003F263C">
        <w:t>24)</w:t>
      </w:r>
      <w:r>
        <w:t xml:space="preserve">. </w:t>
      </w:r>
      <w:r w:rsidR="0022176D">
        <w:t xml:space="preserve">V uvedených </w:t>
      </w:r>
      <w:r w:rsidR="008C2775">
        <w:t>odvětví</w:t>
      </w:r>
      <w:r w:rsidR="00C45B5D">
        <w:t>ch</w:t>
      </w:r>
      <w:r w:rsidR="008C2775">
        <w:t xml:space="preserve"> nepřímá podpora </w:t>
      </w:r>
      <w:proofErr w:type="spellStart"/>
      <w:r w:rsidR="008C2775">
        <w:t>VaV</w:t>
      </w:r>
      <w:proofErr w:type="spellEnd"/>
      <w:r w:rsidR="008C2775">
        <w:t xml:space="preserve"> nepřesáhla hranici 10 mil. Kč. </w:t>
      </w:r>
      <w:r w:rsidR="0072337E">
        <w:t>Ostatní odvětv</w:t>
      </w:r>
      <w:r w:rsidR="00EA7E13">
        <w:t>í zpracovatelského průmyslu byla</w:t>
      </w:r>
      <w:r w:rsidR="0072337E">
        <w:t xml:space="preserve"> uveden</w:t>
      </w:r>
      <w:r w:rsidR="000A534C">
        <w:t>a</w:t>
      </w:r>
      <w:r w:rsidR="00EA7E13">
        <w:t xml:space="preserve"> v </w:t>
      </w:r>
      <w:r w:rsidR="0072337E">
        <w:t>grafu</w:t>
      </w:r>
      <w:r w:rsidR="00EA7E13">
        <w:t xml:space="preserve"> č. 12 na předchozí stránce</w:t>
      </w:r>
      <w:r w:rsidR="0072337E">
        <w:t>.</w:t>
      </w:r>
    </w:p>
    <w:p w14:paraId="7D9ED49E" w14:textId="24B8D1EE" w:rsidR="00D74F7F" w:rsidRDefault="008116DE" w:rsidP="00224077">
      <w:pPr>
        <w:spacing w:before="120"/>
        <w:jc w:val="both"/>
      </w:pPr>
      <w:r w:rsidRPr="008116DE">
        <w:t>Porovnáním počtu soukromých podniků, které v roce 201</w:t>
      </w:r>
      <w:r w:rsidR="00711271">
        <w:t>7</w:t>
      </w:r>
      <w:r w:rsidRPr="008116DE">
        <w:t xml:space="preserve"> využily daňovou podporu </w:t>
      </w:r>
      <w:proofErr w:type="spellStart"/>
      <w:r w:rsidRPr="008116DE">
        <w:t>VaV</w:t>
      </w:r>
      <w:proofErr w:type="spellEnd"/>
      <w:r w:rsidRPr="008116DE">
        <w:t xml:space="preserve"> v jednotlivých krajích ČR zjistíme, že nejvíce jich sídlilo v Praze (3</w:t>
      </w:r>
      <w:r w:rsidR="00711271">
        <w:t>18</w:t>
      </w:r>
      <w:r w:rsidRPr="008116DE">
        <w:t>).</w:t>
      </w:r>
      <w:r>
        <w:t xml:space="preserve"> </w:t>
      </w:r>
      <w:r w:rsidR="00206C36">
        <w:t xml:space="preserve">Za </w:t>
      </w:r>
      <w:r w:rsidR="000541B5">
        <w:t>hlavním městem</w:t>
      </w:r>
      <w:r w:rsidR="00206C36">
        <w:t xml:space="preserve"> následuj</w:t>
      </w:r>
      <w:r w:rsidR="007A04CE">
        <w:t>í</w:t>
      </w:r>
      <w:r w:rsidR="00206C36">
        <w:t xml:space="preserve"> </w:t>
      </w:r>
      <w:r w:rsidR="00472688">
        <w:t xml:space="preserve">Jihomoravský </w:t>
      </w:r>
      <w:r w:rsidR="0028792D">
        <w:t xml:space="preserve">kraj </w:t>
      </w:r>
      <w:proofErr w:type="gramStart"/>
      <w:r w:rsidR="0028792D">
        <w:t>s</w:t>
      </w:r>
      <w:r w:rsidR="00122FA4">
        <w:t>e</w:t>
      </w:r>
      <w:proofErr w:type="gramEnd"/>
      <w:r w:rsidR="00311E05">
        <w:t xml:space="preserve"> 1</w:t>
      </w:r>
      <w:r w:rsidR="00711271">
        <w:t>50</w:t>
      </w:r>
      <w:r w:rsidR="00472688">
        <w:t xml:space="preserve"> podniky a </w:t>
      </w:r>
      <w:r w:rsidR="00711271">
        <w:t>Moravskoslezský</w:t>
      </w:r>
      <w:r w:rsidR="00472688">
        <w:t xml:space="preserve"> </w:t>
      </w:r>
      <w:r w:rsidR="003C54D3">
        <w:t>kraj s</w:t>
      </w:r>
      <w:r w:rsidR="00311E05">
        <w:t>e</w:t>
      </w:r>
      <w:r w:rsidR="00C7594F">
        <w:t xml:space="preserve"> </w:t>
      </w:r>
      <w:r w:rsidR="00053336">
        <w:t>11</w:t>
      </w:r>
      <w:r w:rsidR="00711271">
        <w:t>1</w:t>
      </w:r>
      <w:r w:rsidR="00472688">
        <w:t xml:space="preserve"> podniky. </w:t>
      </w:r>
      <w:r w:rsidR="00206C36">
        <w:t xml:space="preserve">Nejméně </w:t>
      </w:r>
      <w:r w:rsidR="00D31E66">
        <w:t>subjektů</w:t>
      </w:r>
      <w:r w:rsidR="00D74F7F">
        <w:t xml:space="preserve">, které uplatnily odečet výdajů na </w:t>
      </w:r>
      <w:proofErr w:type="spellStart"/>
      <w:r w:rsidR="00D74F7F">
        <w:t>VaV</w:t>
      </w:r>
      <w:proofErr w:type="spellEnd"/>
      <w:r w:rsidR="00D74F7F">
        <w:t xml:space="preserve">, </w:t>
      </w:r>
      <w:r w:rsidR="009A2016">
        <w:t xml:space="preserve">pocházelo z </w:t>
      </w:r>
      <w:r w:rsidR="00D74F7F">
        <w:t>Karlovarské</w:t>
      </w:r>
      <w:r w:rsidR="009A2016">
        <w:t>ho</w:t>
      </w:r>
      <w:r w:rsidR="00D74F7F">
        <w:t xml:space="preserve"> kraj</w:t>
      </w:r>
      <w:r w:rsidR="009A2016">
        <w:t>e</w:t>
      </w:r>
      <w:r w:rsidR="00D74F7F">
        <w:t xml:space="preserve"> (</w:t>
      </w:r>
      <w:r w:rsidR="00711271">
        <w:t>pouhých 9</w:t>
      </w:r>
      <w:r w:rsidR="00D74F7F">
        <w:t xml:space="preserve"> </w:t>
      </w:r>
      <w:r w:rsidR="00933073">
        <w:t>podniků</w:t>
      </w:r>
      <w:r w:rsidR="00D74F7F">
        <w:t>).</w:t>
      </w:r>
      <w:r w:rsidR="008D3CBD">
        <w:t xml:space="preserve"> </w:t>
      </w:r>
      <w:r w:rsidR="009A2016">
        <w:t>Rozložení</w:t>
      </w:r>
      <w:r w:rsidR="008D3CBD">
        <w:t xml:space="preserve"> p</w:t>
      </w:r>
      <w:r w:rsidR="0070046A">
        <w:t xml:space="preserve">odniků </w:t>
      </w:r>
      <w:r w:rsidR="009A2016">
        <w:t xml:space="preserve">napříč regiony </w:t>
      </w:r>
      <w:r w:rsidR="0070046A">
        <w:t xml:space="preserve">z velké části </w:t>
      </w:r>
      <w:r w:rsidR="009A2016">
        <w:t xml:space="preserve">odráží </w:t>
      </w:r>
      <w:r w:rsidR="008D3CBD">
        <w:t xml:space="preserve">celkové rozložení </w:t>
      </w:r>
      <w:r w:rsidR="003D1BBE">
        <w:t xml:space="preserve">soukromých </w:t>
      </w:r>
      <w:r w:rsidR="008D3CBD">
        <w:t xml:space="preserve">podniků provádějících </w:t>
      </w:r>
      <w:proofErr w:type="spellStart"/>
      <w:r w:rsidR="008D3CBD">
        <w:t>VaV</w:t>
      </w:r>
      <w:proofErr w:type="spellEnd"/>
      <w:r w:rsidR="003D1BBE">
        <w:t xml:space="preserve">, </w:t>
      </w:r>
      <w:r w:rsidR="00EE14BA">
        <w:t>což lze doložit daty z</w:t>
      </w:r>
      <w:r w:rsidR="005C4540">
        <w:t>e</w:t>
      </w:r>
      <w:r w:rsidR="00C96482">
        <w:t xml:space="preserve"> šetření </w:t>
      </w:r>
      <w:r w:rsidR="003D1BBE">
        <w:t>o výzkumu a vývoji (</w:t>
      </w:r>
      <w:r w:rsidR="00C96482">
        <w:t>VTR</w:t>
      </w:r>
      <w:r w:rsidR="003D1BBE">
        <w:t xml:space="preserve"> 5-01)</w:t>
      </w:r>
      <w:r w:rsidR="008D3CBD">
        <w:t xml:space="preserve">. </w:t>
      </w:r>
    </w:p>
    <w:p w14:paraId="43930899" w14:textId="26E3D556" w:rsidR="00212AED" w:rsidRDefault="0028792D" w:rsidP="00224077">
      <w:pPr>
        <w:spacing w:before="120"/>
        <w:jc w:val="both"/>
      </w:pPr>
      <w:r>
        <w:t xml:space="preserve">Mezi soukromými podniky, které v roce 2017 využily možnosti uplatnit daňové odpočty výdajů na </w:t>
      </w:r>
      <w:proofErr w:type="spellStart"/>
      <w:r>
        <w:t>VaV</w:t>
      </w:r>
      <w:proofErr w:type="spellEnd"/>
      <w:r>
        <w:t xml:space="preserve">, </w:t>
      </w:r>
      <w:r w:rsidR="008116DE" w:rsidRPr="008116DE">
        <w:t xml:space="preserve">převažovaly ve všech krajích, kromě hlavního města Prahy, podniky působící ve zpracovatelském průmyslu (CZ-NACE C). </w:t>
      </w:r>
      <w:r w:rsidR="004D4F8D">
        <w:t xml:space="preserve">Pro Prahu je charakteristické </w:t>
      </w:r>
      <w:r w:rsidR="0050486B">
        <w:t>silné zastoupení firem</w:t>
      </w:r>
      <w:r w:rsidR="004D4F8D">
        <w:t xml:space="preserve"> provádějících výzkum a vývoj</w:t>
      </w:r>
      <w:r w:rsidR="0050486B">
        <w:t xml:space="preserve"> </w:t>
      </w:r>
      <w:r w:rsidR="004D4F8D">
        <w:t>v oblasti informačních a komunikačních technologií (</w:t>
      </w:r>
      <w:r w:rsidR="008B5965">
        <w:t>CZ-</w:t>
      </w:r>
      <w:r w:rsidR="0050486B">
        <w:t>NACE J</w:t>
      </w:r>
      <w:r w:rsidR="004D4F8D">
        <w:t>)</w:t>
      </w:r>
      <w:r w:rsidR="0050486B">
        <w:t>.</w:t>
      </w:r>
      <w:r w:rsidR="001C45AC">
        <w:t xml:space="preserve"> </w:t>
      </w:r>
      <w:r w:rsidR="00564054">
        <w:t>Výzkumem a vývoje</w:t>
      </w:r>
      <w:r w:rsidR="009550CD">
        <w:t>m</w:t>
      </w:r>
      <w:r w:rsidR="00564054">
        <w:t xml:space="preserve"> se v</w:t>
      </w:r>
      <w:r w:rsidR="00151E33">
        <w:t> </w:t>
      </w:r>
      <w:r w:rsidR="00564054">
        <w:t>tom</w:t>
      </w:r>
      <w:r w:rsidR="00151E33">
        <w:t xml:space="preserve">to odvětví </w:t>
      </w:r>
      <w:r w:rsidR="00564054">
        <w:t>zabývalo</w:t>
      </w:r>
      <w:r w:rsidR="00151E33">
        <w:t xml:space="preserve"> 140 z celkového počtu 580</w:t>
      </w:r>
      <w:r w:rsidR="00564054">
        <w:t xml:space="preserve"> soukromých podniků</w:t>
      </w:r>
      <w:r w:rsidR="004D4253">
        <w:t xml:space="preserve"> </w:t>
      </w:r>
      <w:r w:rsidR="00122FA4">
        <w:t xml:space="preserve">v </w:t>
      </w:r>
      <w:r w:rsidR="004D4253">
        <w:t>tomto</w:t>
      </w:r>
      <w:r w:rsidR="00564054">
        <w:t> kraji.</w:t>
      </w:r>
    </w:p>
    <w:p w14:paraId="44F57CA6" w14:textId="67AA9423" w:rsidR="00F62ADC" w:rsidRDefault="002814B4" w:rsidP="00212AED">
      <w:pPr>
        <w:spacing w:before="120"/>
        <w:jc w:val="both"/>
      </w:pPr>
      <w:r w:rsidRPr="00F62ADC">
        <w:t xml:space="preserve">Z celkové částky nepřímé veřejné podpory </w:t>
      </w:r>
      <w:proofErr w:type="spellStart"/>
      <w:r w:rsidRPr="00F62ADC">
        <w:t>VaV</w:t>
      </w:r>
      <w:proofErr w:type="spellEnd"/>
      <w:r w:rsidRPr="00F62ADC">
        <w:t xml:space="preserve"> </w:t>
      </w:r>
      <w:r w:rsidR="009D3D3E" w:rsidRPr="00F62ADC">
        <w:t>získané soukromými podniky v</w:t>
      </w:r>
      <w:r w:rsidRPr="00F62ADC">
        <w:t> ČR,</w:t>
      </w:r>
      <w:r w:rsidR="009D3D3E" w:rsidRPr="00F62ADC">
        <w:t xml:space="preserve"> připadla </w:t>
      </w:r>
      <w:r w:rsidR="00896ECF" w:rsidRPr="00F62ADC">
        <w:t xml:space="preserve">téměř </w:t>
      </w:r>
      <w:r w:rsidR="009D3D3E" w:rsidRPr="00F62ADC">
        <w:t xml:space="preserve">třetina </w:t>
      </w:r>
      <w:r w:rsidR="00590264" w:rsidRPr="00F62ADC">
        <w:t>(7</w:t>
      </w:r>
      <w:r w:rsidR="00151E33" w:rsidRPr="00F62ADC">
        <w:t>17</w:t>
      </w:r>
      <w:r w:rsidR="00312451" w:rsidRPr="00F62ADC">
        <w:t> mil.</w:t>
      </w:r>
      <w:r w:rsidR="00151E33" w:rsidRPr="00F62ADC">
        <w:t> </w:t>
      </w:r>
      <w:r w:rsidR="00312451" w:rsidRPr="00F62ADC">
        <w:t xml:space="preserve">Kč) </w:t>
      </w:r>
      <w:r w:rsidR="009D3D3E" w:rsidRPr="00F62ADC">
        <w:t xml:space="preserve">podnikům sídlícím v hlavním </w:t>
      </w:r>
      <w:r w:rsidR="00F62ADC" w:rsidRPr="00F62ADC">
        <w:t>městě.</w:t>
      </w:r>
      <w:r w:rsidR="00CB654D" w:rsidRPr="00F62ADC">
        <w:t xml:space="preserve"> </w:t>
      </w:r>
      <w:r w:rsidR="00F62ADC" w:rsidRPr="00F62ADC">
        <w:t>Z této částky získaly</w:t>
      </w:r>
      <w:r w:rsidR="00CB654D" w:rsidRPr="00F62ADC">
        <w:t xml:space="preserve"> </w:t>
      </w:r>
      <w:r w:rsidR="00F62ADC" w:rsidRPr="00F62ADC">
        <w:t>jednu čtvrtinu (186</w:t>
      </w:r>
      <w:r w:rsidR="00590264" w:rsidRPr="00F62ADC">
        <w:t xml:space="preserve"> mil. Kč) </w:t>
      </w:r>
      <w:r w:rsidR="00F62ADC" w:rsidRPr="00F62ADC">
        <w:t>podniky</w:t>
      </w:r>
      <w:r w:rsidR="00CB654D" w:rsidRPr="00F62ADC">
        <w:t xml:space="preserve"> v oblasti IT služeb (CZ-NACE J)</w:t>
      </w:r>
      <w:r w:rsidR="006E582A" w:rsidRPr="00F62ADC">
        <w:t>.</w:t>
      </w:r>
      <w:r w:rsidR="00F62ADC">
        <w:t xml:space="preserve"> Soukromé podniky ve zpracovatelském průmyslu nárokovaly daňovou podporu </w:t>
      </w:r>
      <w:proofErr w:type="spellStart"/>
      <w:r w:rsidR="00F62ADC">
        <w:t>VaV</w:t>
      </w:r>
      <w:proofErr w:type="spellEnd"/>
      <w:r w:rsidR="00F62ADC">
        <w:t xml:space="preserve"> ve výši 223 mil. Kč (31 % v rámci kraje).</w:t>
      </w:r>
    </w:p>
    <w:p w14:paraId="7685F37C" w14:textId="75BABA5A" w:rsidR="006C7EA7" w:rsidRDefault="00896ECF" w:rsidP="00212AED">
      <w:pPr>
        <w:spacing w:before="120"/>
        <w:jc w:val="both"/>
      </w:pPr>
      <w:r w:rsidRPr="00F62ADC">
        <w:t>H</w:t>
      </w:r>
      <w:r w:rsidR="006B3F78" w:rsidRPr="00F62ADC">
        <w:t xml:space="preserve">ranici půl miliardy Kč </w:t>
      </w:r>
      <w:r w:rsidRPr="00F62ADC">
        <w:t xml:space="preserve">překonal již </w:t>
      </w:r>
      <w:r w:rsidR="006B3F78" w:rsidRPr="00F62ADC">
        <w:t>pouze Středočeský kraj (</w:t>
      </w:r>
      <w:r w:rsidRPr="00F62ADC">
        <w:t>629</w:t>
      </w:r>
      <w:r w:rsidR="00312451" w:rsidRPr="00F62ADC">
        <w:t xml:space="preserve"> mil. Kč). </w:t>
      </w:r>
      <w:r w:rsidR="006B3F78" w:rsidRPr="00F62ADC">
        <w:t xml:space="preserve">Téměř veškerou </w:t>
      </w:r>
      <w:r w:rsidR="00F62ADC" w:rsidRPr="00F62ADC">
        <w:t xml:space="preserve">daňovou </w:t>
      </w:r>
      <w:r w:rsidR="006B3F78" w:rsidRPr="00F62ADC">
        <w:t>podporu</w:t>
      </w:r>
      <w:r w:rsidR="00F62ADC" w:rsidRPr="00F62ADC">
        <w:t xml:space="preserve"> </w:t>
      </w:r>
      <w:proofErr w:type="spellStart"/>
      <w:r w:rsidR="00F62ADC" w:rsidRPr="00F62ADC">
        <w:t>VaV</w:t>
      </w:r>
      <w:proofErr w:type="spellEnd"/>
      <w:r w:rsidR="00F62ADC" w:rsidRPr="00F62ADC">
        <w:t xml:space="preserve"> (97 %; 608</w:t>
      </w:r>
      <w:r w:rsidR="00AB257C" w:rsidRPr="00F62ADC">
        <w:t xml:space="preserve"> mil. Kč) v tomto kraji</w:t>
      </w:r>
      <w:r w:rsidR="00E44790" w:rsidRPr="00F62ADC">
        <w:t xml:space="preserve"> získaly podniky ve zpracovatelském průmyslu. </w:t>
      </w:r>
      <w:r w:rsidR="00312451" w:rsidRPr="00F62ADC">
        <w:t>Vý</w:t>
      </w:r>
      <w:r w:rsidR="00B34DA5" w:rsidRPr="00F62ADC">
        <w:t xml:space="preserve">znamnou roli </w:t>
      </w:r>
      <w:r w:rsidR="00312451" w:rsidRPr="00F62ADC">
        <w:t>hrají</w:t>
      </w:r>
      <w:r w:rsidR="00B34DA5" w:rsidRPr="00F62ADC">
        <w:t xml:space="preserve"> zejména</w:t>
      </w:r>
      <w:r w:rsidR="00312451" w:rsidRPr="00F62ADC">
        <w:t xml:space="preserve"> podniky provádějící </w:t>
      </w:r>
      <w:proofErr w:type="spellStart"/>
      <w:r w:rsidR="00312451" w:rsidRPr="00F62ADC">
        <w:t>VaV</w:t>
      </w:r>
      <w:proofErr w:type="spellEnd"/>
      <w:r w:rsidR="00312451" w:rsidRPr="00F62ADC">
        <w:t xml:space="preserve"> v odvětví automobilového průmyslu.</w:t>
      </w:r>
      <w:r w:rsidR="009D12F1" w:rsidRPr="00F62ADC">
        <w:t xml:space="preserve"> </w:t>
      </w:r>
      <w:r w:rsidR="009D12F1" w:rsidRPr="00896ECF">
        <w:t xml:space="preserve">Převážná část nepřímé veřejné podpory </w:t>
      </w:r>
      <w:proofErr w:type="spellStart"/>
      <w:r w:rsidR="009D12F1" w:rsidRPr="00896ECF">
        <w:t>VaV</w:t>
      </w:r>
      <w:proofErr w:type="spellEnd"/>
      <w:r w:rsidR="009D12F1" w:rsidRPr="00896ECF">
        <w:t xml:space="preserve"> ve Středočeském kraji směřovala do podniků pod</w:t>
      </w:r>
      <w:r w:rsidR="006B3F78" w:rsidRPr="00896ECF">
        <w:t xml:space="preserve"> zahraniční kontrolou (</w:t>
      </w:r>
      <w:r w:rsidRPr="00896ECF">
        <w:t>94</w:t>
      </w:r>
      <w:r w:rsidR="006B3F78" w:rsidRPr="00896ECF">
        <w:t xml:space="preserve"> %; </w:t>
      </w:r>
      <w:r w:rsidRPr="00896ECF">
        <w:t>591</w:t>
      </w:r>
      <w:r w:rsidR="009D12F1" w:rsidRPr="00896ECF">
        <w:t xml:space="preserve"> mil. Kč).</w:t>
      </w:r>
      <w:r>
        <w:t xml:space="preserve"> Oproti předchozímu roku 2016 vzrostla nepřímá veřejná podpora </w:t>
      </w:r>
      <w:proofErr w:type="spellStart"/>
      <w:r>
        <w:t>VaV</w:t>
      </w:r>
      <w:proofErr w:type="spellEnd"/>
      <w:r>
        <w:t xml:space="preserve"> v tomto kraji o výrazných 49 %</w:t>
      </w:r>
      <w:r w:rsidR="00E44790">
        <w:t xml:space="preserve"> </w:t>
      </w:r>
      <w:r>
        <w:t>(</w:t>
      </w:r>
      <w:r w:rsidR="0084014C">
        <w:t xml:space="preserve">absolutně o </w:t>
      </w:r>
      <w:r>
        <w:t>208 mil. Kč).</w:t>
      </w:r>
    </w:p>
    <w:p w14:paraId="7BBDD0BE" w14:textId="77777777" w:rsidR="00F62ADC" w:rsidRDefault="00F62ADC" w:rsidP="006E582A">
      <w:pPr>
        <w:spacing w:before="120"/>
        <w:jc w:val="both"/>
        <w:rPr>
          <w:b/>
        </w:rPr>
      </w:pPr>
    </w:p>
    <w:p w14:paraId="02B60B2C" w14:textId="77777777" w:rsidR="00F62ADC" w:rsidRDefault="00F62ADC" w:rsidP="006E582A">
      <w:pPr>
        <w:spacing w:before="120"/>
        <w:jc w:val="both"/>
        <w:rPr>
          <w:b/>
        </w:rPr>
      </w:pPr>
    </w:p>
    <w:p w14:paraId="07C1344E" w14:textId="77777777" w:rsidR="00F62ADC" w:rsidRDefault="00F62ADC" w:rsidP="006E582A">
      <w:pPr>
        <w:spacing w:before="120"/>
        <w:jc w:val="both"/>
        <w:rPr>
          <w:b/>
        </w:rPr>
      </w:pPr>
    </w:p>
    <w:p w14:paraId="5A4AC81E" w14:textId="77777777" w:rsidR="00F62ADC" w:rsidRDefault="00F62ADC" w:rsidP="006E582A">
      <w:pPr>
        <w:spacing w:before="120"/>
        <w:jc w:val="both"/>
        <w:rPr>
          <w:b/>
        </w:rPr>
      </w:pPr>
    </w:p>
    <w:p w14:paraId="0BDACA32" w14:textId="523AFCA2" w:rsidR="0083159F" w:rsidRDefault="00053336" w:rsidP="006E582A">
      <w:pPr>
        <w:spacing w:before="120"/>
        <w:jc w:val="both"/>
        <w:rPr>
          <w:b/>
        </w:rPr>
      </w:pPr>
      <w:r>
        <w:rPr>
          <w:b/>
        </w:rPr>
        <w:lastRenderedPageBreak/>
        <w:t>GRAF 1</w:t>
      </w:r>
      <w:r w:rsidR="0069364F">
        <w:rPr>
          <w:b/>
        </w:rPr>
        <w:t>3</w:t>
      </w:r>
      <w:r w:rsidR="0083159F" w:rsidRPr="00275BC0">
        <w:rPr>
          <w:b/>
        </w:rPr>
        <w:t xml:space="preserve">: </w:t>
      </w:r>
      <w:r w:rsidR="00EC5D6C" w:rsidRPr="00275BC0">
        <w:rPr>
          <w:b/>
        </w:rPr>
        <w:t xml:space="preserve">Soukromé podniky využívající nepřímou veřejnou podporu </w:t>
      </w:r>
      <w:proofErr w:type="spellStart"/>
      <w:r w:rsidR="00EC5D6C" w:rsidRPr="00275BC0">
        <w:rPr>
          <w:b/>
        </w:rPr>
        <w:t>VaV</w:t>
      </w:r>
      <w:proofErr w:type="spellEnd"/>
      <w:r w:rsidR="00EC5D6C" w:rsidRPr="00275BC0" w:rsidDel="00C93A0D">
        <w:rPr>
          <w:b/>
        </w:rPr>
        <w:t xml:space="preserve"> </w:t>
      </w:r>
      <w:r w:rsidR="000F7DFF">
        <w:rPr>
          <w:b/>
        </w:rPr>
        <w:t>podle krajů, 2017</w:t>
      </w:r>
    </w:p>
    <w:p w14:paraId="638B943D" w14:textId="68A92F53" w:rsidR="0083159F" w:rsidRPr="00710A84" w:rsidRDefault="00A407B6" w:rsidP="00604FC4">
      <w:pPr>
        <w:spacing w:before="120"/>
        <w:jc w:val="both"/>
        <w:rPr>
          <w:b/>
        </w:rPr>
      </w:pPr>
      <w:r>
        <w:rPr>
          <w:noProof/>
        </w:rPr>
        <w:drawing>
          <wp:inline distT="0" distB="0" distL="0" distR="0" wp14:anchorId="08C420AB" wp14:editId="48A24BE7">
            <wp:extent cx="6120000" cy="2762250"/>
            <wp:effectExtent l="0" t="0" r="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A407B6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625214" wp14:editId="551E32FD">
            <wp:extent cx="6120000" cy="2880000"/>
            <wp:effectExtent l="0" t="0" r="0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CC2CB36" w14:textId="77777777" w:rsidR="005B65C2" w:rsidRPr="004C3AE6" w:rsidRDefault="006E0C59" w:rsidP="00815240">
      <w:pPr>
        <w:spacing w:before="120"/>
        <w:jc w:val="both"/>
        <w:rPr>
          <w:b/>
          <w:sz w:val="18"/>
          <w:highlight w:val="yellow"/>
        </w:rPr>
      </w:pPr>
      <w:r w:rsidRPr="004C3AE6">
        <w:rPr>
          <w:i/>
          <w:sz w:val="16"/>
        </w:rPr>
        <w:t xml:space="preserve">Zdroj: ČSÚ podle administrativních dat GFŘ </w:t>
      </w:r>
      <w:bookmarkStart w:id="1" w:name="_Toc415056896"/>
    </w:p>
    <w:p w14:paraId="57FADBC3" w14:textId="77777777" w:rsidR="001775E7" w:rsidRPr="007239E6" w:rsidRDefault="007214BF" w:rsidP="005C0BF9">
      <w:pPr>
        <w:pStyle w:val="Nadpis2"/>
        <w:pageBreakBefore/>
        <w:rPr>
          <w:sz w:val="24"/>
        </w:rPr>
      </w:pPr>
      <w:r w:rsidRPr="007239E6">
        <w:rPr>
          <w:sz w:val="24"/>
        </w:rPr>
        <w:lastRenderedPageBreak/>
        <w:t>3.3</w:t>
      </w:r>
      <w:r w:rsidR="00FC3657" w:rsidRPr="007239E6">
        <w:rPr>
          <w:sz w:val="24"/>
        </w:rPr>
        <w:t xml:space="preserve"> </w:t>
      </w:r>
      <w:r w:rsidR="002D3A94" w:rsidRPr="007239E6">
        <w:rPr>
          <w:sz w:val="24"/>
        </w:rPr>
        <w:t xml:space="preserve">Nepřímá veřejná podpora </w:t>
      </w:r>
      <w:proofErr w:type="spellStart"/>
      <w:r w:rsidR="002D3A94" w:rsidRPr="007239E6">
        <w:rPr>
          <w:sz w:val="24"/>
        </w:rPr>
        <w:t>VaV</w:t>
      </w:r>
      <w:proofErr w:type="spellEnd"/>
      <w:r w:rsidR="00D424DE" w:rsidRPr="007239E6">
        <w:rPr>
          <w:sz w:val="24"/>
        </w:rPr>
        <w:t xml:space="preserve"> </w:t>
      </w:r>
      <w:r w:rsidR="001775E7" w:rsidRPr="007239E6">
        <w:rPr>
          <w:sz w:val="24"/>
        </w:rPr>
        <w:t>v mezinárodním kontextu</w:t>
      </w:r>
    </w:p>
    <w:bookmarkEnd w:id="1"/>
    <w:p w14:paraId="4DCDBF80" w14:textId="6F6B0860" w:rsidR="00DF11D8" w:rsidRDefault="000F545E" w:rsidP="00124784">
      <w:pPr>
        <w:spacing w:before="120"/>
        <w:jc w:val="both"/>
      </w:pPr>
      <w:r>
        <w:t>Daňové pobídky a úlevy pro výzkum a vývoj</w:t>
      </w:r>
      <w:r w:rsidR="00BD51D4">
        <w:t xml:space="preserve"> jsou</w:t>
      </w:r>
      <w:r w:rsidR="00DC698A">
        <w:t xml:space="preserve"> v zemích OECD hojně využívaným nástrojem </w:t>
      </w:r>
      <w:r w:rsidR="00BD51D4">
        <w:t xml:space="preserve">veřejné </w:t>
      </w:r>
      <w:r w:rsidR="00DC698A">
        <w:t xml:space="preserve">podpory </w:t>
      </w:r>
      <w:proofErr w:type="spellStart"/>
      <w:r w:rsidR="00DC698A">
        <w:t>VaV</w:t>
      </w:r>
      <w:proofErr w:type="spellEnd"/>
      <w:r w:rsidR="00DC698A">
        <w:t xml:space="preserve"> v podnikové sféře</w:t>
      </w:r>
      <w:r>
        <w:t xml:space="preserve"> (blíže viz příloha č</w:t>
      </w:r>
      <w:r w:rsidR="00E6039F">
        <w:t>. </w:t>
      </w:r>
      <w:r>
        <w:t>4)</w:t>
      </w:r>
      <w:r w:rsidR="00DC698A">
        <w:t xml:space="preserve">. </w:t>
      </w:r>
      <w:r w:rsidR="00172B12" w:rsidRPr="00F70F76">
        <w:t xml:space="preserve">S výjimkou </w:t>
      </w:r>
      <w:r w:rsidR="001D1211">
        <w:t>osmi</w:t>
      </w:r>
      <w:r w:rsidR="00F70F76">
        <w:rPr>
          <w:rStyle w:val="Znakapoznpodarou"/>
        </w:rPr>
        <w:footnoteReference w:id="8"/>
      </w:r>
      <w:r w:rsidR="00DC698A" w:rsidRPr="00F70F76">
        <w:t xml:space="preserve"> zemí mohou </w:t>
      </w:r>
      <w:r w:rsidR="00172B12" w:rsidRPr="00F70F76">
        <w:t>podniky v</w:t>
      </w:r>
      <w:r w:rsidR="00DC698A" w:rsidRPr="00F70F76">
        <w:t xml:space="preserve"> zemích OECD využ</w:t>
      </w:r>
      <w:r w:rsidR="006C50CC" w:rsidRPr="00F70F76">
        <w:t>ít</w:t>
      </w:r>
      <w:r w:rsidR="00DC698A" w:rsidRPr="00F70F76">
        <w:t xml:space="preserve"> některou z možností daňové podpory </w:t>
      </w:r>
      <w:proofErr w:type="spellStart"/>
      <w:r w:rsidR="00DC698A" w:rsidRPr="00F70F76">
        <w:t>VaV</w:t>
      </w:r>
      <w:proofErr w:type="spellEnd"/>
      <w:r w:rsidR="00DC698A" w:rsidRPr="00F70F76">
        <w:t xml:space="preserve">. Mezi země, </w:t>
      </w:r>
      <w:r w:rsidR="009F5EC5" w:rsidRPr="00F70F76">
        <w:t>v</w:t>
      </w:r>
      <w:r w:rsidR="00DD319B" w:rsidRPr="00F70F76">
        <w:t> </w:t>
      </w:r>
      <w:r w:rsidR="009F5EC5" w:rsidRPr="00F70F76">
        <w:t>nichž</w:t>
      </w:r>
      <w:r w:rsidR="00DD319B" w:rsidRPr="00F70F76">
        <w:t xml:space="preserve"> </w:t>
      </w:r>
      <w:r w:rsidR="00DC698A" w:rsidRPr="00F70F76">
        <w:t xml:space="preserve">daňová podpora </w:t>
      </w:r>
      <w:proofErr w:type="spellStart"/>
      <w:r w:rsidR="00DC698A" w:rsidRPr="00F70F76">
        <w:t>VaV</w:t>
      </w:r>
      <w:proofErr w:type="spellEnd"/>
      <w:r w:rsidR="00DC698A" w:rsidRPr="00F70F76">
        <w:t xml:space="preserve"> </w:t>
      </w:r>
      <w:r w:rsidR="00DB6452" w:rsidRPr="00F70F76">
        <w:t xml:space="preserve">není </w:t>
      </w:r>
      <w:r w:rsidR="00172B12" w:rsidRPr="00F70F76">
        <w:t xml:space="preserve">zatím </w:t>
      </w:r>
      <w:r w:rsidR="00DC698A" w:rsidRPr="00F70F76">
        <w:t>zavedena</w:t>
      </w:r>
      <w:r w:rsidR="00F55CC4" w:rsidRPr="00F70F76">
        <w:t>,</w:t>
      </w:r>
      <w:r w:rsidR="00A20A84" w:rsidRPr="00F70F76">
        <w:t xml:space="preserve"> patří </w:t>
      </w:r>
      <w:r w:rsidR="00DC698A" w:rsidRPr="00F70F76">
        <w:t xml:space="preserve">i </w:t>
      </w:r>
      <w:r w:rsidR="00172B12" w:rsidRPr="00F70F76">
        <w:t xml:space="preserve">Německo – </w:t>
      </w:r>
      <w:r w:rsidR="005C22C7" w:rsidRPr="00F70F76">
        <w:t>hlavní obchodní partner</w:t>
      </w:r>
      <w:r w:rsidR="00172B12" w:rsidRPr="00F70F76">
        <w:t xml:space="preserve"> České republiky</w:t>
      </w:r>
      <w:r w:rsidR="005C22C7" w:rsidRPr="00F70F76">
        <w:t>.</w:t>
      </w:r>
      <w:r w:rsidR="00831B03">
        <w:t xml:space="preserve"> Pro mezinárodní srovnání se používají </w:t>
      </w:r>
      <w:r w:rsidR="00652D74">
        <w:t>následující tři</w:t>
      </w:r>
      <w:r w:rsidR="006D4556">
        <w:t xml:space="preserve"> </w:t>
      </w:r>
      <w:r w:rsidR="00831B03">
        <w:t>ukazatele</w:t>
      </w:r>
      <w:r w:rsidR="00136632">
        <w:t>:</w:t>
      </w:r>
      <w:r w:rsidR="00652D74">
        <w:t xml:space="preserve"> </w:t>
      </w:r>
      <w:r w:rsidR="00831B03">
        <w:t xml:space="preserve">výše nepřímé veřejné podpory </w:t>
      </w:r>
      <w:proofErr w:type="spellStart"/>
      <w:r w:rsidR="00831B03">
        <w:t>VaV</w:t>
      </w:r>
      <w:proofErr w:type="spellEnd"/>
      <w:r w:rsidR="00831B03">
        <w:t xml:space="preserve"> v paritě kupní síly</w:t>
      </w:r>
      <w:r w:rsidR="00C718C4">
        <w:t xml:space="preserve"> v USD</w:t>
      </w:r>
      <w:r w:rsidR="002A36A6">
        <w:t>,</w:t>
      </w:r>
      <w:r w:rsidR="00831B03">
        <w:t xml:space="preserve"> podíl nepřímé veřejné podpory </w:t>
      </w:r>
      <w:proofErr w:type="spellStart"/>
      <w:r w:rsidR="00831B03">
        <w:t>VaV</w:t>
      </w:r>
      <w:proofErr w:type="spellEnd"/>
      <w:r w:rsidR="00831B03">
        <w:t xml:space="preserve"> na hrubém domácím produktu (HDP)</w:t>
      </w:r>
      <w:r w:rsidR="002A36A6">
        <w:t xml:space="preserve"> a podíl </w:t>
      </w:r>
      <w:r w:rsidR="00652D74">
        <w:t xml:space="preserve">nepřímé veřejné podpory </w:t>
      </w:r>
      <w:proofErr w:type="spellStart"/>
      <w:r w:rsidR="00652D74">
        <w:t>VaV</w:t>
      </w:r>
      <w:proofErr w:type="spellEnd"/>
      <w:r w:rsidR="00652D74">
        <w:t xml:space="preserve"> </w:t>
      </w:r>
      <w:r w:rsidR="002A36A6">
        <w:t xml:space="preserve">na celkových výdajích na </w:t>
      </w:r>
      <w:proofErr w:type="spellStart"/>
      <w:r w:rsidR="002A36A6">
        <w:t>VaV</w:t>
      </w:r>
      <w:proofErr w:type="spellEnd"/>
      <w:r w:rsidR="002A36A6">
        <w:t xml:space="preserve"> v podnikatelském sektoru (BERD)</w:t>
      </w:r>
      <w:r w:rsidR="00831B03">
        <w:t xml:space="preserve">.  </w:t>
      </w:r>
      <w:r w:rsidR="00DC698A" w:rsidRPr="00F70F76">
        <w:t xml:space="preserve"> </w:t>
      </w:r>
    </w:p>
    <w:p w14:paraId="69386E69" w14:textId="77777777" w:rsidR="00DC698A" w:rsidRPr="00DF11D8" w:rsidRDefault="007214BF" w:rsidP="00DF11D8">
      <w:pPr>
        <w:pStyle w:val="Nadpis3"/>
        <w:spacing w:before="120"/>
        <w:rPr>
          <w:sz w:val="22"/>
        </w:rPr>
      </w:pPr>
      <w:r>
        <w:rPr>
          <w:rStyle w:val="st"/>
          <w:sz w:val="22"/>
        </w:rPr>
        <w:t>3.3</w:t>
      </w:r>
      <w:r w:rsidR="00DF11D8" w:rsidRPr="00E17709">
        <w:rPr>
          <w:rStyle w:val="st"/>
          <w:sz w:val="22"/>
        </w:rPr>
        <w:t>.</w:t>
      </w:r>
      <w:r w:rsidR="00DF11D8">
        <w:rPr>
          <w:rStyle w:val="st"/>
          <w:sz w:val="22"/>
        </w:rPr>
        <w:t>1</w:t>
      </w:r>
      <w:r w:rsidR="00DF11D8" w:rsidRPr="00E17709">
        <w:rPr>
          <w:rStyle w:val="st"/>
          <w:sz w:val="22"/>
        </w:rPr>
        <w:t xml:space="preserve"> </w:t>
      </w:r>
      <w:r w:rsidR="00DF11D8">
        <w:rPr>
          <w:rStyle w:val="st"/>
          <w:sz w:val="22"/>
        </w:rPr>
        <w:t>Podíl</w:t>
      </w:r>
      <w:r w:rsidR="00DF11D8" w:rsidRPr="00E17709">
        <w:rPr>
          <w:rStyle w:val="st"/>
          <w:sz w:val="22"/>
        </w:rPr>
        <w:t xml:space="preserve"> nepřímé veřejné podpory </w:t>
      </w:r>
      <w:proofErr w:type="spellStart"/>
      <w:r w:rsidR="00DF11D8" w:rsidRPr="00E17709">
        <w:rPr>
          <w:rStyle w:val="st"/>
          <w:sz w:val="22"/>
        </w:rPr>
        <w:t>VaV</w:t>
      </w:r>
      <w:proofErr w:type="spellEnd"/>
      <w:r w:rsidR="00DF11D8">
        <w:rPr>
          <w:rStyle w:val="st"/>
          <w:sz w:val="22"/>
        </w:rPr>
        <w:t xml:space="preserve"> na hrubém domácím produktu</w:t>
      </w:r>
      <w:r w:rsidR="00DF11D8" w:rsidRPr="00E17709">
        <w:rPr>
          <w:rStyle w:val="st"/>
          <w:sz w:val="22"/>
        </w:rPr>
        <w:t xml:space="preserve">  </w:t>
      </w:r>
      <w:r w:rsidR="00DC698A">
        <w:t xml:space="preserve">  </w:t>
      </w:r>
    </w:p>
    <w:p w14:paraId="34F094FA" w14:textId="0D20E05D" w:rsidR="00124784" w:rsidRDefault="001775E7" w:rsidP="00224077">
      <w:pPr>
        <w:spacing w:before="120"/>
        <w:jc w:val="both"/>
      </w:pPr>
      <w:r w:rsidRPr="000213B5">
        <w:t xml:space="preserve">Nejvyšší podíl </w:t>
      </w:r>
      <w:r w:rsidR="00DC698A" w:rsidRPr="000213B5">
        <w:t xml:space="preserve">nepřímé veřejné podpory </w:t>
      </w:r>
      <w:proofErr w:type="spellStart"/>
      <w:r w:rsidR="00B07572" w:rsidRPr="000213B5">
        <w:t>VaV</w:t>
      </w:r>
      <w:proofErr w:type="spellEnd"/>
      <w:r w:rsidR="00B07572" w:rsidRPr="000213B5">
        <w:t xml:space="preserve"> </w:t>
      </w:r>
      <w:r w:rsidR="00232D09">
        <w:t>ve vztahu</w:t>
      </w:r>
      <w:r w:rsidR="005932BA">
        <w:t xml:space="preserve"> k</w:t>
      </w:r>
      <w:r w:rsidRPr="000213B5">
        <w:t xml:space="preserve"> HDP byl v roce 201</w:t>
      </w:r>
      <w:r w:rsidR="00410844" w:rsidRPr="000213B5">
        <w:t>6</w:t>
      </w:r>
      <w:r w:rsidRPr="000213B5">
        <w:t xml:space="preserve"> z vybraných ze</w:t>
      </w:r>
      <w:r w:rsidR="00BE3ADF" w:rsidRPr="000213B5">
        <w:t xml:space="preserve">mí OECD </w:t>
      </w:r>
      <w:r w:rsidR="00495330" w:rsidRPr="000213B5">
        <w:t>dosažen v </w:t>
      </w:r>
      <w:r w:rsidR="00410844" w:rsidRPr="000213B5">
        <w:t>Belgii</w:t>
      </w:r>
      <w:r w:rsidR="00495330" w:rsidRPr="000213B5">
        <w:t xml:space="preserve"> (0,</w:t>
      </w:r>
      <w:r w:rsidR="00410844" w:rsidRPr="000213B5">
        <w:t>30</w:t>
      </w:r>
      <w:r w:rsidR="00495330" w:rsidRPr="000213B5">
        <w:t xml:space="preserve"> %). </w:t>
      </w:r>
      <w:r w:rsidR="00113CF2" w:rsidRPr="000213B5">
        <w:t>Vysoký podíl</w:t>
      </w:r>
      <w:r w:rsidR="00BE3ADF" w:rsidRPr="000213B5">
        <w:t xml:space="preserve"> </w:t>
      </w:r>
      <w:r w:rsidR="00113CF2" w:rsidRPr="000213B5">
        <w:t>byl také zaznamenán ve Francii</w:t>
      </w:r>
      <w:r w:rsidR="00410844" w:rsidRPr="000213B5">
        <w:t xml:space="preserve"> (0,29 %)</w:t>
      </w:r>
      <w:r w:rsidR="00113CF2" w:rsidRPr="000213B5">
        <w:t xml:space="preserve"> a </w:t>
      </w:r>
      <w:r w:rsidR="00410844" w:rsidRPr="000213B5">
        <w:t>Irsku (0,24 %)</w:t>
      </w:r>
      <w:r w:rsidR="00113CF2" w:rsidRPr="000213B5">
        <w:t xml:space="preserve">. </w:t>
      </w:r>
      <w:r w:rsidR="003071E1" w:rsidRPr="000213B5">
        <w:t>V</w:t>
      </w:r>
      <w:r w:rsidR="00113CF2" w:rsidRPr="000213B5">
        <w:t> uvedených</w:t>
      </w:r>
      <w:r w:rsidR="00495330" w:rsidRPr="000213B5">
        <w:t xml:space="preserve"> zemích</w:t>
      </w:r>
      <w:r w:rsidR="00B07572" w:rsidRPr="000213B5">
        <w:t xml:space="preserve"> </w:t>
      </w:r>
      <w:r w:rsidR="00113CF2" w:rsidRPr="000213B5">
        <w:t>obdržely podniky</w:t>
      </w:r>
      <w:r w:rsidR="000213B5" w:rsidRPr="000213B5">
        <w:t xml:space="preserve"> formou daňové podpory </w:t>
      </w:r>
      <w:proofErr w:type="spellStart"/>
      <w:r w:rsidR="000213B5" w:rsidRPr="000213B5">
        <w:t>VaV</w:t>
      </w:r>
      <w:proofErr w:type="spellEnd"/>
      <w:r w:rsidR="000213B5" w:rsidRPr="000213B5">
        <w:t xml:space="preserve"> více než</w:t>
      </w:r>
      <w:r w:rsidR="001D1211">
        <w:t xml:space="preserve"> dvakrát větší příspěvek než v </w:t>
      </w:r>
      <w:r w:rsidR="00113CF2" w:rsidRPr="000213B5">
        <w:t>případě přímé domácí veřejné podpory</w:t>
      </w:r>
      <w:r w:rsidR="00B822E5" w:rsidRPr="000213B5">
        <w:t xml:space="preserve">. </w:t>
      </w:r>
      <w:r>
        <w:t>Česk</w:t>
      </w:r>
      <w:r w:rsidR="00410844">
        <w:t>á</w:t>
      </w:r>
      <w:r>
        <w:t xml:space="preserve"> republik</w:t>
      </w:r>
      <w:r w:rsidR="00410844">
        <w:t>a</w:t>
      </w:r>
      <w:r w:rsidR="00CE56E4">
        <w:t xml:space="preserve"> se</w:t>
      </w:r>
      <w:r>
        <w:t xml:space="preserve"> </w:t>
      </w:r>
      <w:r w:rsidR="00CE56E4">
        <w:t xml:space="preserve">s </w:t>
      </w:r>
      <w:r>
        <w:t>podíl</w:t>
      </w:r>
      <w:r w:rsidR="00CE56E4">
        <w:t>em</w:t>
      </w:r>
      <w:r>
        <w:t xml:space="preserve"> </w:t>
      </w:r>
      <w:r w:rsidR="005C22C7">
        <w:t>nepřímé veřejné podpory</w:t>
      </w:r>
      <w:r w:rsidR="00B07572">
        <w:t xml:space="preserve"> </w:t>
      </w:r>
      <w:proofErr w:type="spellStart"/>
      <w:r w:rsidR="00B07572">
        <w:t>VaV</w:t>
      </w:r>
      <w:proofErr w:type="spellEnd"/>
      <w:r w:rsidR="00B07572">
        <w:t xml:space="preserve"> </w:t>
      </w:r>
      <w:r>
        <w:t xml:space="preserve">k HDP </w:t>
      </w:r>
      <w:r w:rsidR="00CE56E4">
        <w:t xml:space="preserve">ve výši </w:t>
      </w:r>
      <w:r w:rsidR="00E42577">
        <w:t>0,0</w:t>
      </w:r>
      <w:r w:rsidR="00410844">
        <w:t>5</w:t>
      </w:r>
      <w:r w:rsidR="00710C31">
        <w:t> </w:t>
      </w:r>
      <w:r>
        <w:t>%</w:t>
      </w:r>
      <w:r w:rsidR="00710C31">
        <w:t xml:space="preserve"> </w:t>
      </w:r>
      <w:r>
        <w:t xml:space="preserve">ocitla </w:t>
      </w:r>
      <w:r w:rsidR="004843F9">
        <w:t xml:space="preserve">na úrovni </w:t>
      </w:r>
      <w:r w:rsidR="00410844">
        <w:t>Švédska</w:t>
      </w:r>
      <w:r w:rsidR="004843F9">
        <w:t xml:space="preserve"> (0,0</w:t>
      </w:r>
      <w:r w:rsidR="00410844">
        <w:t>5</w:t>
      </w:r>
      <w:r w:rsidR="00A81347">
        <w:t> %</w:t>
      </w:r>
      <w:r w:rsidR="000213B5">
        <w:t>, rok 2014</w:t>
      </w:r>
      <w:r w:rsidR="00A81347">
        <w:t>)</w:t>
      </w:r>
      <w:r w:rsidR="000213B5">
        <w:t xml:space="preserve"> a Španělska (0,03 %)</w:t>
      </w:r>
      <w:r w:rsidR="00410844">
        <w:t>.</w:t>
      </w:r>
      <w:r w:rsidR="00A81347">
        <w:t xml:space="preserve"> </w:t>
      </w:r>
      <w:r w:rsidR="000213B5">
        <w:t xml:space="preserve">V rámci </w:t>
      </w:r>
      <w:r>
        <w:t>nových členských zemí EU</w:t>
      </w:r>
      <w:r w:rsidR="000213B5">
        <w:t>, které přistoupily do EU v roce 2004,</w:t>
      </w:r>
      <w:r>
        <w:t xml:space="preserve"> j</w:t>
      </w:r>
      <w:r w:rsidR="00F638C8">
        <w:t>sou</w:t>
      </w:r>
      <w:r>
        <w:t xml:space="preserve"> na tom lépe než ČR pouze </w:t>
      </w:r>
      <w:r w:rsidR="007201E8">
        <w:t>Slovinsko (0,12</w:t>
      </w:r>
      <w:r w:rsidR="003B75E7">
        <w:t> </w:t>
      </w:r>
      <w:r>
        <w:t>%)</w:t>
      </w:r>
      <w:r w:rsidR="00410844">
        <w:t xml:space="preserve"> a Maďarsko (0,09 %)</w:t>
      </w:r>
      <w:r w:rsidR="001D1211">
        <w:t>, které mají více než dvoj</w:t>
      </w:r>
      <w:r w:rsidR="00113CF2">
        <w:t>násobný podíl než ČR</w:t>
      </w:r>
      <w:r>
        <w:t>.</w:t>
      </w:r>
      <w:r w:rsidR="00CC3D30">
        <w:t xml:space="preserve"> Slovensko má naopak oproti ČR výrazně menší podíl (0,005 %).</w:t>
      </w:r>
      <w:r>
        <w:t xml:space="preserve"> </w:t>
      </w:r>
    </w:p>
    <w:p w14:paraId="0705A371" w14:textId="4F8D0996" w:rsidR="00410844" w:rsidRDefault="00242ACA" w:rsidP="00224077">
      <w:pPr>
        <w:spacing w:before="120" w:after="120"/>
        <w:jc w:val="both"/>
      </w:pPr>
      <w:r>
        <w:t>V</w:t>
      </w:r>
      <w:r w:rsidR="008C0B61">
        <w:t> zemích</w:t>
      </w:r>
      <w:r w:rsidR="00A45F8B">
        <w:t>, kte</w:t>
      </w:r>
      <w:r w:rsidR="008C0B61">
        <w:t>ré vstoupily d</w:t>
      </w:r>
      <w:r w:rsidR="00CC3D30">
        <w:t>o EU po roce 2004,</w:t>
      </w:r>
      <w:r w:rsidR="00A45F8B">
        <w:t xml:space="preserve"> není zatím daňová podpora </w:t>
      </w:r>
      <w:proofErr w:type="spellStart"/>
      <w:r w:rsidR="00A45F8B">
        <w:t>VaV</w:t>
      </w:r>
      <w:proofErr w:type="spellEnd"/>
      <w:r w:rsidR="00A45F8B">
        <w:t xml:space="preserve"> příliš využívána. </w:t>
      </w:r>
      <w:r w:rsidR="008C0B61">
        <w:t xml:space="preserve">V Bulharsku a Chorvatsku není tento nástroj zatím vůbec zaveden. </w:t>
      </w:r>
      <w:r w:rsidR="00CC3D30">
        <w:t>V Rumunsku dosahuje hodnota podílu na HDP úrovně</w:t>
      </w:r>
      <w:r w:rsidR="00A45F8B">
        <w:t xml:space="preserve"> jednotek promile</w:t>
      </w:r>
      <w:r w:rsidR="008C0B61">
        <w:t>.</w:t>
      </w:r>
      <w:r w:rsidR="00A45F8B">
        <w:t xml:space="preserve"> </w:t>
      </w:r>
    </w:p>
    <w:p w14:paraId="5FA1C3F0" w14:textId="09AB5DBB" w:rsidR="00B70DD8" w:rsidRDefault="001775E7" w:rsidP="00224077">
      <w:pPr>
        <w:spacing w:before="120" w:after="120"/>
        <w:jc w:val="both"/>
      </w:pPr>
      <w:r w:rsidRPr="00B70DD8">
        <w:t xml:space="preserve">V Číně dosáhl podíl </w:t>
      </w:r>
      <w:r w:rsidR="005C22C7" w:rsidRPr="00B70DD8">
        <w:t>nepřímé veřejné podpory</w:t>
      </w:r>
      <w:r w:rsidR="00B07572" w:rsidRPr="00B70DD8">
        <w:t xml:space="preserve"> </w:t>
      </w:r>
      <w:proofErr w:type="spellStart"/>
      <w:r w:rsidR="00B07572" w:rsidRPr="00B70DD8">
        <w:t>VaV</w:t>
      </w:r>
      <w:proofErr w:type="spellEnd"/>
      <w:r w:rsidR="00B07572" w:rsidRPr="00B70DD8">
        <w:t xml:space="preserve"> </w:t>
      </w:r>
      <w:r w:rsidRPr="00B70DD8">
        <w:t>na HDP v roce 20</w:t>
      </w:r>
      <w:r w:rsidR="00DB4A23" w:rsidRPr="00B70DD8">
        <w:t>1</w:t>
      </w:r>
      <w:r w:rsidR="00410844" w:rsidRPr="00B70DD8">
        <w:t>6</w:t>
      </w:r>
      <w:r w:rsidRPr="00B70DD8">
        <w:t xml:space="preserve"> podílu 0,0</w:t>
      </w:r>
      <w:r w:rsidR="00DB4A23" w:rsidRPr="00B70DD8">
        <w:t>7</w:t>
      </w:r>
      <w:r w:rsidRPr="00B70DD8">
        <w:t> %.</w:t>
      </w:r>
      <w:r w:rsidR="001D3737" w:rsidRPr="00B70DD8">
        <w:t xml:space="preserve"> Z asijských ekonomik zaznamenala nejvyšší podíl nepřímé veřejné podp</w:t>
      </w:r>
      <w:r w:rsidR="00A45F8B" w:rsidRPr="00B70DD8">
        <w:t xml:space="preserve">ory </w:t>
      </w:r>
      <w:proofErr w:type="spellStart"/>
      <w:r w:rsidR="00A45F8B" w:rsidRPr="00B70DD8">
        <w:t>VaV</w:t>
      </w:r>
      <w:proofErr w:type="spellEnd"/>
      <w:r w:rsidR="00A45F8B" w:rsidRPr="00B70DD8">
        <w:t xml:space="preserve"> na HDP Jižní Korea (0,1</w:t>
      </w:r>
      <w:r w:rsidR="00410844" w:rsidRPr="00B70DD8">
        <w:t>4 </w:t>
      </w:r>
      <w:r w:rsidR="001D3737" w:rsidRPr="00B70DD8">
        <w:t xml:space="preserve">%). </w:t>
      </w:r>
      <w:r w:rsidRPr="00B70DD8">
        <w:t xml:space="preserve"> </w:t>
      </w:r>
      <w:r w:rsidR="00101CE4" w:rsidRPr="00B70DD8">
        <w:t>V Japonsku dosáhl podíl úrovně</w:t>
      </w:r>
      <w:r w:rsidR="001D3737" w:rsidRPr="00B70DD8">
        <w:t xml:space="preserve"> 0,1</w:t>
      </w:r>
      <w:r w:rsidR="00410844" w:rsidRPr="00B70DD8">
        <w:t>1</w:t>
      </w:r>
      <w:r w:rsidR="001D3737" w:rsidRPr="00B70DD8">
        <w:t> %.</w:t>
      </w:r>
      <w:r w:rsidR="00E203F4" w:rsidRPr="00B70DD8">
        <w:t xml:space="preserve"> Přitom výdaje na</w:t>
      </w:r>
      <w:r w:rsidR="00B70DD8" w:rsidRPr="00B70DD8">
        <w:t xml:space="preserve"> </w:t>
      </w:r>
      <w:proofErr w:type="spellStart"/>
      <w:r w:rsidR="00B70DD8" w:rsidRPr="00B70DD8">
        <w:t>VaV</w:t>
      </w:r>
      <w:proofErr w:type="spellEnd"/>
      <w:r w:rsidR="00B70DD8" w:rsidRPr="00B70DD8">
        <w:t xml:space="preserve"> v Japonsku (134 662 v mil. USD v paritě kupní síly) byly v roce</w:t>
      </w:r>
      <w:r w:rsidR="00D5418F">
        <w:t xml:space="preserve"> 2016 </w:t>
      </w:r>
      <w:r w:rsidR="00B70DD8" w:rsidRPr="00B70DD8">
        <w:t>téměř 2</w:t>
      </w:r>
      <w:r w:rsidR="00E203F4" w:rsidRPr="00B70DD8">
        <w:t>krát větší než v Jižní Koreji.</w:t>
      </w:r>
      <w:r w:rsidR="004431A3" w:rsidRPr="00B70DD8">
        <w:t xml:space="preserve"> </w:t>
      </w:r>
    </w:p>
    <w:p w14:paraId="0C9004B4" w14:textId="43DB123C" w:rsidR="00124784" w:rsidRPr="00410844" w:rsidRDefault="004431A3" w:rsidP="00224077">
      <w:pPr>
        <w:spacing w:before="120" w:after="120"/>
        <w:jc w:val="both"/>
        <w:rPr>
          <w:color w:val="FF0000"/>
        </w:rPr>
      </w:pPr>
      <w:r w:rsidRPr="00B70DD8">
        <w:t xml:space="preserve">Podíl nepřímé </w:t>
      </w:r>
      <w:r w:rsidR="00AD2487">
        <w:t xml:space="preserve">veřejné podpory na </w:t>
      </w:r>
      <w:proofErr w:type="spellStart"/>
      <w:r w:rsidR="00AD2487">
        <w:t>VaV</w:t>
      </w:r>
      <w:proofErr w:type="spellEnd"/>
      <w:r w:rsidR="00AD2487">
        <w:t xml:space="preserve"> ve vztahu k</w:t>
      </w:r>
      <w:r w:rsidRPr="00B70DD8">
        <w:t> HDP ve většin</w:t>
      </w:r>
      <w:r w:rsidR="008C0B61" w:rsidRPr="00B70DD8">
        <w:t>ě zemí</w:t>
      </w:r>
      <w:r w:rsidR="00B70DD8">
        <w:t xml:space="preserve">, které nejvíce investují do </w:t>
      </w:r>
      <w:proofErr w:type="spellStart"/>
      <w:r w:rsidR="00B70DD8">
        <w:t>VaV</w:t>
      </w:r>
      <w:proofErr w:type="spellEnd"/>
      <w:r w:rsidR="00B70DD8">
        <w:t>,</w:t>
      </w:r>
      <w:r w:rsidR="008C0B61" w:rsidRPr="00B70DD8">
        <w:t xml:space="preserve"> mezi roky 2014 a 20</w:t>
      </w:r>
      <w:r w:rsidR="00B70DD8" w:rsidRPr="00B70DD8">
        <w:t>16</w:t>
      </w:r>
      <w:r w:rsidR="008C0B61" w:rsidRPr="00B70DD8">
        <w:t xml:space="preserve"> měl tendenci spíše klesat</w:t>
      </w:r>
      <w:r w:rsidRPr="00B70DD8">
        <w:t>.</w:t>
      </w:r>
      <w:r w:rsidR="008C0B61" w:rsidRPr="00B70DD8">
        <w:t xml:space="preserve"> Svou roli sehrálo</w:t>
      </w:r>
      <w:r w:rsidR="003A7B23" w:rsidRPr="00B70DD8">
        <w:t xml:space="preserve"> rychlejší tempo růstu HDP</w:t>
      </w:r>
      <w:r w:rsidR="001256D4" w:rsidRPr="00B70DD8">
        <w:t>,</w:t>
      </w:r>
      <w:r w:rsidR="008C0B61" w:rsidRPr="00B70DD8">
        <w:t xml:space="preserve"> než bylo tempo růstu nepřímé veřejné podpory </w:t>
      </w:r>
      <w:proofErr w:type="spellStart"/>
      <w:r w:rsidR="008C0B61" w:rsidRPr="004A4499">
        <w:t>VaV</w:t>
      </w:r>
      <w:proofErr w:type="spellEnd"/>
      <w:r w:rsidR="003A7B23" w:rsidRPr="004A4499">
        <w:t>.</w:t>
      </w:r>
      <w:r w:rsidR="004A4499" w:rsidRPr="004A4499">
        <w:t xml:space="preserve"> Výjimkou je pouze rychle rostoucí </w:t>
      </w:r>
      <w:r w:rsidR="004A4499">
        <w:t xml:space="preserve">Čína, kde </w:t>
      </w:r>
      <w:r w:rsidR="00201B44">
        <w:t xml:space="preserve">podniky mezi roky 2015 a 2016 </w:t>
      </w:r>
      <w:r w:rsidR="004A4499">
        <w:t xml:space="preserve">navýšily výdaje na </w:t>
      </w:r>
      <w:proofErr w:type="spellStart"/>
      <w:r w:rsidR="004A4499">
        <w:t>VaV</w:t>
      </w:r>
      <w:proofErr w:type="spellEnd"/>
      <w:r w:rsidR="004A4499">
        <w:t xml:space="preserve"> o 12 % na </w:t>
      </w:r>
      <w:r w:rsidR="004A4499" w:rsidRPr="004A4499">
        <w:t>349</w:t>
      </w:r>
      <w:r w:rsidR="004A4499">
        <w:t> </w:t>
      </w:r>
      <w:r w:rsidR="004A4499" w:rsidRPr="004A4499">
        <w:t>685</w:t>
      </w:r>
      <w:r w:rsidRPr="004A4499">
        <w:t xml:space="preserve"> </w:t>
      </w:r>
      <w:r w:rsidR="004A4499" w:rsidRPr="00B70DD8">
        <w:t>v mil. USD v paritě kupní síly</w:t>
      </w:r>
      <w:r w:rsidR="004A4499">
        <w:t>.</w:t>
      </w:r>
    </w:p>
    <w:p w14:paraId="0C11249E" w14:textId="0582F955" w:rsidR="00AE5259" w:rsidRPr="004C3AE6" w:rsidRDefault="00E076DE" w:rsidP="007A0BE9">
      <w:pPr>
        <w:spacing w:before="120"/>
        <w:rPr>
          <w:b/>
          <w:sz w:val="18"/>
        </w:rPr>
      </w:pPr>
      <w:r>
        <w:rPr>
          <w:b/>
        </w:rPr>
        <w:t xml:space="preserve">GRAF </w:t>
      </w:r>
      <w:r w:rsidR="00F870B4">
        <w:rPr>
          <w:b/>
        </w:rPr>
        <w:t>14</w:t>
      </w:r>
      <w:r w:rsidR="001775E7" w:rsidRPr="00710A84">
        <w:rPr>
          <w:b/>
        </w:rPr>
        <w:t xml:space="preserve">: </w:t>
      </w:r>
      <w:r w:rsidR="002D3A94">
        <w:rPr>
          <w:b/>
        </w:rPr>
        <w:t xml:space="preserve">Nepřímá veřejná podpora </w:t>
      </w:r>
      <w:proofErr w:type="spellStart"/>
      <w:r w:rsidR="002D3A94">
        <w:rPr>
          <w:b/>
        </w:rPr>
        <w:t>VaV</w:t>
      </w:r>
      <w:proofErr w:type="spellEnd"/>
      <w:r w:rsidR="00CD5FCE">
        <w:rPr>
          <w:b/>
        </w:rPr>
        <w:t xml:space="preserve"> </w:t>
      </w:r>
      <w:r w:rsidR="001775E7">
        <w:rPr>
          <w:b/>
        </w:rPr>
        <w:t>ve vybraných zemích</w:t>
      </w:r>
      <w:r w:rsidR="00E0386D">
        <w:rPr>
          <w:b/>
        </w:rPr>
        <w:t xml:space="preserve"> OECD</w:t>
      </w:r>
      <w:r w:rsidR="001775E7">
        <w:rPr>
          <w:b/>
        </w:rPr>
        <w:t xml:space="preserve"> v roce 201</w:t>
      </w:r>
      <w:r w:rsidR="001438C6">
        <w:rPr>
          <w:b/>
        </w:rPr>
        <w:t>6</w:t>
      </w:r>
      <w:r w:rsidR="006034DE">
        <w:rPr>
          <w:b/>
        </w:rPr>
        <w:t xml:space="preserve"> </w:t>
      </w:r>
      <w:r w:rsidR="00AD6A19">
        <w:rPr>
          <w:b/>
        </w:rPr>
        <w:t>/nebo</w:t>
      </w:r>
      <w:r w:rsidR="006034DE">
        <w:rPr>
          <w:b/>
        </w:rPr>
        <w:t xml:space="preserve"> poslední dostupn</w:t>
      </w:r>
      <w:r w:rsidR="00AD6A19">
        <w:rPr>
          <w:b/>
        </w:rPr>
        <w:t>ý</w:t>
      </w:r>
      <w:r w:rsidR="006034DE">
        <w:rPr>
          <w:b/>
        </w:rPr>
        <w:t xml:space="preserve"> rok</w:t>
      </w:r>
      <w:r w:rsidR="00AD6A19">
        <w:rPr>
          <w:b/>
        </w:rPr>
        <w:t>/</w:t>
      </w:r>
      <w:r w:rsidR="006034DE">
        <w:rPr>
          <w:b/>
        </w:rPr>
        <w:t xml:space="preserve"> jako</w:t>
      </w:r>
      <w:r w:rsidR="001775E7">
        <w:rPr>
          <w:b/>
        </w:rPr>
        <w:t xml:space="preserve"> </w:t>
      </w:r>
      <w:r w:rsidR="006034DE">
        <w:rPr>
          <w:b/>
        </w:rPr>
        <w:t xml:space="preserve">procentní </w:t>
      </w:r>
      <w:r w:rsidR="00EE19D4">
        <w:rPr>
          <w:b/>
        </w:rPr>
        <w:t>podíl n</w:t>
      </w:r>
      <w:r w:rsidR="00F12B9A">
        <w:rPr>
          <w:b/>
        </w:rPr>
        <w:t>a</w:t>
      </w:r>
      <w:r w:rsidR="006034DE">
        <w:rPr>
          <w:b/>
        </w:rPr>
        <w:t xml:space="preserve"> HDP</w:t>
      </w:r>
      <w:r w:rsidR="007A0BE9">
        <w:rPr>
          <w:b/>
        </w:rPr>
        <w:t xml:space="preserve"> </w:t>
      </w:r>
      <w:r w:rsidR="00B73E45" w:rsidRPr="00B73E45">
        <w:rPr>
          <w:noProof/>
        </w:rPr>
        <w:t xml:space="preserve"> </w:t>
      </w:r>
      <w:r w:rsidR="00A8787E">
        <w:rPr>
          <w:noProof/>
        </w:rPr>
        <w:drawing>
          <wp:inline distT="0" distB="0" distL="0" distR="0" wp14:anchorId="0CA3F697" wp14:editId="150805C7">
            <wp:extent cx="6120000" cy="2562225"/>
            <wp:effectExtent l="0" t="0" r="0" b="0"/>
            <wp:docPr id="28" name="Graf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7A0BE9" w:rsidRPr="006C7525">
        <w:rPr>
          <w:i/>
          <w:sz w:val="18"/>
        </w:rPr>
        <w:t xml:space="preserve"> </w:t>
      </w:r>
      <w:r w:rsidR="00AE5259" w:rsidRPr="004C3AE6">
        <w:rPr>
          <w:i/>
          <w:sz w:val="16"/>
        </w:rPr>
        <w:t>Zdroj: OECD</w:t>
      </w:r>
      <w:r w:rsidR="00E07EEF" w:rsidRPr="004C3AE6">
        <w:rPr>
          <w:i/>
          <w:sz w:val="16"/>
        </w:rPr>
        <w:t xml:space="preserve"> </w:t>
      </w:r>
      <w:r w:rsidR="006C7525" w:rsidRPr="004C3AE6">
        <w:rPr>
          <w:i/>
          <w:sz w:val="16"/>
        </w:rPr>
        <w:t>201</w:t>
      </w:r>
      <w:r w:rsidR="001438C6">
        <w:rPr>
          <w:i/>
          <w:sz w:val="16"/>
        </w:rPr>
        <w:t>9</w:t>
      </w:r>
    </w:p>
    <w:p w14:paraId="08B66FDC" w14:textId="77777777" w:rsidR="00AE5259" w:rsidRPr="001775E7" w:rsidRDefault="00AE5259" w:rsidP="001775E7">
      <w:pPr>
        <w:jc w:val="both"/>
        <w:rPr>
          <w:i/>
          <w:sz w:val="18"/>
        </w:rPr>
      </w:pPr>
    </w:p>
    <w:p w14:paraId="59EDEFB6" w14:textId="77777777" w:rsidR="00DF11D8" w:rsidRPr="00DF11D8" w:rsidRDefault="007214BF" w:rsidP="00DF11D8">
      <w:pPr>
        <w:pStyle w:val="Nadpis3"/>
        <w:spacing w:before="120"/>
        <w:rPr>
          <w:sz w:val="22"/>
        </w:rPr>
      </w:pPr>
      <w:r>
        <w:rPr>
          <w:rStyle w:val="st"/>
          <w:sz w:val="22"/>
        </w:rPr>
        <w:lastRenderedPageBreak/>
        <w:t>3.3</w:t>
      </w:r>
      <w:r w:rsidR="00DF11D8" w:rsidRPr="00E17709">
        <w:rPr>
          <w:rStyle w:val="st"/>
          <w:sz w:val="22"/>
        </w:rPr>
        <w:t>.</w:t>
      </w:r>
      <w:r w:rsidR="00DF11D8">
        <w:rPr>
          <w:rStyle w:val="st"/>
          <w:sz w:val="22"/>
        </w:rPr>
        <w:t>2</w:t>
      </w:r>
      <w:r w:rsidR="00DF11D8" w:rsidRPr="00E17709">
        <w:rPr>
          <w:rStyle w:val="st"/>
          <w:sz w:val="22"/>
        </w:rPr>
        <w:t xml:space="preserve"> </w:t>
      </w:r>
      <w:r w:rsidR="00DF11D8">
        <w:rPr>
          <w:rStyle w:val="st"/>
          <w:sz w:val="22"/>
        </w:rPr>
        <w:t>Výše</w:t>
      </w:r>
      <w:r w:rsidR="00DF11D8" w:rsidRPr="00E17709">
        <w:rPr>
          <w:rStyle w:val="st"/>
          <w:sz w:val="22"/>
        </w:rPr>
        <w:t xml:space="preserve"> nepřímé veřejné podpory </w:t>
      </w:r>
      <w:proofErr w:type="spellStart"/>
      <w:r w:rsidR="00DF11D8" w:rsidRPr="00E17709">
        <w:rPr>
          <w:rStyle w:val="st"/>
          <w:sz w:val="22"/>
        </w:rPr>
        <w:t>VaV</w:t>
      </w:r>
      <w:proofErr w:type="spellEnd"/>
      <w:r w:rsidR="00DF11D8">
        <w:rPr>
          <w:rStyle w:val="st"/>
          <w:sz w:val="22"/>
        </w:rPr>
        <w:t xml:space="preserve"> v paritě kupní síly</w:t>
      </w:r>
      <w:r w:rsidR="00DF11D8" w:rsidRPr="00E17709">
        <w:rPr>
          <w:rStyle w:val="st"/>
          <w:sz w:val="22"/>
        </w:rPr>
        <w:t xml:space="preserve">  </w:t>
      </w:r>
      <w:r w:rsidR="00DF11D8">
        <w:t xml:space="preserve">  </w:t>
      </w:r>
    </w:p>
    <w:p w14:paraId="1811FA14" w14:textId="084C7CE4" w:rsidR="003A0B95" w:rsidRPr="00CF0BAB" w:rsidRDefault="001775E7" w:rsidP="003C5540">
      <w:pPr>
        <w:spacing w:before="120"/>
        <w:jc w:val="both"/>
      </w:pPr>
      <w:r w:rsidRPr="00CF0BAB">
        <w:t xml:space="preserve">Nejvyšší absolutní částku </w:t>
      </w:r>
      <w:r w:rsidR="00D96588" w:rsidRPr="00CF0BAB">
        <w:t>nepřímé veřejné podpory</w:t>
      </w:r>
      <w:r w:rsidR="00B07572" w:rsidRPr="00CF0BAB">
        <w:t xml:space="preserve"> </w:t>
      </w:r>
      <w:proofErr w:type="spellStart"/>
      <w:r w:rsidR="00B07572" w:rsidRPr="00CF0BAB">
        <w:t>VaV</w:t>
      </w:r>
      <w:proofErr w:type="spellEnd"/>
      <w:r w:rsidR="00347A9E" w:rsidRPr="00CF0BAB">
        <w:t>,</w:t>
      </w:r>
      <w:r w:rsidRPr="00CF0BAB">
        <w:t xml:space="preserve"> měřeno v paritě kupní síly</w:t>
      </w:r>
      <w:r w:rsidR="00395C65">
        <w:t xml:space="preserve"> v amerických dolarech</w:t>
      </w:r>
      <w:r w:rsidR="00347A9E" w:rsidRPr="00CF0BAB">
        <w:t>,</w:t>
      </w:r>
      <w:r w:rsidR="008B0BBF" w:rsidRPr="00CF0BAB">
        <w:t xml:space="preserve"> obdržely v roce 201</w:t>
      </w:r>
      <w:r w:rsidR="005C6EC5" w:rsidRPr="00CF0BAB">
        <w:t>6</w:t>
      </w:r>
      <w:r w:rsidRPr="00CF0BAB">
        <w:t xml:space="preserve"> podn</w:t>
      </w:r>
      <w:r w:rsidR="00CF7D9F">
        <w:t>iky v</w:t>
      </w:r>
      <w:r w:rsidRPr="00CF0BAB">
        <w:t xml:space="preserve"> </w:t>
      </w:r>
      <w:r w:rsidR="005C6EC5" w:rsidRPr="00CF0BAB">
        <w:t>Číně</w:t>
      </w:r>
      <w:r w:rsidRPr="00CF0BAB">
        <w:t xml:space="preserve"> (</w:t>
      </w:r>
      <w:r w:rsidR="008B0BBF" w:rsidRPr="00CF0BAB">
        <w:t>1</w:t>
      </w:r>
      <w:r w:rsidR="005C6EC5" w:rsidRPr="00CF0BAB">
        <w:t>4 083</w:t>
      </w:r>
      <w:r w:rsidRPr="00CF0BAB">
        <w:t xml:space="preserve"> mil. USD). </w:t>
      </w:r>
      <w:r w:rsidR="005438E4" w:rsidRPr="00CF0BAB">
        <w:t>Druh</w:t>
      </w:r>
      <w:r w:rsidR="005C6EC5" w:rsidRPr="00CF0BAB">
        <w:t>é</w:t>
      </w:r>
      <w:r w:rsidR="005438E4" w:rsidRPr="00CF0BAB">
        <w:t xml:space="preserve"> v pořadí se umístil</w:t>
      </w:r>
      <w:r w:rsidR="005C6EC5" w:rsidRPr="00CF0BAB">
        <w:t>y</w:t>
      </w:r>
      <w:r w:rsidR="005C64B3" w:rsidRPr="00CF0BAB">
        <w:t xml:space="preserve"> </w:t>
      </w:r>
      <w:r w:rsidR="005C6EC5" w:rsidRPr="00CF0BAB">
        <w:t>Spojené státy</w:t>
      </w:r>
      <w:r w:rsidR="00416B8E" w:rsidRPr="00CF0BAB">
        <w:t xml:space="preserve"> </w:t>
      </w:r>
      <w:r w:rsidRPr="00CF0BAB">
        <w:t>s </w:t>
      </w:r>
      <w:r w:rsidR="00D64451" w:rsidRPr="00CF0BAB">
        <w:t>částkou</w:t>
      </w:r>
      <w:r w:rsidRPr="00CF0BAB">
        <w:t xml:space="preserve"> ve výši </w:t>
      </w:r>
      <w:r w:rsidR="005C6EC5" w:rsidRPr="00CF0BAB">
        <w:t>11 294</w:t>
      </w:r>
      <w:r w:rsidRPr="00CF0BAB">
        <w:t> mil.</w:t>
      </w:r>
      <w:r w:rsidR="00D64451" w:rsidRPr="00CF0BAB">
        <w:t> </w:t>
      </w:r>
      <w:r w:rsidRPr="00CF0BAB">
        <w:t>USD</w:t>
      </w:r>
      <w:r w:rsidR="005C6EC5" w:rsidRPr="00CF0BAB">
        <w:t xml:space="preserve"> (údaje za rok 2013)</w:t>
      </w:r>
      <w:r w:rsidRPr="00CF0BAB">
        <w:t>.</w:t>
      </w:r>
      <w:r w:rsidR="008B0BBF" w:rsidRPr="00CF0BAB">
        <w:t xml:space="preserve"> Výše nepřímé </w:t>
      </w:r>
      <w:r w:rsidR="008810E4" w:rsidRPr="00CF0BAB">
        <w:t xml:space="preserve">veřejné </w:t>
      </w:r>
      <w:r w:rsidR="008B0BBF" w:rsidRPr="00CF0BAB">
        <w:t xml:space="preserve">podpory </w:t>
      </w:r>
      <w:proofErr w:type="spellStart"/>
      <w:r w:rsidR="008B0BBF" w:rsidRPr="00CF0BAB">
        <w:t>VaV</w:t>
      </w:r>
      <w:proofErr w:type="spellEnd"/>
      <w:r w:rsidR="008B0BBF" w:rsidRPr="00CF0BAB">
        <w:t xml:space="preserve"> v Číně v</w:t>
      </w:r>
      <w:r w:rsidR="008445B0" w:rsidRPr="00CF0BAB">
        <w:t xml:space="preserve"> posledních </w:t>
      </w:r>
      <w:r w:rsidR="008B0BBF" w:rsidRPr="00CF0BAB">
        <w:t>let</w:t>
      </w:r>
      <w:r w:rsidR="00B97D6A" w:rsidRPr="00CF0BAB">
        <w:t>ech</w:t>
      </w:r>
      <w:r w:rsidR="008B0BBF" w:rsidRPr="00CF0BAB">
        <w:t xml:space="preserve"> </w:t>
      </w:r>
      <w:r w:rsidR="008445B0" w:rsidRPr="00CF0BAB">
        <w:t>kontinuálně roste</w:t>
      </w:r>
      <w:r w:rsidR="008B0BBF" w:rsidRPr="00CF0BAB">
        <w:t>.</w:t>
      </w:r>
      <w:r w:rsidR="008445B0" w:rsidRPr="00CF0BAB">
        <w:t xml:space="preserve"> Oproti roku 2010 došlo k více než dvounásobnému zvýšení</w:t>
      </w:r>
      <w:r w:rsidR="00197A12">
        <w:rPr>
          <w:rStyle w:val="Znakapoznpodarou"/>
        </w:rPr>
        <w:footnoteReference w:id="9"/>
      </w:r>
      <w:r w:rsidR="008445B0" w:rsidRPr="00CF0BAB">
        <w:t>.</w:t>
      </w:r>
      <w:r w:rsidR="008B0BBF" w:rsidRPr="00CF0BAB">
        <w:t xml:space="preserve"> V</w:t>
      </w:r>
      <w:r w:rsidR="00251F9F" w:rsidRPr="00CF0BAB">
        <w:t xml:space="preserve">e </w:t>
      </w:r>
      <w:r w:rsidR="008B0BBF" w:rsidRPr="00CF0BAB">
        <w:t>Spojených stát</w:t>
      </w:r>
      <w:r w:rsidR="00100806" w:rsidRPr="00CF0BAB">
        <w:t>ech</w:t>
      </w:r>
      <w:r w:rsidR="008B0BBF" w:rsidRPr="00CF0BAB">
        <w:t xml:space="preserve"> byl zaznamenán mírný růst. </w:t>
      </w:r>
      <w:r w:rsidR="002F13ED">
        <w:t>Za USA a Čínou</w:t>
      </w:r>
      <w:r w:rsidR="009125DA" w:rsidRPr="00CF0BAB">
        <w:t xml:space="preserve"> se z hlediska </w:t>
      </w:r>
      <w:r w:rsidR="009B4DF9" w:rsidRPr="00CF0BAB">
        <w:t xml:space="preserve">objemu nepřímé veřejné podpory </w:t>
      </w:r>
      <w:proofErr w:type="spellStart"/>
      <w:r w:rsidR="009B4DF9" w:rsidRPr="00CF0BAB">
        <w:t>VaV</w:t>
      </w:r>
      <w:proofErr w:type="spellEnd"/>
      <w:r w:rsidR="009B4DF9" w:rsidRPr="00CF0BAB">
        <w:t xml:space="preserve"> </w:t>
      </w:r>
      <w:r w:rsidR="006C684C" w:rsidRPr="00CF0BAB">
        <w:t>překvapivě umístila Francie (7 </w:t>
      </w:r>
      <w:r w:rsidR="005C6EC5" w:rsidRPr="00CF0BAB">
        <w:t>750</w:t>
      </w:r>
      <w:r w:rsidR="006C684C" w:rsidRPr="00CF0BAB">
        <w:t xml:space="preserve"> mil. USD</w:t>
      </w:r>
      <w:r w:rsidR="0009399C">
        <w:t xml:space="preserve"> </w:t>
      </w:r>
      <w:r w:rsidR="0009399C" w:rsidRPr="003849AC">
        <w:t>v PPP</w:t>
      </w:r>
      <w:r w:rsidR="006C684C" w:rsidRPr="00CF0BAB">
        <w:t>/</w:t>
      </w:r>
      <w:r w:rsidR="005438E4" w:rsidRPr="00CF0BAB">
        <w:t xml:space="preserve"> </w:t>
      </w:r>
      <w:r w:rsidR="00E839A9" w:rsidRPr="00CF0BAB">
        <w:t xml:space="preserve">rok </w:t>
      </w:r>
      <w:r w:rsidR="006C684C" w:rsidRPr="00CF0BAB">
        <w:t>201</w:t>
      </w:r>
      <w:r w:rsidR="005C6EC5" w:rsidRPr="00CF0BAB">
        <w:t>5</w:t>
      </w:r>
      <w:r w:rsidR="006C684C" w:rsidRPr="00CF0BAB">
        <w:t xml:space="preserve">), následuje </w:t>
      </w:r>
      <w:r w:rsidRPr="00CF0BAB">
        <w:t>Japonsko</w:t>
      </w:r>
      <w:r w:rsidR="0009399C">
        <w:t xml:space="preserve"> (5 909 </w:t>
      </w:r>
      <w:r w:rsidR="008445B0" w:rsidRPr="00CF0BAB">
        <w:t>mil. USD</w:t>
      </w:r>
      <w:r w:rsidR="0009399C">
        <w:t xml:space="preserve"> </w:t>
      </w:r>
      <w:r w:rsidR="0009399C" w:rsidRPr="003849AC">
        <w:t>v PPP</w:t>
      </w:r>
      <w:r w:rsidR="008445B0" w:rsidRPr="00CF0BAB">
        <w:t>)</w:t>
      </w:r>
      <w:r w:rsidRPr="00CF0BAB">
        <w:t xml:space="preserve"> a </w:t>
      </w:r>
      <w:r w:rsidR="008445B0" w:rsidRPr="00CF0BAB">
        <w:t>Rusko (3</w:t>
      </w:r>
      <w:r w:rsidR="005C0B72">
        <w:t> </w:t>
      </w:r>
      <w:r w:rsidR="008445B0" w:rsidRPr="00CF0BAB">
        <w:t>893</w:t>
      </w:r>
      <w:r w:rsidR="005C0B72">
        <w:t> mil. </w:t>
      </w:r>
      <w:r w:rsidR="006C684C" w:rsidRPr="00CF0BAB">
        <w:t>USD</w:t>
      </w:r>
      <w:r w:rsidR="0009399C" w:rsidRPr="0009399C">
        <w:t xml:space="preserve"> </w:t>
      </w:r>
      <w:r w:rsidR="0009399C" w:rsidRPr="003849AC">
        <w:t>v PPP</w:t>
      </w:r>
      <w:r w:rsidR="006C684C" w:rsidRPr="00CF0BAB">
        <w:t xml:space="preserve">), které předstihlo Korejskou republiku. </w:t>
      </w:r>
      <w:r w:rsidR="008B0BBF" w:rsidRPr="00CF0BAB">
        <w:t xml:space="preserve">Částka nepřímé veřejné podpory </w:t>
      </w:r>
      <w:proofErr w:type="spellStart"/>
      <w:r w:rsidR="008B0BBF" w:rsidRPr="00CF0BAB">
        <w:t>VaV</w:t>
      </w:r>
      <w:proofErr w:type="spellEnd"/>
      <w:r w:rsidR="008B0BBF" w:rsidRPr="00CF0BAB">
        <w:t xml:space="preserve"> </w:t>
      </w:r>
      <w:r w:rsidR="0009399C">
        <w:t>činila</w:t>
      </w:r>
      <w:r w:rsidR="008B0BBF" w:rsidRPr="00CF0BAB">
        <w:t xml:space="preserve"> v p</w:t>
      </w:r>
      <w:r w:rsidR="0009399C">
        <w:t xml:space="preserve">řípadě Korejské republiky </w:t>
      </w:r>
      <w:r w:rsidR="009E3DED" w:rsidRPr="00CF0BAB">
        <w:t>2 573</w:t>
      </w:r>
      <w:r w:rsidR="008B0BBF" w:rsidRPr="00CF0BAB">
        <w:t xml:space="preserve"> mil. USD</w:t>
      </w:r>
      <w:r w:rsidR="0009399C">
        <w:t xml:space="preserve"> </w:t>
      </w:r>
      <w:r w:rsidR="0009399C" w:rsidRPr="003849AC">
        <w:t>v PPP</w:t>
      </w:r>
      <w:r w:rsidR="005B496A" w:rsidRPr="00CF0BAB">
        <w:t>. V</w:t>
      </w:r>
      <w:r w:rsidR="006C684C" w:rsidRPr="00CF0BAB">
        <w:t>e srovnání s J</w:t>
      </w:r>
      <w:r w:rsidR="008445B0" w:rsidRPr="00CF0BAB">
        <w:t>aponskem</w:t>
      </w:r>
      <w:r w:rsidR="008B0BBF" w:rsidRPr="00CF0BAB">
        <w:t xml:space="preserve"> </w:t>
      </w:r>
      <w:r w:rsidR="005B496A" w:rsidRPr="00CF0BAB">
        <w:t xml:space="preserve">byla </w:t>
      </w:r>
      <w:r w:rsidR="008B0BBF" w:rsidRPr="00CF0BAB">
        <w:t>poloviční.</w:t>
      </w:r>
      <w:r w:rsidRPr="00CF0BAB">
        <w:t xml:space="preserve"> </w:t>
      </w:r>
      <w:r w:rsidR="008B0BBF" w:rsidRPr="00CF0BAB">
        <w:t>Prvně u</w:t>
      </w:r>
      <w:r w:rsidRPr="00CF0BAB">
        <w:t>vedené země</w:t>
      </w:r>
      <w:r w:rsidR="009E3DED" w:rsidRPr="00CF0BAB">
        <w:t xml:space="preserve"> (</w:t>
      </w:r>
      <w:r w:rsidRPr="00CF0BAB">
        <w:t>USA a Čína</w:t>
      </w:r>
      <w:r w:rsidR="009E3DED" w:rsidRPr="00CF0BAB">
        <w:t>)</w:t>
      </w:r>
      <w:r w:rsidR="00311E71" w:rsidRPr="00CF0BAB">
        <w:t xml:space="preserve"> </w:t>
      </w:r>
      <w:r w:rsidRPr="00CF0BAB">
        <w:t>používají jako nástroj nepřímé veřejné podpory slevu na dani</w:t>
      </w:r>
      <w:r w:rsidRPr="00CF0BAB">
        <w:rPr>
          <w:rStyle w:val="Znakapoznpodarou"/>
        </w:rPr>
        <w:footnoteReference w:id="10"/>
      </w:r>
      <w:r w:rsidRPr="00CF0BAB">
        <w:t>.</w:t>
      </w:r>
    </w:p>
    <w:p w14:paraId="04B38665" w14:textId="752B794A" w:rsidR="003678B8" w:rsidRDefault="00416B8E" w:rsidP="003C5540">
      <w:pPr>
        <w:spacing w:before="120"/>
        <w:jc w:val="both"/>
      </w:pPr>
      <w:r w:rsidRPr="003849AC">
        <w:t>V</w:t>
      </w:r>
      <w:r w:rsidR="00293089" w:rsidRPr="003849AC">
        <w:t> Evropské unii</w:t>
      </w:r>
      <w:r w:rsidRPr="003849AC">
        <w:t xml:space="preserve"> využívají nepřímou veřejnou podporu </w:t>
      </w:r>
      <w:proofErr w:type="spellStart"/>
      <w:r w:rsidRPr="003849AC">
        <w:t>VaV</w:t>
      </w:r>
      <w:proofErr w:type="spellEnd"/>
      <w:r w:rsidRPr="003849AC">
        <w:t xml:space="preserve"> nejvíce </w:t>
      </w:r>
      <w:r w:rsidR="005438E4">
        <w:t>podniky</w:t>
      </w:r>
      <w:r w:rsidRPr="003849AC">
        <w:t xml:space="preserve"> ve Francii</w:t>
      </w:r>
      <w:r w:rsidR="009D2BE1" w:rsidRPr="003849AC">
        <w:t>.</w:t>
      </w:r>
      <w:r w:rsidR="004155CD" w:rsidRPr="003849AC">
        <w:t xml:space="preserve"> </w:t>
      </w:r>
      <w:r w:rsidR="008A64B4" w:rsidRPr="003849AC">
        <w:t xml:space="preserve">Částka </w:t>
      </w:r>
      <w:r w:rsidR="00E839A9">
        <w:t>daňové</w:t>
      </w:r>
      <w:r w:rsidR="008A64B4" w:rsidRPr="003849AC">
        <w:t xml:space="preserve"> podpory</w:t>
      </w:r>
      <w:r w:rsidR="002D3A94" w:rsidRPr="003849AC">
        <w:t xml:space="preserve"> </w:t>
      </w:r>
      <w:proofErr w:type="spellStart"/>
      <w:r w:rsidR="002D3A94" w:rsidRPr="003849AC">
        <w:t>VaV</w:t>
      </w:r>
      <w:proofErr w:type="spellEnd"/>
      <w:r w:rsidR="00CD5FCE" w:rsidRPr="003849AC">
        <w:t xml:space="preserve"> </w:t>
      </w:r>
      <w:r w:rsidR="008A64B4" w:rsidRPr="003849AC">
        <w:t xml:space="preserve">poskytnutá francouzským podnikům byla </w:t>
      </w:r>
      <w:r w:rsidR="009E3DED">
        <w:t>téměř</w:t>
      </w:r>
      <w:r w:rsidR="008A64B4" w:rsidRPr="003849AC">
        <w:t xml:space="preserve"> </w:t>
      </w:r>
      <w:r w:rsidR="003A5EC2" w:rsidRPr="003849AC">
        <w:t>dvakrát</w:t>
      </w:r>
      <w:r w:rsidR="008A64B4" w:rsidRPr="003849AC">
        <w:t xml:space="preserve"> větší</w:t>
      </w:r>
      <w:r w:rsidRPr="003849AC">
        <w:t xml:space="preserve"> než</w:t>
      </w:r>
      <w:r w:rsidR="008A64B4" w:rsidRPr="003849AC">
        <w:t xml:space="preserve"> u podniků</w:t>
      </w:r>
      <w:r w:rsidRPr="003849AC">
        <w:t xml:space="preserve"> ve </w:t>
      </w:r>
      <w:r w:rsidR="003A5EC2" w:rsidRPr="003849AC">
        <w:t>Spojeném království</w:t>
      </w:r>
      <w:r w:rsidRPr="003849AC">
        <w:t xml:space="preserve"> (</w:t>
      </w:r>
      <w:r w:rsidR="009E3DED">
        <w:t>4 122</w:t>
      </w:r>
      <w:r w:rsidR="00B07572" w:rsidRPr="003849AC">
        <w:t> </w:t>
      </w:r>
      <w:r w:rsidR="003A0B95" w:rsidRPr="003849AC">
        <w:t>mil.</w:t>
      </w:r>
      <w:r w:rsidR="00B07572" w:rsidRPr="003849AC">
        <w:t> </w:t>
      </w:r>
      <w:r w:rsidR="003A0B95" w:rsidRPr="003849AC">
        <w:t>USD</w:t>
      </w:r>
      <w:r w:rsidR="00B822E5" w:rsidRPr="003849AC">
        <w:t xml:space="preserve"> v</w:t>
      </w:r>
      <w:r w:rsidR="008A64B4" w:rsidRPr="003849AC">
        <w:t> </w:t>
      </w:r>
      <w:r w:rsidR="00B822E5" w:rsidRPr="003849AC">
        <w:t>PPP</w:t>
      </w:r>
      <w:r w:rsidR="008A64B4" w:rsidRPr="003849AC">
        <w:t>/</w:t>
      </w:r>
      <w:r w:rsidR="005438E4">
        <w:t xml:space="preserve"> </w:t>
      </w:r>
      <w:r w:rsidR="00E839A9">
        <w:t xml:space="preserve">rok </w:t>
      </w:r>
      <w:r w:rsidR="008A64B4" w:rsidRPr="003849AC">
        <w:t>201</w:t>
      </w:r>
      <w:r w:rsidR="009E3DED">
        <w:t>5</w:t>
      </w:r>
      <w:r w:rsidR="003A0B95" w:rsidRPr="003849AC">
        <w:t>).</w:t>
      </w:r>
      <w:r w:rsidR="00662A1B">
        <w:t xml:space="preserve"> Ve z</w:t>
      </w:r>
      <w:r w:rsidR="0054266F">
        <w:t>bý</w:t>
      </w:r>
      <w:r w:rsidR="00662A1B">
        <w:t>vajících zemích EU</w:t>
      </w:r>
      <w:r w:rsidR="0054266F">
        <w:t xml:space="preserve"> výše nepřímé veřejné podpo</w:t>
      </w:r>
      <w:r w:rsidR="002F13ED">
        <w:t xml:space="preserve">ry </w:t>
      </w:r>
      <w:proofErr w:type="spellStart"/>
      <w:r w:rsidR="002F13ED">
        <w:t>VaV</w:t>
      </w:r>
      <w:proofErr w:type="spellEnd"/>
      <w:r w:rsidR="002F13ED">
        <w:t xml:space="preserve"> nepřesáhla hranici 2 mld.</w:t>
      </w:r>
      <w:r w:rsidR="0054266F">
        <w:t xml:space="preserve"> USD v paritě kupní síly.</w:t>
      </w:r>
      <w:r w:rsidR="00662A1B">
        <w:t xml:space="preserve"> </w:t>
      </w:r>
    </w:p>
    <w:p w14:paraId="76377BD9" w14:textId="1E221E90" w:rsidR="001775E7" w:rsidRDefault="001775E7" w:rsidP="003C5540">
      <w:pPr>
        <w:spacing w:before="120" w:after="120"/>
        <w:jc w:val="both"/>
      </w:pPr>
      <w:r>
        <w:t xml:space="preserve">Pozice České republiky je úměrná velikosti ekonomiky a objemu výdajů podniků </w:t>
      </w:r>
      <w:r w:rsidR="005A4539">
        <w:t>na</w:t>
      </w:r>
      <w:r>
        <w:t xml:space="preserve"> výzkum a vývoj</w:t>
      </w:r>
      <w:r w:rsidR="00E96046">
        <w:rPr>
          <w:rStyle w:val="Znakapoznpodarou"/>
        </w:rPr>
        <w:footnoteReference w:id="11"/>
      </w:r>
      <w:r>
        <w:t>. V roce 201</w:t>
      </w:r>
      <w:r w:rsidR="005C6EC5">
        <w:t>6</w:t>
      </w:r>
      <w:r>
        <w:t xml:space="preserve"> dosáhla výše </w:t>
      </w:r>
      <w:r w:rsidR="00D96588">
        <w:t>nepřímé veřejné podpory</w:t>
      </w:r>
      <w:r w:rsidR="00552AF9">
        <w:t xml:space="preserve"> </w:t>
      </w:r>
      <w:proofErr w:type="spellStart"/>
      <w:r w:rsidR="00552AF9">
        <w:t>VaV</w:t>
      </w:r>
      <w:proofErr w:type="spellEnd"/>
      <w:r w:rsidR="00552AF9">
        <w:t xml:space="preserve"> </w:t>
      </w:r>
      <w:r>
        <w:t>v ČR 1</w:t>
      </w:r>
      <w:r w:rsidR="005C6EC5">
        <w:t>84</w:t>
      </w:r>
      <w:r w:rsidR="00552AF9">
        <w:t> </w:t>
      </w:r>
      <w:r>
        <w:t>mil.</w:t>
      </w:r>
      <w:r w:rsidR="00552AF9">
        <w:t> </w:t>
      </w:r>
      <w:r>
        <w:t>USD</w:t>
      </w:r>
      <w:r w:rsidR="00B822E5">
        <w:t xml:space="preserve"> (měřeno v paritě kupní síly)</w:t>
      </w:r>
      <w:r>
        <w:t xml:space="preserve">. </w:t>
      </w:r>
      <w:r w:rsidR="00F4024A">
        <w:t>V rámci nových členských zemí EU, které přistoupily do EU v roce 2004,</w:t>
      </w:r>
      <w:r w:rsidR="00233AA3">
        <w:t xml:space="preserve"> nás výš</w:t>
      </w:r>
      <w:r w:rsidR="00293089">
        <w:t>í</w:t>
      </w:r>
      <w:r w:rsidR="0072281F">
        <w:t xml:space="preserve"> poskytnuté</w:t>
      </w:r>
      <w:r w:rsidR="00233AA3">
        <w:t xml:space="preserve"> </w:t>
      </w:r>
      <w:r w:rsidR="00D96588">
        <w:t>nepřímé veřejné podpory</w:t>
      </w:r>
      <w:r w:rsidR="00233AA3">
        <w:t xml:space="preserve"> </w:t>
      </w:r>
      <w:proofErr w:type="spellStart"/>
      <w:r w:rsidR="00233AA3">
        <w:t>Va</w:t>
      </w:r>
      <w:r w:rsidR="003849AC">
        <w:t>V</w:t>
      </w:r>
      <w:proofErr w:type="spellEnd"/>
      <w:r w:rsidR="003849AC">
        <w:t xml:space="preserve"> předstihlo pouze Maďarsko (</w:t>
      </w:r>
      <w:r w:rsidR="005C6EC5">
        <w:t>239</w:t>
      </w:r>
      <w:r w:rsidR="00D96588">
        <w:t> </w:t>
      </w:r>
      <w:r w:rsidR="00233AA3">
        <w:t>mil.</w:t>
      </w:r>
      <w:r w:rsidR="00D96588">
        <w:t> </w:t>
      </w:r>
      <w:r w:rsidR="00233AA3">
        <w:t>USD v paritě kupní síly).</w:t>
      </w:r>
    </w:p>
    <w:p w14:paraId="499725A6" w14:textId="6A383995" w:rsidR="001775E7" w:rsidRDefault="00E076DE" w:rsidP="00AD6A19">
      <w:pPr>
        <w:spacing w:before="120"/>
        <w:jc w:val="both"/>
      </w:pPr>
      <w:r>
        <w:rPr>
          <w:b/>
        </w:rPr>
        <w:t xml:space="preserve">GRAF </w:t>
      </w:r>
      <w:r w:rsidR="00F870B4">
        <w:rPr>
          <w:b/>
        </w:rPr>
        <w:t>15</w:t>
      </w:r>
      <w:r w:rsidR="001775E7" w:rsidRPr="00710A84">
        <w:rPr>
          <w:b/>
        </w:rPr>
        <w:t xml:space="preserve">: </w:t>
      </w:r>
      <w:r w:rsidR="001775E7">
        <w:rPr>
          <w:b/>
        </w:rPr>
        <w:t>Nepřímá veřejná podpora</w:t>
      </w:r>
      <w:r w:rsidR="00CD5FCE">
        <w:rPr>
          <w:b/>
        </w:rPr>
        <w:t xml:space="preserve"> </w:t>
      </w:r>
      <w:proofErr w:type="spellStart"/>
      <w:r w:rsidR="00CD5FCE">
        <w:rPr>
          <w:b/>
        </w:rPr>
        <w:t>VaV</w:t>
      </w:r>
      <w:proofErr w:type="spellEnd"/>
      <w:r w:rsidR="001775E7">
        <w:rPr>
          <w:b/>
        </w:rPr>
        <w:t xml:space="preserve"> ve vybraných zemích </w:t>
      </w:r>
      <w:r w:rsidR="00EB4236">
        <w:rPr>
          <w:b/>
        </w:rPr>
        <w:t xml:space="preserve">OECD </w:t>
      </w:r>
      <w:r w:rsidR="001775E7">
        <w:rPr>
          <w:b/>
        </w:rPr>
        <w:t>v roce 201</w:t>
      </w:r>
      <w:r w:rsidR="001438C6">
        <w:rPr>
          <w:b/>
        </w:rPr>
        <w:t>6</w:t>
      </w:r>
      <w:r w:rsidR="0055773E">
        <w:rPr>
          <w:b/>
        </w:rPr>
        <w:t xml:space="preserve"> /</w:t>
      </w:r>
      <w:r w:rsidR="00AD6A19">
        <w:rPr>
          <w:b/>
        </w:rPr>
        <w:t xml:space="preserve">nebo </w:t>
      </w:r>
      <w:r w:rsidR="00DA3477">
        <w:rPr>
          <w:b/>
        </w:rPr>
        <w:t>poslední dostupný rok</w:t>
      </w:r>
      <w:r w:rsidR="00AD6A19">
        <w:rPr>
          <w:b/>
        </w:rPr>
        <w:t>/</w:t>
      </w:r>
      <w:r w:rsidR="001775E7">
        <w:rPr>
          <w:b/>
        </w:rPr>
        <w:t xml:space="preserve"> v mil. USD </w:t>
      </w:r>
      <w:r w:rsidR="00CD5FCE">
        <w:rPr>
          <w:b/>
        </w:rPr>
        <w:t>(</w:t>
      </w:r>
      <w:r w:rsidR="001775E7">
        <w:rPr>
          <w:b/>
        </w:rPr>
        <w:t>v paritě kupní síly</w:t>
      </w:r>
      <w:r w:rsidR="00CD5FCE">
        <w:rPr>
          <w:b/>
        </w:rPr>
        <w:t>)</w:t>
      </w:r>
    </w:p>
    <w:p w14:paraId="468C27D9" w14:textId="33303EA0" w:rsidR="006343AA" w:rsidRPr="00710016" w:rsidRDefault="008F1B28" w:rsidP="00593415">
      <w:pPr>
        <w:jc w:val="both"/>
      </w:pPr>
      <w:r>
        <w:rPr>
          <w:noProof/>
        </w:rPr>
        <w:drawing>
          <wp:inline distT="0" distB="0" distL="0" distR="0" wp14:anchorId="5CDF5983" wp14:editId="76F69220">
            <wp:extent cx="6120130" cy="2719070"/>
            <wp:effectExtent l="0" t="0" r="0" b="508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bookmarkStart w:id="2" w:name="_GoBack"/>
      <w:bookmarkEnd w:id="2"/>
    </w:p>
    <w:p w14:paraId="09E181CF" w14:textId="4333DD3E" w:rsidR="00AE5259" w:rsidRDefault="00AE5259" w:rsidP="005F6A35">
      <w:pPr>
        <w:spacing w:before="120"/>
        <w:jc w:val="both"/>
        <w:rPr>
          <w:i/>
          <w:sz w:val="18"/>
        </w:rPr>
      </w:pPr>
      <w:r>
        <w:rPr>
          <w:i/>
          <w:sz w:val="18"/>
        </w:rPr>
        <w:t>Zdroj: OECD</w:t>
      </w:r>
      <w:r w:rsidR="00402062">
        <w:rPr>
          <w:i/>
          <w:sz w:val="18"/>
        </w:rPr>
        <w:t xml:space="preserve"> 201</w:t>
      </w:r>
      <w:r w:rsidR="001438C6">
        <w:rPr>
          <w:i/>
          <w:sz w:val="18"/>
        </w:rPr>
        <w:t>9</w:t>
      </w:r>
    </w:p>
    <w:p w14:paraId="2B3D8ABD" w14:textId="77777777" w:rsidR="006C3C9F" w:rsidRDefault="006C3C9F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73003266" w14:textId="77777777" w:rsidR="0023512E" w:rsidRDefault="0023512E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699A66AB" w14:textId="08000739" w:rsidR="00A65F61" w:rsidRDefault="00A65F6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58738EF1" w14:textId="07AD145A" w:rsidR="00F870B4" w:rsidRPr="00DF11D8" w:rsidRDefault="00F870B4" w:rsidP="00F870B4">
      <w:pPr>
        <w:pStyle w:val="Nadpis3"/>
        <w:spacing w:before="120"/>
        <w:rPr>
          <w:sz w:val="22"/>
        </w:rPr>
      </w:pPr>
      <w:r>
        <w:rPr>
          <w:rStyle w:val="st"/>
          <w:sz w:val="22"/>
        </w:rPr>
        <w:lastRenderedPageBreak/>
        <w:t>3.3</w:t>
      </w:r>
      <w:r w:rsidRPr="00E17709">
        <w:rPr>
          <w:rStyle w:val="st"/>
          <w:sz w:val="22"/>
        </w:rPr>
        <w:t>.</w:t>
      </w:r>
      <w:r>
        <w:rPr>
          <w:rStyle w:val="st"/>
          <w:sz w:val="22"/>
        </w:rPr>
        <w:t>3</w:t>
      </w:r>
      <w:r w:rsidRPr="00E17709">
        <w:rPr>
          <w:rStyle w:val="st"/>
          <w:sz w:val="22"/>
        </w:rPr>
        <w:t xml:space="preserve"> </w:t>
      </w:r>
      <w:r>
        <w:rPr>
          <w:rStyle w:val="st"/>
          <w:sz w:val="22"/>
        </w:rPr>
        <w:t>Podíl</w:t>
      </w:r>
      <w:r w:rsidRPr="00E17709">
        <w:rPr>
          <w:rStyle w:val="st"/>
          <w:sz w:val="22"/>
        </w:rPr>
        <w:t xml:space="preserve"> nepřímé veřejné podpory </w:t>
      </w:r>
      <w:proofErr w:type="spellStart"/>
      <w:r w:rsidRPr="00E17709">
        <w:rPr>
          <w:rStyle w:val="st"/>
          <w:sz w:val="22"/>
        </w:rPr>
        <w:t>VaV</w:t>
      </w:r>
      <w:proofErr w:type="spellEnd"/>
      <w:r>
        <w:rPr>
          <w:rStyle w:val="st"/>
          <w:sz w:val="22"/>
        </w:rPr>
        <w:t xml:space="preserve"> na </w:t>
      </w:r>
      <w:r w:rsidR="00071250">
        <w:rPr>
          <w:rStyle w:val="st"/>
          <w:sz w:val="22"/>
        </w:rPr>
        <w:t xml:space="preserve">celkových podnikových výdajích na </w:t>
      </w:r>
      <w:proofErr w:type="spellStart"/>
      <w:r w:rsidR="00071250">
        <w:rPr>
          <w:rStyle w:val="st"/>
          <w:sz w:val="22"/>
        </w:rPr>
        <w:t>VaV</w:t>
      </w:r>
      <w:proofErr w:type="spellEnd"/>
      <w:r w:rsidRPr="00E17709">
        <w:rPr>
          <w:rStyle w:val="st"/>
          <w:sz w:val="22"/>
        </w:rPr>
        <w:t xml:space="preserve">  </w:t>
      </w:r>
      <w:r>
        <w:t xml:space="preserve">  </w:t>
      </w:r>
    </w:p>
    <w:p w14:paraId="5796DC21" w14:textId="34F5A1A8" w:rsidR="00D515C9" w:rsidRDefault="00F870B4" w:rsidP="00D515C9">
      <w:pPr>
        <w:spacing w:before="120" w:after="120"/>
        <w:jc w:val="both"/>
      </w:pPr>
      <w:r>
        <w:t>Nejvyšší</w:t>
      </w:r>
      <w:r w:rsidR="008B2DD5">
        <w:t xml:space="preserve"> podíl</w:t>
      </w:r>
      <w:r w:rsidR="00071250">
        <w:t xml:space="preserve"> (20,7 %) nepřímé veřejné podpory výzkumu a vývoje na celkových podnikových výdajích na </w:t>
      </w:r>
      <w:proofErr w:type="spellStart"/>
      <w:r w:rsidR="00071250">
        <w:t>VaV</w:t>
      </w:r>
      <w:proofErr w:type="spellEnd"/>
      <w:r w:rsidR="00071250">
        <w:t xml:space="preserve"> byl v roce 2016 zjištěn v Irsku. Následují Francie (12,7 % v roce 2015) a Belgie (11,7 %). Ve všech zbývajících zemí</w:t>
      </w:r>
      <w:r w:rsidR="00B8345F">
        <w:t>ch</w:t>
      </w:r>
      <w:r w:rsidR="00071250">
        <w:t xml:space="preserve"> EU tento podíl nepřesáhl hranici 10 %. </w:t>
      </w:r>
    </w:p>
    <w:p w14:paraId="1DBB15D9" w14:textId="3BE620D4" w:rsidR="00C00741" w:rsidRDefault="000448A2" w:rsidP="00F870B4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  <w:r>
        <w:t>V případě České republiky</w:t>
      </w:r>
      <w:r w:rsidR="00071250">
        <w:t xml:space="preserve"> se nepřímá veřejná podpora </w:t>
      </w:r>
      <w:proofErr w:type="spellStart"/>
      <w:r w:rsidR="00071250">
        <w:t>VaV</w:t>
      </w:r>
      <w:proofErr w:type="spellEnd"/>
      <w:r w:rsidR="00071250">
        <w:t xml:space="preserve"> podílela na celkových podnikových výdajích</w:t>
      </w:r>
      <w:r w:rsidR="00BF3E1C">
        <w:t xml:space="preserve"> na </w:t>
      </w:r>
      <w:proofErr w:type="spellStart"/>
      <w:r w:rsidR="00BF3E1C">
        <w:t>VaV</w:t>
      </w:r>
      <w:proofErr w:type="spellEnd"/>
      <w:r w:rsidR="00BF3E1C">
        <w:t xml:space="preserve"> rovnými 3 %. Čína</w:t>
      </w:r>
      <w:r w:rsidR="00071250">
        <w:t xml:space="preserve"> dosáhl</w:t>
      </w:r>
      <w:r w:rsidR="00BF3E1C">
        <w:t>a</w:t>
      </w:r>
      <w:r w:rsidR="00071250">
        <w:t xml:space="preserve"> podíl</w:t>
      </w:r>
      <w:r w:rsidR="00BF3E1C">
        <w:t>u</w:t>
      </w:r>
      <w:r w:rsidR="00071250">
        <w:t xml:space="preserve"> </w:t>
      </w:r>
      <w:r w:rsidR="00453061">
        <w:t>rovných 4 %.</w:t>
      </w:r>
      <w:r w:rsidR="002E5C9C">
        <w:t xml:space="preserve"> Nižší podíl zaznamenaly</w:t>
      </w:r>
      <w:r w:rsidR="00453061">
        <w:t xml:space="preserve"> Jap</w:t>
      </w:r>
      <w:r w:rsidR="002E5C9C">
        <w:t>onsko (3,5 %), Jižní Korea (3,2 %) a</w:t>
      </w:r>
      <w:r w:rsidR="00453061">
        <w:t xml:space="preserve"> Spojené </w:t>
      </w:r>
      <w:r w:rsidR="002E5C9C">
        <w:t>státy (2,5 %)</w:t>
      </w:r>
      <w:r w:rsidR="00BF3E1C">
        <w:t>. V případě Spojených států</w:t>
      </w:r>
      <w:r w:rsidR="00453061">
        <w:t xml:space="preserve"> je nutné vzít v úvahu, že poslední dostupná data jsou za rok 2013.</w:t>
      </w:r>
    </w:p>
    <w:p w14:paraId="71EFE1A8" w14:textId="191A79D4" w:rsidR="00C00741" w:rsidRDefault="000F58A0" w:rsidP="002A4F13">
      <w:pPr>
        <w:spacing w:after="100" w:afterAutospacing="1"/>
        <w:jc w:val="both"/>
        <w:rPr>
          <w:noProof/>
        </w:rPr>
      </w:pPr>
      <w:r>
        <w:rPr>
          <w:b/>
        </w:rPr>
        <w:t xml:space="preserve">GRAF </w:t>
      </w:r>
      <w:r w:rsidR="00F870B4">
        <w:rPr>
          <w:b/>
        </w:rPr>
        <w:t>16</w:t>
      </w:r>
      <w:r w:rsidRPr="00710A84">
        <w:rPr>
          <w:b/>
        </w:rPr>
        <w:t xml:space="preserve">: </w:t>
      </w:r>
      <w:r>
        <w:rPr>
          <w:b/>
        </w:rPr>
        <w:t xml:space="preserve">Nepřímá veřejná podpora </w:t>
      </w:r>
      <w:proofErr w:type="spellStart"/>
      <w:r>
        <w:rPr>
          <w:b/>
        </w:rPr>
        <w:t>VaV</w:t>
      </w:r>
      <w:proofErr w:type="spellEnd"/>
      <w:r>
        <w:rPr>
          <w:b/>
        </w:rPr>
        <w:t xml:space="preserve"> ve vybraných zemích OECD v roce 2016 /nebo poslední dostupný rok/ jako procentní podíl na celkových výdajích na </w:t>
      </w:r>
      <w:proofErr w:type="spellStart"/>
      <w:r>
        <w:rPr>
          <w:b/>
        </w:rPr>
        <w:t>VaV</w:t>
      </w:r>
      <w:proofErr w:type="spellEnd"/>
      <w:r>
        <w:rPr>
          <w:b/>
        </w:rPr>
        <w:t xml:space="preserve"> v podnikatelském sektoru (BERD)</w:t>
      </w:r>
      <w:r w:rsidRPr="00B73E45">
        <w:rPr>
          <w:noProof/>
        </w:rPr>
        <w:t xml:space="preserve"> </w:t>
      </w:r>
    </w:p>
    <w:p w14:paraId="6C5DFDE2" w14:textId="1B2F2528" w:rsidR="00160A85" w:rsidRPr="00160A85" w:rsidRDefault="00160A85" w:rsidP="00160A85">
      <w:pPr>
        <w:spacing w:before="120"/>
        <w:jc w:val="both"/>
        <w:rPr>
          <w:sz w:val="18"/>
        </w:rPr>
      </w:pPr>
      <w:r>
        <w:rPr>
          <w:noProof/>
        </w:rPr>
        <w:drawing>
          <wp:inline distT="0" distB="0" distL="0" distR="0" wp14:anchorId="7AB12181" wp14:editId="3CD07955">
            <wp:extent cx="6120130" cy="2907030"/>
            <wp:effectExtent l="0" t="0" r="0" b="762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F80EFEE" w14:textId="3081531B" w:rsidR="00160A85" w:rsidRDefault="00160A85" w:rsidP="00160A85">
      <w:pPr>
        <w:spacing w:before="120"/>
        <w:jc w:val="both"/>
        <w:rPr>
          <w:i/>
          <w:sz w:val="18"/>
        </w:rPr>
      </w:pPr>
      <w:r>
        <w:rPr>
          <w:i/>
          <w:sz w:val="18"/>
        </w:rPr>
        <w:t>Zdroj: OECD 2019</w:t>
      </w:r>
    </w:p>
    <w:p w14:paraId="1FCB4842" w14:textId="05F2A120" w:rsidR="00C00741" w:rsidRPr="00160A85" w:rsidRDefault="00C00741" w:rsidP="002A4F13">
      <w:pPr>
        <w:spacing w:after="100" w:afterAutospacing="1"/>
        <w:jc w:val="both"/>
        <w:rPr>
          <w:rFonts w:eastAsia="MS Gothic"/>
          <w:bCs/>
          <w:color w:val="009BB4"/>
          <w:sz w:val="28"/>
          <w:szCs w:val="26"/>
        </w:rPr>
      </w:pPr>
    </w:p>
    <w:p w14:paraId="481BFA74" w14:textId="1A470B12" w:rsidR="00C00741" w:rsidRDefault="00C0074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3280664A" w14:textId="00461F03" w:rsidR="00C00741" w:rsidRDefault="00C0074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1D206F6A" w14:textId="0C33EA6C" w:rsidR="00C00741" w:rsidRDefault="00C0074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3EB4ED41" w14:textId="64619A45" w:rsidR="00C00741" w:rsidRDefault="00C0074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0F682981" w14:textId="45EEBBFA" w:rsidR="00C00741" w:rsidRDefault="00C0074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72AE2E93" w14:textId="29A9D36A" w:rsidR="00C00741" w:rsidRDefault="00C0074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73204A51" w14:textId="2437109E" w:rsidR="00C00741" w:rsidRDefault="00C0074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p w14:paraId="4F9600B5" w14:textId="021CB07D" w:rsidR="00C00741" w:rsidRDefault="00C00741" w:rsidP="002A4F13">
      <w:pPr>
        <w:spacing w:after="100" w:afterAutospacing="1"/>
        <w:jc w:val="both"/>
        <w:rPr>
          <w:rFonts w:eastAsia="MS Gothic"/>
          <w:b/>
          <w:bCs/>
          <w:color w:val="009BB4"/>
          <w:sz w:val="28"/>
          <w:szCs w:val="26"/>
        </w:rPr>
      </w:pPr>
    </w:p>
    <w:sectPr w:rsidR="00C00741" w:rsidSect="00C1798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F1D03" w14:textId="77777777" w:rsidR="002C74EA" w:rsidRDefault="002C74EA" w:rsidP="00E71A58">
      <w:r>
        <w:separator/>
      </w:r>
    </w:p>
  </w:endnote>
  <w:endnote w:type="continuationSeparator" w:id="0">
    <w:p w14:paraId="34C7C03D" w14:textId="77777777" w:rsidR="002C74EA" w:rsidRDefault="002C74E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11A2" w14:textId="51884722" w:rsidR="00243A5B" w:rsidRPr="00214585" w:rsidRDefault="00243A5B" w:rsidP="00214585">
    <w:pPr>
      <w:pStyle w:val="Zpat"/>
      <w:rPr>
        <w:rFonts w:ascii="Arial" w:hAnsi="Arial" w:cs="Arial"/>
        <w:sz w:val="16"/>
        <w:szCs w:val="16"/>
      </w:rPr>
    </w:pPr>
    <w:r w:rsidRPr="00214585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9AB4D95" wp14:editId="3BCC4C6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85">
      <w:rPr>
        <w:rFonts w:ascii="Arial" w:hAnsi="Arial" w:cs="Arial"/>
        <w:sz w:val="16"/>
        <w:szCs w:val="16"/>
      </w:rPr>
      <w:fldChar w:fldCharType="begin"/>
    </w:r>
    <w:r w:rsidRPr="00214585">
      <w:rPr>
        <w:rFonts w:ascii="Arial" w:hAnsi="Arial" w:cs="Arial"/>
        <w:sz w:val="16"/>
        <w:szCs w:val="16"/>
      </w:rPr>
      <w:instrText>PAGE   \* MERGEFORMAT</w:instrText>
    </w:r>
    <w:r w:rsidRPr="00214585">
      <w:rPr>
        <w:rFonts w:ascii="Arial" w:hAnsi="Arial" w:cs="Arial"/>
        <w:sz w:val="16"/>
        <w:szCs w:val="16"/>
      </w:rPr>
      <w:fldChar w:fldCharType="separate"/>
    </w:r>
    <w:r w:rsidR="008F1B28">
      <w:rPr>
        <w:rFonts w:ascii="Arial" w:hAnsi="Arial" w:cs="Arial"/>
        <w:noProof/>
        <w:sz w:val="16"/>
        <w:szCs w:val="16"/>
      </w:rPr>
      <w:t>14</w:t>
    </w:r>
    <w:r w:rsidRPr="00214585">
      <w:rPr>
        <w:rFonts w:ascii="Arial" w:hAnsi="Arial" w:cs="Arial"/>
        <w:sz w:val="16"/>
        <w:szCs w:val="16"/>
      </w:rPr>
      <w:fldChar w:fldCharType="end"/>
    </w:r>
    <w:r w:rsidRPr="0021458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7443" w14:textId="77777777" w:rsidR="00243A5B" w:rsidRDefault="00243A5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6D220DB" wp14:editId="66433FDB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8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14:paraId="083E0D94" w14:textId="585FF61C" w:rsidR="00243A5B" w:rsidRDefault="00243A5B" w:rsidP="003C7FCB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356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8F1B28">
      <w:rPr>
        <w:rFonts w:ascii="Arial" w:hAnsi="Arial" w:cs="Arial"/>
        <w:noProof/>
        <w:sz w:val="16"/>
        <w:szCs w:val="16"/>
      </w:rPr>
      <w:t>11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01C8" w14:textId="77777777" w:rsidR="00243A5B" w:rsidRDefault="00243A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FD56E" w14:textId="77777777" w:rsidR="002C74EA" w:rsidRDefault="002C74EA" w:rsidP="00E71A58">
      <w:r>
        <w:separator/>
      </w:r>
    </w:p>
  </w:footnote>
  <w:footnote w:type="continuationSeparator" w:id="0">
    <w:p w14:paraId="5967B7AA" w14:textId="77777777" w:rsidR="002C74EA" w:rsidRDefault="002C74EA" w:rsidP="00E71A58">
      <w:r>
        <w:continuationSeparator/>
      </w:r>
    </w:p>
  </w:footnote>
  <w:footnote w:id="1">
    <w:p w14:paraId="67037DCB" w14:textId="77777777" w:rsidR="00243A5B" w:rsidRDefault="00243A5B" w:rsidP="00BF7EC0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Makroekonomické údaje jsou v tabulkové podobě dostupné na stránkách ČSÚ.</w:t>
      </w:r>
    </w:p>
    <w:p w14:paraId="23DF3FF4" w14:textId="29C4EF5D" w:rsidR="00243A5B" w:rsidRPr="004A37CA" w:rsidRDefault="002C74EA" w:rsidP="00BF7EC0">
      <w:pPr>
        <w:pStyle w:val="Textpoznpodarou"/>
        <w:rPr>
          <w:sz w:val="18"/>
          <w:szCs w:val="18"/>
        </w:rPr>
      </w:pPr>
      <w:hyperlink r:id="rId1" w:history="1">
        <w:r w:rsidR="00243A5B" w:rsidRPr="008F20CD">
          <w:rPr>
            <w:rStyle w:val="Hypertextovodkaz"/>
            <w:rFonts w:cs="Arial"/>
            <w:color w:val="009BB4"/>
            <w:sz w:val="18"/>
            <w:szCs w:val="18"/>
          </w:rPr>
          <w:t>http://apl.czso.cz/pll/rocenka/rocenka.indexnu</w:t>
        </w:r>
      </w:hyperlink>
      <w:r w:rsidR="00243A5B">
        <w:rPr>
          <w:sz w:val="18"/>
          <w:szCs w:val="18"/>
        </w:rPr>
        <w:t xml:space="preserve"> nebo </w:t>
      </w:r>
      <w:hyperlink r:id="rId2" w:history="1">
        <w:r w:rsidR="00243A5B" w:rsidRPr="008F20CD">
          <w:rPr>
            <w:rStyle w:val="Hypertextovodkaz"/>
            <w:rFonts w:cs="Arial"/>
            <w:color w:val="009BB4"/>
            <w:sz w:val="18"/>
            <w:szCs w:val="18"/>
          </w:rPr>
          <w:t>https://www.czso.cz/csu/czso/hmu_cr</w:t>
        </w:r>
      </w:hyperlink>
      <w:r w:rsidR="00243A5B">
        <w:rPr>
          <w:sz w:val="18"/>
          <w:szCs w:val="18"/>
        </w:rPr>
        <w:t xml:space="preserve"> </w:t>
      </w:r>
    </w:p>
  </w:footnote>
  <w:footnote w:id="2">
    <w:p w14:paraId="0CD76AD9" w14:textId="084F7A2C" w:rsidR="00243A5B" w:rsidRPr="008E3D7C" w:rsidRDefault="00243A5B">
      <w:pPr>
        <w:pStyle w:val="Textpoznpodarou"/>
        <w:rPr>
          <w:sz w:val="18"/>
          <w:szCs w:val="18"/>
        </w:rPr>
      </w:pPr>
      <w:r w:rsidRPr="00B01322">
        <w:rPr>
          <w:rStyle w:val="Znakapoznpodarou"/>
          <w:sz w:val="18"/>
          <w:szCs w:val="18"/>
        </w:rPr>
        <w:footnoteRef/>
      </w:r>
      <w:r w:rsidRPr="003814B5">
        <w:rPr>
          <w:sz w:val="18"/>
          <w:szCs w:val="18"/>
        </w:rPr>
        <w:t xml:space="preserve"> Výpočet nepřímé veřejné podpory </w:t>
      </w:r>
      <w:proofErr w:type="spellStart"/>
      <w:r w:rsidRPr="003814B5">
        <w:rPr>
          <w:sz w:val="18"/>
          <w:szCs w:val="18"/>
        </w:rPr>
        <w:t>VaV</w:t>
      </w:r>
      <w:proofErr w:type="spellEnd"/>
      <w:r w:rsidRPr="003814B5">
        <w:rPr>
          <w:sz w:val="18"/>
          <w:szCs w:val="18"/>
        </w:rPr>
        <w:t xml:space="preserve"> (</w:t>
      </w:r>
      <w:proofErr w:type="spellStart"/>
      <w:r w:rsidRPr="003814B5">
        <w:rPr>
          <w:b/>
          <w:sz w:val="18"/>
          <w:szCs w:val="18"/>
        </w:rPr>
        <w:t>NVPVaV</w:t>
      </w:r>
      <w:proofErr w:type="spellEnd"/>
      <w:r w:rsidRPr="003814B5">
        <w:rPr>
          <w:b/>
          <w:sz w:val="18"/>
          <w:szCs w:val="18"/>
        </w:rPr>
        <w:t xml:space="preserve"> = uplatněné náklady</w:t>
      </w:r>
      <w:r>
        <w:rPr>
          <w:b/>
          <w:sz w:val="18"/>
          <w:szCs w:val="18"/>
        </w:rPr>
        <w:t xml:space="preserve"> (výdaje)</w:t>
      </w:r>
      <w:r w:rsidRPr="003814B5">
        <w:rPr>
          <w:b/>
          <w:sz w:val="18"/>
          <w:szCs w:val="18"/>
        </w:rPr>
        <w:t xml:space="preserve"> na </w:t>
      </w:r>
      <w:proofErr w:type="spellStart"/>
      <w:r w:rsidRPr="003814B5">
        <w:rPr>
          <w:b/>
          <w:sz w:val="18"/>
          <w:szCs w:val="18"/>
        </w:rPr>
        <w:t>VaV</w:t>
      </w:r>
      <w:proofErr w:type="spellEnd"/>
      <w:r w:rsidRPr="003814B5">
        <w:rPr>
          <w:b/>
          <w:sz w:val="18"/>
          <w:szCs w:val="18"/>
        </w:rPr>
        <w:t xml:space="preserve"> * sazba daně právnických osob</w:t>
      </w:r>
      <w:r w:rsidRPr="003814B5">
        <w:rPr>
          <w:sz w:val="18"/>
          <w:szCs w:val="18"/>
        </w:rPr>
        <w:t>) je odvislý od sazby daně právnických osob</w:t>
      </w:r>
      <w:r>
        <w:rPr>
          <w:sz w:val="18"/>
          <w:szCs w:val="18"/>
        </w:rPr>
        <w:t xml:space="preserve">. Ta se v jednotlivých letech měnila. </w:t>
      </w:r>
      <w:r w:rsidRPr="008E3D7C">
        <w:rPr>
          <w:sz w:val="18"/>
          <w:szCs w:val="18"/>
        </w:rPr>
        <w:t>V roce 2005 byla daňová sazba na úrovni 26</w:t>
      </w:r>
      <w:r>
        <w:rPr>
          <w:sz w:val="18"/>
          <w:szCs w:val="18"/>
        </w:rPr>
        <w:t> </w:t>
      </w:r>
      <w:r w:rsidRPr="008E3D7C">
        <w:rPr>
          <w:sz w:val="18"/>
          <w:szCs w:val="18"/>
        </w:rPr>
        <w:t xml:space="preserve">%, </w:t>
      </w:r>
      <w:r>
        <w:rPr>
          <w:sz w:val="18"/>
          <w:szCs w:val="18"/>
        </w:rPr>
        <w:t xml:space="preserve">následně </w:t>
      </w:r>
      <w:r w:rsidRPr="008E3D7C">
        <w:rPr>
          <w:sz w:val="18"/>
          <w:szCs w:val="18"/>
        </w:rPr>
        <w:t xml:space="preserve">klesala až na </w:t>
      </w:r>
      <w:r>
        <w:rPr>
          <w:sz w:val="18"/>
          <w:szCs w:val="18"/>
        </w:rPr>
        <w:t>19 % v letech 2010–2017</w:t>
      </w:r>
      <w:r w:rsidRPr="008E3D7C">
        <w:rPr>
          <w:sz w:val="18"/>
          <w:szCs w:val="18"/>
        </w:rPr>
        <w:t xml:space="preserve">. Pokud by byla sazba daně v roce 2005 nynějších 19 %, </w:t>
      </w:r>
      <w:r>
        <w:rPr>
          <w:sz w:val="18"/>
          <w:szCs w:val="18"/>
        </w:rPr>
        <w:t xml:space="preserve">dosáhla </w:t>
      </w:r>
      <w:r w:rsidRPr="008E3D7C">
        <w:rPr>
          <w:sz w:val="18"/>
          <w:szCs w:val="18"/>
        </w:rPr>
        <w:t xml:space="preserve">by výše nepřímé </w:t>
      </w:r>
      <w:r>
        <w:rPr>
          <w:sz w:val="18"/>
          <w:szCs w:val="18"/>
        </w:rPr>
        <w:t xml:space="preserve">veřejné podpory </w:t>
      </w:r>
      <w:proofErr w:type="spellStart"/>
      <w:r>
        <w:rPr>
          <w:sz w:val="18"/>
          <w:szCs w:val="18"/>
        </w:rPr>
        <w:t>VaV</w:t>
      </w:r>
      <w:proofErr w:type="spellEnd"/>
      <w:r>
        <w:rPr>
          <w:sz w:val="18"/>
          <w:szCs w:val="18"/>
        </w:rPr>
        <w:t xml:space="preserve"> </w:t>
      </w:r>
      <w:r w:rsidRPr="008E3D7C">
        <w:rPr>
          <w:sz w:val="18"/>
          <w:szCs w:val="18"/>
        </w:rPr>
        <w:t>nikoliv zmíněných 819 mil. Kč, ale pou</w:t>
      </w:r>
      <w:r>
        <w:rPr>
          <w:sz w:val="18"/>
          <w:szCs w:val="18"/>
        </w:rPr>
        <w:t>hých</w:t>
      </w:r>
      <w:r w:rsidRPr="008E3D7C">
        <w:rPr>
          <w:sz w:val="18"/>
          <w:szCs w:val="18"/>
        </w:rPr>
        <w:t xml:space="preserve"> 608 mil. Kč</w:t>
      </w:r>
      <w:r>
        <w:rPr>
          <w:sz w:val="18"/>
          <w:szCs w:val="18"/>
        </w:rPr>
        <w:t>. Byla by tedy o 211 </w:t>
      </w:r>
      <w:r w:rsidRPr="008E3D7C">
        <w:rPr>
          <w:sz w:val="18"/>
          <w:szCs w:val="18"/>
        </w:rPr>
        <w:t xml:space="preserve">mil. Kč nižší.     </w:t>
      </w:r>
    </w:p>
  </w:footnote>
  <w:footnote w:id="3">
    <w:p w14:paraId="3F2AAD6C" w14:textId="54BB4D90" w:rsidR="00243A5B" w:rsidRPr="006D2016" w:rsidRDefault="00243A5B">
      <w:pPr>
        <w:pStyle w:val="Textpoznpodarou"/>
        <w:rPr>
          <w:sz w:val="18"/>
          <w:szCs w:val="18"/>
        </w:rPr>
      </w:pPr>
      <w:r w:rsidRPr="008E3D7C">
        <w:rPr>
          <w:rStyle w:val="Znakapoznpodarou"/>
          <w:sz w:val="18"/>
          <w:szCs w:val="18"/>
        </w:rPr>
        <w:footnoteRef/>
      </w:r>
      <w:r w:rsidRPr="008E3D7C">
        <w:rPr>
          <w:sz w:val="18"/>
          <w:szCs w:val="18"/>
        </w:rPr>
        <w:t xml:space="preserve"> </w:t>
      </w:r>
      <w:r w:rsidRPr="006D2016">
        <w:rPr>
          <w:sz w:val="18"/>
          <w:szCs w:val="18"/>
        </w:rPr>
        <w:t xml:space="preserve">Kromě soukromých podniků mohou využívat nepřímou veřejnou podporu </w:t>
      </w:r>
      <w:proofErr w:type="spellStart"/>
      <w:r w:rsidRPr="006D2016">
        <w:rPr>
          <w:sz w:val="18"/>
          <w:szCs w:val="18"/>
        </w:rPr>
        <w:t>VaV</w:t>
      </w:r>
      <w:proofErr w:type="spellEnd"/>
      <w:r w:rsidRPr="006D2016">
        <w:rPr>
          <w:sz w:val="18"/>
          <w:szCs w:val="18"/>
        </w:rPr>
        <w:t xml:space="preserve"> i ostatní právnické osoby, mezi které patří například podniky veřejné. Jejich počet, jak již bylo uvedeno výše, je však velmi nízký a s těmito subjekty v analýze dále nepracujeme. Daňovou podporu </w:t>
      </w:r>
      <w:proofErr w:type="spellStart"/>
      <w:r w:rsidRPr="006D2016">
        <w:rPr>
          <w:sz w:val="18"/>
          <w:szCs w:val="18"/>
        </w:rPr>
        <w:t>VaV</w:t>
      </w:r>
      <w:proofErr w:type="spellEnd"/>
      <w:r w:rsidRPr="006D2016">
        <w:rPr>
          <w:sz w:val="18"/>
          <w:szCs w:val="18"/>
        </w:rPr>
        <w:t xml:space="preserve"> v roce 2017 využilo pouze 6 veřejných podniků z</w:t>
      </w:r>
      <w:r>
        <w:rPr>
          <w:sz w:val="18"/>
          <w:szCs w:val="18"/>
        </w:rPr>
        <w:t>e</w:t>
      </w:r>
      <w:r w:rsidRPr="006D2016">
        <w:rPr>
          <w:sz w:val="18"/>
          <w:szCs w:val="18"/>
        </w:rPr>
        <w:t xml:space="preserve"> 44, které prováděly </w:t>
      </w:r>
      <w:proofErr w:type="spellStart"/>
      <w:r w:rsidRPr="006D2016">
        <w:rPr>
          <w:sz w:val="18"/>
          <w:szCs w:val="18"/>
        </w:rPr>
        <w:t>VaV</w:t>
      </w:r>
      <w:proofErr w:type="spellEnd"/>
      <w:r w:rsidRPr="006D2016">
        <w:rPr>
          <w:sz w:val="18"/>
          <w:szCs w:val="18"/>
        </w:rPr>
        <w:t xml:space="preserve">. Z pohledu souhrnné částky veřejné nepřímé podpory (2,5 mld. Kč) si odečetly zanedbatelných 3,6 mil. korun. Tyto podniky jednoznačně preferují přímou veřejnou podporu </w:t>
      </w:r>
      <w:proofErr w:type="spellStart"/>
      <w:r w:rsidRPr="006D2016">
        <w:rPr>
          <w:sz w:val="18"/>
          <w:szCs w:val="18"/>
        </w:rPr>
        <w:t>VaV</w:t>
      </w:r>
      <w:proofErr w:type="spellEnd"/>
      <w:r w:rsidRPr="006D2016">
        <w:rPr>
          <w:sz w:val="18"/>
          <w:szCs w:val="18"/>
        </w:rPr>
        <w:t>.</w:t>
      </w:r>
    </w:p>
  </w:footnote>
  <w:footnote w:id="4">
    <w:p w14:paraId="634BD09D" w14:textId="77777777" w:rsidR="00243A5B" w:rsidRPr="008E3D7C" w:rsidRDefault="00243A5B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4944EE">
        <w:rPr>
          <w:sz w:val="18"/>
          <w:szCs w:val="18"/>
        </w:rPr>
        <w:t xml:space="preserve"> Podniky byly z hlediska velikosti rozčleněny do následujících skupin: mikro (velmi malé) podniky (0-9 zaměstnanců), malé podniky (10-49 zaměstnanců), střední podniky (50-249 zaměstnanců) a velké podniky (250 a více zaměstnanců).</w:t>
      </w:r>
    </w:p>
  </w:footnote>
  <w:footnote w:id="5">
    <w:p w14:paraId="6E8F02B4" w14:textId="2DDE0432" w:rsidR="00243A5B" w:rsidRPr="00175BDC" w:rsidRDefault="00243A5B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4944EE">
        <w:rPr>
          <w:sz w:val="18"/>
          <w:szCs w:val="18"/>
        </w:rPr>
        <w:t xml:space="preserve"> </w:t>
      </w:r>
      <w:r w:rsidRPr="00175BDC">
        <w:rPr>
          <w:sz w:val="18"/>
          <w:szCs w:val="18"/>
        </w:rPr>
        <w:t xml:space="preserve">Ve zpracovatelském průmyslu využilo nepřímou veřejnou podporu </w:t>
      </w:r>
      <w:proofErr w:type="spellStart"/>
      <w:r w:rsidRPr="00175BDC">
        <w:rPr>
          <w:sz w:val="18"/>
          <w:szCs w:val="18"/>
        </w:rPr>
        <w:t>VaV</w:t>
      </w:r>
      <w:proofErr w:type="spellEnd"/>
      <w:r w:rsidRPr="00175BDC">
        <w:rPr>
          <w:sz w:val="18"/>
          <w:szCs w:val="18"/>
        </w:rPr>
        <w:t xml:space="preserve"> 257 středních a 218 velkých podniků. Rovných 68 % podniků spadalo do kategorie soukromých domácích podniků.</w:t>
      </w:r>
    </w:p>
  </w:footnote>
  <w:footnote w:id="6">
    <w:p w14:paraId="7F67B444" w14:textId="322EE086" w:rsidR="00243A5B" w:rsidRPr="008E3D7C" w:rsidRDefault="00243A5B">
      <w:pPr>
        <w:pStyle w:val="Textpoznpodarou"/>
        <w:rPr>
          <w:sz w:val="18"/>
          <w:szCs w:val="18"/>
        </w:rPr>
      </w:pPr>
      <w:r w:rsidRPr="00582AD9">
        <w:rPr>
          <w:rStyle w:val="Znakapoznpodarou"/>
          <w:sz w:val="18"/>
          <w:szCs w:val="18"/>
        </w:rPr>
        <w:footnoteRef/>
      </w:r>
      <w:r w:rsidRPr="00582AD9">
        <w:rPr>
          <w:sz w:val="18"/>
          <w:szCs w:val="18"/>
        </w:rPr>
        <w:t xml:space="preserve"> Podniky odečetly výdaje na výzkum a vývoj v objemu 9,4 mld. Kč. Více než v roce 2016.</w:t>
      </w:r>
    </w:p>
  </w:footnote>
  <w:footnote w:id="7">
    <w:p w14:paraId="12D2E54C" w14:textId="6B551C15" w:rsidR="00243A5B" w:rsidRPr="008E3D7C" w:rsidRDefault="00243A5B" w:rsidP="0072337E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 w:rsidRPr="006C0693">
        <w:rPr>
          <w:sz w:val="18"/>
          <w:szCs w:val="18"/>
        </w:rPr>
        <w:t xml:space="preserve"> V tomto významném odvětví českého průmyslu soukromé podniky ode</w:t>
      </w:r>
      <w:r>
        <w:rPr>
          <w:sz w:val="18"/>
          <w:szCs w:val="18"/>
        </w:rPr>
        <w:t xml:space="preserve">četly výdaje na </w:t>
      </w:r>
      <w:proofErr w:type="spellStart"/>
      <w:r>
        <w:rPr>
          <w:sz w:val="18"/>
          <w:szCs w:val="18"/>
        </w:rPr>
        <w:t>VaV</w:t>
      </w:r>
      <w:proofErr w:type="spellEnd"/>
      <w:r>
        <w:rPr>
          <w:sz w:val="18"/>
          <w:szCs w:val="18"/>
        </w:rPr>
        <w:t xml:space="preserve"> v objemu 3,7</w:t>
      </w:r>
      <w:r w:rsidRPr="006C0693">
        <w:rPr>
          <w:sz w:val="18"/>
          <w:szCs w:val="18"/>
        </w:rPr>
        <w:t xml:space="preserve"> mld</w:t>
      </w:r>
      <w:r>
        <w:rPr>
          <w:sz w:val="18"/>
          <w:szCs w:val="18"/>
        </w:rPr>
        <w:t>. Kč, což představuje rovných 28</w:t>
      </w:r>
      <w:r w:rsidRPr="006C0693">
        <w:rPr>
          <w:sz w:val="18"/>
          <w:szCs w:val="18"/>
        </w:rPr>
        <w:t xml:space="preserve"> % z celkové odečtené částky výdajů na </w:t>
      </w:r>
      <w:proofErr w:type="spellStart"/>
      <w:r w:rsidRPr="006C0693">
        <w:rPr>
          <w:sz w:val="18"/>
          <w:szCs w:val="18"/>
        </w:rPr>
        <w:t>VaV</w:t>
      </w:r>
      <w:proofErr w:type="spellEnd"/>
      <w:r w:rsidRPr="006C0693">
        <w:rPr>
          <w:sz w:val="18"/>
          <w:szCs w:val="18"/>
        </w:rPr>
        <w:t xml:space="preserve"> soukromých podniků v ČR.</w:t>
      </w:r>
    </w:p>
  </w:footnote>
  <w:footnote w:id="8">
    <w:p w14:paraId="062E1202" w14:textId="77777777" w:rsidR="00243A5B" w:rsidRDefault="00243A5B">
      <w:pPr>
        <w:pStyle w:val="Textpoznpodarou"/>
      </w:pPr>
      <w:r w:rsidRPr="00F70F76">
        <w:rPr>
          <w:rStyle w:val="Znakapoznpodarou"/>
          <w:sz w:val="18"/>
        </w:rPr>
        <w:footnoteRef/>
      </w:r>
      <w:r w:rsidRPr="00F70F76">
        <w:rPr>
          <w:sz w:val="18"/>
        </w:rPr>
        <w:t xml:space="preserve"> Bulharsko, Estonsko, Finsko, Chorvatsko, Kypr, Německo, Lucembursko, Švýcarsko </w:t>
      </w:r>
    </w:p>
  </w:footnote>
  <w:footnote w:id="9">
    <w:p w14:paraId="1BB14D21" w14:textId="70B0C09B" w:rsidR="00243A5B" w:rsidRPr="00197A12" w:rsidRDefault="00243A5B">
      <w:pPr>
        <w:pStyle w:val="Textpoznpodarou"/>
        <w:rPr>
          <w:sz w:val="18"/>
        </w:rPr>
      </w:pPr>
      <w:r w:rsidRPr="00197A12">
        <w:rPr>
          <w:rStyle w:val="Znakapoznpodarou"/>
          <w:sz w:val="18"/>
        </w:rPr>
        <w:footnoteRef/>
      </w:r>
      <w:r w:rsidRPr="00197A12">
        <w:rPr>
          <w:sz w:val="18"/>
        </w:rPr>
        <w:t xml:space="preserve"> </w:t>
      </w:r>
      <w:r>
        <w:rPr>
          <w:sz w:val="18"/>
        </w:rPr>
        <w:t>V Číně byla daňová podpora výzkumu a vývoje zavedena v r</w:t>
      </w:r>
      <w:r w:rsidR="001D4FE7">
        <w:rPr>
          <w:sz w:val="18"/>
        </w:rPr>
        <w:t>oce 2009. Například v </w:t>
      </w:r>
      <w:r>
        <w:rPr>
          <w:sz w:val="18"/>
        </w:rPr>
        <w:t xml:space="preserve">Německu, kde podniky v rámci EU nejvíce investují do </w:t>
      </w:r>
      <w:proofErr w:type="spellStart"/>
      <w:r>
        <w:rPr>
          <w:sz w:val="18"/>
        </w:rPr>
        <w:t>VaV</w:t>
      </w:r>
      <w:proofErr w:type="spellEnd"/>
      <w:r>
        <w:rPr>
          <w:sz w:val="18"/>
        </w:rPr>
        <w:t xml:space="preserve">, stále není zavedena. </w:t>
      </w:r>
    </w:p>
  </w:footnote>
  <w:footnote w:id="10">
    <w:p w14:paraId="30758316" w14:textId="77777777" w:rsidR="00243A5B" w:rsidRPr="008E3D7C" w:rsidRDefault="00243A5B" w:rsidP="001775E7">
      <w:pPr>
        <w:pStyle w:val="Textpoznpodarou"/>
        <w:rPr>
          <w:sz w:val="18"/>
          <w:szCs w:val="18"/>
        </w:rPr>
      </w:pPr>
      <w:r w:rsidRPr="008E3D7C">
        <w:rPr>
          <w:rStyle w:val="Znakapoznpodarou"/>
          <w:sz w:val="18"/>
          <w:szCs w:val="18"/>
        </w:rPr>
        <w:footnoteRef/>
      </w:r>
      <w:r w:rsidRPr="008E3D7C">
        <w:rPr>
          <w:sz w:val="18"/>
          <w:szCs w:val="18"/>
        </w:rPr>
        <w:t xml:space="preserve"> Blíže k nástrojům nepřímé veřejné podpory </w:t>
      </w:r>
      <w:proofErr w:type="spellStart"/>
      <w:r w:rsidRPr="008E3D7C">
        <w:rPr>
          <w:sz w:val="18"/>
          <w:szCs w:val="18"/>
        </w:rPr>
        <w:t>VaV</w:t>
      </w:r>
      <w:proofErr w:type="spellEnd"/>
      <w:r w:rsidRPr="008E3D7C">
        <w:rPr>
          <w:sz w:val="18"/>
          <w:szCs w:val="18"/>
        </w:rPr>
        <w:t xml:space="preserve"> v zemích OECD viz: </w:t>
      </w:r>
      <w:hyperlink r:id="rId3" w:history="1">
        <w:r w:rsidRPr="002F3795">
          <w:rPr>
            <w:rStyle w:val="Hypertextovodkaz"/>
            <w:rFonts w:cs="Arial"/>
            <w:color w:val="009BB4"/>
            <w:sz w:val="18"/>
            <w:szCs w:val="18"/>
          </w:rPr>
          <w:t>http://www.oecd.org/sti/rd-tax-stats.htm</w:t>
        </w:r>
      </w:hyperlink>
      <w:r w:rsidRPr="008E3D7C">
        <w:rPr>
          <w:sz w:val="18"/>
          <w:szCs w:val="18"/>
        </w:rPr>
        <w:t xml:space="preserve">   </w:t>
      </w:r>
    </w:p>
  </w:footnote>
  <w:footnote w:id="11">
    <w:p w14:paraId="2732AADA" w14:textId="77777777" w:rsidR="00243A5B" w:rsidRPr="008E3D7C" w:rsidRDefault="00243A5B">
      <w:pPr>
        <w:pStyle w:val="Textpoznpodarou"/>
        <w:rPr>
          <w:sz w:val="18"/>
          <w:szCs w:val="18"/>
        </w:rPr>
      </w:pPr>
      <w:r w:rsidRPr="00B01322">
        <w:rPr>
          <w:rStyle w:val="Znakapoznpodarou"/>
          <w:sz w:val="18"/>
          <w:szCs w:val="18"/>
        </w:rPr>
        <w:footnoteRef/>
      </w:r>
      <w:r w:rsidRPr="002F3795">
        <w:rPr>
          <w:sz w:val="18"/>
          <w:szCs w:val="18"/>
        </w:rPr>
        <w:t xml:space="preserve"> Částka nepřímé veřejné podpory </w:t>
      </w:r>
      <w:proofErr w:type="spellStart"/>
      <w:r w:rsidRPr="002F3795">
        <w:rPr>
          <w:sz w:val="18"/>
          <w:szCs w:val="18"/>
        </w:rPr>
        <w:t>VaV</w:t>
      </w:r>
      <w:proofErr w:type="spellEnd"/>
      <w:r w:rsidRPr="002F3795">
        <w:rPr>
          <w:sz w:val="18"/>
          <w:szCs w:val="18"/>
        </w:rPr>
        <w:t xml:space="preserve"> je přímo úměrná objemu odečtených výdajů na </w:t>
      </w:r>
      <w:proofErr w:type="spellStart"/>
      <w:r w:rsidRPr="002F3795">
        <w:rPr>
          <w:sz w:val="18"/>
          <w:szCs w:val="18"/>
        </w:rPr>
        <w:t>VaV</w:t>
      </w:r>
      <w:proofErr w:type="spellEnd"/>
      <w:r w:rsidRPr="002F3795">
        <w:rPr>
          <w:sz w:val="18"/>
          <w:szCs w:val="18"/>
        </w:rPr>
        <w:t xml:space="preserve"> od základu daně. Blíže viz metodika.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B89A" w14:textId="2CA6112C" w:rsidR="00243A5B" w:rsidRPr="00427E13" w:rsidRDefault="00243A5B" w:rsidP="00427E13">
    <w:pPr>
      <w:pStyle w:val="Zhlav"/>
    </w:pPr>
    <w:r w:rsidRPr="00322505">
      <w:rPr>
        <w:rFonts w:ascii="Arial" w:hAnsi="Arial" w:cs="Arial"/>
        <w:sz w:val="16"/>
        <w:szCs w:val="16"/>
      </w:rPr>
      <w:t>Nepřímá veřejná podpora výzkumu a vývoje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EAD1" w14:textId="1F6F71AE" w:rsidR="00243A5B" w:rsidRPr="00DC5B3B" w:rsidRDefault="00243A5B" w:rsidP="00427E1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322505">
      <w:rPr>
        <w:rFonts w:ascii="Arial" w:hAnsi="Arial" w:cs="Arial"/>
        <w:sz w:val="16"/>
        <w:szCs w:val="16"/>
      </w:rPr>
      <w:t>Nepřímá veřejná podpora výzkumu a vývoje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C49B" w14:textId="77777777" w:rsidR="00243A5B" w:rsidRDefault="00243A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33"/>
    <w:multiLevelType w:val="hybridMultilevel"/>
    <w:tmpl w:val="DE726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B96"/>
    <w:multiLevelType w:val="hybridMultilevel"/>
    <w:tmpl w:val="E6E4422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5F"/>
    <w:rsid w:val="00000A97"/>
    <w:rsid w:val="00000AC4"/>
    <w:rsid w:val="00001E5E"/>
    <w:rsid w:val="00001F7E"/>
    <w:rsid w:val="00002B55"/>
    <w:rsid w:val="0000316C"/>
    <w:rsid w:val="000032AF"/>
    <w:rsid w:val="00004431"/>
    <w:rsid w:val="0000517D"/>
    <w:rsid w:val="000052DD"/>
    <w:rsid w:val="00006457"/>
    <w:rsid w:val="00006C7C"/>
    <w:rsid w:val="00006FA4"/>
    <w:rsid w:val="00007080"/>
    <w:rsid w:val="00007126"/>
    <w:rsid w:val="0000767A"/>
    <w:rsid w:val="00007718"/>
    <w:rsid w:val="000077E7"/>
    <w:rsid w:val="000100CF"/>
    <w:rsid w:val="00010702"/>
    <w:rsid w:val="00010728"/>
    <w:rsid w:val="00011348"/>
    <w:rsid w:val="00011687"/>
    <w:rsid w:val="000119C9"/>
    <w:rsid w:val="00011AD9"/>
    <w:rsid w:val="000125B7"/>
    <w:rsid w:val="00012D08"/>
    <w:rsid w:val="000133D7"/>
    <w:rsid w:val="00013CE2"/>
    <w:rsid w:val="0001459E"/>
    <w:rsid w:val="000146A5"/>
    <w:rsid w:val="00014CF5"/>
    <w:rsid w:val="00014D9E"/>
    <w:rsid w:val="00014FA5"/>
    <w:rsid w:val="000158B9"/>
    <w:rsid w:val="00016501"/>
    <w:rsid w:val="00016CCE"/>
    <w:rsid w:val="00016F70"/>
    <w:rsid w:val="000173E5"/>
    <w:rsid w:val="00017A46"/>
    <w:rsid w:val="00020A5D"/>
    <w:rsid w:val="000213B5"/>
    <w:rsid w:val="0002185E"/>
    <w:rsid w:val="00022ED1"/>
    <w:rsid w:val="00024008"/>
    <w:rsid w:val="000242D6"/>
    <w:rsid w:val="000249EC"/>
    <w:rsid w:val="00025144"/>
    <w:rsid w:val="000262A4"/>
    <w:rsid w:val="000265DC"/>
    <w:rsid w:val="00026A5A"/>
    <w:rsid w:val="00027052"/>
    <w:rsid w:val="00027363"/>
    <w:rsid w:val="0002738F"/>
    <w:rsid w:val="00027D2B"/>
    <w:rsid w:val="000313F1"/>
    <w:rsid w:val="000318CE"/>
    <w:rsid w:val="00031D06"/>
    <w:rsid w:val="000327AC"/>
    <w:rsid w:val="0003523C"/>
    <w:rsid w:val="00035E0B"/>
    <w:rsid w:val="000368A7"/>
    <w:rsid w:val="00036ABF"/>
    <w:rsid w:val="00036CDB"/>
    <w:rsid w:val="000372D7"/>
    <w:rsid w:val="00037A9F"/>
    <w:rsid w:val="00040041"/>
    <w:rsid w:val="0004366C"/>
    <w:rsid w:val="00043A7E"/>
    <w:rsid w:val="00043E0A"/>
    <w:rsid w:val="0004428A"/>
    <w:rsid w:val="000448A2"/>
    <w:rsid w:val="0004694F"/>
    <w:rsid w:val="000472C0"/>
    <w:rsid w:val="000472ED"/>
    <w:rsid w:val="00047B0D"/>
    <w:rsid w:val="00047BCD"/>
    <w:rsid w:val="00050C64"/>
    <w:rsid w:val="00051C4D"/>
    <w:rsid w:val="00052731"/>
    <w:rsid w:val="00053336"/>
    <w:rsid w:val="000537B8"/>
    <w:rsid w:val="000541B5"/>
    <w:rsid w:val="000544F1"/>
    <w:rsid w:val="000546F3"/>
    <w:rsid w:val="0005471A"/>
    <w:rsid w:val="000552B5"/>
    <w:rsid w:val="000556B7"/>
    <w:rsid w:val="00055877"/>
    <w:rsid w:val="0005601A"/>
    <w:rsid w:val="00056886"/>
    <w:rsid w:val="0005739C"/>
    <w:rsid w:val="000576D7"/>
    <w:rsid w:val="00060045"/>
    <w:rsid w:val="00060CD2"/>
    <w:rsid w:val="00060E3B"/>
    <w:rsid w:val="00061057"/>
    <w:rsid w:val="000628CD"/>
    <w:rsid w:val="00062E48"/>
    <w:rsid w:val="00062EC5"/>
    <w:rsid w:val="00064171"/>
    <w:rsid w:val="0006554E"/>
    <w:rsid w:val="00065675"/>
    <w:rsid w:val="00065E55"/>
    <w:rsid w:val="00065F83"/>
    <w:rsid w:val="00066B31"/>
    <w:rsid w:val="00066B5A"/>
    <w:rsid w:val="00067EB6"/>
    <w:rsid w:val="000701B1"/>
    <w:rsid w:val="00071250"/>
    <w:rsid w:val="0007230C"/>
    <w:rsid w:val="00072BC9"/>
    <w:rsid w:val="00072EB4"/>
    <w:rsid w:val="00073592"/>
    <w:rsid w:val="00073875"/>
    <w:rsid w:val="00073ED4"/>
    <w:rsid w:val="0007414B"/>
    <w:rsid w:val="000741A9"/>
    <w:rsid w:val="000741DB"/>
    <w:rsid w:val="00074570"/>
    <w:rsid w:val="0007693C"/>
    <w:rsid w:val="00080342"/>
    <w:rsid w:val="00080600"/>
    <w:rsid w:val="00080828"/>
    <w:rsid w:val="00080E37"/>
    <w:rsid w:val="0008124F"/>
    <w:rsid w:val="000812FD"/>
    <w:rsid w:val="00081AAC"/>
    <w:rsid w:val="00081AB2"/>
    <w:rsid w:val="00082755"/>
    <w:rsid w:val="00082F96"/>
    <w:rsid w:val="000831D2"/>
    <w:rsid w:val="00083ADC"/>
    <w:rsid w:val="00084E88"/>
    <w:rsid w:val="00085870"/>
    <w:rsid w:val="00085C2F"/>
    <w:rsid w:val="00085DD1"/>
    <w:rsid w:val="0008627A"/>
    <w:rsid w:val="000867D1"/>
    <w:rsid w:val="00087634"/>
    <w:rsid w:val="00087A0A"/>
    <w:rsid w:val="00090449"/>
    <w:rsid w:val="00090E52"/>
    <w:rsid w:val="00091E44"/>
    <w:rsid w:val="00092126"/>
    <w:rsid w:val="0009399C"/>
    <w:rsid w:val="00093C42"/>
    <w:rsid w:val="00093D46"/>
    <w:rsid w:val="00093E8B"/>
    <w:rsid w:val="00094EC1"/>
    <w:rsid w:val="0009671D"/>
    <w:rsid w:val="00096830"/>
    <w:rsid w:val="00097D1B"/>
    <w:rsid w:val="000A05A7"/>
    <w:rsid w:val="000A07B0"/>
    <w:rsid w:val="000A0CD3"/>
    <w:rsid w:val="000A1183"/>
    <w:rsid w:val="000A1703"/>
    <w:rsid w:val="000A195F"/>
    <w:rsid w:val="000A19D1"/>
    <w:rsid w:val="000A1E02"/>
    <w:rsid w:val="000A1EC6"/>
    <w:rsid w:val="000A2BFE"/>
    <w:rsid w:val="000A2D07"/>
    <w:rsid w:val="000A2F25"/>
    <w:rsid w:val="000A3812"/>
    <w:rsid w:val="000A3956"/>
    <w:rsid w:val="000A403D"/>
    <w:rsid w:val="000A4349"/>
    <w:rsid w:val="000A447E"/>
    <w:rsid w:val="000A46E5"/>
    <w:rsid w:val="000A4977"/>
    <w:rsid w:val="000A534C"/>
    <w:rsid w:val="000A590E"/>
    <w:rsid w:val="000A76ED"/>
    <w:rsid w:val="000A7E0B"/>
    <w:rsid w:val="000B05FC"/>
    <w:rsid w:val="000B0735"/>
    <w:rsid w:val="000B0777"/>
    <w:rsid w:val="000B22B2"/>
    <w:rsid w:val="000B3355"/>
    <w:rsid w:val="000B3683"/>
    <w:rsid w:val="000B3704"/>
    <w:rsid w:val="000B3D2A"/>
    <w:rsid w:val="000B409F"/>
    <w:rsid w:val="000B46B1"/>
    <w:rsid w:val="000B4802"/>
    <w:rsid w:val="000B67B8"/>
    <w:rsid w:val="000C06D6"/>
    <w:rsid w:val="000C0A92"/>
    <w:rsid w:val="000C0AF8"/>
    <w:rsid w:val="000C149D"/>
    <w:rsid w:val="000C177D"/>
    <w:rsid w:val="000C1883"/>
    <w:rsid w:val="000C1CE8"/>
    <w:rsid w:val="000C2CF5"/>
    <w:rsid w:val="000C32EC"/>
    <w:rsid w:val="000C3408"/>
    <w:rsid w:val="000C4625"/>
    <w:rsid w:val="000C49A4"/>
    <w:rsid w:val="000C4ABE"/>
    <w:rsid w:val="000C4C58"/>
    <w:rsid w:val="000C513B"/>
    <w:rsid w:val="000C5C5D"/>
    <w:rsid w:val="000C5EE6"/>
    <w:rsid w:val="000C633F"/>
    <w:rsid w:val="000C769F"/>
    <w:rsid w:val="000C7896"/>
    <w:rsid w:val="000C7A65"/>
    <w:rsid w:val="000D009C"/>
    <w:rsid w:val="000D02F8"/>
    <w:rsid w:val="000D0EAF"/>
    <w:rsid w:val="000D15D0"/>
    <w:rsid w:val="000D2A47"/>
    <w:rsid w:val="000D6814"/>
    <w:rsid w:val="000D759F"/>
    <w:rsid w:val="000D7C42"/>
    <w:rsid w:val="000E0B4B"/>
    <w:rsid w:val="000E0C52"/>
    <w:rsid w:val="000E2043"/>
    <w:rsid w:val="000E3341"/>
    <w:rsid w:val="000E36B0"/>
    <w:rsid w:val="000E3993"/>
    <w:rsid w:val="000E4238"/>
    <w:rsid w:val="000E42CB"/>
    <w:rsid w:val="000E4300"/>
    <w:rsid w:val="000E50E5"/>
    <w:rsid w:val="000E525D"/>
    <w:rsid w:val="000E5C80"/>
    <w:rsid w:val="000F0B7C"/>
    <w:rsid w:val="000F1C92"/>
    <w:rsid w:val="000F1F88"/>
    <w:rsid w:val="000F21F1"/>
    <w:rsid w:val="000F2D48"/>
    <w:rsid w:val="000F34FD"/>
    <w:rsid w:val="000F393A"/>
    <w:rsid w:val="000F41F1"/>
    <w:rsid w:val="000F430B"/>
    <w:rsid w:val="000F436F"/>
    <w:rsid w:val="000F525F"/>
    <w:rsid w:val="000F545E"/>
    <w:rsid w:val="000F58A0"/>
    <w:rsid w:val="000F5C63"/>
    <w:rsid w:val="000F5D9B"/>
    <w:rsid w:val="000F5ED1"/>
    <w:rsid w:val="000F63D9"/>
    <w:rsid w:val="000F6938"/>
    <w:rsid w:val="000F6A39"/>
    <w:rsid w:val="000F72F7"/>
    <w:rsid w:val="000F7B0B"/>
    <w:rsid w:val="000F7DFF"/>
    <w:rsid w:val="00100806"/>
    <w:rsid w:val="00100938"/>
    <w:rsid w:val="00101389"/>
    <w:rsid w:val="00101A10"/>
    <w:rsid w:val="00101CE4"/>
    <w:rsid w:val="00102205"/>
    <w:rsid w:val="00102435"/>
    <w:rsid w:val="00103B21"/>
    <w:rsid w:val="00104526"/>
    <w:rsid w:val="0010546D"/>
    <w:rsid w:val="001057C8"/>
    <w:rsid w:val="00105AEC"/>
    <w:rsid w:val="00106DA0"/>
    <w:rsid w:val="0011034C"/>
    <w:rsid w:val="001103C6"/>
    <w:rsid w:val="00110C27"/>
    <w:rsid w:val="00110CA8"/>
    <w:rsid w:val="001115E4"/>
    <w:rsid w:val="0011197B"/>
    <w:rsid w:val="00112972"/>
    <w:rsid w:val="00112DEE"/>
    <w:rsid w:val="00113488"/>
    <w:rsid w:val="00113CE1"/>
    <w:rsid w:val="00113CF2"/>
    <w:rsid w:val="00114441"/>
    <w:rsid w:val="00114C05"/>
    <w:rsid w:val="00114D74"/>
    <w:rsid w:val="001153FB"/>
    <w:rsid w:val="00117EB4"/>
    <w:rsid w:val="00117F44"/>
    <w:rsid w:val="001208D1"/>
    <w:rsid w:val="001212C8"/>
    <w:rsid w:val="00121672"/>
    <w:rsid w:val="00121CFA"/>
    <w:rsid w:val="00121F3D"/>
    <w:rsid w:val="00122888"/>
    <w:rsid w:val="00122D2E"/>
    <w:rsid w:val="00122FA4"/>
    <w:rsid w:val="00123520"/>
    <w:rsid w:val="00123AFD"/>
    <w:rsid w:val="00124784"/>
    <w:rsid w:val="00124C7E"/>
    <w:rsid w:val="001252B0"/>
    <w:rsid w:val="001256D4"/>
    <w:rsid w:val="001259F2"/>
    <w:rsid w:val="00127484"/>
    <w:rsid w:val="00127CDF"/>
    <w:rsid w:val="0013058F"/>
    <w:rsid w:val="00130851"/>
    <w:rsid w:val="001309C0"/>
    <w:rsid w:val="00130C70"/>
    <w:rsid w:val="00130FDD"/>
    <w:rsid w:val="00131A3C"/>
    <w:rsid w:val="00131BBF"/>
    <w:rsid w:val="00132B18"/>
    <w:rsid w:val="00132FA8"/>
    <w:rsid w:val="0013374F"/>
    <w:rsid w:val="00134A5F"/>
    <w:rsid w:val="00135589"/>
    <w:rsid w:val="00135C14"/>
    <w:rsid w:val="00136190"/>
    <w:rsid w:val="0013656F"/>
    <w:rsid w:val="00136632"/>
    <w:rsid w:val="00136C92"/>
    <w:rsid w:val="0013794D"/>
    <w:rsid w:val="00137A58"/>
    <w:rsid w:val="0014042E"/>
    <w:rsid w:val="001405FA"/>
    <w:rsid w:val="00140A1B"/>
    <w:rsid w:val="001410BB"/>
    <w:rsid w:val="001425C3"/>
    <w:rsid w:val="00142EC4"/>
    <w:rsid w:val="00143208"/>
    <w:rsid w:val="00143385"/>
    <w:rsid w:val="00143453"/>
    <w:rsid w:val="001436C1"/>
    <w:rsid w:val="001438C6"/>
    <w:rsid w:val="001446AF"/>
    <w:rsid w:val="00144E72"/>
    <w:rsid w:val="00145297"/>
    <w:rsid w:val="00145800"/>
    <w:rsid w:val="00146553"/>
    <w:rsid w:val="00146BE0"/>
    <w:rsid w:val="00146D95"/>
    <w:rsid w:val="00146D9E"/>
    <w:rsid w:val="001475F6"/>
    <w:rsid w:val="00150863"/>
    <w:rsid w:val="00151339"/>
    <w:rsid w:val="00151E33"/>
    <w:rsid w:val="0015209E"/>
    <w:rsid w:val="00152BC9"/>
    <w:rsid w:val="001538B6"/>
    <w:rsid w:val="0015444D"/>
    <w:rsid w:val="001544C2"/>
    <w:rsid w:val="00154730"/>
    <w:rsid w:val="00154AC5"/>
    <w:rsid w:val="00154E9A"/>
    <w:rsid w:val="00155181"/>
    <w:rsid w:val="00155215"/>
    <w:rsid w:val="001555BA"/>
    <w:rsid w:val="00156A62"/>
    <w:rsid w:val="00156C72"/>
    <w:rsid w:val="00156F9A"/>
    <w:rsid w:val="00157256"/>
    <w:rsid w:val="00157324"/>
    <w:rsid w:val="001604A9"/>
    <w:rsid w:val="001605C0"/>
    <w:rsid w:val="001608FF"/>
    <w:rsid w:val="00160A85"/>
    <w:rsid w:val="00161C15"/>
    <w:rsid w:val="00161E99"/>
    <w:rsid w:val="00162076"/>
    <w:rsid w:val="00162454"/>
    <w:rsid w:val="00162EB8"/>
    <w:rsid w:val="00163793"/>
    <w:rsid w:val="0016425E"/>
    <w:rsid w:val="001649AA"/>
    <w:rsid w:val="00166027"/>
    <w:rsid w:val="0016610C"/>
    <w:rsid w:val="001667C4"/>
    <w:rsid w:val="00166BF2"/>
    <w:rsid w:val="00166CFA"/>
    <w:rsid w:val="00166E59"/>
    <w:rsid w:val="00170B65"/>
    <w:rsid w:val="00170BC0"/>
    <w:rsid w:val="001714F2"/>
    <w:rsid w:val="00171CD8"/>
    <w:rsid w:val="00171FA5"/>
    <w:rsid w:val="00172761"/>
    <w:rsid w:val="00172871"/>
    <w:rsid w:val="00172948"/>
    <w:rsid w:val="00172B12"/>
    <w:rsid w:val="00172EC3"/>
    <w:rsid w:val="00175980"/>
    <w:rsid w:val="00175A98"/>
    <w:rsid w:val="00175BDC"/>
    <w:rsid w:val="00175E27"/>
    <w:rsid w:val="00176B3E"/>
    <w:rsid w:val="00176B70"/>
    <w:rsid w:val="001775E7"/>
    <w:rsid w:val="0017776E"/>
    <w:rsid w:val="00177999"/>
    <w:rsid w:val="00177F2C"/>
    <w:rsid w:val="00180381"/>
    <w:rsid w:val="001808CD"/>
    <w:rsid w:val="00181A8D"/>
    <w:rsid w:val="00181BC2"/>
    <w:rsid w:val="00181CD5"/>
    <w:rsid w:val="00181D98"/>
    <w:rsid w:val="0018200F"/>
    <w:rsid w:val="00182307"/>
    <w:rsid w:val="00182C43"/>
    <w:rsid w:val="00182C7D"/>
    <w:rsid w:val="00182FF5"/>
    <w:rsid w:val="00183BA3"/>
    <w:rsid w:val="0018408A"/>
    <w:rsid w:val="0018416B"/>
    <w:rsid w:val="00184606"/>
    <w:rsid w:val="00184C8B"/>
    <w:rsid w:val="00185010"/>
    <w:rsid w:val="001860FA"/>
    <w:rsid w:val="0018680C"/>
    <w:rsid w:val="00187673"/>
    <w:rsid w:val="0018773B"/>
    <w:rsid w:val="00190BF6"/>
    <w:rsid w:val="00191BAF"/>
    <w:rsid w:val="00191E4B"/>
    <w:rsid w:val="00191F3E"/>
    <w:rsid w:val="00192CDA"/>
    <w:rsid w:val="0019317E"/>
    <w:rsid w:val="00193D45"/>
    <w:rsid w:val="0019470B"/>
    <w:rsid w:val="001947F8"/>
    <w:rsid w:val="001949BD"/>
    <w:rsid w:val="00195C8C"/>
    <w:rsid w:val="00195D5A"/>
    <w:rsid w:val="00195FB6"/>
    <w:rsid w:val="00196754"/>
    <w:rsid w:val="00196897"/>
    <w:rsid w:val="001969C9"/>
    <w:rsid w:val="001972E3"/>
    <w:rsid w:val="00197778"/>
    <w:rsid w:val="00197A12"/>
    <w:rsid w:val="00197D1F"/>
    <w:rsid w:val="001A0064"/>
    <w:rsid w:val="001A0B10"/>
    <w:rsid w:val="001A14B9"/>
    <w:rsid w:val="001A14BB"/>
    <w:rsid w:val="001A15B4"/>
    <w:rsid w:val="001A1B2E"/>
    <w:rsid w:val="001A2F1F"/>
    <w:rsid w:val="001A31F2"/>
    <w:rsid w:val="001A364E"/>
    <w:rsid w:val="001A3B6E"/>
    <w:rsid w:val="001A3BF7"/>
    <w:rsid w:val="001A4051"/>
    <w:rsid w:val="001A42D3"/>
    <w:rsid w:val="001A4D44"/>
    <w:rsid w:val="001A4F0B"/>
    <w:rsid w:val="001A51D6"/>
    <w:rsid w:val="001A552F"/>
    <w:rsid w:val="001A5BBB"/>
    <w:rsid w:val="001A62EE"/>
    <w:rsid w:val="001A6513"/>
    <w:rsid w:val="001A6B8D"/>
    <w:rsid w:val="001A6CFC"/>
    <w:rsid w:val="001A6FCE"/>
    <w:rsid w:val="001B00E4"/>
    <w:rsid w:val="001B0260"/>
    <w:rsid w:val="001B0873"/>
    <w:rsid w:val="001B0ACC"/>
    <w:rsid w:val="001B0CFD"/>
    <w:rsid w:val="001B200B"/>
    <w:rsid w:val="001B22A7"/>
    <w:rsid w:val="001B26AC"/>
    <w:rsid w:val="001B2E25"/>
    <w:rsid w:val="001B3110"/>
    <w:rsid w:val="001B3462"/>
    <w:rsid w:val="001B7194"/>
    <w:rsid w:val="001B75ED"/>
    <w:rsid w:val="001B7941"/>
    <w:rsid w:val="001B7C2E"/>
    <w:rsid w:val="001C12AE"/>
    <w:rsid w:val="001C1F75"/>
    <w:rsid w:val="001C30F8"/>
    <w:rsid w:val="001C3BB4"/>
    <w:rsid w:val="001C3D3D"/>
    <w:rsid w:val="001C441F"/>
    <w:rsid w:val="001C45AC"/>
    <w:rsid w:val="001C4A4E"/>
    <w:rsid w:val="001C4C36"/>
    <w:rsid w:val="001C51A8"/>
    <w:rsid w:val="001C553F"/>
    <w:rsid w:val="001C59D9"/>
    <w:rsid w:val="001C5C0E"/>
    <w:rsid w:val="001C5F73"/>
    <w:rsid w:val="001C628C"/>
    <w:rsid w:val="001C69DE"/>
    <w:rsid w:val="001C7670"/>
    <w:rsid w:val="001D0AA2"/>
    <w:rsid w:val="001D1211"/>
    <w:rsid w:val="001D1481"/>
    <w:rsid w:val="001D1747"/>
    <w:rsid w:val="001D1EA4"/>
    <w:rsid w:val="001D3737"/>
    <w:rsid w:val="001D3DFA"/>
    <w:rsid w:val="001D406B"/>
    <w:rsid w:val="001D4747"/>
    <w:rsid w:val="001D4FE7"/>
    <w:rsid w:val="001D5183"/>
    <w:rsid w:val="001D622E"/>
    <w:rsid w:val="001D6CC7"/>
    <w:rsid w:val="001D7660"/>
    <w:rsid w:val="001D7670"/>
    <w:rsid w:val="001D7A62"/>
    <w:rsid w:val="001D7DF2"/>
    <w:rsid w:val="001D7FEF"/>
    <w:rsid w:val="001E0904"/>
    <w:rsid w:val="001E208A"/>
    <w:rsid w:val="001E2E1C"/>
    <w:rsid w:val="001E33F1"/>
    <w:rsid w:val="001E35CE"/>
    <w:rsid w:val="001E3980"/>
    <w:rsid w:val="001E3C82"/>
    <w:rsid w:val="001E3D08"/>
    <w:rsid w:val="001E42DA"/>
    <w:rsid w:val="001E437E"/>
    <w:rsid w:val="001E5173"/>
    <w:rsid w:val="001E5436"/>
    <w:rsid w:val="001E5CBD"/>
    <w:rsid w:val="001E60BF"/>
    <w:rsid w:val="001E64F8"/>
    <w:rsid w:val="001E74D7"/>
    <w:rsid w:val="001E7867"/>
    <w:rsid w:val="001F0082"/>
    <w:rsid w:val="001F0D50"/>
    <w:rsid w:val="001F13B6"/>
    <w:rsid w:val="001F199C"/>
    <w:rsid w:val="001F1EA8"/>
    <w:rsid w:val="001F20F5"/>
    <w:rsid w:val="001F21E6"/>
    <w:rsid w:val="001F28A3"/>
    <w:rsid w:val="001F36C7"/>
    <w:rsid w:val="001F38BE"/>
    <w:rsid w:val="001F3E03"/>
    <w:rsid w:val="001F4573"/>
    <w:rsid w:val="001F4597"/>
    <w:rsid w:val="001F46EA"/>
    <w:rsid w:val="001F4B9C"/>
    <w:rsid w:val="001F4C47"/>
    <w:rsid w:val="001F52C4"/>
    <w:rsid w:val="001F647A"/>
    <w:rsid w:val="001F6760"/>
    <w:rsid w:val="001F68A0"/>
    <w:rsid w:val="001F7541"/>
    <w:rsid w:val="00200515"/>
    <w:rsid w:val="00201371"/>
    <w:rsid w:val="00201767"/>
    <w:rsid w:val="00201A1B"/>
    <w:rsid w:val="00201B44"/>
    <w:rsid w:val="0020344B"/>
    <w:rsid w:val="002036A6"/>
    <w:rsid w:val="00203AC6"/>
    <w:rsid w:val="002048C3"/>
    <w:rsid w:val="0020498B"/>
    <w:rsid w:val="002050B6"/>
    <w:rsid w:val="00205553"/>
    <w:rsid w:val="002064C5"/>
    <w:rsid w:val="0020650B"/>
    <w:rsid w:val="00206877"/>
    <w:rsid w:val="00206B1E"/>
    <w:rsid w:val="00206C36"/>
    <w:rsid w:val="002073DB"/>
    <w:rsid w:val="00207A19"/>
    <w:rsid w:val="00211943"/>
    <w:rsid w:val="00211C16"/>
    <w:rsid w:val="00212AED"/>
    <w:rsid w:val="00214585"/>
    <w:rsid w:val="00215943"/>
    <w:rsid w:val="00215B5B"/>
    <w:rsid w:val="00215E0F"/>
    <w:rsid w:val="00216EB6"/>
    <w:rsid w:val="00217B5D"/>
    <w:rsid w:val="002201D9"/>
    <w:rsid w:val="00220822"/>
    <w:rsid w:val="00220865"/>
    <w:rsid w:val="00220C4E"/>
    <w:rsid w:val="0022139E"/>
    <w:rsid w:val="002216A8"/>
    <w:rsid w:val="002216F1"/>
    <w:rsid w:val="0022176D"/>
    <w:rsid w:val="00221863"/>
    <w:rsid w:val="00222322"/>
    <w:rsid w:val="0022275B"/>
    <w:rsid w:val="00224077"/>
    <w:rsid w:val="0022439C"/>
    <w:rsid w:val="002248D4"/>
    <w:rsid w:val="00224F4C"/>
    <w:rsid w:val="00224FAC"/>
    <w:rsid w:val="002252E0"/>
    <w:rsid w:val="002255F6"/>
    <w:rsid w:val="002257DA"/>
    <w:rsid w:val="00225C66"/>
    <w:rsid w:val="00225EE9"/>
    <w:rsid w:val="0022664C"/>
    <w:rsid w:val="002271B8"/>
    <w:rsid w:val="002279DD"/>
    <w:rsid w:val="00230B30"/>
    <w:rsid w:val="00230FA2"/>
    <w:rsid w:val="00232D09"/>
    <w:rsid w:val="00233AA3"/>
    <w:rsid w:val="00234209"/>
    <w:rsid w:val="0023512E"/>
    <w:rsid w:val="00236333"/>
    <w:rsid w:val="00236443"/>
    <w:rsid w:val="00236538"/>
    <w:rsid w:val="002401BE"/>
    <w:rsid w:val="0024129B"/>
    <w:rsid w:val="00242ACA"/>
    <w:rsid w:val="0024309D"/>
    <w:rsid w:val="002436BA"/>
    <w:rsid w:val="0024379D"/>
    <w:rsid w:val="002439D6"/>
    <w:rsid w:val="00243A5B"/>
    <w:rsid w:val="002443A5"/>
    <w:rsid w:val="00244A15"/>
    <w:rsid w:val="00244AD0"/>
    <w:rsid w:val="00244BA0"/>
    <w:rsid w:val="00244F0F"/>
    <w:rsid w:val="00246967"/>
    <w:rsid w:val="00246BE7"/>
    <w:rsid w:val="002478CD"/>
    <w:rsid w:val="0024799E"/>
    <w:rsid w:val="00247DD2"/>
    <w:rsid w:val="00250137"/>
    <w:rsid w:val="002516CC"/>
    <w:rsid w:val="00251F9F"/>
    <w:rsid w:val="002521B9"/>
    <w:rsid w:val="0025234A"/>
    <w:rsid w:val="002524A2"/>
    <w:rsid w:val="0025274E"/>
    <w:rsid w:val="00254352"/>
    <w:rsid w:val="00254BF0"/>
    <w:rsid w:val="00256B36"/>
    <w:rsid w:val="00256D8F"/>
    <w:rsid w:val="00260106"/>
    <w:rsid w:val="00260621"/>
    <w:rsid w:val="00261DBF"/>
    <w:rsid w:val="00262E31"/>
    <w:rsid w:val="0026372B"/>
    <w:rsid w:val="00264463"/>
    <w:rsid w:val="00264937"/>
    <w:rsid w:val="00264FB0"/>
    <w:rsid w:val="002656DE"/>
    <w:rsid w:val="00265BD4"/>
    <w:rsid w:val="00266DBA"/>
    <w:rsid w:val="00267C5E"/>
    <w:rsid w:val="00267DE8"/>
    <w:rsid w:val="00267F49"/>
    <w:rsid w:val="002704E6"/>
    <w:rsid w:val="00270567"/>
    <w:rsid w:val="00271FCF"/>
    <w:rsid w:val="002728E5"/>
    <w:rsid w:val="002731F4"/>
    <w:rsid w:val="00273BD1"/>
    <w:rsid w:val="0027509A"/>
    <w:rsid w:val="00275BC0"/>
    <w:rsid w:val="00276B63"/>
    <w:rsid w:val="00277099"/>
    <w:rsid w:val="002771CE"/>
    <w:rsid w:val="00277478"/>
    <w:rsid w:val="00277706"/>
    <w:rsid w:val="00280C39"/>
    <w:rsid w:val="00281435"/>
    <w:rsid w:val="002814B4"/>
    <w:rsid w:val="0028177B"/>
    <w:rsid w:val="0028217C"/>
    <w:rsid w:val="00283284"/>
    <w:rsid w:val="00283564"/>
    <w:rsid w:val="002835A8"/>
    <w:rsid w:val="002840A2"/>
    <w:rsid w:val="00284FE3"/>
    <w:rsid w:val="00285461"/>
    <w:rsid w:val="00285B5F"/>
    <w:rsid w:val="002872C2"/>
    <w:rsid w:val="002874F0"/>
    <w:rsid w:val="0028792D"/>
    <w:rsid w:val="00287BE0"/>
    <w:rsid w:val="00287CCB"/>
    <w:rsid w:val="00287CCF"/>
    <w:rsid w:val="00287FFD"/>
    <w:rsid w:val="00290C0F"/>
    <w:rsid w:val="002914EE"/>
    <w:rsid w:val="00292845"/>
    <w:rsid w:val="00293089"/>
    <w:rsid w:val="00293295"/>
    <w:rsid w:val="00293916"/>
    <w:rsid w:val="00293CEF"/>
    <w:rsid w:val="00293F7A"/>
    <w:rsid w:val="00294C49"/>
    <w:rsid w:val="00295694"/>
    <w:rsid w:val="0029633E"/>
    <w:rsid w:val="002963FE"/>
    <w:rsid w:val="002976B9"/>
    <w:rsid w:val="00297B1F"/>
    <w:rsid w:val="00297FBA"/>
    <w:rsid w:val="002A0214"/>
    <w:rsid w:val="002A0702"/>
    <w:rsid w:val="002A07F7"/>
    <w:rsid w:val="002A143B"/>
    <w:rsid w:val="002A1933"/>
    <w:rsid w:val="002A21A2"/>
    <w:rsid w:val="002A26AB"/>
    <w:rsid w:val="002A2816"/>
    <w:rsid w:val="002A2CF9"/>
    <w:rsid w:val="002A36A6"/>
    <w:rsid w:val="002A4F13"/>
    <w:rsid w:val="002A65BC"/>
    <w:rsid w:val="002A67A5"/>
    <w:rsid w:val="002A7621"/>
    <w:rsid w:val="002B030B"/>
    <w:rsid w:val="002B0FA7"/>
    <w:rsid w:val="002B1DF8"/>
    <w:rsid w:val="002B2848"/>
    <w:rsid w:val="002B2E50"/>
    <w:rsid w:val="002B439B"/>
    <w:rsid w:val="002B67D8"/>
    <w:rsid w:val="002B6CDB"/>
    <w:rsid w:val="002B6DF3"/>
    <w:rsid w:val="002B6E4D"/>
    <w:rsid w:val="002B7691"/>
    <w:rsid w:val="002B782B"/>
    <w:rsid w:val="002C09AB"/>
    <w:rsid w:val="002C0D94"/>
    <w:rsid w:val="002C0FFC"/>
    <w:rsid w:val="002C112B"/>
    <w:rsid w:val="002C1CCB"/>
    <w:rsid w:val="002C2278"/>
    <w:rsid w:val="002C31C4"/>
    <w:rsid w:val="002C31D3"/>
    <w:rsid w:val="002C31F0"/>
    <w:rsid w:val="002C43BD"/>
    <w:rsid w:val="002C453D"/>
    <w:rsid w:val="002C46D6"/>
    <w:rsid w:val="002C63C8"/>
    <w:rsid w:val="002C74EA"/>
    <w:rsid w:val="002C7779"/>
    <w:rsid w:val="002D0D0A"/>
    <w:rsid w:val="002D13DD"/>
    <w:rsid w:val="002D2170"/>
    <w:rsid w:val="002D3010"/>
    <w:rsid w:val="002D3A94"/>
    <w:rsid w:val="002D3DF2"/>
    <w:rsid w:val="002D3EAF"/>
    <w:rsid w:val="002D3F0F"/>
    <w:rsid w:val="002D4104"/>
    <w:rsid w:val="002D47D8"/>
    <w:rsid w:val="002D487C"/>
    <w:rsid w:val="002D56ED"/>
    <w:rsid w:val="002D6AFD"/>
    <w:rsid w:val="002D7465"/>
    <w:rsid w:val="002D7A34"/>
    <w:rsid w:val="002E0064"/>
    <w:rsid w:val="002E02A1"/>
    <w:rsid w:val="002E06EB"/>
    <w:rsid w:val="002E0AD7"/>
    <w:rsid w:val="002E1BC6"/>
    <w:rsid w:val="002E24FF"/>
    <w:rsid w:val="002E29E6"/>
    <w:rsid w:val="002E2BDD"/>
    <w:rsid w:val="002E2E66"/>
    <w:rsid w:val="002E34BF"/>
    <w:rsid w:val="002E3F91"/>
    <w:rsid w:val="002E4155"/>
    <w:rsid w:val="002E468D"/>
    <w:rsid w:val="002E53EB"/>
    <w:rsid w:val="002E58FA"/>
    <w:rsid w:val="002E5C9C"/>
    <w:rsid w:val="002E638E"/>
    <w:rsid w:val="002E7BB0"/>
    <w:rsid w:val="002E7D89"/>
    <w:rsid w:val="002F08EF"/>
    <w:rsid w:val="002F0E9F"/>
    <w:rsid w:val="002F12F5"/>
    <w:rsid w:val="002F13ED"/>
    <w:rsid w:val="002F1AB5"/>
    <w:rsid w:val="002F1C06"/>
    <w:rsid w:val="002F23F1"/>
    <w:rsid w:val="002F2B01"/>
    <w:rsid w:val="002F2EF8"/>
    <w:rsid w:val="002F3032"/>
    <w:rsid w:val="002F313B"/>
    <w:rsid w:val="002F3249"/>
    <w:rsid w:val="002F3795"/>
    <w:rsid w:val="002F3B62"/>
    <w:rsid w:val="002F3BD2"/>
    <w:rsid w:val="002F3C65"/>
    <w:rsid w:val="002F3CFD"/>
    <w:rsid w:val="002F455B"/>
    <w:rsid w:val="002F473A"/>
    <w:rsid w:val="002F4840"/>
    <w:rsid w:val="002F48A6"/>
    <w:rsid w:val="002F53A6"/>
    <w:rsid w:val="002F702A"/>
    <w:rsid w:val="002F7055"/>
    <w:rsid w:val="002F7080"/>
    <w:rsid w:val="002F7270"/>
    <w:rsid w:val="002F74C6"/>
    <w:rsid w:val="002F7590"/>
    <w:rsid w:val="0030076C"/>
    <w:rsid w:val="00301010"/>
    <w:rsid w:val="0030115C"/>
    <w:rsid w:val="00301900"/>
    <w:rsid w:val="00301A1D"/>
    <w:rsid w:val="00301C0F"/>
    <w:rsid w:val="00303156"/>
    <w:rsid w:val="00304147"/>
    <w:rsid w:val="00304771"/>
    <w:rsid w:val="00305F36"/>
    <w:rsid w:val="003061B7"/>
    <w:rsid w:val="00306BFA"/>
    <w:rsid w:val="00306C0F"/>
    <w:rsid w:val="00306C5B"/>
    <w:rsid w:val="003071E1"/>
    <w:rsid w:val="0030764E"/>
    <w:rsid w:val="00307719"/>
    <w:rsid w:val="00307C28"/>
    <w:rsid w:val="00307E36"/>
    <w:rsid w:val="003104D4"/>
    <w:rsid w:val="00310C4C"/>
    <w:rsid w:val="00311453"/>
    <w:rsid w:val="00311D3E"/>
    <w:rsid w:val="00311E05"/>
    <w:rsid w:val="00311E71"/>
    <w:rsid w:val="00312451"/>
    <w:rsid w:val="00312646"/>
    <w:rsid w:val="00313553"/>
    <w:rsid w:val="003138DC"/>
    <w:rsid w:val="003141C3"/>
    <w:rsid w:val="00314AAB"/>
    <w:rsid w:val="003155FB"/>
    <w:rsid w:val="003156E7"/>
    <w:rsid w:val="00315DFF"/>
    <w:rsid w:val="003172C5"/>
    <w:rsid w:val="00320639"/>
    <w:rsid w:val="003209D6"/>
    <w:rsid w:val="00320DA4"/>
    <w:rsid w:val="0032123B"/>
    <w:rsid w:val="0032123E"/>
    <w:rsid w:val="0032130A"/>
    <w:rsid w:val="00321F4E"/>
    <w:rsid w:val="003225B0"/>
    <w:rsid w:val="00322A85"/>
    <w:rsid w:val="00322B58"/>
    <w:rsid w:val="0032334F"/>
    <w:rsid w:val="00324598"/>
    <w:rsid w:val="00324D33"/>
    <w:rsid w:val="003257F5"/>
    <w:rsid w:val="0032669A"/>
    <w:rsid w:val="00326C27"/>
    <w:rsid w:val="00326E14"/>
    <w:rsid w:val="00326F52"/>
    <w:rsid w:val="003270BE"/>
    <w:rsid w:val="00327221"/>
    <w:rsid w:val="003276F5"/>
    <w:rsid w:val="00327C7C"/>
    <w:rsid w:val="00331292"/>
    <w:rsid w:val="0033140D"/>
    <w:rsid w:val="00331641"/>
    <w:rsid w:val="00332098"/>
    <w:rsid w:val="003328E9"/>
    <w:rsid w:val="00332DE4"/>
    <w:rsid w:val="0033380D"/>
    <w:rsid w:val="00334056"/>
    <w:rsid w:val="00334EAB"/>
    <w:rsid w:val="003350DA"/>
    <w:rsid w:val="0033571C"/>
    <w:rsid w:val="003357F1"/>
    <w:rsid w:val="003363FB"/>
    <w:rsid w:val="00336576"/>
    <w:rsid w:val="003366B6"/>
    <w:rsid w:val="00337C62"/>
    <w:rsid w:val="00341B7E"/>
    <w:rsid w:val="00341C43"/>
    <w:rsid w:val="00341E45"/>
    <w:rsid w:val="00342135"/>
    <w:rsid w:val="00342153"/>
    <w:rsid w:val="003429AA"/>
    <w:rsid w:val="00342A7A"/>
    <w:rsid w:val="00344516"/>
    <w:rsid w:val="003447BC"/>
    <w:rsid w:val="00346B28"/>
    <w:rsid w:val="0034730D"/>
    <w:rsid w:val="0034799C"/>
    <w:rsid w:val="00347A9E"/>
    <w:rsid w:val="00352F70"/>
    <w:rsid w:val="00353BD5"/>
    <w:rsid w:val="00354492"/>
    <w:rsid w:val="00354634"/>
    <w:rsid w:val="00354986"/>
    <w:rsid w:val="003559DE"/>
    <w:rsid w:val="00355E80"/>
    <w:rsid w:val="00356039"/>
    <w:rsid w:val="003562CA"/>
    <w:rsid w:val="00356A61"/>
    <w:rsid w:val="00356ABD"/>
    <w:rsid w:val="00357CC8"/>
    <w:rsid w:val="003603CE"/>
    <w:rsid w:val="00361916"/>
    <w:rsid w:val="00361F49"/>
    <w:rsid w:val="003633C2"/>
    <w:rsid w:val="003657F3"/>
    <w:rsid w:val="003665AB"/>
    <w:rsid w:val="003669A4"/>
    <w:rsid w:val="00366AD8"/>
    <w:rsid w:val="00366C80"/>
    <w:rsid w:val="003678B8"/>
    <w:rsid w:val="00367A06"/>
    <w:rsid w:val="00367B0E"/>
    <w:rsid w:val="00370721"/>
    <w:rsid w:val="003715C8"/>
    <w:rsid w:val="00371906"/>
    <w:rsid w:val="00371E86"/>
    <w:rsid w:val="00372A2B"/>
    <w:rsid w:val="00372ECF"/>
    <w:rsid w:val="00373061"/>
    <w:rsid w:val="00373282"/>
    <w:rsid w:val="003738F1"/>
    <w:rsid w:val="00373D64"/>
    <w:rsid w:val="003743BD"/>
    <w:rsid w:val="003747CC"/>
    <w:rsid w:val="00374920"/>
    <w:rsid w:val="00374FC4"/>
    <w:rsid w:val="00376624"/>
    <w:rsid w:val="00377B43"/>
    <w:rsid w:val="0038023A"/>
    <w:rsid w:val="00380B0F"/>
    <w:rsid w:val="00381287"/>
    <w:rsid w:val="003814B5"/>
    <w:rsid w:val="00381B38"/>
    <w:rsid w:val="00382234"/>
    <w:rsid w:val="0038306D"/>
    <w:rsid w:val="00383531"/>
    <w:rsid w:val="0038391D"/>
    <w:rsid w:val="00383C4C"/>
    <w:rsid w:val="0038458E"/>
    <w:rsid w:val="00384701"/>
    <w:rsid w:val="00384823"/>
    <w:rsid w:val="003849AC"/>
    <w:rsid w:val="003855FD"/>
    <w:rsid w:val="00385D98"/>
    <w:rsid w:val="003860DA"/>
    <w:rsid w:val="00386236"/>
    <w:rsid w:val="00386481"/>
    <w:rsid w:val="003864AE"/>
    <w:rsid w:val="003869AD"/>
    <w:rsid w:val="003909D7"/>
    <w:rsid w:val="003912FF"/>
    <w:rsid w:val="00391589"/>
    <w:rsid w:val="0039159A"/>
    <w:rsid w:val="00391639"/>
    <w:rsid w:val="00391B49"/>
    <w:rsid w:val="00391F28"/>
    <w:rsid w:val="0039328F"/>
    <w:rsid w:val="00393D3B"/>
    <w:rsid w:val="00394169"/>
    <w:rsid w:val="00394398"/>
    <w:rsid w:val="00394756"/>
    <w:rsid w:val="00394F60"/>
    <w:rsid w:val="00394FBF"/>
    <w:rsid w:val="00395AD8"/>
    <w:rsid w:val="00395C65"/>
    <w:rsid w:val="00395EBF"/>
    <w:rsid w:val="00395EF5"/>
    <w:rsid w:val="00396BC7"/>
    <w:rsid w:val="00397F92"/>
    <w:rsid w:val="003A054D"/>
    <w:rsid w:val="003A071A"/>
    <w:rsid w:val="003A0B95"/>
    <w:rsid w:val="003A139A"/>
    <w:rsid w:val="003A1BC5"/>
    <w:rsid w:val="003A1F7F"/>
    <w:rsid w:val="003A212A"/>
    <w:rsid w:val="003A2B4D"/>
    <w:rsid w:val="003A36EE"/>
    <w:rsid w:val="003A384C"/>
    <w:rsid w:val="003A3962"/>
    <w:rsid w:val="003A3B7E"/>
    <w:rsid w:val="003A3FDB"/>
    <w:rsid w:val="003A434B"/>
    <w:rsid w:val="003A46A2"/>
    <w:rsid w:val="003A4766"/>
    <w:rsid w:val="003A478C"/>
    <w:rsid w:val="003A4C2B"/>
    <w:rsid w:val="003A5525"/>
    <w:rsid w:val="003A5EC2"/>
    <w:rsid w:val="003A6AB3"/>
    <w:rsid w:val="003A6B38"/>
    <w:rsid w:val="003A7B23"/>
    <w:rsid w:val="003A7D04"/>
    <w:rsid w:val="003B07C1"/>
    <w:rsid w:val="003B07D7"/>
    <w:rsid w:val="003B0B1C"/>
    <w:rsid w:val="003B0D43"/>
    <w:rsid w:val="003B1105"/>
    <w:rsid w:val="003B1C34"/>
    <w:rsid w:val="003B2C29"/>
    <w:rsid w:val="003B3719"/>
    <w:rsid w:val="003B3854"/>
    <w:rsid w:val="003B4AB9"/>
    <w:rsid w:val="003B5A32"/>
    <w:rsid w:val="003B75E7"/>
    <w:rsid w:val="003B75ED"/>
    <w:rsid w:val="003B7D25"/>
    <w:rsid w:val="003C0343"/>
    <w:rsid w:val="003C100D"/>
    <w:rsid w:val="003C1098"/>
    <w:rsid w:val="003C1606"/>
    <w:rsid w:val="003C1BDB"/>
    <w:rsid w:val="003C20FF"/>
    <w:rsid w:val="003C2B86"/>
    <w:rsid w:val="003C2D8C"/>
    <w:rsid w:val="003C3177"/>
    <w:rsid w:val="003C334B"/>
    <w:rsid w:val="003C4755"/>
    <w:rsid w:val="003C4892"/>
    <w:rsid w:val="003C48BB"/>
    <w:rsid w:val="003C4A60"/>
    <w:rsid w:val="003C4AB2"/>
    <w:rsid w:val="003C54D3"/>
    <w:rsid w:val="003C5540"/>
    <w:rsid w:val="003C565A"/>
    <w:rsid w:val="003C5BE5"/>
    <w:rsid w:val="003C5FB3"/>
    <w:rsid w:val="003C77D1"/>
    <w:rsid w:val="003C7C38"/>
    <w:rsid w:val="003C7FCB"/>
    <w:rsid w:val="003D0F87"/>
    <w:rsid w:val="003D1BBE"/>
    <w:rsid w:val="003D1BF5"/>
    <w:rsid w:val="003D20B9"/>
    <w:rsid w:val="003D2A5D"/>
    <w:rsid w:val="003D3D33"/>
    <w:rsid w:val="003D476F"/>
    <w:rsid w:val="003D4D7C"/>
    <w:rsid w:val="003D4F10"/>
    <w:rsid w:val="003D5195"/>
    <w:rsid w:val="003D53AA"/>
    <w:rsid w:val="003E006B"/>
    <w:rsid w:val="003E0297"/>
    <w:rsid w:val="003E05A0"/>
    <w:rsid w:val="003E081A"/>
    <w:rsid w:val="003E0B6A"/>
    <w:rsid w:val="003E183C"/>
    <w:rsid w:val="003E1A32"/>
    <w:rsid w:val="003E1CB4"/>
    <w:rsid w:val="003E23A0"/>
    <w:rsid w:val="003E2BEE"/>
    <w:rsid w:val="003E4697"/>
    <w:rsid w:val="003E517B"/>
    <w:rsid w:val="003E5BC2"/>
    <w:rsid w:val="003E5D6E"/>
    <w:rsid w:val="003E6B24"/>
    <w:rsid w:val="003E6D10"/>
    <w:rsid w:val="003E7003"/>
    <w:rsid w:val="003E71A3"/>
    <w:rsid w:val="003E7290"/>
    <w:rsid w:val="003E796F"/>
    <w:rsid w:val="003E7A25"/>
    <w:rsid w:val="003F0699"/>
    <w:rsid w:val="003F073D"/>
    <w:rsid w:val="003F1F84"/>
    <w:rsid w:val="003F244B"/>
    <w:rsid w:val="003F263C"/>
    <w:rsid w:val="003F278C"/>
    <w:rsid w:val="003F313C"/>
    <w:rsid w:val="003F357B"/>
    <w:rsid w:val="003F40D4"/>
    <w:rsid w:val="003F50AF"/>
    <w:rsid w:val="003F52E9"/>
    <w:rsid w:val="003F563D"/>
    <w:rsid w:val="003F62AA"/>
    <w:rsid w:val="003F73F0"/>
    <w:rsid w:val="003F7A7D"/>
    <w:rsid w:val="00400636"/>
    <w:rsid w:val="00401B38"/>
    <w:rsid w:val="00402062"/>
    <w:rsid w:val="0040255C"/>
    <w:rsid w:val="00403558"/>
    <w:rsid w:val="004039E7"/>
    <w:rsid w:val="00403C51"/>
    <w:rsid w:val="00403ED7"/>
    <w:rsid w:val="00404665"/>
    <w:rsid w:val="0040533B"/>
    <w:rsid w:val="00405BB9"/>
    <w:rsid w:val="00405D48"/>
    <w:rsid w:val="00406C11"/>
    <w:rsid w:val="00407395"/>
    <w:rsid w:val="004073A2"/>
    <w:rsid w:val="00407605"/>
    <w:rsid w:val="004079F7"/>
    <w:rsid w:val="004106A5"/>
    <w:rsid w:val="00410844"/>
    <w:rsid w:val="00410C60"/>
    <w:rsid w:val="00410D5F"/>
    <w:rsid w:val="00411DC7"/>
    <w:rsid w:val="0041207B"/>
    <w:rsid w:val="00412A29"/>
    <w:rsid w:val="00412F1A"/>
    <w:rsid w:val="00413856"/>
    <w:rsid w:val="0041398E"/>
    <w:rsid w:val="00413C01"/>
    <w:rsid w:val="00413D2F"/>
    <w:rsid w:val="00413D6B"/>
    <w:rsid w:val="00414240"/>
    <w:rsid w:val="00414606"/>
    <w:rsid w:val="004155CD"/>
    <w:rsid w:val="00415677"/>
    <w:rsid w:val="004166B2"/>
    <w:rsid w:val="00416B8E"/>
    <w:rsid w:val="0041734A"/>
    <w:rsid w:val="00417F05"/>
    <w:rsid w:val="00420985"/>
    <w:rsid w:val="00421359"/>
    <w:rsid w:val="00421554"/>
    <w:rsid w:val="00422315"/>
    <w:rsid w:val="004225E1"/>
    <w:rsid w:val="004236B3"/>
    <w:rsid w:val="00423910"/>
    <w:rsid w:val="00424AB7"/>
    <w:rsid w:val="00424DD4"/>
    <w:rsid w:val="00425A39"/>
    <w:rsid w:val="00425C3A"/>
    <w:rsid w:val="004260A7"/>
    <w:rsid w:val="00426330"/>
    <w:rsid w:val="00426422"/>
    <w:rsid w:val="00427185"/>
    <w:rsid w:val="00427765"/>
    <w:rsid w:val="00427E13"/>
    <w:rsid w:val="00427FC8"/>
    <w:rsid w:val="00430090"/>
    <w:rsid w:val="00430301"/>
    <w:rsid w:val="00430674"/>
    <w:rsid w:val="00430AEE"/>
    <w:rsid w:val="00430CE0"/>
    <w:rsid w:val="004313F0"/>
    <w:rsid w:val="0043194A"/>
    <w:rsid w:val="00431AA8"/>
    <w:rsid w:val="004322C6"/>
    <w:rsid w:val="0043232A"/>
    <w:rsid w:val="00432D64"/>
    <w:rsid w:val="004341DF"/>
    <w:rsid w:val="00434E4A"/>
    <w:rsid w:val="00434EA2"/>
    <w:rsid w:val="00435439"/>
    <w:rsid w:val="00435CBA"/>
    <w:rsid w:val="00436048"/>
    <w:rsid w:val="004362C7"/>
    <w:rsid w:val="00436398"/>
    <w:rsid w:val="004377D2"/>
    <w:rsid w:val="004403DD"/>
    <w:rsid w:val="00440A9B"/>
    <w:rsid w:val="0044161B"/>
    <w:rsid w:val="00441BA1"/>
    <w:rsid w:val="004423DA"/>
    <w:rsid w:val="00442B70"/>
    <w:rsid w:val="004431A3"/>
    <w:rsid w:val="00443FBC"/>
    <w:rsid w:val="00444354"/>
    <w:rsid w:val="00445784"/>
    <w:rsid w:val="00445D1D"/>
    <w:rsid w:val="00446C05"/>
    <w:rsid w:val="004477D7"/>
    <w:rsid w:val="0044781D"/>
    <w:rsid w:val="004479AD"/>
    <w:rsid w:val="004500A7"/>
    <w:rsid w:val="00451E6B"/>
    <w:rsid w:val="004521A6"/>
    <w:rsid w:val="00452FAC"/>
    <w:rsid w:val="00453061"/>
    <w:rsid w:val="0045366B"/>
    <w:rsid w:val="00453F26"/>
    <w:rsid w:val="0045479C"/>
    <w:rsid w:val="00454B4B"/>
    <w:rsid w:val="004555AE"/>
    <w:rsid w:val="00455781"/>
    <w:rsid w:val="00455BF7"/>
    <w:rsid w:val="00455E35"/>
    <w:rsid w:val="004567A9"/>
    <w:rsid w:val="00456844"/>
    <w:rsid w:val="00456CEB"/>
    <w:rsid w:val="00460032"/>
    <w:rsid w:val="00461A58"/>
    <w:rsid w:val="004624F4"/>
    <w:rsid w:val="00463277"/>
    <w:rsid w:val="00463E74"/>
    <w:rsid w:val="00463E8E"/>
    <w:rsid w:val="004644D9"/>
    <w:rsid w:val="0046625C"/>
    <w:rsid w:val="00466611"/>
    <w:rsid w:val="00471D56"/>
    <w:rsid w:val="00472688"/>
    <w:rsid w:val="00473149"/>
    <w:rsid w:val="00473708"/>
    <w:rsid w:val="0047507B"/>
    <w:rsid w:val="004752A7"/>
    <w:rsid w:val="004753E9"/>
    <w:rsid w:val="004759F2"/>
    <w:rsid w:val="00475D13"/>
    <w:rsid w:val="00475FE9"/>
    <w:rsid w:val="00480A0A"/>
    <w:rsid w:val="00480CC3"/>
    <w:rsid w:val="0048139F"/>
    <w:rsid w:val="00481B3C"/>
    <w:rsid w:val="00482B61"/>
    <w:rsid w:val="004830CE"/>
    <w:rsid w:val="004836E2"/>
    <w:rsid w:val="004837AE"/>
    <w:rsid w:val="00483CCC"/>
    <w:rsid w:val="00484121"/>
    <w:rsid w:val="004843F9"/>
    <w:rsid w:val="00484781"/>
    <w:rsid w:val="00484EC2"/>
    <w:rsid w:val="00485340"/>
    <w:rsid w:val="00485894"/>
    <w:rsid w:val="00485EF6"/>
    <w:rsid w:val="0048673C"/>
    <w:rsid w:val="00486EDF"/>
    <w:rsid w:val="0048734B"/>
    <w:rsid w:val="00487705"/>
    <w:rsid w:val="00487DE1"/>
    <w:rsid w:val="0049040D"/>
    <w:rsid w:val="00490AA9"/>
    <w:rsid w:val="00490B42"/>
    <w:rsid w:val="00490DC2"/>
    <w:rsid w:val="00490DDC"/>
    <w:rsid w:val="004918CF"/>
    <w:rsid w:val="00492782"/>
    <w:rsid w:val="00493D07"/>
    <w:rsid w:val="004944EE"/>
    <w:rsid w:val="00494BB0"/>
    <w:rsid w:val="00495330"/>
    <w:rsid w:val="00496186"/>
    <w:rsid w:val="00496630"/>
    <w:rsid w:val="004972CB"/>
    <w:rsid w:val="00497328"/>
    <w:rsid w:val="004976DF"/>
    <w:rsid w:val="004A0405"/>
    <w:rsid w:val="004A0961"/>
    <w:rsid w:val="004A0C12"/>
    <w:rsid w:val="004A0CD4"/>
    <w:rsid w:val="004A2867"/>
    <w:rsid w:val="004A2ED0"/>
    <w:rsid w:val="004A30F7"/>
    <w:rsid w:val="004A33C7"/>
    <w:rsid w:val="004A37CA"/>
    <w:rsid w:val="004A3B8F"/>
    <w:rsid w:val="004A4499"/>
    <w:rsid w:val="004A4C70"/>
    <w:rsid w:val="004A4D9F"/>
    <w:rsid w:val="004A520B"/>
    <w:rsid w:val="004A54DA"/>
    <w:rsid w:val="004A6811"/>
    <w:rsid w:val="004A6C99"/>
    <w:rsid w:val="004A6E50"/>
    <w:rsid w:val="004A742A"/>
    <w:rsid w:val="004A7516"/>
    <w:rsid w:val="004A774A"/>
    <w:rsid w:val="004A77DF"/>
    <w:rsid w:val="004A7DBE"/>
    <w:rsid w:val="004A7F6D"/>
    <w:rsid w:val="004B00D8"/>
    <w:rsid w:val="004B0EFC"/>
    <w:rsid w:val="004B116C"/>
    <w:rsid w:val="004B1EFD"/>
    <w:rsid w:val="004B21BD"/>
    <w:rsid w:val="004B228E"/>
    <w:rsid w:val="004B22F1"/>
    <w:rsid w:val="004B32AB"/>
    <w:rsid w:val="004B38CF"/>
    <w:rsid w:val="004B443E"/>
    <w:rsid w:val="004B55B7"/>
    <w:rsid w:val="004B62D9"/>
    <w:rsid w:val="004B6C36"/>
    <w:rsid w:val="004B789D"/>
    <w:rsid w:val="004C008B"/>
    <w:rsid w:val="004C0ADF"/>
    <w:rsid w:val="004C1966"/>
    <w:rsid w:val="004C19A9"/>
    <w:rsid w:val="004C1E7C"/>
    <w:rsid w:val="004C219B"/>
    <w:rsid w:val="004C2813"/>
    <w:rsid w:val="004C2E6C"/>
    <w:rsid w:val="004C3376"/>
    <w:rsid w:val="004C3411"/>
    <w:rsid w:val="004C3867"/>
    <w:rsid w:val="004C3AE6"/>
    <w:rsid w:val="004C4121"/>
    <w:rsid w:val="004C4CD0"/>
    <w:rsid w:val="004C5035"/>
    <w:rsid w:val="004C5416"/>
    <w:rsid w:val="004C5960"/>
    <w:rsid w:val="004C6F38"/>
    <w:rsid w:val="004C70DC"/>
    <w:rsid w:val="004C728B"/>
    <w:rsid w:val="004D0211"/>
    <w:rsid w:val="004D29B8"/>
    <w:rsid w:val="004D2C50"/>
    <w:rsid w:val="004D3AA6"/>
    <w:rsid w:val="004D4145"/>
    <w:rsid w:val="004D4253"/>
    <w:rsid w:val="004D488B"/>
    <w:rsid w:val="004D4ED3"/>
    <w:rsid w:val="004D4F8D"/>
    <w:rsid w:val="004D6B14"/>
    <w:rsid w:val="004D6DD7"/>
    <w:rsid w:val="004D70A1"/>
    <w:rsid w:val="004D7352"/>
    <w:rsid w:val="004D7622"/>
    <w:rsid w:val="004D7DD4"/>
    <w:rsid w:val="004E07F2"/>
    <w:rsid w:val="004E0DA0"/>
    <w:rsid w:val="004E16F6"/>
    <w:rsid w:val="004E1E04"/>
    <w:rsid w:val="004E1FB2"/>
    <w:rsid w:val="004E2105"/>
    <w:rsid w:val="004E2F6C"/>
    <w:rsid w:val="004E3005"/>
    <w:rsid w:val="004E3936"/>
    <w:rsid w:val="004E3D6B"/>
    <w:rsid w:val="004E3E7B"/>
    <w:rsid w:val="004E44F4"/>
    <w:rsid w:val="004E46DF"/>
    <w:rsid w:val="004E4AF3"/>
    <w:rsid w:val="004E5288"/>
    <w:rsid w:val="004E57C7"/>
    <w:rsid w:val="004E5C31"/>
    <w:rsid w:val="004E600C"/>
    <w:rsid w:val="004E6919"/>
    <w:rsid w:val="004E6BC8"/>
    <w:rsid w:val="004E7551"/>
    <w:rsid w:val="004E789E"/>
    <w:rsid w:val="004E7A13"/>
    <w:rsid w:val="004E7D3D"/>
    <w:rsid w:val="004E7E94"/>
    <w:rsid w:val="004F02B7"/>
    <w:rsid w:val="004F06F5"/>
    <w:rsid w:val="004F0BD9"/>
    <w:rsid w:val="004F0C6A"/>
    <w:rsid w:val="004F0F92"/>
    <w:rsid w:val="004F1890"/>
    <w:rsid w:val="004F1915"/>
    <w:rsid w:val="004F2019"/>
    <w:rsid w:val="004F25E7"/>
    <w:rsid w:val="004F2F3C"/>
    <w:rsid w:val="004F33A0"/>
    <w:rsid w:val="004F4117"/>
    <w:rsid w:val="004F411B"/>
    <w:rsid w:val="004F4FE7"/>
    <w:rsid w:val="004F5016"/>
    <w:rsid w:val="004F5578"/>
    <w:rsid w:val="004F5721"/>
    <w:rsid w:val="004F5E50"/>
    <w:rsid w:val="004F663F"/>
    <w:rsid w:val="004F6B41"/>
    <w:rsid w:val="004F6BBE"/>
    <w:rsid w:val="004F7168"/>
    <w:rsid w:val="004F7E6A"/>
    <w:rsid w:val="00500748"/>
    <w:rsid w:val="00500D87"/>
    <w:rsid w:val="00500EBF"/>
    <w:rsid w:val="00501BA8"/>
    <w:rsid w:val="00501BC0"/>
    <w:rsid w:val="005020D2"/>
    <w:rsid w:val="00502265"/>
    <w:rsid w:val="0050264F"/>
    <w:rsid w:val="00502D0B"/>
    <w:rsid w:val="00502D0E"/>
    <w:rsid w:val="00503123"/>
    <w:rsid w:val="005036CD"/>
    <w:rsid w:val="00503742"/>
    <w:rsid w:val="0050375D"/>
    <w:rsid w:val="0050384D"/>
    <w:rsid w:val="00503A24"/>
    <w:rsid w:val="00503DFA"/>
    <w:rsid w:val="0050486B"/>
    <w:rsid w:val="005055DF"/>
    <w:rsid w:val="00505692"/>
    <w:rsid w:val="0050601E"/>
    <w:rsid w:val="005060B8"/>
    <w:rsid w:val="00507292"/>
    <w:rsid w:val="005072D0"/>
    <w:rsid w:val="00507F95"/>
    <w:rsid w:val="0051035C"/>
    <w:rsid w:val="005108C0"/>
    <w:rsid w:val="00510A30"/>
    <w:rsid w:val="00510CB2"/>
    <w:rsid w:val="00510D4F"/>
    <w:rsid w:val="005110A5"/>
    <w:rsid w:val="005116AE"/>
    <w:rsid w:val="00511873"/>
    <w:rsid w:val="00511B1D"/>
    <w:rsid w:val="00511C88"/>
    <w:rsid w:val="0051240C"/>
    <w:rsid w:val="00512441"/>
    <w:rsid w:val="00512D79"/>
    <w:rsid w:val="005130E9"/>
    <w:rsid w:val="00513433"/>
    <w:rsid w:val="00513B7E"/>
    <w:rsid w:val="00514924"/>
    <w:rsid w:val="00514B3C"/>
    <w:rsid w:val="00515CA9"/>
    <w:rsid w:val="005161B9"/>
    <w:rsid w:val="00516807"/>
    <w:rsid w:val="00516C32"/>
    <w:rsid w:val="00516CC3"/>
    <w:rsid w:val="005171EB"/>
    <w:rsid w:val="005176F5"/>
    <w:rsid w:val="00517B67"/>
    <w:rsid w:val="00517B68"/>
    <w:rsid w:val="00520BF3"/>
    <w:rsid w:val="005226AE"/>
    <w:rsid w:val="00523A55"/>
    <w:rsid w:val="00523DBF"/>
    <w:rsid w:val="00524CD4"/>
    <w:rsid w:val="00525137"/>
    <w:rsid w:val="005251DD"/>
    <w:rsid w:val="00526E88"/>
    <w:rsid w:val="00527020"/>
    <w:rsid w:val="0052748E"/>
    <w:rsid w:val="0052775C"/>
    <w:rsid w:val="00527BD3"/>
    <w:rsid w:val="00527DA3"/>
    <w:rsid w:val="00527E4A"/>
    <w:rsid w:val="00530BFD"/>
    <w:rsid w:val="0053206D"/>
    <w:rsid w:val="005323FC"/>
    <w:rsid w:val="0053254A"/>
    <w:rsid w:val="00532B87"/>
    <w:rsid w:val="0053330F"/>
    <w:rsid w:val="00533490"/>
    <w:rsid w:val="00533F4C"/>
    <w:rsid w:val="00535248"/>
    <w:rsid w:val="00535A73"/>
    <w:rsid w:val="00535DB6"/>
    <w:rsid w:val="005361D3"/>
    <w:rsid w:val="005363E4"/>
    <w:rsid w:val="005363FE"/>
    <w:rsid w:val="00536462"/>
    <w:rsid w:val="00537C4A"/>
    <w:rsid w:val="00540700"/>
    <w:rsid w:val="00540B2D"/>
    <w:rsid w:val="005419BA"/>
    <w:rsid w:val="00542027"/>
    <w:rsid w:val="0054266F"/>
    <w:rsid w:val="00542F68"/>
    <w:rsid w:val="005438A7"/>
    <w:rsid w:val="005438DE"/>
    <w:rsid w:val="005438E4"/>
    <w:rsid w:val="00543CE7"/>
    <w:rsid w:val="0054507F"/>
    <w:rsid w:val="005455DA"/>
    <w:rsid w:val="005458F4"/>
    <w:rsid w:val="00545AFD"/>
    <w:rsid w:val="00545C15"/>
    <w:rsid w:val="0054607B"/>
    <w:rsid w:val="005460BD"/>
    <w:rsid w:val="00546883"/>
    <w:rsid w:val="00550AE5"/>
    <w:rsid w:val="00551344"/>
    <w:rsid w:val="005529F6"/>
    <w:rsid w:val="00552A7D"/>
    <w:rsid w:val="00552AF9"/>
    <w:rsid w:val="00552F1A"/>
    <w:rsid w:val="0055358A"/>
    <w:rsid w:val="00553D4C"/>
    <w:rsid w:val="0055454F"/>
    <w:rsid w:val="005554D3"/>
    <w:rsid w:val="0055632A"/>
    <w:rsid w:val="0055773E"/>
    <w:rsid w:val="00557E1D"/>
    <w:rsid w:val="00560C17"/>
    <w:rsid w:val="00560FB2"/>
    <w:rsid w:val="005629BB"/>
    <w:rsid w:val="00562F22"/>
    <w:rsid w:val="00563888"/>
    <w:rsid w:val="00563B0F"/>
    <w:rsid w:val="00563D83"/>
    <w:rsid w:val="00564054"/>
    <w:rsid w:val="00564633"/>
    <w:rsid w:val="00564B70"/>
    <w:rsid w:val="0056597A"/>
    <w:rsid w:val="00565A4E"/>
    <w:rsid w:val="00565E96"/>
    <w:rsid w:val="00566393"/>
    <w:rsid w:val="00566445"/>
    <w:rsid w:val="005668B7"/>
    <w:rsid w:val="00566C7B"/>
    <w:rsid w:val="005679C5"/>
    <w:rsid w:val="005706B1"/>
    <w:rsid w:val="005709D3"/>
    <w:rsid w:val="00570CD6"/>
    <w:rsid w:val="00570F82"/>
    <w:rsid w:val="005716C1"/>
    <w:rsid w:val="00571D93"/>
    <w:rsid w:val="00572349"/>
    <w:rsid w:val="005729F5"/>
    <w:rsid w:val="00573FFF"/>
    <w:rsid w:val="00574197"/>
    <w:rsid w:val="00574490"/>
    <w:rsid w:val="00574541"/>
    <w:rsid w:val="00574547"/>
    <w:rsid w:val="00574590"/>
    <w:rsid w:val="005745F8"/>
    <w:rsid w:val="00574AB8"/>
    <w:rsid w:val="00574E66"/>
    <w:rsid w:val="00575AFF"/>
    <w:rsid w:val="005764F0"/>
    <w:rsid w:val="00576FE4"/>
    <w:rsid w:val="00577204"/>
    <w:rsid w:val="00577F03"/>
    <w:rsid w:val="00577F80"/>
    <w:rsid w:val="00581786"/>
    <w:rsid w:val="00581B79"/>
    <w:rsid w:val="00582AD9"/>
    <w:rsid w:val="00582FE0"/>
    <w:rsid w:val="005830FC"/>
    <w:rsid w:val="00583F8C"/>
    <w:rsid w:val="00583FFD"/>
    <w:rsid w:val="005851AF"/>
    <w:rsid w:val="005854DA"/>
    <w:rsid w:val="0058628D"/>
    <w:rsid w:val="0058644C"/>
    <w:rsid w:val="005866E9"/>
    <w:rsid w:val="0058702F"/>
    <w:rsid w:val="005872D8"/>
    <w:rsid w:val="005874A9"/>
    <w:rsid w:val="00587F1E"/>
    <w:rsid w:val="00590264"/>
    <w:rsid w:val="00590645"/>
    <w:rsid w:val="00591058"/>
    <w:rsid w:val="00591A62"/>
    <w:rsid w:val="0059258E"/>
    <w:rsid w:val="00592A8D"/>
    <w:rsid w:val="00593152"/>
    <w:rsid w:val="005932BA"/>
    <w:rsid w:val="00593415"/>
    <w:rsid w:val="00593616"/>
    <w:rsid w:val="005938F5"/>
    <w:rsid w:val="0059475B"/>
    <w:rsid w:val="0059538A"/>
    <w:rsid w:val="00595B7A"/>
    <w:rsid w:val="005962A0"/>
    <w:rsid w:val="005963DF"/>
    <w:rsid w:val="005965AB"/>
    <w:rsid w:val="005A0714"/>
    <w:rsid w:val="005A0B78"/>
    <w:rsid w:val="005A1B66"/>
    <w:rsid w:val="005A1E1A"/>
    <w:rsid w:val="005A21E0"/>
    <w:rsid w:val="005A2579"/>
    <w:rsid w:val="005A28B5"/>
    <w:rsid w:val="005A2ADA"/>
    <w:rsid w:val="005A35C9"/>
    <w:rsid w:val="005A3CEB"/>
    <w:rsid w:val="005A4539"/>
    <w:rsid w:val="005A5FA9"/>
    <w:rsid w:val="005A60BF"/>
    <w:rsid w:val="005A704F"/>
    <w:rsid w:val="005A779E"/>
    <w:rsid w:val="005A7D8C"/>
    <w:rsid w:val="005B02E2"/>
    <w:rsid w:val="005B0B56"/>
    <w:rsid w:val="005B1FC4"/>
    <w:rsid w:val="005B259E"/>
    <w:rsid w:val="005B30A1"/>
    <w:rsid w:val="005B3B22"/>
    <w:rsid w:val="005B4204"/>
    <w:rsid w:val="005B4222"/>
    <w:rsid w:val="005B48E0"/>
    <w:rsid w:val="005B496A"/>
    <w:rsid w:val="005B4A27"/>
    <w:rsid w:val="005B52EE"/>
    <w:rsid w:val="005B5E34"/>
    <w:rsid w:val="005B609E"/>
    <w:rsid w:val="005B65C2"/>
    <w:rsid w:val="005B6B27"/>
    <w:rsid w:val="005B7AFC"/>
    <w:rsid w:val="005C0B72"/>
    <w:rsid w:val="005C0BF9"/>
    <w:rsid w:val="005C11AC"/>
    <w:rsid w:val="005C20C3"/>
    <w:rsid w:val="005C22C7"/>
    <w:rsid w:val="005C2E14"/>
    <w:rsid w:val="005C2E31"/>
    <w:rsid w:val="005C3DF6"/>
    <w:rsid w:val="005C4344"/>
    <w:rsid w:val="005C4540"/>
    <w:rsid w:val="005C4A5A"/>
    <w:rsid w:val="005C4A63"/>
    <w:rsid w:val="005C50F6"/>
    <w:rsid w:val="005C5616"/>
    <w:rsid w:val="005C5C6E"/>
    <w:rsid w:val="005C64B3"/>
    <w:rsid w:val="005C665F"/>
    <w:rsid w:val="005C66E8"/>
    <w:rsid w:val="005C6EC5"/>
    <w:rsid w:val="005C7569"/>
    <w:rsid w:val="005D12C9"/>
    <w:rsid w:val="005D148B"/>
    <w:rsid w:val="005D16F5"/>
    <w:rsid w:val="005D353F"/>
    <w:rsid w:val="005D3651"/>
    <w:rsid w:val="005D37AA"/>
    <w:rsid w:val="005D3A8D"/>
    <w:rsid w:val="005D44A6"/>
    <w:rsid w:val="005D5459"/>
    <w:rsid w:val="005D5733"/>
    <w:rsid w:val="005D57F6"/>
    <w:rsid w:val="005D5802"/>
    <w:rsid w:val="005D5C82"/>
    <w:rsid w:val="005D5E5F"/>
    <w:rsid w:val="005D5F3F"/>
    <w:rsid w:val="005D601C"/>
    <w:rsid w:val="005D78C1"/>
    <w:rsid w:val="005E2022"/>
    <w:rsid w:val="005E2322"/>
    <w:rsid w:val="005E2A52"/>
    <w:rsid w:val="005E2DDB"/>
    <w:rsid w:val="005E3325"/>
    <w:rsid w:val="005E33B5"/>
    <w:rsid w:val="005E3A2D"/>
    <w:rsid w:val="005E3FBD"/>
    <w:rsid w:val="005E4BB3"/>
    <w:rsid w:val="005E505B"/>
    <w:rsid w:val="005E51A7"/>
    <w:rsid w:val="005E52CA"/>
    <w:rsid w:val="005E559F"/>
    <w:rsid w:val="005E5841"/>
    <w:rsid w:val="005E601C"/>
    <w:rsid w:val="005E62AE"/>
    <w:rsid w:val="005E68B8"/>
    <w:rsid w:val="005E6B47"/>
    <w:rsid w:val="005E6DBE"/>
    <w:rsid w:val="005E763D"/>
    <w:rsid w:val="005E7685"/>
    <w:rsid w:val="005F0BD1"/>
    <w:rsid w:val="005F17D5"/>
    <w:rsid w:val="005F2478"/>
    <w:rsid w:val="005F260F"/>
    <w:rsid w:val="005F269E"/>
    <w:rsid w:val="005F2A6F"/>
    <w:rsid w:val="005F3C22"/>
    <w:rsid w:val="005F479D"/>
    <w:rsid w:val="005F47E7"/>
    <w:rsid w:val="005F5310"/>
    <w:rsid w:val="005F55C1"/>
    <w:rsid w:val="005F6069"/>
    <w:rsid w:val="005F6461"/>
    <w:rsid w:val="005F6A35"/>
    <w:rsid w:val="005F6F84"/>
    <w:rsid w:val="005F7DE8"/>
    <w:rsid w:val="006010B5"/>
    <w:rsid w:val="00601C10"/>
    <w:rsid w:val="00602291"/>
    <w:rsid w:val="0060238B"/>
    <w:rsid w:val="0060342E"/>
    <w:rsid w:val="0060348B"/>
    <w:rsid w:val="006034DE"/>
    <w:rsid w:val="00603BF6"/>
    <w:rsid w:val="00604307"/>
    <w:rsid w:val="0060487F"/>
    <w:rsid w:val="00604E0D"/>
    <w:rsid w:val="00604FC4"/>
    <w:rsid w:val="00605C8E"/>
    <w:rsid w:val="00605CFF"/>
    <w:rsid w:val="00607283"/>
    <w:rsid w:val="006078AD"/>
    <w:rsid w:val="006079E4"/>
    <w:rsid w:val="00607CF0"/>
    <w:rsid w:val="00610EDF"/>
    <w:rsid w:val="006115C5"/>
    <w:rsid w:val="00611722"/>
    <w:rsid w:val="00611903"/>
    <w:rsid w:val="006119BF"/>
    <w:rsid w:val="00612194"/>
    <w:rsid w:val="0061330D"/>
    <w:rsid w:val="006137B9"/>
    <w:rsid w:val="00613E83"/>
    <w:rsid w:val="00613EFD"/>
    <w:rsid w:val="00615C16"/>
    <w:rsid w:val="00615C91"/>
    <w:rsid w:val="00616A62"/>
    <w:rsid w:val="00616B56"/>
    <w:rsid w:val="0061701C"/>
    <w:rsid w:val="006179E9"/>
    <w:rsid w:val="00620044"/>
    <w:rsid w:val="00620179"/>
    <w:rsid w:val="00620F61"/>
    <w:rsid w:val="00621656"/>
    <w:rsid w:val="00623456"/>
    <w:rsid w:val="00624093"/>
    <w:rsid w:val="006240FF"/>
    <w:rsid w:val="006257D8"/>
    <w:rsid w:val="00625BCA"/>
    <w:rsid w:val="0062654A"/>
    <w:rsid w:val="006269EA"/>
    <w:rsid w:val="00626CB4"/>
    <w:rsid w:val="00626E12"/>
    <w:rsid w:val="00626F55"/>
    <w:rsid w:val="006278B3"/>
    <w:rsid w:val="0063056C"/>
    <w:rsid w:val="0063086D"/>
    <w:rsid w:val="00630B4A"/>
    <w:rsid w:val="006312C3"/>
    <w:rsid w:val="00631344"/>
    <w:rsid w:val="00631BD8"/>
    <w:rsid w:val="00631D5A"/>
    <w:rsid w:val="00631FE8"/>
    <w:rsid w:val="0063342F"/>
    <w:rsid w:val="006337DD"/>
    <w:rsid w:val="0063382F"/>
    <w:rsid w:val="006338B4"/>
    <w:rsid w:val="00634017"/>
    <w:rsid w:val="006343AA"/>
    <w:rsid w:val="006347D0"/>
    <w:rsid w:val="00634C80"/>
    <w:rsid w:val="00635458"/>
    <w:rsid w:val="0063562D"/>
    <w:rsid w:val="006356AF"/>
    <w:rsid w:val="00635C2B"/>
    <w:rsid w:val="0063630B"/>
    <w:rsid w:val="00637170"/>
    <w:rsid w:val="0063741F"/>
    <w:rsid w:val="00637D37"/>
    <w:rsid w:val="0064003F"/>
    <w:rsid w:val="006400ED"/>
    <w:rsid w:val="006404A7"/>
    <w:rsid w:val="0064082E"/>
    <w:rsid w:val="00640A5F"/>
    <w:rsid w:val="0064152C"/>
    <w:rsid w:val="00641532"/>
    <w:rsid w:val="006426B8"/>
    <w:rsid w:val="00642B43"/>
    <w:rsid w:val="00643C82"/>
    <w:rsid w:val="00644401"/>
    <w:rsid w:val="00644C7A"/>
    <w:rsid w:val="00644C9D"/>
    <w:rsid w:val="00644EDE"/>
    <w:rsid w:val="00645105"/>
    <w:rsid w:val="006451E4"/>
    <w:rsid w:val="006451F0"/>
    <w:rsid w:val="0064533C"/>
    <w:rsid w:val="00645A5A"/>
    <w:rsid w:val="00645A9B"/>
    <w:rsid w:val="00645B93"/>
    <w:rsid w:val="00646871"/>
    <w:rsid w:val="00646DA3"/>
    <w:rsid w:val="006523FA"/>
    <w:rsid w:val="00652AFC"/>
    <w:rsid w:val="00652D61"/>
    <w:rsid w:val="00652D74"/>
    <w:rsid w:val="00652F28"/>
    <w:rsid w:val="00653287"/>
    <w:rsid w:val="006532F0"/>
    <w:rsid w:val="00653F6E"/>
    <w:rsid w:val="006542ED"/>
    <w:rsid w:val="0065484D"/>
    <w:rsid w:val="00655FB6"/>
    <w:rsid w:val="00656658"/>
    <w:rsid w:val="00656BF8"/>
    <w:rsid w:val="006573DF"/>
    <w:rsid w:val="00657E87"/>
    <w:rsid w:val="00660575"/>
    <w:rsid w:val="006606E7"/>
    <w:rsid w:val="006613D6"/>
    <w:rsid w:val="00662212"/>
    <w:rsid w:val="00662635"/>
    <w:rsid w:val="00662694"/>
    <w:rsid w:val="00662A19"/>
    <w:rsid w:val="00662A1B"/>
    <w:rsid w:val="00663859"/>
    <w:rsid w:val="006638A2"/>
    <w:rsid w:val="00663E02"/>
    <w:rsid w:val="0066450D"/>
    <w:rsid w:val="006646F2"/>
    <w:rsid w:val="006652C4"/>
    <w:rsid w:val="006655D8"/>
    <w:rsid w:val="006664F5"/>
    <w:rsid w:val="006670FB"/>
    <w:rsid w:val="006671BA"/>
    <w:rsid w:val="006671D2"/>
    <w:rsid w:val="00670B89"/>
    <w:rsid w:val="006710C9"/>
    <w:rsid w:val="0067118A"/>
    <w:rsid w:val="00671976"/>
    <w:rsid w:val="00671A9F"/>
    <w:rsid w:val="00671CEF"/>
    <w:rsid w:val="00671F0C"/>
    <w:rsid w:val="00672AB0"/>
    <w:rsid w:val="00672B6E"/>
    <w:rsid w:val="00673310"/>
    <w:rsid w:val="00673CD6"/>
    <w:rsid w:val="006750B0"/>
    <w:rsid w:val="00675E37"/>
    <w:rsid w:val="00675F3A"/>
    <w:rsid w:val="0067630D"/>
    <w:rsid w:val="00676763"/>
    <w:rsid w:val="0067698C"/>
    <w:rsid w:val="00680A48"/>
    <w:rsid w:val="006819E5"/>
    <w:rsid w:val="00681A9C"/>
    <w:rsid w:val="00681CB3"/>
    <w:rsid w:val="00681EC9"/>
    <w:rsid w:val="0068221E"/>
    <w:rsid w:val="0068260E"/>
    <w:rsid w:val="00683779"/>
    <w:rsid w:val="00683947"/>
    <w:rsid w:val="00683E98"/>
    <w:rsid w:val="00684158"/>
    <w:rsid w:val="0068574B"/>
    <w:rsid w:val="00687495"/>
    <w:rsid w:val="00687CC4"/>
    <w:rsid w:val="00687F82"/>
    <w:rsid w:val="006902F9"/>
    <w:rsid w:val="00690C1C"/>
    <w:rsid w:val="00690FC3"/>
    <w:rsid w:val="00690FED"/>
    <w:rsid w:val="00691266"/>
    <w:rsid w:val="00691988"/>
    <w:rsid w:val="00692262"/>
    <w:rsid w:val="006930F9"/>
    <w:rsid w:val="006932B7"/>
    <w:rsid w:val="0069364F"/>
    <w:rsid w:val="00693C50"/>
    <w:rsid w:val="00693D68"/>
    <w:rsid w:val="00693DE1"/>
    <w:rsid w:val="00693FBD"/>
    <w:rsid w:val="006950BA"/>
    <w:rsid w:val="006954F9"/>
    <w:rsid w:val="00695BEF"/>
    <w:rsid w:val="00696EB8"/>
    <w:rsid w:val="006977F6"/>
    <w:rsid w:val="006979C7"/>
    <w:rsid w:val="00697A13"/>
    <w:rsid w:val="00697C74"/>
    <w:rsid w:val="006A0B78"/>
    <w:rsid w:val="006A0EB3"/>
    <w:rsid w:val="006A109C"/>
    <w:rsid w:val="006A10A9"/>
    <w:rsid w:val="006A12FD"/>
    <w:rsid w:val="006A15D6"/>
    <w:rsid w:val="006A15E1"/>
    <w:rsid w:val="006A1BA5"/>
    <w:rsid w:val="006A281E"/>
    <w:rsid w:val="006A282C"/>
    <w:rsid w:val="006A2DAC"/>
    <w:rsid w:val="006A3AB0"/>
    <w:rsid w:val="006A3D7A"/>
    <w:rsid w:val="006A41F7"/>
    <w:rsid w:val="006A4FCA"/>
    <w:rsid w:val="006A57CA"/>
    <w:rsid w:val="006A68FD"/>
    <w:rsid w:val="006A7FF3"/>
    <w:rsid w:val="006B0C92"/>
    <w:rsid w:val="006B0CCD"/>
    <w:rsid w:val="006B1002"/>
    <w:rsid w:val="006B2637"/>
    <w:rsid w:val="006B3F78"/>
    <w:rsid w:val="006B44EB"/>
    <w:rsid w:val="006B4B34"/>
    <w:rsid w:val="006B4ED0"/>
    <w:rsid w:val="006B506D"/>
    <w:rsid w:val="006B5334"/>
    <w:rsid w:val="006B6C1B"/>
    <w:rsid w:val="006B78D8"/>
    <w:rsid w:val="006B79DE"/>
    <w:rsid w:val="006C0693"/>
    <w:rsid w:val="006C113F"/>
    <w:rsid w:val="006C1A41"/>
    <w:rsid w:val="006C201D"/>
    <w:rsid w:val="006C2600"/>
    <w:rsid w:val="006C27E6"/>
    <w:rsid w:val="006C2A01"/>
    <w:rsid w:val="006C2A0E"/>
    <w:rsid w:val="006C34C1"/>
    <w:rsid w:val="006C3601"/>
    <w:rsid w:val="006C3C9F"/>
    <w:rsid w:val="006C446E"/>
    <w:rsid w:val="006C4C3F"/>
    <w:rsid w:val="006C4F1F"/>
    <w:rsid w:val="006C4F92"/>
    <w:rsid w:val="006C50CC"/>
    <w:rsid w:val="006C6369"/>
    <w:rsid w:val="006C637E"/>
    <w:rsid w:val="006C684C"/>
    <w:rsid w:val="006C6B07"/>
    <w:rsid w:val="006C7525"/>
    <w:rsid w:val="006C7EA7"/>
    <w:rsid w:val="006D0D80"/>
    <w:rsid w:val="006D102B"/>
    <w:rsid w:val="006D1CB5"/>
    <w:rsid w:val="006D2016"/>
    <w:rsid w:val="006D2396"/>
    <w:rsid w:val="006D24BB"/>
    <w:rsid w:val="006D2559"/>
    <w:rsid w:val="006D26CB"/>
    <w:rsid w:val="006D275D"/>
    <w:rsid w:val="006D27E6"/>
    <w:rsid w:val="006D2BB0"/>
    <w:rsid w:val="006D2BDA"/>
    <w:rsid w:val="006D2F32"/>
    <w:rsid w:val="006D34C1"/>
    <w:rsid w:val="006D41F9"/>
    <w:rsid w:val="006D4556"/>
    <w:rsid w:val="006D4821"/>
    <w:rsid w:val="006D5215"/>
    <w:rsid w:val="006D553C"/>
    <w:rsid w:val="006D566D"/>
    <w:rsid w:val="006D5F4D"/>
    <w:rsid w:val="006D61F6"/>
    <w:rsid w:val="006D78AF"/>
    <w:rsid w:val="006D7F8A"/>
    <w:rsid w:val="006E022D"/>
    <w:rsid w:val="006E0C18"/>
    <w:rsid w:val="006E0C59"/>
    <w:rsid w:val="006E1970"/>
    <w:rsid w:val="006E1F73"/>
    <w:rsid w:val="006E20A5"/>
    <w:rsid w:val="006E279A"/>
    <w:rsid w:val="006E30C5"/>
    <w:rsid w:val="006E313B"/>
    <w:rsid w:val="006E3720"/>
    <w:rsid w:val="006E3E5E"/>
    <w:rsid w:val="006E42AA"/>
    <w:rsid w:val="006E4775"/>
    <w:rsid w:val="006E4920"/>
    <w:rsid w:val="006E4DBB"/>
    <w:rsid w:val="006E5039"/>
    <w:rsid w:val="006E53F8"/>
    <w:rsid w:val="006E5469"/>
    <w:rsid w:val="006E5572"/>
    <w:rsid w:val="006E582A"/>
    <w:rsid w:val="006E5B5C"/>
    <w:rsid w:val="006E5CD2"/>
    <w:rsid w:val="006E77B8"/>
    <w:rsid w:val="006E7C47"/>
    <w:rsid w:val="006F08B7"/>
    <w:rsid w:val="006F0AE3"/>
    <w:rsid w:val="006F1594"/>
    <w:rsid w:val="006F1979"/>
    <w:rsid w:val="006F1D47"/>
    <w:rsid w:val="006F20A7"/>
    <w:rsid w:val="006F211A"/>
    <w:rsid w:val="006F2516"/>
    <w:rsid w:val="006F26E7"/>
    <w:rsid w:val="006F36B5"/>
    <w:rsid w:val="006F3933"/>
    <w:rsid w:val="006F44F9"/>
    <w:rsid w:val="006F4E51"/>
    <w:rsid w:val="006F4FEB"/>
    <w:rsid w:val="006F51D5"/>
    <w:rsid w:val="006F56DF"/>
    <w:rsid w:val="006F5B35"/>
    <w:rsid w:val="006F5D28"/>
    <w:rsid w:val="006F5D5F"/>
    <w:rsid w:val="006F5EAF"/>
    <w:rsid w:val="006F62F4"/>
    <w:rsid w:val="006F66A0"/>
    <w:rsid w:val="006F6A6F"/>
    <w:rsid w:val="006F6BF4"/>
    <w:rsid w:val="006F6EE2"/>
    <w:rsid w:val="006F7318"/>
    <w:rsid w:val="006F7D6F"/>
    <w:rsid w:val="0070046A"/>
    <w:rsid w:val="007011A3"/>
    <w:rsid w:val="0070165B"/>
    <w:rsid w:val="00701C33"/>
    <w:rsid w:val="00702312"/>
    <w:rsid w:val="00702E00"/>
    <w:rsid w:val="00703A95"/>
    <w:rsid w:val="007047B1"/>
    <w:rsid w:val="0070497E"/>
    <w:rsid w:val="00704E80"/>
    <w:rsid w:val="0070607A"/>
    <w:rsid w:val="0070709B"/>
    <w:rsid w:val="00707ACC"/>
    <w:rsid w:val="00710016"/>
    <w:rsid w:val="007105BB"/>
    <w:rsid w:val="007106B3"/>
    <w:rsid w:val="00710A84"/>
    <w:rsid w:val="00710C31"/>
    <w:rsid w:val="00711271"/>
    <w:rsid w:val="00711334"/>
    <w:rsid w:val="00711A84"/>
    <w:rsid w:val="007122DD"/>
    <w:rsid w:val="007131AB"/>
    <w:rsid w:val="00713671"/>
    <w:rsid w:val="00714A89"/>
    <w:rsid w:val="007155A3"/>
    <w:rsid w:val="007158BD"/>
    <w:rsid w:val="00715C3C"/>
    <w:rsid w:val="00715D75"/>
    <w:rsid w:val="00716471"/>
    <w:rsid w:val="00716A94"/>
    <w:rsid w:val="007201E8"/>
    <w:rsid w:val="00720A8A"/>
    <w:rsid w:val="00720BAA"/>
    <w:rsid w:val="00720EBC"/>
    <w:rsid w:val="007211F5"/>
    <w:rsid w:val="007214BF"/>
    <w:rsid w:val="0072169B"/>
    <w:rsid w:val="00721870"/>
    <w:rsid w:val="0072281F"/>
    <w:rsid w:val="0072337E"/>
    <w:rsid w:val="00723469"/>
    <w:rsid w:val="007239E6"/>
    <w:rsid w:val="007256C9"/>
    <w:rsid w:val="007259FC"/>
    <w:rsid w:val="00725B5F"/>
    <w:rsid w:val="0072728F"/>
    <w:rsid w:val="00727ACC"/>
    <w:rsid w:val="00730645"/>
    <w:rsid w:val="00730AE8"/>
    <w:rsid w:val="00730E5F"/>
    <w:rsid w:val="00731782"/>
    <w:rsid w:val="007318A1"/>
    <w:rsid w:val="0073223F"/>
    <w:rsid w:val="007325E4"/>
    <w:rsid w:val="00732A80"/>
    <w:rsid w:val="00733287"/>
    <w:rsid w:val="00733953"/>
    <w:rsid w:val="00735492"/>
    <w:rsid w:val="00735558"/>
    <w:rsid w:val="007357DE"/>
    <w:rsid w:val="007361AB"/>
    <w:rsid w:val="00736642"/>
    <w:rsid w:val="00736A3D"/>
    <w:rsid w:val="00737392"/>
    <w:rsid w:val="0073775D"/>
    <w:rsid w:val="00737F64"/>
    <w:rsid w:val="00740247"/>
    <w:rsid w:val="00741493"/>
    <w:rsid w:val="00741639"/>
    <w:rsid w:val="00741D6A"/>
    <w:rsid w:val="00741F63"/>
    <w:rsid w:val="00742B15"/>
    <w:rsid w:val="0074337C"/>
    <w:rsid w:val="0074449E"/>
    <w:rsid w:val="00745E09"/>
    <w:rsid w:val="00746A14"/>
    <w:rsid w:val="00747B3A"/>
    <w:rsid w:val="00750912"/>
    <w:rsid w:val="00751074"/>
    <w:rsid w:val="00751481"/>
    <w:rsid w:val="00751643"/>
    <w:rsid w:val="00751E09"/>
    <w:rsid w:val="0075203E"/>
    <w:rsid w:val="00752180"/>
    <w:rsid w:val="007522FD"/>
    <w:rsid w:val="00752754"/>
    <w:rsid w:val="00752BF3"/>
    <w:rsid w:val="00753D5E"/>
    <w:rsid w:val="0075508B"/>
    <w:rsid w:val="0075538A"/>
    <w:rsid w:val="007556C3"/>
    <w:rsid w:val="00755AFC"/>
    <w:rsid w:val="00755CEA"/>
    <w:rsid w:val="00755D3A"/>
    <w:rsid w:val="00755DEF"/>
    <w:rsid w:val="0075638E"/>
    <w:rsid w:val="00756767"/>
    <w:rsid w:val="007574AD"/>
    <w:rsid w:val="00757838"/>
    <w:rsid w:val="00757E60"/>
    <w:rsid w:val="0076034C"/>
    <w:rsid w:val="007607DE"/>
    <w:rsid w:val="007609C6"/>
    <w:rsid w:val="00761B3D"/>
    <w:rsid w:val="007620B1"/>
    <w:rsid w:val="00763242"/>
    <w:rsid w:val="00763492"/>
    <w:rsid w:val="00764739"/>
    <w:rsid w:val="00764CB6"/>
    <w:rsid w:val="00766481"/>
    <w:rsid w:val="0076676A"/>
    <w:rsid w:val="00767CA5"/>
    <w:rsid w:val="00767FE9"/>
    <w:rsid w:val="007701FB"/>
    <w:rsid w:val="0077211E"/>
    <w:rsid w:val="00772FD6"/>
    <w:rsid w:val="00773C24"/>
    <w:rsid w:val="007749AC"/>
    <w:rsid w:val="00776527"/>
    <w:rsid w:val="007766BF"/>
    <w:rsid w:val="0077675E"/>
    <w:rsid w:val="00776925"/>
    <w:rsid w:val="00776E52"/>
    <w:rsid w:val="00777A7F"/>
    <w:rsid w:val="00781100"/>
    <w:rsid w:val="00782360"/>
    <w:rsid w:val="00782419"/>
    <w:rsid w:val="00782B94"/>
    <w:rsid w:val="00782C2D"/>
    <w:rsid w:val="00783986"/>
    <w:rsid w:val="00784715"/>
    <w:rsid w:val="00784EA4"/>
    <w:rsid w:val="00784FF8"/>
    <w:rsid w:val="007862F6"/>
    <w:rsid w:val="0078765D"/>
    <w:rsid w:val="007902DA"/>
    <w:rsid w:val="00790395"/>
    <w:rsid w:val="00790BA8"/>
    <w:rsid w:val="00792E1B"/>
    <w:rsid w:val="0079301B"/>
    <w:rsid w:val="007930ED"/>
    <w:rsid w:val="0079384B"/>
    <w:rsid w:val="00793B02"/>
    <w:rsid w:val="00794BA7"/>
    <w:rsid w:val="00796238"/>
    <w:rsid w:val="007974EF"/>
    <w:rsid w:val="00797B10"/>
    <w:rsid w:val="00797EAB"/>
    <w:rsid w:val="00797F5F"/>
    <w:rsid w:val="007A04CE"/>
    <w:rsid w:val="007A0BE9"/>
    <w:rsid w:val="007A0F26"/>
    <w:rsid w:val="007A14F0"/>
    <w:rsid w:val="007A17A9"/>
    <w:rsid w:val="007A1D16"/>
    <w:rsid w:val="007A22BC"/>
    <w:rsid w:val="007A2597"/>
    <w:rsid w:val="007A2BC5"/>
    <w:rsid w:val="007A319B"/>
    <w:rsid w:val="007A33E4"/>
    <w:rsid w:val="007A3CED"/>
    <w:rsid w:val="007A5223"/>
    <w:rsid w:val="007A5252"/>
    <w:rsid w:val="007A5363"/>
    <w:rsid w:val="007A54CE"/>
    <w:rsid w:val="007A566D"/>
    <w:rsid w:val="007A5794"/>
    <w:rsid w:val="007A5AF0"/>
    <w:rsid w:val="007A5FA4"/>
    <w:rsid w:val="007A6F78"/>
    <w:rsid w:val="007A7EE3"/>
    <w:rsid w:val="007B05E9"/>
    <w:rsid w:val="007B06B2"/>
    <w:rsid w:val="007B06EC"/>
    <w:rsid w:val="007B077B"/>
    <w:rsid w:val="007B09B5"/>
    <w:rsid w:val="007B1270"/>
    <w:rsid w:val="007B1ADF"/>
    <w:rsid w:val="007B1B84"/>
    <w:rsid w:val="007B27B9"/>
    <w:rsid w:val="007B31E6"/>
    <w:rsid w:val="007B39E8"/>
    <w:rsid w:val="007B3FCD"/>
    <w:rsid w:val="007B447A"/>
    <w:rsid w:val="007B5995"/>
    <w:rsid w:val="007B5B94"/>
    <w:rsid w:val="007B6154"/>
    <w:rsid w:val="007B6A57"/>
    <w:rsid w:val="007B7271"/>
    <w:rsid w:val="007B78D9"/>
    <w:rsid w:val="007B7C95"/>
    <w:rsid w:val="007B7CBB"/>
    <w:rsid w:val="007C167F"/>
    <w:rsid w:val="007C1C09"/>
    <w:rsid w:val="007C1FCD"/>
    <w:rsid w:val="007C1FFE"/>
    <w:rsid w:val="007C2268"/>
    <w:rsid w:val="007C2719"/>
    <w:rsid w:val="007C295A"/>
    <w:rsid w:val="007C2A31"/>
    <w:rsid w:val="007C3F6A"/>
    <w:rsid w:val="007C468A"/>
    <w:rsid w:val="007C4C1A"/>
    <w:rsid w:val="007C626D"/>
    <w:rsid w:val="007C632B"/>
    <w:rsid w:val="007D0303"/>
    <w:rsid w:val="007D0714"/>
    <w:rsid w:val="007D096C"/>
    <w:rsid w:val="007D0CCD"/>
    <w:rsid w:val="007D102C"/>
    <w:rsid w:val="007D1FB5"/>
    <w:rsid w:val="007D39EA"/>
    <w:rsid w:val="007D4055"/>
    <w:rsid w:val="007D5181"/>
    <w:rsid w:val="007D5D87"/>
    <w:rsid w:val="007D66A3"/>
    <w:rsid w:val="007D7252"/>
    <w:rsid w:val="007D74AA"/>
    <w:rsid w:val="007D75B1"/>
    <w:rsid w:val="007D7D1D"/>
    <w:rsid w:val="007E14E5"/>
    <w:rsid w:val="007E2CCC"/>
    <w:rsid w:val="007E30D5"/>
    <w:rsid w:val="007E3E6D"/>
    <w:rsid w:val="007E3FA2"/>
    <w:rsid w:val="007E41A1"/>
    <w:rsid w:val="007E4208"/>
    <w:rsid w:val="007E469C"/>
    <w:rsid w:val="007E4A12"/>
    <w:rsid w:val="007E5E83"/>
    <w:rsid w:val="007E66BC"/>
    <w:rsid w:val="007E6D13"/>
    <w:rsid w:val="007E7007"/>
    <w:rsid w:val="007E77A9"/>
    <w:rsid w:val="007E7BB1"/>
    <w:rsid w:val="007E7E61"/>
    <w:rsid w:val="007F0845"/>
    <w:rsid w:val="007F146E"/>
    <w:rsid w:val="007F1DB7"/>
    <w:rsid w:val="007F21F2"/>
    <w:rsid w:val="007F22C4"/>
    <w:rsid w:val="007F2C20"/>
    <w:rsid w:val="007F2DDA"/>
    <w:rsid w:val="007F35DE"/>
    <w:rsid w:val="007F3DCD"/>
    <w:rsid w:val="007F43BF"/>
    <w:rsid w:val="007F53C9"/>
    <w:rsid w:val="007F54C9"/>
    <w:rsid w:val="007F5A1B"/>
    <w:rsid w:val="007F6055"/>
    <w:rsid w:val="007F6237"/>
    <w:rsid w:val="007F6411"/>
    <w:rsid w:val="007F7CD2"/>
    <w:rsid w:val="0080002C"/>
    <w:rsid w:val="0080029B"/>
    <w:rsid w:val="008006AC"/>
    <w:rsid w:val="008007AC"/>
    <w:rsid w:val="0080103E"/>
    <w:rsid w:val="00801042"/>
    <w:rsid w:val="00801128"/>
    <w:rsid w:val="008019C8"/>
    <w:rsid w:val="00801FD4"/>
    <w:rsid w:val="008024CE"/>
    <w:rsid w:val="0080322C"/>
    <w:rsid w:val="00803276"/>
    <w:rsid w:val="008046CE"/>
    <w:rsid w:val="0080498A"/>
    <w:rsid w:val="00804F81"/>
    <w:rsid w:val="0080500B"/>
    <w:rsid w:val="0080521C"/>
    <w:rsid w:val="00805E10"/>
    <w:rsid w:val="0080613B"/>
    <w:rsid w:val="00806451"/>
    <w:rsid w:val="008079A8"/>
    <w:rsid w:val="00807C33"/>
    <w:rsid w:val="008101D1"/>
    <w:rsid w:val="00811389"/>
    <w:rsid w:val="008116DE"/>
    <w:rsid w:val="00811FF4"/>
    <w:rsid w:val="00811FFE"/>
    <w:rsid w:val="0081287F"/>
    <w:rsid w:val="008132DA"/>
    <w:rsid w:val="00813845"/>
    <w:rsid w:val="008144AC"/>
    <w:rsid w:val="008148DB"/>
    <w:rsid w:val="00815240"/>
    <w:rsid w:val="008159F0"/>
    <w:rsid w:val="00816275"/>
    <w:rsid w:val="008169B7"/>
    <w:rsid w:val="00816BC8"/>
    <w:rsid w:val="00817A19"/>
    <w:rsid w:val="00820B41"/>
    <w:rsid w:val="00821847"/>
    <w:rsid w:val="00821E1B"/>
    <w:rsid w:val="00821FF6"/>
    <w:rsid w:val="008224C3"/>
    <w:rsid w:val="00822615"/>
    <w:rsid w:val="00822FAF"/>
    <w:rsid w:val="00823117"/>
    <w:rsid w:val="008239D7"/>
    <w:rsid w:val="00824887"/>
    <w:rsid w:val="00825A4F"/>
    <w:rsid w:val="00825F7B"/>
    <w:rsid w:val="00827A65"/>
    <w:rsid w:val="0083029F"/>
    <w:rsid w:val="008305D4"/>
    <w:rsid w:val="0083143E"/>
    <w:rsid w:val="0083159F"/>
    <w:rsid w:val="00831B03"/>
    <w:rsid w:val="00832251"/>
    <w:rsid w:val="00832C5B"/>
    <w:rsid w:val="00832F47"/>
    <w:rsid w:val="008339E7"/>
    <w:rsid w:val="0083479A"/>
    <w:rsid w:val="00834FAA"/>
    <w:rsid w:val="00835139"/>
    <w:rsid w:val="008356F5"/>
    <w:rsid w:val="00836086"/>
    <w:rsid w:val="00837BC5"/>
    <w:rsid w:val="00840136"/>
    <w:rsid w:val="0084014C"/>
    <w:rsid w:val="00840C7B"/>
    <w:rsid w:val="00840E30"/>
    <w:rsid w:val="00840F15"/>
    <w:rsid w:val="00841063"/>
    <w:rsid w:val="00842E41"/>
    <w:rsid w:val="00844545"/>
    <w:rsid w:val="008445B0"/>
    <w:rsid w:val="00844734"/>
    <w:rsid w:val="00845774"/>
    <w:rsid w:val="008458BA"/>
    <w:rsid w:val="00846030"/>
    <w:rsid w:val="00846103"/>
    <w:rsid w:val="0084616E"/>
    <w:rsid w:val="00847509"/>
    <w:rsid w:val="00847A9F"/>
    <w:rsid w:val="00847B1D"/>
    <w:rsid w:val="00847E75"/>
    <w:rsid w:val="008507EC"/>
    <w:rsid w:val="0085164D"/>
    <w:rsid w:val="0085169F"/>
    <w:rsid w:val="008527D0"/>
    <w:rsid w:val="00852AA6"/>
    <w:rsid w:val="00853055"/>
    <w:rsid w:val="008530CD"/>
    <w:rsid w:val="00854C42"/>
    <w:rsid w:val="00855447"/>
    <w:rsid w:val="00856E6C"/>
    <w:rsid w:val="00860672"/>
    <w:rsid w:val="0086178F"/>
    <w:rsid w:val="0086188F"/>
    <w:rsid w:val="008623C5"/>
    <w:rsid w:val="00862859"/>
    <w:rsid w:val="00862F08"/>
    <w:rsid w:val="00863620"/>
    <w:rsid w:val="0086369B"/>
    <w:rsid w:val="00863914"/>
    <w:rsid w:val="00863D57"/>
    <w:rsid w:val="00864575"/>
    <w:rsid w:val="00864753"/>
    <w:rsid w:val="00864965"/>
    <w:rsid w:val="00866C5B"/>
    <w:rsid w:val="00867F87"/>
    <w:rsid w:val="00870BD2"/>
    <w:rsid w:val="0087136A"/>
    <w:rsid w:val="008738BE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7BA"/>
    <w:rsid w:val="00877A50"/>
    <w:rsid w:val="00877B42"/>
    <w:rsid w:val="00877BA6"/>
    <w:rsid w:val="008810E4"/>
    <w:rsid w:val="00882081"/>
    <w:rsid w:val="00882361"/>
    <w:rsid w:val="00882CA7"/>
    <w:rsid w:val="008837E8"/>
    <w:rsid w:val="00883EF6"/>
    <w:rsid w:val="0088572B"/>
    <w:rsid w:val="00885F25"/>
    <w:rsid w:val="00887167"/>
    <w:rsid w:val="0088724D"/>
    <w:rsid w:val="0088749F"/>
    <w:rsid w:val="008877F9"/>
    <w:rsid w:val="0088780D"/>
    <w:rsid w:val="00887973"/>
    <w:rsid w:val="00887BDA"/>
    <w:rsid w:val="00887E21"/>
    <w:rsid w:val="008909AD"/>
    <w:rsid w:val="00891172"/>
    <w:rsid w:val="00891302"/>
    <w:rsid w:val="00892300"/>
    <w:rsid w:val="008937CB"/>
    <w:rsid w:val="00893EC7"/>
    <w:rsid w:val="00895421"/>
    <w:rsid w:val="00895501"/>
    <w:rsid w:val="00896452"/>
    <w:rsid w:val="00896654"/>
    <w:rsid w:val="00896ECF"/>
    <w:rsid w:val="008A07BC"/>
    <w:rsid w:val="008A0A10"/>
    <w:rsid w:val="008A0E03"/>
    <w:rsid w:val="008A132D"/>
    <w:rsid w:val="008A1F0F"/>
    <w:rsid w:val="008A23EC"/>
    <w:rsid w:val="008A2CD5"/>
    <w:rsid w:val="008A31DC"/>
    <w:rsid w:val="008A5856"/>
    <w:rsid w:val="008A5FFF"/>
    <w:rsid w:val="008A64B4"/>
    <w:rsid w:val="008A69D9"/>
    <w:rsid w:val="008A6C6F"/>
    <w:rsid w:val="008A746F"/>
    <w:rsid w:val="008A7826"/>
    <w:rsid w:val="008A7D69"/>
    <w:rsid w:val="008B038A"/>
    <w:rsid w:val="008B0BBF"/>
    <w:rsid w:val="008B0F3B"/>
    <w:rsid w:val="008B272B"/>
    <w:rsid w:val="008B2742"/>
    <w:rsid w:val="008B2B07"/>
    <w:rsid w:val="008B2DD5"/>
    <w:rsid w:val="008B43D2"/>
    <w:rsid w:val="008B4E2F"/>
    <w:rsid w:val="008B5965"/>
    <w:rsid w:val="008B5E16"/>
    <w:rsid w:val="008B675B"/>
    <w:rsid w:val="008B7C02"/>
    <w:rsid w:val="008C0003"/>
    <w:rsid w:val="008C082F"/>
    <w:rsid w:val="008C08CC"/>
    <w:rsid w:val="008C0B61"/>
    <w:rsid w:val="008C0B92"/>
    <w:rsid w:val="008C0E88"/>
    <w:rsid w:val="008C123E"/>
    <w:rsid w:val="008C1A57"/>
    <w:rsid w:val="008C26F3"/>
    <w:rsid w:val="008C2775"/>
    <w:rsid w:val="008C2BD7"/>
    <w:rsid w:val="008C4937"/>
    <w:rsid w:val="008C5B23"/>
    <w:rsid w:val="008C608F"/>
    <w:rsid w:val="008C62FD"/>
    <w:rsid w:val="008C642A"/>
    <w:rsid w:val="008C69E8"/>
    <w:rsid w:val="008C6BAC"/>
    <w:rsid w:val="008C6E0F"/>
    <w:rsid w:val="008C755E"/>
    <w:rsid w:val="008C7DD3"/>
    <w:rsid w:val="008C7ED2"/>
    <w:rsid w:val="008D0BD0"/>
    <w:rsid w:val="008D0CCB"/>
    <w:rsid w:val="008D116E"/>
    <w:rsid w:val="008D1982"/>
    <w:rsid w:val="008D2A16"/>
    <w:rsid w:val="008D3A3D"/>
    <w:rsid w:val="008D3CBD"/>
    <w:rsid w:val="008D4858"/>
    <w:rsid w:val="008D4A07"/>
    <w:rsid w:val="008D5730"/>
    <w:rsid w:val="008D6563"/>
    <w:rsid w:val="008D68F3"/>
    <w:rsid w:val="008D7406"/>
    <w:rsid w:val="008D7565"/>
    <w:rsid w:val="008D7E6E"/>
    <w:rsid w:val="008E180F"/>
    <w:rsid w:val="008E183C"/>
    <w:rsid w:val="008E1D9E"/>
    <w:rsid w:val="008E1E73"/>
    <w:rsid w:val="008E257C"/>
    <w:rsid w:val="008E26B3"/>
    <w:rsid w:val="008E2FA1"/>
    <w:rsid w:val="008E31FF"/>
    <w:rsid w:val="008E3D7C"/>
    <w:rsid w:val="008E4065"/>
    <w:rsid w:val="008E41C1"/>
    <w:rsid w:val="008E5C16"/>
    <w:rsid w:val="008E6520"/>
    <w:rsid w:val="008E674E"/>
    <w:rsid w:val="008E78C9"/>
    <w:rsid w:val="008F0178"/>
    <w:rsid w:val="008F0538"/>
    <w:rsid w:val="008F1814"/>
    <w:rsid w:val="008F1B28"/>
    <w:rsid w:val="008F1F72"/>
    <w:rsid w:val="008F20CD"/>
    <w:rsid w:val="008F22FF"/>
    <w:rsid w:val="008F2D49"/>
    <w:rsid w:val="008F371B"/>
    <w:rsid w:val="008F3B54"/>
    <w:rsid w:val="008F3EF4"/>
    <w:rsid w:val="008F450D"/>
    <w:rsid w:val="008F5169"/>
    <w:rsid w:val="008F5329"/>
    <w:rsid w:val="008F7F10"/>
    <w:rsid w:val="009003A8"/>
    <w:rsid w:val="00900E78"/>
    <w:rsid w:val="00901510"/>
    <w:rsid w:val="00902EFF"/>
    <w:rsid w:val="009037D1"/>
    <w:rsid w:val="00904F49"/>
    <w:rsid w:val="009059F0"/>
    <w:rsid w:val="009064E1"/>
    <w:rsid w:val="00906960"/>
    <w:rsid w:val="00907169"/>
    <w:rsid w:val="009074F0"/>
    <w:rsid w:val="00910405"/>
    <w:rsid w:val="00911684"/>
    <w:rsid w:val="00911855"/>
    <w:rsid w:val="009125DA"/>
    <w:rsid w:val="0091261C"/>
    <w:rsid w:val="00912CAA"/>
    <w:rsid w:val="00914040"/>
    <w:rsid w:val="009140CA"/>
    <w:rsid w:val="009142BB"/>
    <w:rsid w:val="00914909"/>
    <w:rsid w:val="00914A9A"/>
    <w:rsid w:val="009153F3"/>
    <w:rsid w:val="009155F3"/>
    <w:rsid w:val="00915C41"/>
    <w:rsid w:val="0091620A"/>
    <w:rsid w:val="00916458"/>
    <w:rsid w:val="0091647B"/>
    <w:rsid w:val="00916650"/>
    <w:rsid w:val="00916747"/>
    <w:rsid w:val="00916862"/>
    <w:rsid w:val="00916E47"/>
    <w:rsid w:val="00917541"/>
    <w:rsid w:val="00917CB3"/>
    <w:rsid w:val="0092016C"/>
    <w:rsid w:val="00921108"/>
    <w:rsid w:val="0092147C"/>
    <w:rsid w:val="0092187B"/>
    <w:rsid w:val="00921F14"/>
    <w:rsid w:val="00922BE8"/>
    <w:rsid w:val="00922C06"/>
    <w:rsid w:val="00923235"/>
    <w:rsid w:val="009233C7"/>
    <w:rsid w:val="00923736"/>
    <w:rsid w:val="00924E49"/>
    <w:rsid w:val="00925189"/>
    <w:rsid w:val="009251C3"/>
    <w:rsid w:val="00925407"/>
    <w:rsid w:val="00925CA7"/>
    <w:rsid w:val="009265F6"/>
    <w:rsid w:val="00926679"/>
    <w:rsid w:val="00926913"/>
    <w:rsid w:val="00927D22"/>
    <w:rsid w:val="00927D35"/>
    <w:rsid w:val="009303E8"/>
    <w:rsid w:val="009306E0"/>
    <w:rsid w:val="00930D0F"/>
    <w:rsid w:val="009311FE"/>
    <w:rsid w:val="00932499"/>
    <w:rsid w:val="0093260B"/>
    <w:rsid w:val="00933073"/>
    <w:rsid w:val="009338E5"/>
    <w:rsid w:val="0093390B"/>
    <w:rsid w:val="00933CA7"/>
    <w:rsid w:val="00933D08"/>
    <w:rsid w:val="009349AB"/>
    <w:rsid w:val="00935942"/>
    <w:rsid w:val="00935B0F"/>
    <w:rsid w:val="009366ED"/>
    <w:rsid w:val="0093730E"/>
    <w:rsid w:val="009400D5"/>
    <w:rsid w:val="0094030D"/>
    <w:rsid w:val="00940ECE"/>
    <w:rsid w:val="00941519"/>
    <w:rsid w:val="00941A36"/>
    <w:rsid w:val="00942A69"/>
    <w:rsid w:val="009430C4"/>
    <w:rsid w:val="0094427A"/>
    <w:rsid w:val="009451E4"/>
    <w:rsid w:val="0094535A"/>
    <w:rsid w:val="00945A3E"/>
    <w:rsid w:val="00945C5B"/>
    <w:rsid w:val="00946443"/>
    <w:rsid w:val="00946733"/>
    <w:rsid w:val="00946E61"/>
    <w:rsid w:val="00947596"/>
    <w:rsid w:val="00950226"/>
    <w:rsid w:val="00950886"/>
    <w:rsid w:val="00950943"/>
    <w:rsid w:val="00951123"/>
    <w:rsid w:val="0095152E"/>
    <w:rsid w:val="0095235E"/>
    <w:rsid w:val="009528F0"/>
    <w:rsid w:val="00952983"/>
    <w:rsid w:val="00953C6A"/>
    <w:rsid w:val="009545C5"/>
    <w:rsid w:val="00954772"/>
    <w:rsid w:val="009550CD"/>
    <w:rsid w:val="009558BD"/>
    <w:rsid w:val="00955B8B"/>
    <w:rsid w:val="00955F9C"/>
    <w:rsid w:val="00956737"/>
    <w:rsid w:val="009571CF"/>
    <w:rsid w:val="00957710"/>
    <w:rsid w:val="00957AD4"/>
    <w:rsid w:val="00960146"/>
    <w:rsid w:val="009602F1"/>
    <w:rsid w:val="00960870"/>
    <w:rsid w:val="00960BD9"/>
    <w:rsid w:val="00960C15"/>
    <w:rsid w:val="0096196D"/>
    <w:rsid w:val="00961E31"/>
    <w:rsid w:val="0096245A"/>
    <w:rsid w:val="0096258D"/>
    <w:rsid w:val="00962A7A"/>
    <w:rsid w:val="00963527"/>
    <w:rsid w:val="00963AA4"/>
    <w:rsid w:val="00963F00"/>
    <w:rsid w:val="00964646"/>
    <w:rsid w:val="00965629"/>
    <w:rsid w:val="00965EF1"/>
    <w:rsid w:val="0096694B"/>
    <w:rsid w:val="00966A24"/>
    <w:rsid w:val="00967434"/>
    <w:rsid w:val="009675BB"/>
    <w:rsid w:val="00970275"/>
    <w:rsid w:val="009702B1"/>
    <w:rsid w:val="00970C5E"/>
    <w:rsid w:val="00970D0A"/>
    <w:rsid w:val="00970D6B"/>
    <w:rsid w:val="00971068"/>
    <w:rsid w:val="009711D5"/>
    <w:rsid w:val="0097140A"/>
    <w:rsid w:val="0097142A"/>
    <w:rsid w:val="0097151A"/>
    <w:rsid w:val="00971E56"/>
    <w:rsid w:val="0097252D"/>
    <w:rsid w:val="00974328"/>
    <w:rsid w:val="00974923"/>
    <w:rsid w:val="009757A9"/>
    <w:rsid w:val="009761F9"/>
    <w:rsid w:val="0097638C"/>
    <w:rsid w:val="00976B35"/>
    <w:rsid w:val="009778D3"/>
    <w:rsid w:val="00977E3B"/>
    <w:rsid w:val="009802CF"/>
    <w:rsid w:val="009804D9"/>
    <w:rsid w:val="009804EE"/>
    <w:rsid w:val="00981E42"/>
    <w:rsid w:val="0098213E"/>
    <w:rsid w:val="00983C65"/>
    <w:rsid w:val="00984079"/>
    <w:rsid w:val="00984A3F"/>
    <w:rsid w:val="00984E99"/>
    <w:rsid w:val="00985002"/>
    <w:rsid w:val="0098513A"/>
    <w:rsid w:val="00986188"/>
    <w:rsid w:val="00986843"/>
    <w:rsid w:val="009874BD"/>
    <w:rsid w:val="00987E97"/>
    <w:rsid w:val="00990EDA"/>
    <w:rsid w:val="00991D73"/>
    <w:rsid w:val="009922C9"/>
    <w:rsid w:val="00992BDC"/>
    <w:rsid w:val="009932AF"/>
    <w:rsid w:val="009932EC"/>
    <w:rsid w:val="00993641"/>
    <w:rsid w:val="00994A4E"/>
    <w:rsid w:val="00995A29"/>
    <w:rsid w:val="00995C04"/>
    <w:rsid w:val="0099613B"/>
    <w:rsid w:val="00996C62"/>
    <w:rsid w:val="0099779C"/>
    <w:rsid w:val="009A1150"/>
    <w:rsid w:val="009A1C6B"/>
    <w:rsid w:val="009A1FCC"/>
    <w:rsid w:val="009A2016"/>
    <w:rsid w:val="009A24F5"/>
    <w:rsid w:val="009A2A29"/>
    <w:rsid w:val="009A3AED"/>
    <w:rsid w:val="009A4061"/>
    <w:rsid w:val="009A4AAA"/>
    <w:rsid w:val="009A4E1E"/>
    <w:rsid w:val="009A5806"/>
    <w:rsid w:val="009A7070"/>
    <w:rsid w:val="009A7503"/>
    <w:rsid w:val="009B0673"/>
    <w:rsid w:val="009B1BEA"/>
    <w:rsid w:val="009B2276"/>
    <w:rsid w:val="009B429E"/>
    <w:rsid w:val="009B4372"/>
    <w:rsid w:val="009B449B"/>
    <w:rsid w:val="009B4DF9"/>
    <w:rsid w:val="009B5325"/>
    <w:rsid w:val="009B5624"/>
    <w:rsid w:val="009B580A"/>
    <w:rsid w:val="009B6FD3"/>
    <w:rsid w:val="009B74F3"/>
    <w:rsid w:val="009B76CE"/>
    <w:rsid w:val="009B7811"/>
    <w:rsid w:val="009C084A"/>
    <w:rsid w:val="009C096C"/>
    <w:rsid w:val="009C09AC"/>
    <w:rsid w:val="009C0A61"/>
    <w:rsid w:val="009C2F27"/>
    <w:rsid w:val="009C3246"/>
    <w:rsid w:val="009C3B7E"/>
    <w:rsid w:val="009C4435"/>
    <w:rsid w:val="009C5416"/>
    <w:rsid w:val="009C5435"/>
    <w:rsid w:val="009C5518"/>
    <w:rsid w:val="009C5D96"/>
    <w:rsid w:val="009C71AF"/>
    <w:rsid w:val="009C761C"/>
    <w:rsid w:val="009C7BCC"/>
    <w:rsid w:val="009D12F1"/>
    <w:rsid w:val="009D1CD2"/>
    <w:rsid w:val="009D2407"/>
    <w:rsid w:val="009D24A7"/>
    <w:rsid w:val="009D2817"/>
    <w:rsid w:val="009D2966"/>
    <w:rsid w:val="009D2BBA"/>
    <w:rsid w:val="009D2BE1"/>
    <w:rsid w:val="009D2EFB"/>
    <w:rsid w:val="009D31C9"/>
    <w:rsid w:val="009D3D3E"/>
    <w:rsid w:val="009D4359"/>
    <w:rsid w:val="009D47DA"/>
    <w:rsid w:val="009D493D"/>
    <w:rsid w:val="009D49F7"/>
    <w:rsid w:val="009D5058"/>
    <w:rsid w:val="009D5333"/>
    <w:rsid w:val="009D549B"/>
    <w:rsid w:val="009D7A68"/>
    <w:rsid w:val="009E07D9"/>
    <w:rsid w:val="009E1A45"/>
    <w:rsid w:val="009E20CC"/>
    <w:rsid w:val="009E20FF"/>
    <w:rsid w:val="009E34BE"/>
    <w:rsid w:val="009E361F"/>
    <w:rsid w:val="009E3903"/>
    <w:rsid w:val="009E3B01"/>
    <w:rsid w:val="009E3DED"/>
    <w:rsid w:val="009E5537"/>
    <w:rsid w:val="009E5D62"/>
    <w:rsid w:val="009E65B8"/>
    <w:rsid w:val="009E670B"/>
    <w:rsid w:val="009E7CBA"/>
    <w:rsid w:val="009E7D09"/>
    <w:rsid w:val="009E7E7E"/>
    <w:rsid w:val="009F0F75"/>
    <w:rsid w:val="009F11E9"/>
    <w:rsid w:val="009F15A0"/>
    <w:rsid w:val="009F192E"/>
    <w:rsid w:val="009F2015"/>
    <w:rsid w:val="009F25B3"/>
    <w:rsid w:val="009F29BB"/>
    <w:rsid w:val="009F36C4"/>
    <w:rsid w:val="009F374A"/>
    <w:rsid w:val="009F4381"/>
    <w:rsid w:val="009F4623"/>
    <w:rsid w:val="009F4C2C"/>
    <w:rsid w:val="009F5737"/>
    <w:rsid w:val="009F5791"/>
    <w:rsid w:val="009F5B9D"/>
    <w:rsid w:val="009F5EC5"/>
    <w:rsid w:val="009F6378"/>
    <w:rsid w:val="009F68D6"/>
    <w:rsid w:val="009F6F61"/>
    <w:rsid w:val="009F73C2"/>
    <w:rsid w:val="009F78A6"/>
    <w:rsid w:val="009F7C85"/>
    <w:rsid w:val="00A00B99"/>
    <w:rsid w:val="00A00D69"/>
    <w:rsid w:val="00A00DBD"/>
    <w:rsid w:val="00A01212"/>
    <w:rsid w:val="00A031E5"/>
    <w:rsid w:val="00A033E7"/>
    <w:rsid w:val="00A04299"/>
    <w:rsid w:val="00A05934"/>
    <w:rsid w:val="00A059CB"/>
    <w:rsid w:val="00A05C52"/>
    <w:rsid w:val="00A05E18"/>
    <w:rsid w:val="00A06533"/>
    <w:rsid w:val="00A0746B"/>
    <w:rsid w:val="00A07932"/>
    <w:rsid w:val="00A10D66"/>
    <w:rsid w:val="00A114DE"/>
    <w:rsid w:val="00A11505"/>
    <w:rsid w:val="00A1191D"/>
    <w:rsid w:val="00A11E10"/>
    <w:rsid w:val="00A1203B"/>
    <w:rsid w:val="00A12306"/>
    <w:rsid w:val="00A1441D"/>
    <w:rsid w:val="00A14C4E"/>
    <w:rsid w:val="00A1533F"/>
    <w:rsid w:val="00A1562A"/>
    <w:rsid w:val="00A1562B"/>
    <w:rsid w:val="00A1596F"/>
    <w:rsid w:val="00A16023"/>
    <w:rsid w:val="00A16195"/>
    <w:rsid w:val="00A1626A"/>
    <w:rsid w:val="00A174B3"/>
    <w:rsid w:val="00A17E3B"/>
    <w:rsid w:val="00A17ECA"/>
    <w:rsid w:val="00A2067F"/>
    <w:rsid w:val="00A20A84"/>
    <w:rsid w:val="00A21A2E"/>
    <w:rsid w:val="00A21FB3"/>
    <w:rsid w:val="00A22DA0"/>
    <w:rsid w:val="00A23653"/>
    <w:rsid w:val="00A23769"/>
    <w:rsid w:val="00A23790"/>
    <w:rsid w:val="00A23E43"/>
    <w:rsid w:val="00A23F13"/>
    <w:rsid w:val="00A25902"/>
    <w:rsid w:val="00A259C1"/>
    <w:rsid w:val="00A25DCA"/>
    <w:rsid w:val="00A26B10"/>
    <w:rsid w:val="00A27B3D"/>
    <w:rsid w:val="00A31AD8"/>
    <w:rsid w:val="00A32AE3"/>
    <w:rsid w:val="00A32E10"/>
    <w:rsid w:val="00A32F3F"/>
    <w:rsid w:val="00A335E1"/>
    <w:rsid w:val="00A3368E"/>
    <w:rsid w:val="00A33820"/>
    <w:rsid w:val="00A33BB6"/>
    <w:rsid w:val="00A3413D"/>
    <w:rsid w:val="00A36ADC"/>
    <w:rsid w:val="00A407B6"/>
    <w:rsid w:val="00A4170C"/>
    <w:rsid w:val="00A42145"/>
    <w:rsid w:val="00A4255E"/>
    <w:rsid w:val="00A43EB1"/>
    <w:rsid w:val="00A45746"/>
    <w:rsid w:val="00A459EC"/>
    <w:rsid w:val="00A45F8B"/>
    <w:rsid w:val="00A46DE0"/>
    <w:rsid w:val="00A4796F"/>
    <w:rsid w:val="00A47E46"/>
    <w:rsid w:val="00A50B33"/>
    <w:rsid w:val="00A5138A"/>
    <w:rsid w:val="00A51F7A"/>
    <w:rsid w:val="00A5214B"/>
    <w:rsid w:val="00A527DD"/>
    <w:rsid w:val="00A5354B"/>
    <w:rsid w:val="00A53F26"/>
    <w:rsid w:val="00A542FC"/>
    <w:rsid w:val="00A5489A"/>
    <w:rsid w:val="00A549A0"/>
    <w:rsid w:val="00A55C50"/>
    <w:rsid w:val="00A56914"/>
    <w:rsid w:val="00A56D87"/>
    <w:rsid w:val="00A56E4D"/>
    <w:rsid w:val="00A56EEC"/>
    <w:rsid w:val="00A56EF8"/>
    <w:rsid w:val="00A5724F"/>
    <w:rsid w:val="00A57A3A"/>
    <w:rsid w:val="00A604F5"/>
    <w:rsid w:val="00A605DD"/>
    <w:rsid w:val="00A605EB"/>
    <w:rsid w:val="00A609DA"/>
    <w:rsid w:val="00A611DE"/>
    <w:rsid w:val="00A61690"/>
    <w:rsid w:val="00A62CE1"/>
    <w:rsid w:val="00A62D42"/>
    <w:rsid w:val="00A63804"/>
    <w:rsid w:val="00A650A8"/>
    <w:rsid w:val="00A65AEE"/>
    <w:rsid w:val="00A65F61"/>
    <w:rsid w:val="00A66FB5"/>
    <w:rsid w:val="00A6719C"/>
    <w:rsid w:val="00A671E7"/>
    <w:rsid w:val="00A677D4"/>
    <w:rsid w:val="00A67DC0"/>
    <w:rsid w:val="00A67FDB"/>
    <w:rsid w:val="00A703FC"/>
    <w:rsid w:val="00A70410"/>
    <w:rsid w:val="00A70A04"/>
    <w:rsid w:val="00A72F8C"/>
    <w:rsid w:val="00A7383D"/>
    <w:rsid w:val="00A749B8"/>
    <w:rsid w:val="00A74DC3"/>
    <w:rsid w:val="00A752C4"/>
    <w:rsid w:val="00A753ED"/>
    <w:rsid w:val="00A75964"/>
    <w:rsid w:val="00A75E40"/>
    <w:rsid w:val="00A76274"/>
    <w:rsid w:val="00A76B96"/>
    <w:rsid w:val="00A77005"/>
    <w:rsid w:val="00A77461"/>
    <w:rsid w:val="00A775F7"/>
    <w:rsid w:val="00A778F2"/>
    <w:rsid w:val="00A77CC5"/>
    <w:rsid w:val="00A808E6"/>
    <w:rsid w:val="00A81347"/>
    <w:rsid w:val="00A81641"/>
    <w:rsid w:val="00A81C4D"/>
    <w:rsid w:val="00A824E3"/>
    <w:rsid w:val="00A82CF5"/>
    <w:rsid w:val="00A8314E"/>
    <w:rsid w:val="00A84141"/>
    <w:rsid w:val="00A842D6"/>
    <w:rsid w:val="00A85057"/>
    <w:rsid w:val="00A857C0"/>
    <w:rsid w:val="00A858D8"/>
    <w:rsid w:val="00A87389"/>
    <w:rsid w:val="00A8787E"/>
    <w:rsid w:val="00A87C69"/>
    <w:rsid w:val="00A87F2E"/>
    <w:rsid w:val="00A900ED"/>
    <w:rsid w:val="00A91997"/>
    <w:rsid w:val="00A92FE8"/>
    <w:rsid w:val="00A93911"/>
    <w:rsid w:val="00A9412A"/>
    <w:rsid w:val="00A9460A"/>
    <w:rsid w:val="00A94A15"/>
    <w:rsid w:val="00A94AC3"/>
    <w:rsid w:val="00A94E20"/>
    <w:rsid w:val="00A95590"/>
    <w:rsid w:val="00A95994"/>
    <w:rsid w:val="00A95A16"/>
    <w:rsid w:val="00A973DE"/>
    <w:rsid w:val="00A97D5A"/>
    <w:rsid w:val="00A97F6B"/>
    <w:rsid w:val="00AA024F"/>
    <w:rsid w:val="00AA026C"/>
    <w:rsid w:val="00AA0D43"/>
    <w:rsid w:val="00AA12C2"/>
    <w:rsid w:val="00AA1CCA"/>
    <w:rsid w:val="00AA28E1"/>
    <w:rsid w:val="00AA294B"/>
    <w:rsid w:val="00AA2DF1"/>
    <w:rsid w:val="00AA421E"/>
    <w:rsid w:val="00AA4791"/>
    <w:rsid w:val="00AA559A"/>
    <w:rsid w:val="00AA5887"/>
    <w:rsid w:val="00AA599C"/>
    <w:rsid w:val="00AA650F"/>
    <w:rsid w:val="00AA6C83"/>
    <w:rsid w:val="00AA77CA"/>
    <w:rsid w:val="00AA7D02"/>
    <w:rsid w:val="00AA7EB1"/>
    <w:rsid w:val="00AB10C4"/>
    <w:rsid w:val="00AB1E85"/>
    <w:rsid w:val="00AB1F4B"/>
    <w:rsid w:val="00AB257C"/>
    <w:rsid w:val="00AB25BC"/>
    <w:rsid w:val="00AB2AF1"/>
    <w:rsid w:val="00AB33FE"/>
    <w:rsid w:val="00AB5ACD"/>
    <w:rsid w:val="00AB67CD"/>
    <w:rsid w:val="00AB67EE"/>
    <w:rsid w:val="00AB68D7"/>
    <w:rsid w:val="00AB6DA6"/>
    <w:rsid w:val="00AB6EEC"/>
    <w:rsid w:val="00AB70B0"/>
    <w:rsid w:val="00AB7188"/>
    <w:rsid w:val="00AB7BFC"/>
    <w:rsid w:val="00AC126E"/>
    <w:rsid w:val="00AC194C"/>
    <w:rsid w:val="00AC1AEC"/>
    <w:rsid w:val="00AC2691"/>
    <w:rsid w:val="00AC2B58"/>
    <w:rsid w:val="00AC2FB3"/>
    <w:rsid w:val="00AC3332"/>
    <w:rsid w:val="00AC3697"/>
    <w:rsid w:val="00AC392B"/>
    <w:rsid w:val="00AC44C3"/>
    <w:rsid w:val="00AC48C9"/>
    <w:rsid w:val="00AC4DCB"/>
    <w:rsid w:val="00AC4EDB"/>
    <w:rsid w:val="00AC57CA"/>
    <w:rsid w:val="00AC5832"/>
    <w:rsid w:val="00AC62CF"/>
    <w:rsid w:val="00AC6C48"/>
    <w:rsid w:val="00AC7183"/>
    <w:rsid w:val="00AC72F7"/>
    <w:rsid w:val="00AC7319"/>
    <w:rsid w:val="00AC73FA"/>
    <w:rsid w:val="00AC7546"/>
    <w:rsid w:val="00AC7FEA"/>
    <w:rsid w:val="00AD03C4"/>
    <w:rsid w:val="00AD0520"/>
    <w:rsid w:val="00AD056B"/>
    <w:rsid w:val="00AD0857"/>
    <w:rsid w:val="00AD0B5C"/>
    <w:rsid w:val="00AD1714"/>
    <w:rsid w:val="00AD1D52"/>
    <w:rsid w:val="00AD233C"/>
    <w:rsid w:val="00AD2487"/>
    <w:rsid w:val="00AD2E3D"/>
    <w:rsid w:val="00AD306C"/>
    <w:rsid w:val="00AD3C0A"/>
    <w:rsid w:val="00AD3CE8"/>
    <w:rsid w:val="00AD3CEB"/>
    <w:rsid w:val="00AD40B9"/>
    <w:rsid w:val="00AD50ED"/>
    <w:rsid w:val="00AD5637"/>
    <w:rsid w:val="00AD5EDA"/>
    <w:rsid w:val="00AD67C2"/>
    <w:rsid w:val="00AD6866"/>
    <w:rsid w:val="00AD6A19"/>
    <w:rsid w:val="00AD6EAC"/>
    <w:rsid w:val="00AE0623"/>
    <w:rsid w:val="00AE0846"/>
    <w:rsid w:val="00AE1AFF"/>
    <w:rsid w:val="00AE1D54"/>
    <w:rsid w:val="00AE1D7E"/>
    <w:rsid w:val="00AE20C4"/>
    <w:rsid w:val="00AE2B96"/>
    <w:rsid w:val="00AE302E"/>
    <w:rsid w:val="00AE3995"/>
    <w:rsid w:val="00AE3BAB"/>
    <w:rsid w:val="00AE4D94"/>
    <w:rsid w:val="00AE501C"/>
    <w:rsid w:val="00AE5259"/>
    <w:rsid w:val="00AE53B8"/>
    <w:rsid w:val="00AE6BF0"/>
    <w:rsid w:val="00AE6DBF"/>
    <w:rsid w:val="00AE7361"/>
    <w:rsid w:val="00AF1B04"/>
    <w:rsid w:val="00AF3EF6"/>
    <w:rsid w:val="00AF4A7E"/>
    <w:rsid w:val="00AF53B7"/>
    <w:rsid w:val="00AF543B"/>
    <w:rsid w:val="00AF5995"/>
    <w:rsid w:val="00AF6897"/>
    <w:rsid w:val="00AF6948"/>
    <w:rsid w:val="00AF71E4"/>
    <w:rsid w:val="00AF750B"/>
    <w:rsid w:val="00AF775B"/>
    <w:rsid w:val="00AF77F0"/>
    <w:rsid w:val="00AF7C4B"/>
    <w:rsid w:val="00B00BC8"/>
    <w:rsid w:val="00B00C7B"/>
    <w:rsid w:val="00B00DEC"/>
    <w:rsid w:val="00B00E2A"/>
    <w:rsid w:val="00B01322"/>
    <w:rsid w:val="00B01EE5"/>
    <w:rsid w:val="00B021DC"/>
    <w:rsid w:val="00B031D4"/>
    <w:rsid w:val="00B03333"/>
    <w:rsid w:val="00B03CC3"/>
    <w:rsid w:val="00B04635"/>
    <w:rsid w:val="00B050E2"/>
    <w:rsid w:val="00B0569B"/>
    <w:rsid w:val="00B056A3"/>
    <w:rsid w:val="00B05D74"/>
    <w:rsid w:val="00B062B3"/>
    <w:rsid w:val="00B06698"/>
    <w:rsid w:val="00B06CC4"/>
    <w:rsid w:val="00B06DA9"/>
    <w:rsid w:val="00B07572"/>
    <w:rsid w:val="00B07DD5"/>
    <w:rsid w:val="00B10959"/>
    <w:rsid w:val="00B119FD"/>
    <w:rsid w:val="00B11B89"/>
    <w:rsid w:val="00B1291C"/>
    <w:rsid w:val="00B133AC"/>
    <w:rsid w:val="00B13FBD"/>
    <w:rsid w:val="00B13FFF"/>
    <w:rsid w:val="00B14361"/>
    <w:rsid w:val="00B14834"/>
    <w:rsid w:val="00B14BDD"/>
    <w:rsid w:val="00B15069"/>
    <w:rsid w:val="00B151B7"/>
    <w:rsid w:val="00B15254"/>
    <w:rsid w:val="00B1690D"/>
    <w:rsid w:val="00B16BD5"/>
    <w:rsid w:val="00B170AD"/>
    <w:rsid w:val="00B178A2"/>
    <w:rsid w:val="00B17E71"/>
    <w:rsid w:val="00B17ED9"/>
    <w:rsid w:val="00B17FDE"/>
    <w:rsid w:val="00B204CF"/>
    <w:rsid w:val="00B2077E"/>
    <w:rsid w:val="00B20CAF"/>
    <w:rsid w:val="00B21429"/>
    <w:rsid w:val="00B214B0"/>
    <w:rsid w:val="00B226C7"/>
    <w:rsid w:val="00B2285A"/>
    <w:rsid w:val="00B2302C"/>
    <w:rsid w:val="00B233C9"/>
    <w:rsid w:val="00B24292"/>
    <w:rsid w:val="00B24A27"/>
    <w:rsid w:val="00B252C6"/>
    <w:rsid w:val="00B252E7"/>
    <w:rsid w:val="00B260DE"/>
    <w:rsid w:val="00B27E1F"/>
    <w:rsid w:val="00B30BF1"/>
    <w:rsid w:val="00B31896"/>
    <w:rsid w:val="00B32114"/>
    <w:rsid w:val="00B325AF"/>
    <w:rsid w:val="00B32C6A"/>
    <w:rsid w:val="00B32DDB"/>
    <w:rsid w:val="00B33248"/>
    <w:rsid w:val="00B3335A"/>
    <w:rsid w:val="00B33686"/>
    <w:rsid w:val="00B33A89"/>
    <w:rsid w:val="00B33C05"/>
    <w:rsid w:val="00B33C76"/>
    <w:rsid w:val="00B34B01"/>
    <w:rsid w:val="00B34DA5"/>
    <w:rsid w:val="00B350AB"/>
    <w:rsid w:val="00B35719"/>
    <w:rsid w:val="00B360DE"/>
    <w:rsid w:val="00B361A6"/>
    <w:rsid w:val="00B4079B"/>
    <w:rsid w:val="00B41129"/>
    <w:rsid w:val="00B41CFC"/>
    <w:rsid w:val="00B42399"/>
    <w:rsid w:val="00B42A43"/>
    <w:rsid w:val="00B42FC5"/>
    <w:rsid w:val="00B44616"/>
    <w:rsid w:val="00B447BF"/>
    <w:rsid w:val="00B45180"/>
    <w:rsid w:val="00B45197"/>
    <w:rsid w:val="00B452E4"/>
    <w:rsid w:val="00B45542"/>
    <w:rsid w:val="00B456FE"/>
    <w:rsid w:val="00B45F1C"/>
    <w:rsid w:val="00B46311"/>
    <w:rsid w:val="00B47706"/>
    <w:rsid w:val="00B51581"/>
    <w:rsid w:val="00B51672"/>
    <w:rsid w:val="00B5168E"/>
    <w:rsid w:val="00B522F9"/>
    <w:rsid w:val="00B52739"/>
    <w:rsid w:val="00B52D3F"/>
    <w:rsid w:val="00B52E8D"/>
    <w:rsid w:val="00B52EF0"/>
    <w:rsid w:val="00B53020"/>
    <w:rsid w:val="00B54E81"/>
    <w:rsid w:val="00B55302"/>
    <w:rsid w:val="00B5555B"/>
    <w:rsid w:val="00B5646F"/>
    <w:rsid w:val="00B56E66"/>
    <w:rsid w:val="00B56F03"/>
    <w:rsid w:val="00B57516"/>
    <w:rsid w:val="00B57987"/>
    <w:rsid w:val="00B6083A"/>
    <w:rsid w:val="00B61F38"/>
    <w:rsid w:val="00B63B72"/>
    <w:rsid w:val="00B64CB3"/>
    <w:rsid w:val="00B6551F"/>
    <w:rsid w:val="00B658C4"/>
    <w:rsid w:val="00B6608F"/>
    <w:rsid w:val="00B66298"/>
    <w:rsid w:val="00B664E4"/>
    <w:rsid w:val="00B66952"/>
    <w:rsid w:val="00B67811"/>
    <w:rsid w:val="00B6781F"/>
    <w:rsid w:val="00B678F3"/>
    <w:rsid w:val="00B67A0C"/>
    <w:rsid w:val="00B67CC5"/>
    <w:rsid w:val="00B70DD8"/>
    <w:rsid w:val="00B718E1"/>
    <w:rsid w:val="00B72231"/>
    <w:rsid w:val="00B73E45"/>
    <w:rsid w:val="00B73E8F"/>
    <w:rsid w:val="00B74895"/>
    <w:rsid w:val="00B75A83"/>
    <w:rsid w:val="00B765A7"/>
    <w:rsid w:val="00B76D1E"/>
    <w:rsid w:val="00B772C5"/>
    <w:rsid w:val="00B813FE"/>
    <w:rsid w:val="00B821E5"/>
    <w:rsid w:val="00B822E5"/>
    <w:rsid w:val="00B82A76"/>
    <w:rsid w:val="00B8345F"/>
    <w:rsid w:val="00B849FD"/>
    <w:rsid w:val="00B8559A"/>
    <w:rsid w:val="00B858DD"/>
    <w:rsid w:val="00B86C5E"/>
    <w:rsid w:val="00B86FC5"/>
    <w:rsid w:val="00B87969"/>
    <w:rsid w:val="00B91197"/>
    <w:rsid w:val="00B912EA"/>
    <w:rsid w:val="00B92C17"/>
    <w:rsid w:val="00B93D28"/>
    <w:rsid w:val="00B949F1"/>
    <w:rsid w:val="00B955FF"/>
    <w:rsid w:val="00B95940"/>
    <w:rsid w:val="00B967BC"/>
    <w:rsid w:val="00B96B3A"/>
    <w:rsid w:val="00B96C64"/>
    <w:rsid w:val="00B9771C"/>
    <w:rsid w:val="00B97970"/>
    <w:rsid w:val="00B97D6A"/>
    <w:rsid w:val="00BA0022"/>
    <w:rsid w:val="00BA0F35"/>
    <w:rsid w:val="00BA2839"/>
    <w:rsid w:val="00BA2D52"/>
    <w:rsid w:val="00BA3D19"/>
    <w:rsid w:val="00BA3EF0"/>
    <w:rsid w:val="00BA3F08"/>
    <w:rsid w:val="00BA4E76"/>
    <w:rsid w:val="00BA51F2"/>
    <w:rsid w:val="00BA5D4A"/>
    <w:rsid w:val="00BA5E51"/>
    <w:rsid w:val="00BA7CB9"/>
    <w:rsid w:val="00BA7D31"/>
    <w:rsid w:val="00BB106E"/>
    <w:rsid w:val="00BB1863"/>
    <w:rsid w:val="00BB2410"/>
    <w:rsid w:val="00BB26C2"/>
    <w:rsid w:val="00BB2C27"/>
    <w:rsid w:val="00BB4A76"/>
    <w:rsid w:val="00BB5FE5"/>
    <w:rsid w:val="00BB6326"/>
    <w:rsid w:val="00BB6799"/>
    <w:rsid w:val="00BB6921"/>
    <w:rsid w:val="00BB6CFA"/>
    <w:rsid w:val="00BB7453"/>
    <w:rsid w:val="00BB764B"/>
    <w:rsid w:val="00BB76FE"/>
    <w:rsid w:val="00BB7952"/>
    <w:rsid w:val="00BB7E20"/>
    <w:rsid w:val="00BC0AD9"/>
    <w:rsid w:val="00BC0EDC"/>
    <w:rsid w:val="00BC1309"/>
    <w:rsid w:val="00BC1E02"/>
    <w:rsid w:val="00BC1FBF"/>
    <w:rsid w:val="00BC209F"/>
    <w:rsid w:val="00BC2AAC"/>
    <w:rsid w:val="00BC3805"/>
    <w:rsid w:val="00BC39D0"/>
    <w:rsid w:val="00BC3E99"/>
    <w:rsid w:val="00BC46B1"/>
    <w:rsid w:val="00BC5110"/>
    <w:rsid w:val="00BC57A9"/>
    <w:rsid w:val="00BC5A30"/>
    <w:rsid w:val="00BC6AC1"/>
    <w:rsid w:val="00BC6B89"/>
    <w:rsid w:val="00BC6BDD"/>
    <w:rsid w:val="00BC6DAF"/>
    <w:rsid w:val="00BC7372"/>
    <w:rsid w:val="00BC79BD"/>
    <w:rsid w:val="00BC7B9A"/>
    <w:rsid w:val="00BD0D66"/>
    <w:rsid w:val="00BD0E3B"/>
    <w:rsid w:val="00BD12B6"/>
    <w:rsid w:val="00BD17C4"/>
    <w:rsid w:val="00BD1D6D"/>
    <w:rsid w:val="00BD2295"/>
    <w:rsid w:val="00BD2A2E"/>
    <w:rsid w:val="00BD2B28"/>
    <w:rsid w:val="00BD35AB"/>
    <w:rsid w:val="00BD363F"/>
    <w:rsid w:val="00BD366B"/>
    <w:rsid w:val="00BD3835"/>
    <w:rsid w:val="00BD3A99"/>
    <w:rsid w:val="00BD469D"/>
    <w:rsid w:val="00BD51D4"/>
    <w:rsid w:val="00BD57E8"/>
    <w:rsid w:val="00BD60A1"/>
    <w:rsid w:val="00BD6537"/>
    <w:rsid w:val="00BD6601"/>
    <w:rsid w:val="00BD6CC1"/>
    <w:rsid w:val="00BD6D50"/>
    <w:rsid w:val="00BD79FF"/>
    <w:rsid w:val="00BE0470"/>
    <w:rsid w:val="00BE0EF9"/>
    <w:rsid w:val="00BE1794"/>
    <w:rsid w:val="00BE1BBB"/>
    <w:rsid w:val="00BE2C72"/>
    <w:rsid w:val="00BE33B7"/>
    <w:rsid w:val="00BE3ADF"/>
    <w:rsid w:val="00BE41CD"/>
    <w:rsid w:val="00BE49C2"/>
    <w:rsid w:val="00BE4B95"/>
    <w:rsid w:val="00BE4FA5"/>
    <w:rsid w:val="00BE53CE"/>
    <w:rsid w:val="00BE607F"/>
    <w:rsid w:val="00BE6172"/>
    <w:rsid w:val="00BE627E"/>
    <w:rsid w:val="00BE63D0"/>
    <w:rsid w:val="00BE6F43"/>
    <w:rsid w:val="00BE748A"/>
    <w:rsid w:val="00BE76F6"/>
    <w:rsid w:val="00BE779A"/>
    <w:rsid w:val="00BE7F9B"/>
    <w:rsid w:val="00BF0713"/>
    <w:rsid w:val="00BF09A3"/>
    <w:rsid w:val="00BF0AA3"/>
    <w:rsid w:val="00BF1348"/>
    <w:rsid w:val="00BF1401"/>
    <w:rsid w:val="00BF1812"/>
    <w:rsid w:val="00BF1815"/>
    <w:rsid w:val="00BF1D46"/>
    <w:rsid w:val="00BF1FFC"/>
    <w:rsid w:val="00BF24B9"/>
    <w:rsid w:val="00BF2837"/>
    <w:rsid w:val="00BF2A80"/>
    <w:rsid w:val="00BF3008"/>
    <w:rsid w:val="00BF3D17"/>
    <w:rsid w:val="00BF3E1C"/>
    <w:rsid w:val="00BF3EDA"/>
    <w:rsid w:val="00BF57A5"/>
    <w:rsid w:val="00BF5E16"/>
    <w:rsid w:val="00BF6243"/>
    <w:rsid w:val="00BF6BE5"/>
    <w:rsid w:val="00BF6FC7"/>
    <w:rsid w:val="00BF752C"/>
    <w:rsid w:val="00BF7EC0"/>
    <w:rsid w:val="00C00376"/>
    <w:rsid w:val="00C00741"/>
    <w:rsid w:val="00C018F4"/>
    <w:rsid w:val="00C01BB8"/>
    <w:rsid w:val="00C03F42"/>
    <w:rsid w:val="00C0450E"/>
    <w:rsid w:val="00C04FD8"/>
    <w:rsid w:val="00C05523"/>
    <w:rsid w:val="00C0554F"/>
    <w:rsid w:val="00C055AC"/>
    <w:rsid w:val="00C058F6"/>
    <w:rsid w:val="00C05A64"/>
    <w:rsid w:val="00C06CC8"/>
    <w:rsid w:val="00C07C74"/>
    <w:rsid w:val="00C07D04"/>
    <w:rsid w:val="00C1031A"/>
    <w:rsid w:val="00C1059A"/>
    <w:rsid w:val="00C10FB2"/>
    <w:rsid w:val="00C10FC4"/>
    <w:rsid w:val="00C11031"/>
    <w:rsid w:val="00C11467"/>
    <w:rsid w:val="00C11FBC"/>
    <w:rsid w:val="00C1208D"/>
    <w:rsid w:val="00C12835"/>
    <w:rsid w:val="00C131F6"/>
    <w:rsid w:val="00C13E05"/>
    <w:rsid w:val="00C13EF3"/>
    <w:rsid w:val="00C13FFB"/>
    <w:rsid w:val="00C140D5"/>
    <w:rsid w:val="00C14494"/>
    <w:rsid w:val="00C14ECE"/>
    <w:rsid w:val="00C16D82"/>
    <w:rsid w:val="00C1712A"/>
    <w:rsid w:val="00C1712C"/>
    <w:rsid w:val="00C17654"/>
    <w:rsid w:val="00C1798C"/>
    <w:rsid w:val="00C17B8A"/>
    <w:rsid w:val="00C2040D"/>
    <w:rsid w:val="00C21D10"/>
    <w:rsid w:val="00C21D1B"/>
    <w:rsid w:val="00C21DE9"/>
    <w:rsid w:val="00C21F94"/>
    <w:rsid w:val="00C23D40"/>
    <w:rsid w:val="00C24DA9"/>
    <w:rsid w:val="00C26A32"/>
    <w:rsid w:val="00C276E7"/>
    <w:rsid w:val="00C27DAA"/>
    <w:rsid w:val="00C31655"/>
    <w:rsid w:val="00C32F2D"/>
    <w:rsid w:val="00C334C7"/>
    <w:rsid w:val="00C33933"/>
    <w:rsid w:val="00C33AD8"/>
    <w:rsid w:val="00C34457"/>
    <w:rsid w:val="00C349BC"/>
    <w:rsid w:val="00C34E66"/>
    <w:rsid w:val="00C351C0"/>
    <w:rsid w:val="00C3533B"/>
    <w:rsid w:val="00C3589C"/>
    <w:rsid w:val="00C35B98"/>
    <w:rsid w:val="00C35C48"/>
    <w:rsid w:val="00C36807"/>
    <w:rsid w:val="00C370B8"/>
    <w:rsid w:val="00C377C4"/>
    <w:rsid w:val="00C37EA8"/>
    <w:rsid w:val="00C401E1"/>
    <w:rsid w:val="00C40E92"/>
    <w:rsid w:val="00C41A67"/>
    <w:rsid w:val="00C42179"/>
    <w:rsid w:val="00C4352B"/>
    <w:rsid w:val="00C43588"/>
    <w:rsid w:val="00C43B05"/>
    <w:rsid w:val="00C43BDF"/>
    <w:rsid w:val="00C43F49"/>
    <w:rsid w:val="00C45298"/>
    <w:rsid w:val="00C45446"/>
    <w:rsid w:val="00C45B5D"/>
    <w:rsid w:val="00C45CAF"/>
    <w:rsid w:val="00C46015"/>
    <w:rsid w:val="00C46027"/>
    <w:rsid w:val="00C46D20"/>
    <w:rsid w:val="00C470F8"/>
    <w:rsid w:val="00C50046"/>
    <w:rsid w:val="00C50385"/>
    <w:rsid w:val="00C5090D"/>
    <w:rsid w:val="00C50A5E"/>
    <w:rsid w:val="00C50FDC"/>
    <w:rsid w:val="00C512E7"/>
    <w:rsid w:val="00C52041"/>
    <w:rsid w:val="00C5219C"/>
    <w:rsid w:val="00C52271"/>
    <w:rsid w:val="00C52CFF"/>
    <w:rsid w:val="00C53308"/>
    <w:rsid w:val="00C53A98"/>
    <w:rsid w:val="00C53CF4"/>
    <w:rsid w:val="00C542DA"/>
    <w:rsid w:val="00C54302"/>
    <w:rsid w:val="00C54ED4"/>
    <w:rsid w:val="00C55C3C"/>
    <w:rsid w:val="00C56FAC"/>
    <w:rsid w:val="00C57270"/>
    <w:rsid w:val="00C60D30"/>
    <w:rsid w:val="00C634DF"/>
    <w:rsid w:val="00C63BD4"/>
    <w:rsid w:val="00C63F30"/>
    <w:rsid w:val="00C63FC3"/>
    <w:rsid w:val="00C64C19"/>
    <w:rsid w:val="00C66382"/>
    <w:rsid w:val="00C6646D"/>
    <w:rsid w:val="00C66519"/>
    <w:rsid w:val="00C66F99"/>
    <w:rsid w:val="00C67AC4"/>
    <w:rsid w:val="00C67F19"/>
    <w:rsid w:val="00C67F66"/>
    <w:rsid w:val="00C70166"/>
    <w:rsid w:val="00C70560"/>
    <w:rsid w:val="00C708C3"/>
    <w:rsid w:val="00C70F35"/>
    <w:rsid w:val="00C718C4"/>
    <w:rsid w:val="00C719D9"/>
    <w:rsid w:val="00C723FE"/>
    <w:rsid w:val="00C735EE"/>
    <w:rsid w:val="00C73C88"/>
    <w:rsid w:val="00C73F4C"/>
    <w:rsid w:val="00C74158"/>
    <w:rsid w:val="00C742FF"/>
    <w:rsid w:val="00C74512"/>
    <w:rsid w:val="00C746C2"/>
    <w:rsid w:val="00C74DB8"/>
    <w:rsid w:val="00C75024"/>
    <w:rsid w:val="00C7594F"/>
    <w:rsid w:val="00C76348"/>
    <w:rsid w:val="00C7658A"/>
    <w:rsid w:val="00C771A3"/>
    <w:rsid w:val="00C774BB"/>
    <w:rsid w:val="00C777CE"/>
    <w:rsid w:val="00C77967"/>
    <w:rsid w:val="00C80ED6"/>
    <w:rsid w:val="00C81902"/>
    <w:rsid w:val="00C820B0"/>
    <w:rsid w:val="00C821FC"/>
    <w:rsid w:val="00C82CE9"/>
    <w:rsid w:val="00C83155"/>
    <w:rsid w:val="00C83C33"/>
    <w:rsid w:val="00C83F52"/>
    <w:rsid w:val="00C84DE9"/>
    <w:rsid w:val="00C857FB"/>
    <w:rsid w:val="00C866FE"/>
    <w:rsid w:val="00C86903"/>
    <w:rsid w:val="00C86C49"/>
    <w:rsid w:val="00C87251"/>
    <w:rsid w:val="00C9027C"/>
    <w:rsid w:val="00C903FE"/>
    <w:rsid w:val="00C90CF4"/>
    <w:rsid w:val="00C90D47"/>
    <w:rsid w:val="00C92B71"/>
    <w:rsid w:val="00C92FA6"/>
    <w:rsid w:val="00C93389"/>
    <w:rsid w:val="00C93A0D"/>
    <w:rsid w:val="00C94E77"/>
    <w:rsid w:val="00C9506B"/>
    <w:rsid w:val="00C958DA"/>
    <w:rsid w:val="00C95DA3"/>
    <w:rsid w:val="00C95E3D"/>
    <w:rsid w:val="00C96482"/>
    <w:rsid w:val="00C97150"/>
    <w:rsid w:val="00CA0C7F"/>
    <w:rsid w:val="00CA0F40"/>
    <w:rsid w:val="00CA117A"/>
    <w:rsid w:val="00CA27C1"/>
    <w:rsid w:val="00CA27F3"/>
    <w:rsid w:val="00CA33B9"/>
    <w:rsid w:val="00CA35BA"/>
    <w:rsid w:val="00CA3C8F"/>
    <w:rsid w:val="00CA441C"/>
    <w:rsid w:val="00CA4D03"/>
    <w:rsid w:val="00CA4D94"/>
    <w:rsid w:val="00CA59EE"/>
    <w:rsid w:val="00CA5C74"/>
    <w:rsid w:val="00CA612E"/>
    <w:rsid w:val="00CA68A8"/>
    <w:rsid w:val="00CA7561"/>
    <w:rsid w:val="00CA760D"/>
    <w:rsid w:val="00CA7A3A"/>
    <w:rsid w:val="00CB00A8"/>
    <w:rsid w:val="00CB0BB6"/>
    <w:rsid w:val="00CB119D"/>
    <w:rsid w:val="00CB1250"/>
    <w:rsid w:val="00CB13C9"/>
    <w:rsid w:val="00CB17B1"/>
    <w:rsid w:val="00CB23A0"/>
    <w:rsid w:val="00CB27E8"/>
    <w:rsid w:val="00CB32EC"/>
    <w:rsid w:val="00CB36E1"/>
    <w:rsid w:val="00CB3964"/>
    <w:rsid w:val="00CB3DC4"/>
    <w:rsid w:val="00CB3EB5"/>
    <w:rsid w:val="00CB3F4C"/>
    <w:rsid w:val="00CB41CA"/>
    <w:rsid w:val="00CB558B"/>
    <w:rsid w:val="00CB600C"/>
    <w:rsid w:val="00CB62F8"/>
    <w:rsid w:val="00CB654D"/>
    <w:rsid w:val="00CB6F91"/>
    <w:rsid w:val="00CB72EF"/>
    <w:rsid w:val="00CB7567"/>
    <w:rsid w:val="00CB769D"/>
    <w:rsid w:val="00CB79B5"/>
    <w:rsid w:val="00CB7FC6"/>
    <w:rsid w:val="00CC0CE0"/>
    <w:rsid w:val="00CC0FC5"/>
    <w:rsid w:val="00CC113E"/>
    <w:rsid w:val="00CC1887"/>
    <w:rsid w:val="00CC3493"/>
    <w:rsid w:val="00CC39AF"/>
    <w:rsid w:val="00CC3D30"/>
    <w:rsid w:val="00CC40D1"/>
    <w:rsid w:val="00CC4331"/>
    <w:rsid w:val="00CC52FA"/>
    <w:rsid w:val="00CC53D5"/>
    <w:rsid w:val="00CC56B2"/>
    <w:rsid w:val="00CC6896"/>
    <w:rsid w:val="00CC7383"/>
    <w:rsid w:val="00CC7BE3"/>
    <w:rsid w:val="00CD1EA4"/>
    <w:rsid w:val="00CD1EB8"/>
    <w:rsid w:val="00CD2C95"/>
    <w:rsid w:val="00CD3B46"/>
    <w:rsid w:val="00CD43CB"/>
    <w:rsid w:val="00CD5F03"/>
    <w:rsid w:val="00CD5FCE"/>
    <w:rsid w:val="00CD6A92"/>
    <w:rsid w:val="00CE00F3"/>
    <w:rsid w:val="00CE08D6"/>
    <w:rsid w:val="00CE0AD5"/>
    <w:rsid w:val="00CE14CF"/>
    <w:rsid w:val="00CE24B5"/>
    <w:rsid w:val="00CE2731"/>
    <w:rsid w:val="00CE2846"/>
    <w:rsid w:val="00CE308D"/>
    <w:rsid w:val="00CE3283"/>
    <w:rsid w:val="00CE3BA6"/>
    <w:rsid w:val="00CE4101"/>
    <w:rsid w:val="00CE415F"/>
    <w:rsid w:val="00CE4504"/>
    <w:rsid w:val="00CE53F6"/>
    <w:rsid w:val="00CE56E4"/>
    <w:rsid w:val="00CE598F"/>
    <w:rsid w:val="00CE77BF"/>
    <w:rsid w:val="00CE7EF8"/>
    <w:rsid w:val="00CF0027"/>
    <w:rsid w:val="00CF0137"/>
    <w:rsid w:val="00CF0555"/>
    <w:rsid w:val="00CF0BAB"/>
    <w:rsid w:val="00CF224A"/>
    <w:rsid w:val="00CF2DA7"/>
    <w:rsid w:val="00CF390A"/>
    <w:rsid w:val="00CF462A"/>
    <w:rsid w:val="00CF47FD"/>
    <w:rsid w:val="00CF51EC"/>
    <w:rsid w:val="00CF5D65"/>
    <w:rsid w:val="00CF600C"/>
    <w:rsid w:val="00CF63CB"/>
    <w:rsid w:val="00CF6A20"/>
    <w:rsid w:val="00CF72A1"/>
    <w:rsid w:val="00CF7D9F"/>
    <w:rsid w:val="00D00F19"/>
    <w:rsid w:val="00D010FF"/>
    <w:rsid w:val="00D02C4B"/>
    <w:rsid w:val="00D02D01"/>
    <w:rsid w:val="00D02E65"/>
    <w:rsid w:val="00D03555"/>
    <w:rsid w:val="00D0392F"/>
    <w:rsid w:val="00D040DD"/>
    <w:rsid w:val="00D04381"/>
    <w:rsid w:val="00D045D0"/>
    <w:rsid w:val="00D04839"/>
    <w:rsid w:val="00D048AF"/>
    <w:rsid w:val="00D05CBC"/>
    <w:rsid w:val="00D05F2C"/>
    <w:rsid w:val="00D06ABA"/>
    <w:rsid w:val="00D10FA7"/>
    <w:rsid w:val="00D11246"/>
    <w:rsid w:val="00D1146A"/>
    <w:rsid w:val="00D11560"/>
    <w:rsid w:val="00D13C77"/>
    <w:rsid w:val="00D1430D"/>
    <w:rsid w:val="00D146E8"/>
    <w:rsid w:val="00D17E91"/>
    <w:rsid w:val="00D20B8E"/>
    <w:rsid w:val="00D20C71"/>
    <w:rsid w:val="00D21613"/>
    <w:rsid w:val="00D218F2"/>
    <w:rsid w:val="00D21CFE"/>
    <w:rsid w:val="00D22511"/>
    <w:rsid w:val="00D22E4C"/>
    <w:rsid w:val="00D234F5"/>
    <w:rsid w:val="00D24532"/>
    <w:rsid w:val="00D24AE3"/>
    <w:rsid w:val="00D24E55"/>
    <w:rsid w:val="00D25814"/>
    <w:rsid w:val="00D25946"/>
    <w:rsid w:val="00D267E2"/>
    <w:rsid w:val="00D269E0"/>
    <w:rsid w:val="00D26F9E"/>
    <w:rsid w:val="00D27218"/>
    <w:rsid w:val="00D2751F"/>
    <w:rsid w:val="00D27CCE"/>
    <w:rsid w:val="00D27D15"/>
    <w:rsid w:val="00D30698"/>
    <w:rsid w:val="00D316BB"/>
    <w:rsid w:val="00D316EF"/>
    <w:rsid w:val="00D31B66"/>
    <w:rsid w:val="00D31E66"/>
    <w:rsid w:val="00D32157"/>
    <w:rsid w:val="00D32602"/>
    <w:rsid w:val="00D3282C"/>
    <w:rsid w:val="00D32A5F"/>
    <w:rsid w:val="00D33388"/>
    <w:rsid w:val="00D338DA"/>
    <w:rsid w:val="00D34E21"/>
    <w:rsid w:val="00D355F0"/>
    <w:rsid w:val="00D358C6"/>
    <w:rsid w:val="00D35C7A"/>
    <w:rsid w:val="00D3643E"/>
    <w:rsid w:val="00D36755"/>
    <w:rsid w:val="00D36AF6"/>
    <w:rsid w:val="00D36B56"/>
    <w:rsid w:val="00D40F24"/>
    <w:rsid w:val="00D41754"/>
    <w:rsid w:val="00D418D5"/>
    <w:rsid w:val="00D41AEF"/>
    <w:rsid w:val="00D41AF1"/>
    <w:rsid w:val="00D424DE"/>
    <w:rsid w:val="00D42693"/>
    <w:rsid w:val="00D42C33"/>
    <w:rsid w:val="00D43CF4"/>
    <w:rsid w:val="00D45574"/>
    <w:rsid w:val="00D45F16"/>
    <w:rsid w:val="00D46EE4"/>
    <w:rsid w:val="00D46F5F"/>
    <w:rsid w:val="00D4780B"/>
    <w:rsid w:val="00D47DCB"/>
    <w:rsid w:val="00D50475"/>
    <w:rsid w:val="00D507BE"/>
    <w:rsid w:val="00D50B72"/>
    <w:rsid w:val="00D515BC"/>
    <w:rsid w:val="00D515C9"/>
    <w:rsid w:val="00D51E6B"/>
    <w:rsid w:val="00D51EA7"/>
    <w:rsid w:val="00D52355"/>
    <w:rsid w:val="00D5418F"/>
    <w:rsid w:val="00D54C44"/>
    <w:rsid w:val="00D5555C"/>
    <w:rsid w:val="00D55656"/>
    <w:rsid w:val="00D56A23"/>
    <w:rsid w:val="00D56DE9"/>
    <w:rsid w:val="00D57021"/>
    <w:rsid w:val="00D57EE6"/>
    <w:rsid w:val="00D6000F"/>
    <w:rsid w:val="00D60E57"/>
    <w:rsid w:val="00D613CB"/>
    <w:rsid w:val="00D6275B"/>
    <w:rsid w:val="00D62A99"/>
    <w:rsid w:val="00D64451"/>
    <w:rsid w:val="00D644E2"/>
    <w:rsid w:val="00D654DC"/>
    <w:rsid w:val="00D65603"/>
    <w:rsid w:val="00D66CCF"/>
    <w:rsid w:val="00D67011"/>
    <w:rsid w:val="00D672A9"/>
    <w:rsid w:val="00D672B5"/>
    <w:rsid w:val="00D67670"/>
    <w:rsid w:val="00D6788F"/>
    <w:rsid w:val="00D67910"/>
    <w:rsid w:val="00D67F43"/>
    <w:rsid w:val="00D7025D"/>
    <w:rsid w:val="00D7030C"/>
    <w:rsid w:val="00D70357"/>
    <w:rsid w:val="00D71318"/>
    <w:rsid w:val="00D7198E"/>
    <w:rsid w:val="00D71C8B"/>
    <w:rsid w:val="00D722FD"/>
    <w:rsid w:val="00D72638"/>
    <w:rsid w:val="00D72C5F"/>
    <w:rsid w:val="00D72C81"/>
    <w:rsid w:val="00D72D65"/>
    <w:rsid w:val="00D72E21"/>
    <w:rsid w:val="00D73131"/>
    <w:rsid w:val="00D7320C"/>
    <w:rsid w:val="00D73536"/>
    <w:rsid w:val="00D73A93"/>
    <w:rsid w:val="00D740F1"/>
    <w:rsid w:val="00D7448A"/>
    <w:rsid w:val="00D74C64"/>
    <w:rsid w:val="00D74F7F"/>
    <w:rsid w:val="00D75128"/>
    <w:rsid w:val="00D76098"/>
    <w:rsid w:val="00D76E1F"/>
    <w:rsid w:val="00D76E2C"/>
    <w:rsid w:val="00D77E6A"/>
    <w:rsid w:val="00D8110A"/>
    <w:rsid w:val="00D81FA6"/>
    <w:rsid w:val="00D8256A"/>
    <w:rsid w:val="00D83753"/>
    <w:rsid w:val="00D83F55"/>
    <w:rsid w:val="00D85D62"/>
    <w:rsid w:val="00D85F9E"/>
    <w:rsid w:val="00D86D4C"/>
    <w:rsid w:val="00D87A8C"/>
    <w:rsid w:val="00D87C69"/>
    <w:rsid w:val="00D87E8E"/>
    <w:rsid w:val="00D87F26"/>
    <w:rsid w:val="00D90817"/>
    <w:rsid w:val="00D90BEC"/>
    <w:rsid w:val="00D91C28"/>
    <w:rsid w:val="00D91C65"/>
    <w:rsid w:val="00D91D14"/>
    <w:rsid w:val="00D92675"/>
    <w:rsid w:val="00D9313A"/>
    <w:rsid w:val="00D9320F"/>
    <w:rsid w:val="00D9321F"/>
    <w:rsid w:val="00D94983"/>
    <w:rsid w:val="00D94B8F"/>
    <w:rsid w:val="00D956B6"/>
    <w:rsid w:val="00D9588A"/>
    <w:rsid w:val="00D95A80"/>
    <w:rsid w:val="00D95E42"/>
    <w:rsid w:val="00D96588"/>
    <w:rsid w:val="00D9797A"/>
    <w:rsid w:val="00DA0014"/>
    <w:rsid w:val="00DA043A"/>
    <w:rsid w:val="00DA343E"/>
    <w:rsid w:val="00DA3477"/>
    <w:rsid w:val="00DA3C1D"/>
    <w:rsid w:val="00DA440D"/>
    <w:rsid w:val="00DA4844"/>
    <w:rsid w:val="00DA5013"/>
    <w:rsid w:val="00DA6EF6"/>
    <w:rsid w:val="00DA7501"/>
    <w:rsid w:val="00DA7822"/>
    <w:rsid w:val="00DB08A1"/>
    <w:rsid w:val="00DB0B09"/>
    <w:rsid w:val="00DB121B"/>
    <w:rsid w:val="00DB192A"/>
    <w:rsid w:val="00DB217C"/>
    <w:rsid w:val="00DB33F3"/>
    <w:rsid w:val="00DB3811"/>
    <w:rsid w:val="00DB3C3F"/>
    <w:rsid w:val="00DB3CE2"/>
    <w:rsid w:val="00DB4A23"/>
    <w:rsid w:val="00DB55CC"/>
    <w:rsid w:val="00DB5F1F"/>
    <w:rsid w:val="00DB63C1"/>
    <w:rsid w:val="00DB6452"/>
    <w:rsid w:val="00DB6782"/>
    <w:rsid w:val="00DC02CB"/>
    <w:rsid w:val="00DC08A4"/>
    <w:rsid w:val="00DC1338"/>
    <w:rsid w:val="00DC1D1D"/>
    <w:rsid w:val="00DC1FE0"/>
    <w:rsid w:val="00DC27A2"/>
    <w:rsid w:val="00DC2914"/>
    <w:rsid w:val="00DC37A8"/>
    <w:rsid w:val="00DC3A8A"/>
    <w:rsid w:val="00DC3CFF"/>
    <w:rsid w:val="00DC4158"/>
    <w:rsid w:val="00DC5B3B"/>
    <w:rsid w:val="00DC67CB"/>
    <w:rsid w:val="00DC698A"/>
    <w:rsid w:val="00DC6DF6"/>
    <w:rsid w:val="00DC784D"/>
    <w:rsid w:val="00DD0290"/>
    <w:rsid w:val="00DD1820"/>
    <w:rsid w:val="00DD1ADC"/>
    <w:rsid w:val="00DD26FF"/>
    <w:rsid w:val="00DD319B"/>
    <w:rsid w:val="00DD43FE"/>
    <w:rsid w:val="00DD49EA"/>
    <w:rsid w:val="00DD56C3"/>
    <w:rsid w:val="00DD7300"/>
    <w:rsid w:val="00DE01C1"/>
    <w:rsid w:val="00DE0583"/>
    <w:rsid w:val="00DE0CF4"/>
    <w:rsid w:val="00DE1008"/>
    <w:rsid w:val="00DE25A4"/>
    <w:rsid w:val="00DE25AE"/>
    <w:rsid w:val="00DE349B"/>
    <w:rsid w:val="00DE38CF"/>
    <w:rsid w:val="00DE3AD5"/>
    <w:rsid w:val="00DE3B56"/>
    <w:rsid w:val="00DE3FC2"/>
    <w:rsid w:val="00DE4519"/>
    <w:rsid w:val="00DE4A74"/>
    <w:rsid w:val="00DE5E80"/>
    <w:rsid w:val="00DE5EC9"/>
    <w:rsid w:val="00DE6696"/>
    <w:rsid w:val="00DE7E9F"/>
    <w:rsid w:val="00DF0548"/>
    <w:rsid w:val="00DF10E8"/>
    <w:rsid w:val="00DF11D8"/>
    <w:rsid w:val="00DF1398"/>
    <w:rsid w:val="00DF1EBA"/>
    <w:rsid w:val="00DF20A3"/>
    <w:rsid w:val="00DF213B"/>
    <w:rsid w:val="00DF25B2"/>
    <w:rsid w:val="00DF29A0"/>
    <w:rsid w:val="00DF2CD8"/>
    <w:rsid w:val="00DF2F8C"/>
    <w:rsid w:val="00DF33F0"/>
    <w:rsid w:val="00DF372F"/>
    <w:rsid w:val="00DF38DC"/>
    <w:rsid w:val="00DF3F1A"/>
    <w:rsid w:val="00DF45F2"/>
    <w:rsid w:val="00DF482B"/>
    <w:rsid w:val="00DF4CB8"/>
    <w:rsid w:val="00DF53E1"/>
    <w:rsid w:val="00DF5CF2"/>
    <w:rsid w:val="00DF5D0F"/>
    <w:rsid w:val="00DF6334"/>
    <w:rsid w:val="00DF683A"/>
    <w:rsid w:val="00DF6D95"/>
    <w:rsid w:val="00DF7B1F"/>
    <w:rsid w:val="00E006FC"/>
    <w:rsid w:val="00E01C0E"/>
    <w:rsid w:val="00E023FA"/>
    <w:rsid w:val="00E02E42"/>
    <w:rsid w:val="00E03826"/>
    <w:rsid w:val="00E0386D"/>
    <w:rsid w:val="00E03E4C"/>
    <w:rsid w:val="00E04694"/>
    <w:rsid w:val="00E04E69"/>
    <w:rsid w:val="00E058AC"/>
    <w:rsid w:val="00E05B49"/>
    <w:rsid w:val="00E05C11"/>
    <w:rsid w:val="00E05CD9"/>
    <w:rsid w:val="00E061EE"/>
    <w:rsid w:val="00E06BAF"/>
    <w:rsid w:val="00E0715B"/>
    <w:rsid w:val="00E076DE"/>
    <w:rsid w:val="00E077D6"/>
    <w:rsid w:val="00E07C43"/>
    <w:rsid w:val="00E07E5C"/>
    <w:rsid w:val="00E07EEF"/>
    <w:rsid w:val="00E106F6"/>
    <w:rsid w:val="00E1187E"/>
    <w:rsid w:val="00E11919"/>
    <w:rsid w:val="00E11A6B"/>
    <w:rsid w:val="00E126EA"/>
    <w:rsid w:val="00E12D30"/>
    <w:rsid w:val="00E12E8B"/>
    <w:rsid w:val="00E13C79"/>
    <w:rsid w:val="00E1419F"/>
    <w:rsid w:val="00E14242"/>
    <w:rsid w:val="00E1486C"/>
    <w:rsid w:val="00E15779"/>
    <w:rsid w:val="00E158E3"/>
    <w:rsid w:val="00E161F0"/>
    <w:rsid w:val="00E170DD"/>
    <w:rsid w:val="00E17535"/>
    <w:rsid w:val="00E17624"/>
    <w:rsid w:val="00E17709"/>
    <w:rsid w:val="00E177BB"/>
    <w:rsid w:val="00E2006C"/>
    <w:rsid w:val="00E203F4"/>
    <w:rsid w:val="00E20999"/>
    <w:rsid w:val="00E21405"/>
    <w:rsid w:val="00E22100"/>
    <w:rsid w:val="00E22211"/>
    <w:rsid w:val="00E23138"/>
    <w:rsid w:val="00E2338A"/>
    <w:rsid w:val="00E235DA"/>
    <w:rsid w:val="00E23AED"/>
    <w:rsid w:val="00E24232"/>
    <w:rsid w:val="00E257CE"/>
    <w:rsid w:val="00E25875"/>
    <w:rsid w:val="00E25DE3"/>
    <w:rsid w:val="00E266C0"/>
    <w:rsid w:val="00E2686C"/>
    <w:rsid w:val="00E26BD6"/>
    <w:rsid w:val="00E27604"/>
    <w:rsid w:val="00E27CCB"/>
    <w:rsid w:val="00E27E45"/>
    <w:rsid w:val="00E300E9"/>
    <w:rsid w:val="00E30576"/>
    <w:rsid w:val="00E30C67"/>
    <w:rsid w:val="00E30F7E"/>
    <w:rsid w:val="00E31D5E"/>
    <w:rsid w:val="00E3226E"/>
    <w:rsid w:val="00E32358"/>
    <w:rsid w:val="00E331F9"/>
    <w:rsid w:val="00E3331F"/>
    <w:rsid w:val="00E33EAE"/>
    <w:rsid w:val="00E340F9"/>
    <w:rsid w:val="00E356DC"/>
    <w:rsid w:val="00E357C8"/>
    <w:rsid w:val="00E36668"/>
    <w:rsid w:val="00E378AB"/>
    <w:rsid w:val="00E37E22"/>
    <w:rsid w:val="00E41018"/>
    <w:rsid w:val="00E417F5"/>
    <w:rsid w:val="00E41ADA"/>
    <w:rsid w:val="00E42577"/>
    <w:rsid w:val="00E4343A"/>
    <w:rsid w:val="00E4463C"/>
    <w:rsid w:val="00E44790"/>
    <w:rsid w:val="00E448D6"/>
    <w:rsid w:val="00E448FE"/>
    <w:rsid w:val="00E452C6"/>
    <w:rsid w:val="00E4734A"/>
    <w:rsid w:val="00E4796A"/>
    <w:rsid w:val="00E47F4A"/>
    <w:rsid w:val="00E5027D"/>
    <w:rsid w:val="00E504C3"/>
    <w:rsid w:val="00E50680"/>
    <w:rsid w:val="00E50CCB"/>
    <w:rsid w:val="00E51222"/>
    <w:rsid w:val="00E51F58"/>
    <w:rsid w:val="00E527E6"/>
    <w:rsid w:val="00E53275"/>
    <w:rsid w:val="00E5387D"/>
    <w:rsid w:val="00E549E3"/>
    <w:rsid w:val="00E55662"/>
    <w:rsid w:val="00E55854"/>
    <w:rsid w:val="00E568B5"/>
    <w:rsid w:val="00E56A9D"/>
    <w:rsid w:val="00E572E7"/>
    <w:rsid w:val="00E57599"/>
    <w:rsid w:val="00E5766A"/>
    <w:rsid w:val="00E578D8"/>
    <w:rsid w:val="00E57EE1"/>
    <w:rsid w:val="00E60142"/>
    <w:rsid w:val="00E6039F"/>
    <w:rsid w:val="00E605BF"/>
    <w:rsid w:val="00E6084F"/>
    <w:rsid w:val="00E608AE"/>
    <w:rsid w:val="00E6176C"/>
    <w:rsid w:val="00E61EDF"/>
    <w:rsid w:val="00E62AD2"/>
    <w:rsid w:val="00E6375D"/>
    <w:rsid w:val="00E6382B"/>
    <w:rsid w:val="00E645F1"/>
    <w:rsid w:val="00E67CC2"/>
    <w:rsid w:val="00E67DC3"/>
    <w:rsid w:val="00E7033C"/>
    <w:rsid w:val="00E70E16"/>
    <w:rsid w:val="00E70ED1"/>
    <w:rsid w:val="00E71A58"/>
    <w:rsid w:val="00E72A15"/>
    <w:rsid w:val="00E7339F"/>
    <w:rsid w:val="00E7371B"/>
    <w:rsid w:val="00E73C68"/>
    <w:rsid w:val="00E743CE"/>
    <w:rsid w:val="00E74422"/>
    <w:rsid w:val="00E74F8C"/>
    <w:rsid w:val="00E7515E"/>
    <w:rsid w:val="00E76203"/>
    <w:rsid w:val="00E77335"/>
    <w:rsid w:val="00E774CD"/>
    <w:rsid w:val="00E8090A"/>
    <w:rsid w:val="00E81C3B"/>
    <w:rsid w:val="00E81E1F"/>
    <w:rsid w:val="00E82D69"/>
    <w:rsid w:val="00E83246"/>
    <w:rsid w:val="00E836BF"/>
    <w:rsid w:val="00E839A9"/>
    <w:rsid w:val="00E83E99"/>
    <w:rsid w:val="00E84101"/>
    <w:rsid w:val="00E84970"/>
    <w:rsid w:val="00E85053"/>
    <w:rsid w:val="00E860DB"/>
    <w:rsid w:val="00E86361"/>
    <w:rsid w:val="00E86604"/>
    <w:rsid w:val="00E868DA"/>
    <w:rsid w:val="00E86C04"/>
    <w:rsid w:val="00E878A4"/>
    <w:rsid w:val="00E90788"/>
    <w:rsid w:val="00E90A26"/>
    <w:rsid w:val="00E90EB8"/>
    <w:rsid w:val="00E90FC9"/>
    <w:rsid w:val="00E9169A"/>
    <w:rsid w:val="00E91769"/>
    <w:rsid w:val="00E91A44"/>
    <w:rsid w:val="00E926B1"/>
    <w:rsid w:val="00E9378E"/>
    <w:rsid w:val="00E93909"/>
    <w:rsid w:val="00E93AE0"/>
    <w:rsid w:val="00E942A8"/>
    <w:rsid w:val="00E9466F"/>
    <w:rsid w:val="00E956A6"/>
    <w:rsid w:val="00E95EF9"/>
    <w:rsid w:val="00E96046"/>
    <w:rsid w:val="00E96515"/>
    <w:rsid w:val="00E96735"/>
    <w:rsid w:val="00E97C25"/>
    <w:rsid w:val="00E97D13"/>
    <w:rsid w:val="00E97DEF"/>
    <w:rsid w:val="00EA00A2"/>
    <w:rsid w:val="00EA0C68"/>
    <w:rsid w:val="00EA152C"/>
    <w:rsid w:val="00EA3028"/>
    <w:rsid w:val="00EA3065"/>
    <w:rsid w:val="00EA357B"/>
    <w:rsid w:val="00EA3AE2"/>
    <w:rsid w:val="00EA4AEE"/>
    <w:rsid w:val="00EA59D1"/>
    <w:rsid w:val="00EA5ABB"/>
    <w:rsid w:val="00EA5C9B"/>
    <w:rsid w:val="00EA682A"/>
    <w:rsid w:val="00EA6B7C"/>
    <w:rsid w:val="00EA781F"/>
    <w:rsid w:val="00EA7BE0"/>
    <w:rsid w:val="00EA7E13"/>
    <w:rsid w:val="00EB0339"/>
    <w:rsid w:val="00EB041A"/>
    <w:rsid w:val="00EB0F76"/>
    <w:rsid w:val="00EB1980"/>
    <w:rsid w:val="00EB1CE5"/>
    <w:rsid w:val="00EB1CF6"/>
    <w:rsid w:val="00EB3283"/>
    <w:rsid w:val="00EB4236"/>
    <w:rsid w:val="00EB563D"/>
    <w:rsid w:val="00EB5A3F"/>
    <w:rsid w:val="00EB61E0"/>
    <w:rsid w:val="00EB74A4"/>
    <w:rsid w:val="00EB7F5D"/>
    <w:rsid w:val="00EC0259"/>
    <w:rsid w:val="00EC04E4"/>
    <w:rsid w:val="00EC0DCE"/>
    <w:rsid w:val="00EC15F8"/>
    <w:rsid w:val="00EC3108"/>
    <w:rsid w:val="00EC3A88"/>
    <w:rsid w:val="00EC4790"/>
    <w:rsid w:val="00EC51F6"/>
    <w:rsid w:val="00EC5C30"/>
    <w:rsid w:val="00EC5D6C"/>
    <w:rsid w:val="00ED0410"/>
    <w:rsid w:val="00ED0646"/>
    <w:rsid w:val="00ED0D88"/>
    <w:rsid w:val="00ED171B"/>
    <w:rsid w:val="00ED1A01"/>
    <w:rsid w:val="00ED2197"/>
    <w:rsid w:val="00ED38EF"/>
    <w:rsid w:val="00ED3DF9"/>
    <w:rsid w:val="00ED47AF"/>
    <w:rsid w:val="00ED47CE"/>
    <w:rsid w:val="00ED48F5"/>
    <w:rsid w:val="00ED5438"/>
    <w:rsid w:val="00ED5C49"/>
    <w:rsid w:val="00ED6076"/>
    <w:rsid w:val="00ED66D8"/>
    <w:rsid w:val="00ED7B6C"/>
    <w:rsid w:val="00ED7D19"/>
    <w:rsid w:val="00EE01F9"/>
    <w:rsid w:val="00EE0758"/>
    <w:rsid w:val="00EE0F63"/>
    <w:rsid w:val="00EE14BA"/>
    <w:rsid w:val="00EE15DA"/>
    <w:rsid w:val="00EE18C8"/>
    <w:rsid w:val="00EE19D4"/>
    <w:rsid w:val="00EE31AF"/>
    <w:rsid w:val="00EE3668"/>
    <w:rsid w:val="00EE3B2D"/>
    <w:rsid w:val="00EE3E78"/>
    <w:rsid w:val="00EE46B8"/>
    <w:rsid w:val="00EE4BE6"/>
    <w:rsid w:val="00EE52FC"/>
    <w:rsid w:val="00EE59C6"/>
    <w:rsid w:val="00EE5A03"/>
    <w:rsid w:val="00EE70BE"/>
    <w:rsid w:val="00EE7964"/>
    <w:rsid w:val="00EF00AA"/>
    <w:rsid w:val="00EF0F1E"/>
    <w:rsid w:val="00EF19A3"/>
    <w:rsid w:val="00EF1F5A"/>
    <w:rsid w:val="00EF242C"/>
    <w:rsid w:val="00EF2B34"/>
    <w:rsid w:val="00EF3A62"/>
    <w:rsid w:val="00EF472B"/>
    <w:rsid w:val="00EF58F3"/>
    <w:rsid w:val="00EF5E53"/>
    <w:rsid w:val="00EF645E"/>
    <w:rsid w:val="00EF66EC"/>
    <w:rsid w:val="00EF67EC"/>
    <w:rsid w:val="00EF7C40"/>
    <w:rsid w:val="00F007A2"/>
    <w:rsid w:val="00F01025"/>
    <w:rsid w:val="00F01F49"/>
    <w:rsid w:val="00F0200A"/>
    <w:rsid w:val="00F02B3F"/>
    <w:rsid w:val="00F03ED5"/>
    <w:rsid w:val="00F04227"/>
    <w:rsid w:val="00F0434B"/>
    <w:rsid w:val="00F04811"/>
    <w:rsid w:val="00F0488C"/>
    <w:rsid w:val="00F04FA9"/>
    <w:rsid w:val="00F056D2"/>
    <w:rsid w:val="00F06F4A"/>
    <w:rsid w:val="00F10454"/>
    <w:rsid w:val="00F10BC7"/>
    <w:rsid w:val="00F111AC"/>
    <w:rsid w:val="00F11CF4"/>
    <w:rsid w:val="00F11F1D"/>
    <w:rsid w:val="00F11FB6"/>
    <w:rsid w:val="00F1224F"/>
    <w:rsid w:val="00F12B9A"/>
    <w:rsid w:val="00F13E2C"/>
    <w:rsid w:val="00F1491D"/>
    <w:rsid w:val="00F14C04"/>
    <w:rsid w:val="00F15118"/>
    <w:rsid w:val="00F15524"/>
    <w:rsid w:val="00F15BEF"/>
    <w:rsid w:val="00F161B0"/>
    <w:rsid w:val="00F16E5D"/>
    <w:rsid w:val="00F17053"/>
    <w:rsid w:val="00F20947"/>
    <w:rsid w:val="00F20C3E"/>
    <w:rsid w:val="00F21717"/>
    <w:rsid w:val="00F22085"/>
    <w:rsid w:val="00F2270F"/>
    <w:rsid w:val="00F2286E"/>
    <w:rsid w:val="00F22E88"/>
    <w:rsid w:val="00F22E95"/>
    <w:rsid w:val="00F2363E"/>
    <w:rsid w:val="00F23A13"/>
    <w:rsid w:val="00F23B29"/>
    <w:rsid w:val="00F2475D"/>
    <w:rsid w:val="00F24FAA"/>
    <w:rsid w:val="00F2570D"/>
    <w:rsid w:val="00F25F70"/>
    <w:rsid w:val="00F26446"/>
    <w:rsid w:val="00F26A1E"/>
    <w:rsid w:val="00F279B9"/>
    <w:rsid w:val="00F30D8A"/>
    <w:rsid w:val="00F30DDC"/>
    <w:rsid w:val="00F31444"/>
    <w:rsid w:val="00F326AB"/>
    <w:rsid w:val="00F3364D"/>
    <w:rsid w:val="00F34BCA"/>
    <w:rsid w:val="00F35998"/>
    <w:rsid w:val="00F35B76"/>
    <w:rsid w:val="00F36022"/>
    <w:rsid w:val="00F3614B"/>
    <w:rsid w:val="00F36C53"/>
    <w:rsid w:val="00F37371"/>
    <w:rsid w:val="00F40065"/>
    <w:rsid w:val="00F4024A"/>
    <w:rsid w:val="00F408FA"/>
    <w:rsid w:val="00F40DE5"/>
    <w:rsid w:val="00F4122C"/>
    <w:rsid w:val="00F413C7"/>
    <w:rsid w:val="00F4171E"/>
    <w:rsid w:val="00F421F8"/>
    <w:rsid w:val="00F42349"/>
    <w:rsid w:val="00F4270C"/>
    <w:rsid w:val="00F42776"/>
    <w:rsid w:val="00F428B6"/>
    <w:rsid w:val="00F42971"/>
    <w:rsid w:val="00F43141"/>
    <w:rsid w:val="00F436E5"/>
    <w:rsid w:val="00F437B7"/>
    <w:rsid w:val="00F43EEB"/>
    <w:rsid w:val="00F451B7"/>
    <w:rsid w:val="00F4592E"/>
    <w:rsid w:val="00F46103"/>
    <w:rsid w:val="00F463E6"/>
    <w:rsid w:val="00F46606"/>
    <w:rsid w:val="00F46AE0"/>
    <w:rsid w:val="00F4728B"/>
    <w:rsid w:val="00F478FF"/>
    <w:rsid w:val="00F502E5"/>
    <w:rsid w:val="00F50352"/>
    <w:rsid w:val="00F504EA"/>
    <w:rsid w:val="00F50F6D"/>
    <w:rsid w:val="00F52B42"/>
    <w:rsid w:val="00F52FA3"/>
    <w:rsid w:val="00F531AC"/>
    <w:rsid w:val="00F532C7"/>
    <w:rsid w:val="00F536F9"/>
    <w:rsid w:val="00F53BD4"/>
    <w:rsid w:val="00F53FD3"/>
    <w:rsid w:val="00F540E4"/>
    <w:rsid w:val="00F550E1"/>
    <w:rsid w:val="00F553C2"/>
    <w:rsid w:val="00F55CC4"/>
    <w:rsid w:val="00F5744D"/>
    <w:rsid w:val="00F578EF"/>
    <w:rsid w:val="00F602B9"/>
    <w:rsid w:val="00F6053C"/>
    <w:rsid w:val="00F60D2B"/>
    <w:rsid w:val="00F61A55"/>
    <w:rsid w:val="00F61CC7"/>
    <w:rsid w:val="00F624DF"/>
    <w:rsid w:val="00F629CC"/>
    <w:rsid w:val="00F62ADC"/>
    <w:rsid w:val="00F62B28"/>
    <w:rsid w:val="00F63783"/>
    <w:rsid w:val="00F638C8"/>
    <w:rsid w:val="00F63DDE"/>
    <w:rsid w:val="00F63FB7"/>
    <w:rsid w:val="00F647F4"/>
    <w:rsid w:val="00F64CCD"/>
    <w:rsid w:val="00F65CF4"/>
    <w:rsid w:val="00F6693A"/>
    <w:rsid w:val="00F70DEF"/>
    <w:rsid w:val="00F70F6E"/>
    <w:rsid w:val="00F70F76"/>
    <w:rsid w:val="00F71114"/>
    <w:rsid w:val="00F728A1"/>
    <w:rsid w:val="00F72D92"/>
    <w:rsid w:val="00F72EE1"/>
    <w:rsid w:val="00F73825"/>
    <w:rsid w:val="00F73A0C"/>
    <w:rsid w:val="00F75ABF"/>
    <w:rsid w:val="00F772E1"/>
    <w:rsid w:val="00F77436"/>
    <w:rsid w:val="00F77B28"/>
    <w:rsid w:val="00F801C6"/>
    <w:rsid w:val="00F80F7B"/>
    <w:rsid w:val="00F81435"/>
    <w:rsid w:val="00F81CB0"/>
    <w:rsid w:val="00F825BE"/>
    <w:rsid w:val="00F831FB"/>
    <w:rsid w:val="00F83C23"/>
    <w:rsid w:val="00F84AD0"/>
    <w:rsid w:val="00F850DF"/>
    <w:rsid w:val="00F85E63"/>
    <w:rsid w:val="00F86068"/>
    <w:rsid w:val="00F870B4"/>
    <w:rsid w:val="00F875E0"/>
    <w:rsid w:val="00F8791C"/>
    <w:rsid w:val="00F90AD7"/>
    <w:rsid w:val="00F917D2"/>
    <w:rsid w:val="00F91B9A"/>
    <w:rsid w:val="00F922A4"/>
    <w:rsid w:val="00F92525"/>
    <w:rsid w:val="00F92858"/>
    <w:rsid w:val="00F94952"/>
    <w:rsid w:val="00F95342"/>
    <w:rsid w:val="00F96331"/>
    <w:rsid w:val="00F96B12"/>
    <w:rsid w:val="00F96C06"/>
    <w:rsid w:val="00F974DF"/>
    <w:rsid w:val="00FA34C6"/>
    <w:rsid w:val="00FA3F57"/>
    <w:rsid w:val="00FA409B"/>
    <w:rsid w:val="00FA4137"/>
    <w:rsid w:val="00FA457D"/>
    <w:rsid w:val="00FA4C51"/>
    <w:rsid w:val="00FA4D1E"/>
    <w:rsid w:val="00FA564F"/>
    <w:rsid w:val="00FA5FDF"/>
    <w:rsid w:val="00FA6380"/>
    <w:rsid w:val="00FB0324"/>
    <w:rsid w:val="00FB1007"/>
    <w:rsid w:val="00FB1379"/>
    <w:rsid w:val="00FB259D"/>
    <w:rsid w:val="00FB2B28"/>
    <w:rsid w:val="00FB3236"/>
    <w:rsid w:val="00FB3A68"/>
    <w:rsid w:val="00FB45E6"/>
    <w:rsid w:val="00FB4E14"/>
    <w:rsid w:val="00FB57C8"/>
    <w:rsid w:val="00FB5C16"/>
    <w:rsid w:val="00FB7645"/>
    <w:rsid w:val="00FB7E0A"/>
    <w:rsid w:val="00FC005F"/>
    <w:rsid w:val="00FC075C"/>
    <w:rsid w:val="00FC0E5F"/>
    <w:rsid w:val="00FC11A6"/>
    <w:rsid w:val="00FC15DA"/>
    <w:rsid w:val="00FC2DA5"/>
    <w:rsid w:val="00FC3396"/>
    <w:rsid w:val="00FC3657"/>
    <w:rsid w:val="00FC3922"/>
    <w:rsid w:val="00FC3EA3"/>
    <w:rsid w:val="00FC47B4"/>
    <w:rsid w:val="00FC56DE"/>
    <w:rsid w:val="00FC58DB"/>
    <w:rsid w:val="00FD0158"/>
    <w:rsid w:val="00FD0F83"/>
    <w:rsid w:val="00FD141D"/>
    <w:rsid w:val="00FD1FA7"/>
    <w:rsid w:val="00FD27A6"/>
    <w:rsid w:val="00FD2941"/>
    <w:rsid w:val="00FD2946"/>
    <w:rsid w:val="00FD3421"/>
    <w:rsid w:val="00FD364E"/>
    <w:rsid w:val="00FD3859"/>
    <w:rsid w:val="00FD3A0E"/>
    <w:rsid w:val="00FD457F"/>
    <w:rsid w:val="00FD4884"/>
    <w:rsid w:val="00FD4C55"/>
    <w:rsid w:val="00FD61A3"/>
    <w:rsid w:val="00FD72B0"/>
    <w:rsid w:val="00FD73C6"/>
    <w:rsid w:val="00FD73EC"/>
    <w:rsid w:val="00FD759F"/>
    <w:rsid w:val="00FE026D"/>
    <w:rsid w:val="00FE05E8"/>
    <w:rsid w:val="00FE14FD"/>
    <w:rsid w:val="00FE2310"/>
    <w:rsid w:val="00FE2398"/>
    <w:rsid w:val="00FE2612"/>
    <w:rsid w:val="00FE2B14"/>
    <w:rsid w:val="00FE2F78"/>
    <w:rsid w:val="00FE47AD"/>
    <w:rsid w:val="00FE4D2D"/>
    <w:rsid w:val="00FE50A6"/>
    <w:rsid w:val="00FE6728"/>
    <w:rsid w:val="00FE7501"/>
    <w:rsid w:val="00FE7571"/>
    <w:rsid w:val="00FE7C6F"/>
    <w:rsid w:val="00FF074A"/>
    <w:rsid w:val="00FF0A31"/>
    <w:rsid w:val="00FF1633"/>
    <w:rsid w:val="00FF2B86"/>
    <w:rsid w:val="00FF3BF1"/>
    <w:rsid w:val="00FF4878"/>
    <w:rsid w:val="00FF5580"/>
    <w:rsid w:val="00FF565B"/>
    <w:rsid w:val="00FF73AD"/>
    <w:rsid w:val="00FF77A9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AEB640B"/>
  <w15:docId w15:val="{4905C160-BD5C-4117-8CEB-519BC20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character" w:customStyle="1" w:styleId="st">
    <w:name w:val="st"/>
    <w:basedOn w:val="Standardnpsmoodstavce"/>
    <w:rsid w:val="00BC1FBF"/>
  </w:style>
  <w:style w:type="table" w:styleId="Stednmka3zvraznn5">
    <w:name w:val="Medium Grid 3 Accent 5"/>
    <w:basedOn w:val="Normlntabulka"/>
    <w:uiPriority w:val="60"/>
    <w:rsid w:val="00FD3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F6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F66A0"/>
    <w:rPr>
      <w:rFonts w:ascii="Tahoma" w:eastAsia="Times New Roman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5144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90D47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C728B"/>
    <w:rPr>
      <w:color w:val="808080"/>
      <w:shd w:val="clear" w:color="auto" w:fill="E6E6E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364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image" Target="media/image2.png"/><Relationship Id="rId26" Type="http://schemas.openxmlformats.org/officeDocument/2006/relationships/chart" Target="charts/chart15.xml"/><Relationship Id="rId39" Type="http://schemas.openxmlformats.org/officeDocument/2006/relationships/footer" Target="footer3.xml"/><Relationship Id="rId21" Type="http://schemas.openxmlformats.org/officeDocument/2006/relationships/chart" Target="charts/chart12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29" Type="http://schemas.openxmlformats.org/officeDocument/2006/relationships/chart" Target="charts/chart1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4.png"/><Relationship Id="rId32" Type="http://schemas.openxmlformats.org/officeDocument/2006/relationships/chart" Target="charts/chart21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png"/><Relationship Id="rId28" Type="http://schemas.openxmlformats.org/officeDocument/2006/relationships/chart" Target="charts/chart17.xml"/><Relationship Id="rId36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header" Target="header2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image" Target="media/image1.png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sti/rd-tax-stats.htm" TargetMode="External"/><Relationship Id="rId2" Type="http://schemas.openxmlformats.org/officeDocument/2006/relationships/hyperlink" Target="https://www.czso.cz/csu/czso/hmu_cr" TargetMode="External"/><Relationship Id="rId1" Type="http://schemas.openxmlformats.org/officeDocument/2006/relationships/hyperlink" Target="http://apl.czso.cz/pll/rocenka/rocenka.indexn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2_Statistick&#233;%20&#250;lohy\00_GBOARD\07_Nep&#345;&#237;m&#225;%20podpora%20VaV\05_V&#253;stupy\03_Publikace\npvv2017_21100319\NVPVV17_grafy_19032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2_Statistick&#233;%20&#250;lohy\00_GBOARD\07_Nep&#345;&#237;m&#225;%20podpora%20VaV\05_V&#253;stupy\03_Publikace\npvv2017_21100319\NVPVV17_grafy_190328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2_Statistick&#233;%20&#250;lohy\00_GBOARD\07_Nep&#345;&#237;m&#225;%20podpora%20VaV\05_V&#253;stupy\03_Publikace\npvv2017_21100319\NVPVV17_grafy_190328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19040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19040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ork\_npvv2017_21100319\NVPVV17_grafy_190316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19040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190325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190325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190325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19032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190328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2_Statistick&#233;%20&#250;lohy\00_GBOARD\07_Nep&#345;&#237;m&#225;%20podpora%20VaV\05_V&#253;stupy\03_Publikace\npvv2017_21100319\NVPVV17_grafy_190325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final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Work\_npvv2017_21100319\NVPVV17_grafy_1903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2_Statistick&#233;%20&#250;lohy\00_GBOARD\07_Nep&#345;&#237;m&#225;%20podpora%20VaV\05_V&#253;stupy\03_Publikace\npvv2017_21100319\NVPVV17_grafy_fin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fin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19032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_PRACOVNI\02_Statistick&#233;%20&#250;lohy\00_GBOARD\07_Nep&#345;&#237;m&#225;%20podpora%20VaV\05_V&#253;stupy\03_Publikace\npvv2017_21100319\NVPVV17_grafy_190328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2_Statistick&#233;%20&#250;lohy\00_GBOARD\07_Nep&#345;&#237;m&#225;%20podpora%20VaV\05_V&#253;stupy\03_Publikace\npvv2017_21100319\NVPVV17_grafy_19032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2_Statistick&#233;%20&#250;lohy\00_GBOARD\07_Nep&#345;&#237;m&#225;%20podpora%20VaV\05_V&#253;stupy\03_Publikace\npvv2017_21100319\NVPVV17_grafy_1904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ACOVNI\02_Statistick&#233;%20&#250;lohy\00_GBOARD\07_Nep&#345;&#237;m&#225;%20podpora%20VaV\05_V&#253;stupy\03_Publikace\npvv2017_21100319\NVPVV17_grafy_1904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846072186836521E-2"/>
          <c:y val="0.17208468886522085"/>
          <c:w val="0.8317878324086474"/>
          <c:h val="0.70797091352402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'2019G1'!$A$27</c:f>
              <c:strCache>
                <c:ptCount val="1"/>
                <c:pt idx="0">
                  <c:v>výdaje na VaV (v mil. Kč)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'2019G1'!$B$26:$L$26</c:f>
              <c:numCache>
                <c:formatCode>@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 formatCode="General">
                  <c:v>2017</c:v>
                </c:pt>
              </c:numCache>
            </c:numRef>
          </c:cat>
          <c:val>
            <c:numRef>
              <c:f>'2019G1'!$B$27:$L$27</c:f>
              <c:numCache>
                <c:formatCode>#,##0</c:formatCode>
                <c:ptCount val="11"/>
                <c:pt idx="0">
                  <c:v>27308.927069999998</c:v>
                </c:pt>
                <c:pt idx="1">
                  <c:v>26338.965040000017</c:v>
                </c:pt>
                <c:pt idx="2">
                  <c:v>25927.055720000058</c:v>
                </c:pt>
                <c:pt idx="3">
                  <c:v>27842.911680000008</c:v>
                </c:pt>
                <c:pt idx="4">
                  <c:v>32560.394349999984</c:v>
                </c:pt>
                <c:pt idx="5">
                  <c:v>36801.233039999999</c:v>
                </c:pt>
                <c:pt idx="6">
                  <c:v>39935.677280000062</c:v>
                </c:pt>
                <c:pt idx="7">
                  <c:v>44732.845029999989</c:v>
                </c:pt>
                <c:pt idx="8">
                  <c:v>45893.576100000042</c:v>
                </c:pt>
                <c:pt idx="9">
                  <c:v>46943.269332821459</c:v>
                </c:pt>
                <c:pt idx="10">
                  <c:v>54315.622408767886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C4-4998-941F-0C4A3A1E3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277586304"/>
        <c:axId val="277587840"/>
      </c:barChart>
      <c:lineChart>
        <c:grouping val="standard"/>
        <c:varyColors val="0"/>
        <c:ser>
          <c:idx val="1"/>
          <c:order val="1"/>
          <c:tx>
            <c:strRef>
              <c:f>'2019G1'!$A$28</c:f>
              <c:strCache>
                <c:ptCount val="1"/>
                <c:pt idx="0">
                  <c:v>podíl na celkových výdajích na VaV v ČR (%)</c:v>
                </c:pt>
              </c:strCache>
            </c:strRef>
          </c:tx>
          <c:spPr>
            <a:ln w="28575" cap="rnd" cmpd="sng" algn="ctr">
              <a:solidFill>
                <a:schemeClr val="accent5">
                  <a:tint val="77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9525" cap="flat" cmpd="sng" algn="ctr">
                <a:solidFill>
                  <a:schemeClr val="accent5">
                    <a:tint val="77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'2019G1'!$B$26:$L$26</c:f>
              <c:numCache>
                <c:formatCode>@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 formatCode="General">
                  <c:v>2017</c:v>
                </c:pt>
              </c:numCache>
            </c:numRef>
          </c:cat>
          <c:val>
            <c:numRef>
              <c:f>'2019G1'!$B$28:$L$28</c:f>
              <c:numCache>
                <c:formatCode>0%</c:formatCode>
                <c:ptCount val="11"/>
                <c:pt idx="0">
                  <c:v>0.54608147072227842</c:v>
                </c:pt>
                <c:pt idx="1">
                  <c:v>0.52813155884112883</c:v>
                </c:pt>
                <c:pt idx="2">
                  <c:v>0.50962653321900064</c:v>
                </c:pt>
                <c:pt idx="3">
                  <c:v>0.52560008558366356</c:v>
                </c:pt>
                <c:pt idx="4">
                  <c:v>0.5188626084668988</c:v>
                </c:pt>
                <c:pt idx="5">
                  <c:v>0.50858314969197682</c:v>
                </c:pt>
                <c:pt idx="6">
                  <c:v>0.51296005641771991</c:v>
                </c:pt>
                <c:pt idx="7">
                  <c:v>0.52562276318101187</c:v>
                </c:pt>
                <c:pt idx="8">
                  <c:v>0.51761585376131602</c:v>
                </c:pt>
                <c:pt idx="9">
                  <c:v>0.5859913015399778</c:v>
                </c:pt>
                <c:pt idx="10">
                  <c:v>0.60092943062585669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C4-4998-941F-0C4A3A1E3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271256"/>
        <c:axId val="726864608"/>
      </c:lineChart>
      <c:catAx>
        <c:axId val="277586304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77587840"/>
        <c:crosses val="autoZero"/>
        <c:auto val="1"/>
        <c:lblAlgn val="ctr"/>
        <c:lblOffset val="100"/>
        <c:noMultiLvlLbl val="0"/>
      </c:catAx>
      <c:valAx>
        <c:axId val="27758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75000"/>
                </a:schemeClr>
              </a:solidFill>
              <a:prstDash val="dash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77586304"/>
        <c:crosses val="autoZero"/>
        <c:crossBetween val="between"/>
      </c:valAx>
      <c:valAx>
        <c:axId val="726864608"/>
        <c:scaling>
          <c:orientation val="minMax"/>
          <c:min val="0.4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4271256"/>
        <c:crosses val="max"/>
        <c:crossBetween val="between"/>
      </c:valAx>
      <c:catAx>
        <c:axId val="724271256"/>
        <c:scaling>
          <c:orientation val="minMax"/>
        </c:scaling>
        <c:delete val="1"/>
        <c:axPos val="b"/>
        <c:numFmt formatCode="@" sourceLinked="1"/>
        <c:majorTickMark val="out"/>
        <c:minorTickMark val="none"/>
        <c:tickLblPos val="nextTo"/>
        <c:crossAx val="726864608"/>
        <c:crosses val="autoZero"/>
        <c:auto val="1"/>
        <c:lblAlgn val="ctr"/>
        <c:lblOffset val="100"/>
        <c:noMultiLvlLbl val="0"/>
      </c:cat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900" baseline="0">
          <a:latin typeface="+mn-lt"/>
        </a:defRPr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 sz="800" b="1">
                <a:solidFill>
                  <a:sysClr val="windowText" lastClr="000000"/>
                </a:solidFill>
              </a:rPr>
              <a:t>a) počet podniků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120808411200643"/>
          <c:y val="0.14727756982435936"/>
          <c:w val="0.85209036973272234"/>
          <c:h val="0.621198148148148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'2019G9'!$A$6</c:f>
              <c:strCache>
                <c:ptCount val="1"/>
                <c:pt idx="0">
                  <c:v>domácí podniky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'2019G9'!$B$3:$I$3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'2019G9'!$B$6:$I$6</c:f>
              <c:numCache>
                <c:formatCode>#,##0</c:formatCode>
                <c:ptCount val="8"/>
                <c:pt idx="0">
                  <c:v>512</c:v>
                </c:pt>
                <c:pt idx="1">
                  <c:v>606</c:v>
                </c:pt>
                <c:pt idx="2">
                  <c:v>716</c:v>
                </c:pt>
                <c:pt idx="3">
                  <c:v>796</c:v>
                </c:pt>
                <c:pt idx="4">
                  <c:v>900</c:v>
                </c:pt>
                <c:pt idx="5">
                  <c:v>938</c:v>
                </c:pt>
                <c:pt idx="6">
                  <c:v>889</c:v>
                </c:pt>
                <c:pt idx="7">
                  <c:v>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1A-4B8A-9AAB-F0E37986B433}"/>
            </c:ext>
          </c:extLst>
        </c:ser>
        <c:ser>
          <c:idx val="1"/>
          <c:order val="1"/>
          <c:tx>
            <c:strRef>
              <c:f>'2019G9'!$A$7</c:f>
              <c:strCache>
                <c:ptCount val="1"/>
                <c:pt idx="0">
                  <c:v>zahraniční podniky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'2019G9'!$B$3:$I$3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'2019G9'!$B$7:$I$7</c:f>
              <c:numCache>
                <c:formatCode>#,##0</c:formatCode>
                <c:ptCount val="8"/>
                <c:pt idx="0">
                  <c:v>204</c:v>
                </c:pt>
                <c:pt idx="1">
                  <c:v>253</c:v>
                </c:pt>
                <c:pt idx="2">
                  <c:v>305</c:v>
                </c:pt>
                <c:pt idx="3">
                  <c:v>324</c:v>
                </c:pt>
                <c:pt idx="4">
                  <c:v>364</c:v>
                </c:pt>
                <c:pt idx="5">
                  <c:v>368</c:v>
                </c:pt>
                <c:pt idx="6">
                  <c:v>359</c:v>
                </c:pt>
                <c:pt idx="7">
                  <c:v>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1A-4B8A-9AAB-F0E37986B4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6263232"/>
        <c:axId val="956264064"/>
      </c:barChart>
      <c:catAx>
        <c:axId val="956263232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956264064"/>
        <c:crosses val="autoZero"/>
        <c:auto val="1"/>
        <c:lblAlgn val="ctr"/>
        <c:lblOffset val="100"/>
        <c:noMultiLvlLbl val="0"/>
      </c:catAx>
      <c:valAx>
        <c:axId val="95626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956263232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 sz="800" b="1">
                <a:solidFill>
                  <a:sysClr val="windowText" lastClr="000000"/>
                </a:solidFill>
              </a:rPr>
              <a:t>a)</a:t>
            </a:r>
            <a:r>
              <a:rPr lang="cs-CZ" sz="800" b="1" baseline="0">
                <a:solidFill>
                  <a:sysClr val="windowText" lastClr="000000"/>
                </a:solidFill>
              </a:rPr>
              <a:t> výše podpory v mil. Kč</a:t>
            </a:r>
            <a:endParaRPr lang="en-US" sz="8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09538348522761"/>
          <c:y val="0.15337220462616374"/>
          <c:w val="0.85493381438775262"/>
          <c:h val="0.62119814814814811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'2019G9'!$A$4</c:f>
              <c:strCache>
                <c:ptCount val="1"/>
                <c:pt idx="0">
                  <c:v>domácí podniky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'2019G9'!$B$3:$I$3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'2019G9'!$B$4:$I$4</c:f>
              <c:numCache>
                <c:formatCode>#,##0</c:formatCode>
                <c:ptCount val="8"/>
                <c:pt idx="0">
                  <c:v>426.93300712999991</c:v>
                </c:pt>
                <c:pt idx="1">
                  <c:v>536.06788745999995</c:v>
                </c:pt>
                <c:pt idx="2">
                  <c:v>656.08342331000006</c:v>
                </c:pt>
                <c:pt idx="3">
                  <c:v>789.42753724999966</c:v>
                </c:pt>
                <c:pt idx="4">
                  <c:v>878.32713808999995</c:v>
                </c:pt>
                <c:pt idx="5">
                  <c:v>1048.7551841300001</c:v>
                </c:pt>
                <c:pt idx="6">
                  <c:v>986.30001413999946</c:v>
                </c:pt>
                <c:pt idx="7">
                  <c:v>817.71863225000038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3A-47A1-84D7-1544F7B2473C}"/>
            </c:ext>
          </c:extLst>
        </c:ser>
        <c:ser>
          <c:idx val="2"/>
          <c:order val="2"/>
          <c:tx>
            <c:strRef>
              <c:f>'2019G9'!$A$5</c:f>
              <c:strCache>
                <c:ptCount val="1"/>
                <c:pt idx="0">
                  <c:v>zahraniční podniky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'2019G9'!$B$3:$I$3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'2019G9'!$B$5:$I$5</c:f>
              <c:numCache>
                <c:formatCode>#,##0</c:formatCode>
                <c:ptCount val="8"/>
                <c:pt idx="0">
                  <c:v>889.92258748000006</c:v>
                </c:pt>
                <c:pt idx="1">
                  <c:v>1300.3588987600001</c:v>
                </c:pt>
                <c:pt idx="2">
                  <c:v>1326.5893194999996</c:v>
                </c:pt>
                <c:pt idx="3">
                  <c:v>1507.6323655299998</c:v>
                </c:pt>
                <c:pt idx="4">
                  <c:v>1384.9900093799999</c:v>
                </c:pt>
                <c:pt idx="5">
                  <c:v>1475.8314066100002</c:v>
                </c:pt>
                <c:pt idx="6">
                  <c:v>1398.1497515700007</c:v>
                </c:pt>
                <c:pt idx="7">
                  <c:v>1698.0925592100011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3A-47A1-84D7-1544F7B24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6263232"/>
        <c:axId val="95626406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'2019G9'!$A$3</c15:sqref>
                        </c15:formulaRef>
                      </c:ext>
                    </c:extLst>
                    <c:strCache>
                      <c:ptCount val="1"/>
                      <c:pt idx="0">
                        <c:v>ROK</c:v>
                      </c:pt>
                    </c:strCache>
                  </c:strRef>
                </c:tx>
                <c:spPr>
                  <a:solidFill>
                    <a:schemeClr val="accent5">
                      <a:shade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'2019G9'!$B$3:$I$3</c15:sqref>
                        </c15:formulaRef>
                      </c:ext>
                    </c:extLst>
                    <c:numCache>
                      <c:formatCode>@</c:formatCode>
                      <c:ptCount val="8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'2019G9'!$B$3:$I$3</c15:sqref>
                        </c15:formulaRef>
                      </c:ext>
                    </c:extLst>
                    <c:numCache>
                      <c:formatCode>@</c:formatCode>
                      <c:ptCount val="8"/>
                      <c:pt idx="0">
                        <c:v>2010</c:v>
                      </c:pt>
                      <c:pt idx="1">
                        <c:v>2011</c:v>
                      </c:pt>
                      <c:pt idx="2">
                        <c:v>2012</c:v>
                      </c:pt>
                      <c:pt idx="3">
                        <c:v>2013</c:v>
                      </c:pt>
                      <c:pt idx="4">
                        <c:v>2014</c:v>
                      </c:pt>
                      <c:pt idx="5">
                        <c:v>2015</c:v>
                      </c:pt>
                      <c:pt idx="6">
                        <c:v>2016</c:v>
                      </c:pt>
                      <c:pt idx="7">
                        <c:v>2017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CC3A-47A1-84D7-1544F7B2473C}"/>
                  </c:ext>
                </c:extLst>
              </c15:ser>
            </c15:filteredBarSeries>
          </c:ext>
        </c:extLst>
      </c:barChart>
      <c:catAx>
        <c:axId val="956263232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956264064"/>
        <c:crosses val="autoZero"/>
        <c:auto val="1"/>
        <c:lblAlgn val="ctr"/>
        <c:lblOffset val="100"/>
        <c:noMultiLvlLbl val="0"/>
      </c:catAx>
      <c:valAx>
        <c:axId val="95626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956263232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800"/>
            </a:pPr>
            <a:r>
              <a:rPr lang="cs-CZ" sz="800"/>
              <a:t>b) výše podpory v mil. Kč</a:t>
            </a:r>
          </a:p>
        </c:rich>
      </c:tx>
      <c:layout>
        <c:manualLayout>
          <c:xMode val="edge"/>
          <c:yMode val="edge"/>
          <c:x val="0.34834656862745106"/>
          <c:y val="3.753935185185185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696294117647059"/>
          <c:y val="6.770555555555556E-2"/>
          <c:w val="0.70958464052287584"/>
          <c:h val="0.6718537037037035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'2019G10'!$A$45</c:f>
              <c:strCache>
                <c:ptCount val="1"/>
                <c:pt idx="0">
                  <c:v>mikro podniky (0-9 zam.)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'2019G10'!$B$44:$I$44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'2019G10'!$B$45:$I$45</c:f>
              <c:numCache>
                <c:formatCode>#,##0</c:formatCode>
                <c:ptCount val="8"/>
                <c:pt idx="0">
                  <c:v>17.068848359999997</c:v>
                </c:pt>
                <c:pt idx="1">
                  <c:v>20.995325279999999</c:v>
                </c:pt>
                <c:pt idx="2">
                  <c:v>24.256982129999997</c:v>
                </c:pt>
                <c:pt idx="3">
                  <c:v>35.037707530000013</c:v>
                </c:pt>
                <c:pt idx="4">
                  <c:v>30.281604919999996</c:v>
                </c:pt>
                <c:pt idx="5">
                  <c:v>32.344830120000012</c:v>
                </c:pt>
                <c:pt idx="6">
                  <c:v>25.352895669999992</c:v>
                </c:pt>
                <c:pt idx="7">
                  <c:v>24.993073670000005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BF-4550-BEF0-D913EE044723}"/>
            </c:ext>
          </c:extLst>
        </c:ser>
        <c:ser>
          <c:idx val="0"/>
          <c:order val="1"/>
          <c:tx>
            <c:strRef>
              <c:f>'2019G10'!$A$46</c:f>
              <c:strCache>
                <c:ptCount val="1"/>
                <c:pt idx="0">
                  <c:v>malé podniky  (10-49 zam.)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'2019G10'!$B$44:$I$44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'2019G10'!$B$46:$I$46</c:f>
              <c:numCache>
                <c:formatCode>#,##0</c:formatCode>
                <c:ptCount val="8"/>
                <c:pt idx="0">
                  <c:v>93.561720140000006</c:v>
                </c:pt>
                <c:pt idx="1">
                  <c:v>112.62736399999997</c:v>
                </c:pt>
                <c:pt idx="2">
                  <c:v>125.42928489000005</c:v>
                </c:pt>
                <c:pt idx="3">
                  <c:v>165.63417712999998</c:v>
                </c:pt>
                <c:pt idx="4">
                  <c:v>171.10871457999983</c:v>
                </c:pt>
                <c:pt idx="5">
                  <c:v>181.46369557999995</c:v>
                </c:pt>
                <c:pt idx="6">
                  <c:v>191.57284526999982</c:v>
                </c:pt>
                <c:pt idx="7">
                  <c:v>151.7713448799999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BF-4550-BEF0-D913EE044723}"/>
            </c:ext>
          </c:extLst>
        </c:ser>
        <c:ser>
          <c:idx val="1"/>
          <c:order val="2"/>
          <c:tx>
            <c:strRef>
              <c:f>'2019G10'!$A$47</c:f>
              <c:strCache>
                <c:ptCount val="1"/>
                <c:pt idx="0">
                  <c:v>střední podniky (50-249 zam.)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'2019G10'!$B$44:$I$44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'2019G10'!$B$47:$I$47</c:f>
              <c:numCache>
                <c:formatCode>#,##0</c:formatCode>
                <c:ptCount val="8"/>
                <c:pt idx="0">
                  <c:v>267.80119144999986</c:v>
                </c:pt>
                <c:pt idx="1">
                  <c:v>351.67891350000025</c:v>
                </c:pt>
                <c:pt idx="2">
                  <c:v>388.00060074999976</c:v>
                </c:pt>
                <c:pt idx="3">
                  <c:v>494.08403908999975</c:v>
                </c:pt>
                <c:pt idx="4">
                  <c:v>557.43259363999971</c:v>
                </c:pt>
                <c:pt idx="5">
                  <c:v>566.64802835999967</c:v>
                </c:pt>
                <c:pt idx="6">
                  <c:v>575.61132471999986</c:v>
                </c:pt>
                <c:pt idx="7">
                  <c:v>496.96693967999948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BF-4550-BEF0-D913EE044723}"/>
            </c:ext>
          </c:extLst>
        </c:ser>
        <c:ser>
          <c:idx val="3"/>
          <c:order val="3"/>
          <c:tx>
            <c:strRef>
              <c:f>'2019G10'!$A$48</c:f>
              <c:strCache>
                <c:ptCount val="1"/>
                <c:pt idx="0">
                  <c:v>velké podniky (250+ zam.)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'2019G10'!$B$44:$I$44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'2019G10'!$B$48:$I$48</c:f>
              <c:numCache>
                <c:formatCode>#,##0</c:formatCode>
                <c:ptCount val="8"/>
                <c:pt idx="0">
                  <c:v>938.4238346599999</c:v>
                </c:pt>
                <c:pt idx="1">
                  <c:v>1351.1251834399995</c:v>
                </c:pt>
                <c:pt idx="2">
                  <c:v>1444.9858750399999</c:v>
                </c:pt>
                <c:pt idx="3">
                  <c:v>1602.3039790299988</c:v>
                </c:pt>
                <c:pt idx="4">
                  <c:v>1504.4942343300008</c:v>
                </c:pt>
                <c:pt idx="5">
                  <c:v>1744.1300366799992</c:v>
                </c:pt>
                <c:pt idx="6">
                  <c:v>1591.9127000500007</c:v>
                </c:pt>
                <c:pt idx="7">
                  <c:v>1842.0798332300005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BF-4550-BEF0-D913EE044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21146496"/>
        <c:axId val="221164672"/>
      </c:barChart>
      <c:catAx>
        <c:axId val="22114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164672"/>
        <c:crosses val="autoZero"/>
        <c:auto val="1"/>
        <c:lblAlgn val="ctr"/>
        <c:lblOffset val="100"/>
        <c:noMultiLvlLbl val="0"/>
      </c:catAx>
      <c:valAx>
        <c:axId val="22116467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one"/>
        <c:spPr>
          <a:ln>
            <a:noFill/>
          </a:ln>
        </c:spPr>
        <c:crossAx val="221146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cs-CZ" sz="800"/>
              <a:t>a) složení podniků (počet)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5.5436507936508006E-2"/>
          <c:y val="0.19202083333333334"/>
          <c:w val="0.88912698412698343"/>
          <c:h val="0.69416712962962968"/>
        </c:manualLayout>
      </c:layout>
      <c:barChart>
        <c:barDir val="col"/>
        <c:grouping val="percentStacked"/>
        <c:varyColors val="0"/>
        <c:ser>
          <c:idx val="3"/>
          <c:order val="0"/>
          <c:tx>
            <c:strRef>
              <c:f>'2019G10'!$A$4</c:f>
              <c:strCache>
                <c:ptCount val="1"/>
                <c:pt idx="0">
                  <c:v>Mikro podniky 
(0-9 zam.)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'2019G10'!$B$3:$C$3</c:f>
              <c:numCache>
                <c:formatCode>General</c:formatCode>
                <c:ptCount val="2"/>
                <c:pt idx="0">
                  <c:v>2010</c:v>
                </c:pt>
                <c:pt idx="1">
                  <c:v>2017</c:v>
                </c:pt>
              </c:numCache>
            </c:numRef>
          </c:cat>
          <c:val>
            <c:numRef>
              <c:f>'2019G10'!$B$4:$C$4</c:f>
              <c:numCache>
                <c:formatCode>0%</c:formatCode>
                <c:ptCount val="2"/>
                <c:pt idx="0">
                  <c:v>0.18016759776536312</c:v>
                </c:pt>
                <c:pt idx="1">
                  <c:v>0.13215859030837004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8-4E87-BFBA-0991A8D7F467}"/>
            </c:ext>
          </c:extLst>
        </c:ser>
        <c:ser>
          <c:idx val="2"/>
          <c:order val="1"/>
          <c:tx>
            <c:strRef>
              <c:f>'2019G10'!$A$5</c:f>
              <c:strCache>
                <c:ptCount val="1"/>
                <c:pt idx="0">
                  <c:v>Malé podniky 
(10-49 zam.)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'2019G10'!$B$3:$C$3</c:f>
              <c:numCache>
                <c:formatCode>General</c:formatCode>
                <c:ptCount val="2"/>
                <c:pt idx="0">
                  <c:v>2010</c:v>
                </c:pt>
                <c:pt idx="1">
                  <c:v>2017</c:v>
                </c:pt>
              </c:numCache>
            </c:numRef>
          </c:cat>
          <c:val>
            <c:numRef>
              <c:f>'2019G10'!$B$5:$C$5</c:f>
              <c:numCache>
                <c:formatCode>0%</c:formatCode>
                <c:ptCount val="2"/>
                <c:pt idx="0">
                  <c:v>0.27234636871508378</c:v>
                </c:pt>
                <c:pt idx="1">
                  <c:v>0.25903083700440527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08-4E87-BFBA-0991A8D7F467}"/>
            </c:ext>
          </c:extLst>
        </c:ser>
        <c:ser>
          <c:idx val="1"/>
          <c:order val="2"/>
          <c:tx>
            <c:strRef>
              <c:f>'2019G10'!$A$6</c:f>
              <c:strCache>
                <c:ptCount val="1"/>
                <c:pt idx="0">
                  <c:v>Střední podniky 
(50-249 zam.)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'2019G10'!$B$3:$C$3</c:f>
              <c:numCache>
                <c:formatCode>General</c:formatCode>
                <c:ptCount val="2"/>
                <c:pt idx="0">
                  <c:v>2010</c:v>
                </c:pt>
                <c:pt idx="1">
                  <c:v>2017</c:v>
                </c:pt>
              </c:numCache>
            </c:numRef>
          </c:cat>
          <c:val>
            <c:numRef>
              <c:f>'2019G10'!$B$6:$C$6</c:f>
              <c:numCache>
                <c:formatCode>0%</c:formatCode>
                <c:ptCount val="2"/>
                <c:pt idx="0">
                  <c:v>0.33798882681564246</c:v>
                </c:pt>
                <c:pt idx="1">
                  <c:v>0.35947136563876653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08-4E87-BFBA-0991A8D7F467}"/>
            </c:ext>
          </c:extLst>
        </c:ser>
        <c:ser>
          <c:idx val="0"/>
          <c:order val="3"/>
          <c:tx>
            <c:strRef>
              <c:f>'2019G10'!$A$7</c:f>
              <c:strCache>
                <c:ptCount val="1"/>
                <c:pt idx="0">
                  <c:v>Velké podniky 
(250+ zam.)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'2019G10'!$B$3:$C$3</c:f>
              <c:numCache>
                <c:formatCode>General</c:formatCode>
                <c:ptCount val="2"/>
                <c:pt idx="0">
                  <c:v>2010</c:v>
                </c:pt>
                <c:pt idx="1">
                  <c:v>2017</c:v>
                </c:pt>
              </c:numCache>
            </c:numRef>
          </c:cat>
          <c:val>
            <c:numRef>
              <c:f>'2019G10'!$B$7:$C$7</c:f>
              <c:numCache>
                <c:formatCode>0%</c:formatCode>
                <c:ptCount val="2"/>
                <c:pt idx="0">
                  <c:v>0.20949720670391062</c:v>
                </c:pt>
                <c:pt idx="1">
                  <c:v>0.24933920704845816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08-4E87-BFBA-0991A8D7F4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221198976"/>
        <c:axId val="221221248"/>
      </c:barChart>
      <c:catAx>
        <c:axId val="22119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221248"/>
        <c:crosses val="autoZero"/>
        <c:auto val="1"/>
        <c:lblAlgn val="ctr"/>
        <c:lblOffset val="100"/>
        <c:noMultiLvlLbl val="0"/>
      </c:catAx>
      <c:valAx>
        <c:axId val="22122124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1"/>
        <c:majorTickMark val="out"/>
        <c:minorTickMark val="none"/>
        <c:tickLblPos val="none"/>
        <c:crossAx val="221198976"/>
        <c:crosses val="autoZero"/>
        <c:crossBetween val="between"/>
        <c:majorUnit val="0.25"/>
        <c:minorUnit val="5.0000000000000024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800"/>
            </a:pPr>
            <a:r>
              <a:rPr lang="en-US" sz="800"/>
              <a:t>a) počet podniků</a:t>
            </a:r>
          </a:p>
        </c:rich>
      </c:tx>
      <c:layout>
        <c:manualLayout>
          <c:xMode val="edge"/>
          <c:yMode val="edge"/>
          <c:x val="7.4202287581699347E-2"/>
          <c:y val="5.8203888888888881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3170588235294112E-2"/>
          <c:y val="0.34600888888888881"/>
          <c:w val="0.85107042483660134"/>
          <c:h val="0.4542111111111111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'19GRAF11'!$A$4</c:f>
              <c:strCache>
                <c:ptCount val="1"/>
                <c:pt idx="0">
                  <c:v>Zpracovatelský průmysl (sekce C)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'19GRAF11'!$B$3:$C$3</c:f>
              <c:strCache>
                <c:ptCount val="2"/>
                <c:pt idx="0">
                  <c:v>2010</c:v>
                </c:pt>
                <c:pt idx="1">
                  <c:v>2017</c:v>
                </c:pt>
              </c:strCache>
            </c:strRef>
          </c:cat>
          <c:val>
            <c:numRef>
              <c:f>'19GRAF11'!$B$4:$C$4</c:f>
              <c:numCache>
                <c:formatCode>General</c:formatCode>
                <c:ptCount val="2"/>
                <c:pt idx="0">
                  <c:v>413</c:v>
                </c:pt>
                <c:pt idx="1">
                  <c:v>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55-4518-BB94-83F8BEABEBD8}"/>
            </c:ext>
          </c:extLst>
        </c:ser>
        <c:ser>
          <c:idx val="3"/>
          <c:order val="1"/>
          <c:tx>
            <c:strRef>
              <c:f>'19GRAF11'!$A$5</c:f>
              <c:strCache>
                <c:ptCount val="1"/>
                <c:pt idx="0">
                  <c:v>Informační a komunikační činnosti (sekce J)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'19GRAF11'!$B$3:$C$3</c:f>
              <c:strCache>
                <c:ptCount val="2"/>
                <c:pt idx="0">
                  <c:v>2010</c:v>
                </c:pt>
                <c:pt idx="1">
                  <c:v>2017</c:v>
                </c:pt>
              </c:strCache>
            </c:strRef>
          </c:cat>
          <c:val>
            <c:numRef>
              <c:f>'19GRAF11'!$B$5:$C$5</c:f>
              <c:numCache>
                <c:formatCode>General</c:formatCode>
                <c:ptCount val="2"/>
                <c:pt idx="0">
                  <c:v>105</c:v>
                </c:pt>
                <c:pt idx="1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55-4518-BB94-83F8BEABEBD8}"/>
            </c:ext>
          </c:extLst>
        </c:ser>
        <c:ser>
          <c:idx val="4"/>
          <c:order val="2"/>
          <c:tx>
            <c:strRef>
              <c:f>'19GRAF11'!$A$6</c:f>
              <c:strCache>
                <c:ptCount val="1"/>
                <c:pt idx="0">
                  <c:v>Profesní, vědecké a technické činnosti (sekce M)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'19GRAF11'!$B$3:$C$3</c:f>
              <c:strCache>
                <c:ptCount val="2"/>
                <c:pt idx="0">
                  <c:v>2010</c:v>
                </c:pt>
                <c:pt idx="1">
                  <c:v>2017</c:v>
                </c:pt>
              </c:strCache>
            </c:strRef>
          </c:cat>
          <c:val>
            <c:numRef>
              <c:f>'19GRAF11'!$B$6:$C$6</c:f>
              <c:numCache>
                <c:formatCode>General</c:formatCode>
                <c:ptCount val="2"/>
                <c:pt idx="0">
                  <c:v>85</c:v>
                </c:pt>
                <c:pt idx="1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55-4518-BB94-83F8BEABEBD8}"/>
            </c:ext>
          </c:extLst>
        </c:ser>
        <c:ser>
          <c:idx val="2"/>
          <c:order val="3"/>
          <c:tx>
            <c:strRef>
              <c:f>'19GRAF11'!$A$7</c:f>
              <c:strCache>
                <c:ptCount val="1"/>
                <c:pt idx="0">
                  <c:v>Ostatní činnosti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'19GRAF11'!$B$3:$C$3</c:f>
              <c:strCache>
                <c:ptCount val="2"/>
                <c:pt idx="0">
                  <c:v>2010</c:v>
                </c:pt>
                <c:pt idx="1">
                  <c:v>2017</c:v>
                </c:pt>
              </c:strCache>
            </c:strRef>
          </c:cat>
          <c:val>
            <c:numRef>
              <c:f>'19GRAF11'!$B$7:$C$7</c:f>
              <c:numCache>
                <c:formatCode>General</c:formatCode>
                <c:ptCount val="2"/>
                <c:pt idx="0">
                  <c:v>113</c:v>
                </c:pt>
                <c:pt idx="1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55-4518-BB94-83F8BEABE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70411648"/>
        <c:axId val="270413184"/>
      </c:barChart>
      <c:catAx>
        <c:axId val="270411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0413184"/>
        <c:crosses val="autoZero"/>
        <c:auto val="1"/>
        <c:lblAlgn val="ctr"/>
        <c:lblOffset val="100"/>
        <c:noMultiLvlLbl val="0"/>
      </c:catAx>
      <c:valAx>
        <c:axId val="270413184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crossAx val="270411648"/>
        <c:crosses val="autoZero"/>
        <c:crossBetween val="between"/>
        <c:majorUnit val="0.1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23413856209150327"/>
          <c:y val="0"/>
          <c:w val="0.58360196078431381"/>
          <c:h val="0.3192438888888888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b) výše podpory v mil. Kč</a:t>
            </a:r>
          </a:p>
        </c:rich>
      </c:tx>
      <c:layout>
        <c:manualLayout>
          <c:xMode val="edge"/>
          <c:yMode val="edge"/>
          <c:x val="6.9372385620915064E-2"/>
          <c:y val="9.756092564577138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095424836601417E-2"/>
          <c:y val="0.28505305163405587"/>
          <c:w val="0.8635214052287582"/>
          <c:h val="0.5712440580018908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'2019G11'!$F$4</c:f>
              <c:strCache>
                <c:ptCount val="1"/>
                <c:pt idx="0">
                  <c:v>Zpracovatelský průmysl (sekce C)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'2019G11'!$G$3:$H$3</c:f>
              <c:strCache>
                <c:ptCount val="2"/>
                <c:pt idx="0">
                  <c:v>2010</c:v>
                </c:pt>
                <c:pt idx="1">
                  <c:v>2017</c:v>
                </c:pt>
              </c:strCache>
            </c:strRef>
          </c:cat>
          <c:val>
            <c:numRef>
              <c:f>'2019G11'!$G$4:$H$4</c:f>
              <c:numCache>
                <c:formatCode>#,##0</c:formatCode>
                <c:ptCount val="2"/>
                <c:pt idx="0">
                  <c:v>1014.0771800399992</c:v>
                </c:pt>
                <c:pt idx="1">
                  <c:v>1779.6322233400003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55-4DA9-BE66-95644C78F8EE}"/>
            </c:ext>
          </c:extLst>
        </c:ser>
        <c:ser>
          <c:idx val="3"/>
          <c:order val="1"/>
          <c:tx>
            <c:strRef>
              <c:f>'2019G11'!$F$5</c:f>
              <c:strCache>
                <c:ptCount val="1"/>
                <c:pt idx="0">
                  <c:v>Informační a komunikační činnosti (sekce J)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1503267973856213E-3"/>
                  <c:y val="-6.944444444444444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55-4DA9-BE66-95644C78F8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'2019G11'!$G$3:$H$3</c:f>
              <c:strCache>
                <c:ptCount val="2"/>
                <c:pt idx="0">
                  <c:v>2010</c:v>
                </c:pt>
                <c:pt idx="1">
                  <c:v>2017</c:v>
                </c:pt>
              </c:strCache>
            </c:strRef>
          </c:cat>
          <c:val>
            <c:numRef>
              <c:f>'2019G11'!$G$5:$H$5</c:f>
              <c:numCache>
                <c:formatCode>#,##0</c:formatCode>
                <c:ptCount val="2"/>
                <c:pt idx="0">
                  <c:v>111.10910439999999</c:v>
                </c:pt>
                <c:pt idx="1">
                  <c:v>292.72254790999995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55-4DA9-BE66-95644C78F8EE}"/>
            </c:ext>
          </c:extLst>
        </c:ser>
        <c:ser>
          <c:idx val="4"/>
          <c:order val="2"/>
          <c:tx>
            <c:strRef>
              <c:f>'2019G11'!$F$6</c:f>
              <c:strCache>
                <c:ptCount val="1"/>
                <c:pt idx="0">
                  <c:v>Profesní, vědecké a technické činnosti (sekce M)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'2019G11'!$G$3:$H$3</c:f>
              <c:strCache>
                <c:ptCount val="2"/>
                <c:pt idx="0">
                  <c:v>2010</c:v>
                </c:pt>
                <c:pt idx="1">
                  <c:v>2017</c:v>
                </c:pt>
              </c:strCache>
            </c:strRef>
          </c:cat>
          <c:val>
            <c:numRef>
              <c:f>'2019G11'!$G$6:$H$6</c:f>
              <c:numCache>
                <c:formatCode>#,##0</c:formatCode>
                <c:ptCount val="2"/>
                <c:pt idx="0">
                  <c:v>66.397725090000009</c:v>
                </c:pt>
                <c:pt idx="1">
                  <c:v>267.7321899100001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55-4DA9-BE66-95644C78F8EE}"/>
            </c:ext>
          </c:extLst>
        </c:ser>
        <c:ser>
          <c:idx val="2"/>
          <c:order val="3"/>
          <c:tx>
            <c:strRef>
              <c:f>'2019G11'!$F$7</c:f>
              <c:strCache>
                <c:ptCount val="1"/>
                <c:pt idx="0">
                  <c:v>Ostatní činnosti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2254901960784315E-3"/>
                  <c:y val="-8.08439734909269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55-4DA9-BE66-95644C78F8E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'2019G11'!$G$3:$H$3</c:f>
              <c:strCache>
                <c:ptCount val="2"/>
                <c:pt idx="0">
                  <c:v>2010</c:v>
                </c:pt>
                <c:pt idx="1">
                  <c:v>2017</c:v>
                </c:pt>
              </c:strCache>
            </c:strRef>
          </c:cat>
          <c:val>
            <c:numRef>
              <c:f>'2019G11'!$G$7:$H$7</c:f>
              <c:numCache>
                <c:formatCode>#,##0</c:formatCode>
                <c:ptCount val="2"/>
                <c:pt idx="0">
                  <c:v>125.27158508000035</c:v>
                </c:pt>
                <c:pt idx="1">
                  <c:v>175.72423029999999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55-4DA9-BE66-95644C78F8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70464128"/>
        <c:axId val="270465664"/>
      </c:barChart>
      <c:catAx>
        <c:axId val="270464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0465664"/>
        <c:crosses val="autoZero"/>
        <c:auto val="1"/>
        <c:lblAlgn val="ctr"/>
        <c:lblOffset val="100"/>
        <c:noMultiLvlLbl val="0"/>
      </c:catAx>
      <c:valAx>
        <c:axId val="270465664"/>
        <c:scaling>
          <c:orientation val="minMax"/>
          <c:max val="2600"/>
          <c:min val="0"/>
        </c:scaling>
        <c:delete val="1"/>
        <c:axPos val="b"/>
        <c:numFmt formatCode="#,##0" sourceLinked="1"/>
        <c:majorTickMark val="out"/>
        <c:minorTickMark val="none"/>
        <c:tickLblPos val="nextTo"/>
        <c:crossAx val="270464128"/>
        <c:crosses val="autoZero"/>
        <c:crossBetween val="between"/>
        <c:majorUnit val="5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a) počet podniků</a:t>
            </a:r>
          </a:p>
        </c:rich>
      </c:tx>
      <c:layout>
        <c:manualLayout>
          <c:xMode val="edge"/>
          <c:yMode val="edge"/>
          <c:x val="3.3907843137254902E-2"/>
          <c:y val="1.763888888888888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47833022875816983"/>
          <c:y val="0.11444513888888889"/>
          <c:w val="0.37056209150326835"/>
          <c:h val="0.77565208333333335"/>
        </c:manualLayout>
      </c:layout>
      <c:barChart>
        <c:barDir val="bar"/>
        <c:grouping val="clustered"/>
        <c:varyColors val="0"/>
        <c:ser>
          <c:idx val="0"/>
          <c:order val="1"/>
          <c:tx>
            <c:strRef>
              <c:f>'19GRAF12a'!$C$23</c:f>
              <c:strCache>
                <c:ptCount val="1"/>
                <c:pt idx="0">
                  <c:v>podniky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'19GRAF12a'!$B$24:$B$38</c:f>
              <c:strCache>
                <c:ptCount val="15"/>
                <c:pt idx="0">
                  <c:v>Dřevozpracující a papírenský průmysl (16-17, 31)</c:v>
                </c:pt>
                <c:pt idx="1">
                  <c:v>Metalurgický průmysl (24)</c:v>
                </c:pt>
                <c:pt idx="2">
                  <c:v>Farmaceutický průmysl (21)</c:v>
                </c:pt>
                <c:pt idx="3">
                  <c:v>Textilní, oděvní a obuvnický průmysl (13-15)</c:v>
                </c:pt>
                <c:pt idx="4">
                  <c:v>Průmysl skla, keramiky, porcelánu a stav. hmot (23)</c:v>
                </c:pt>
                <c:pt idx="5">
                  <c:v>Výroba ostatních dopravních prostředků a zařízení (30)</c:v>
                </c:pt>
                <c:pt idx="6">
                  <c:v>Potravinářský a nápojový průmysl (10-12)</c:v>
                </c:pt>
                <c:pt idx="7">
                  <c:v>Petrochemický a chemický průmysl (19-20)</c:v>
                </c:pt>
                <c:pt idx="8">
                  <c:v>Gumárenský a plastový průmysl (22)</c:v>
                </c:pt>
                <c:pt idx="9">
                  <c:v>Automobilový průmysl (29)</c:v>
                </c:pt>
                <c:pt idx="10">
                  <c:v>Ostatní zpracovatelský průmysl (18, 32-33)</c:v>
                </c:pt>
                <c:pt idx="11">
                  <c:v>Elektronický průmysl (26)</c:v>
                </c:pt>
                <c:pt idx="12">
                  <c:v>Elektrotechnický průmysl (27)</c:v>
                </c:pt>
                <c:pt idx="13">
                  <c:v>Výroba kovových konstrukcí a kovodělných výrobků (25)</c:v>
                </c:pt>
                <c:pt idx="14">
                  <c:v>Strojírenský průmysl (28)</c:v>
                </c:pt>
              </c:strCache>
            </c:strRef>
          </c:cat>
          <c:val>
            <c:numRef>
              <c:f>'19GRAF12a'!$C$24:$C$38</c:f>
              <c:numCache>
                <c:formatCode>#,##0</c:formatCode>
                <c:ptCount val="15"/>
                <c:pt idx="0">
                  <c:v>11</c:v>
                </c:pt>
                <c:pt idx="1">
                  <c:v>13</c:v>
                </c:pt>
                <c:pt idx="2">
                  <c:v>15</c:v>
                </c:pt>
                <c:pt idx="3">
                  <c:v>17</c:v>
                </c:pt>
                <c:pt idx="4">
                  <c:v>18</c:v>
                </c:pt>
                <c:pt idx="5">
                  <c:v>21</c:v>
                </c:pt>
                <c:pt idx="6">
                  <c:v>23</c:v>
                </c:pt>
                <c:pt idx="7">
                  <c:v>32</c:v>
                </c:pt>
                <c:pt idx="8">
                  <c:v>36</c:v>
                </c:pt>
                <c:pt idx="9">
                  <c:v>37</c:v>
                </c:pt>
                <c:pt idx="10">
                  <c:v>49</c:v>
                </c:pt>
                <c:pt idx="11">
                  <c:v>60</c:v>
                </c:pt>
                <c:pt idx="12">
                  <c:v>75</c:v>
                </c:pt>
                <c:pt idx="13">
                  <c:v>93</c:v>
                </c:pt>
                <c:pt idx="14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4F-4671-B6D0-CECE69DCC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41"/>
        <c:axId val="270657792"/>
        <c:axId val="270656256"/>
      </c:barChart>
      <c:barChart>
        <c:barDir val="bar"/>
        <c:grouping val="clustered"/>
        <c:varyColors val="0"/>
        <c:ser>
          <c:idx val="1"/>
          <c:order val="0"/>
          <c:tx>
            <c:strRef>
              <c:f>'19GRAF12a'!$D$23</c:f>
              <c:strCache>
                <c:ptCount val="1"/>
                <c:pt idx="0">
                  <c:v>MSP (malé a střední podniky)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'19GRAF12a'!$B$24:$B$38</c:f>
              <c:strCache>
                <c:ptCount val="15"/>
                <c:pt idx="0">
                  <c:v>Dřevozpracující a papírenský průmysl (16-17, 31)</c:v>
                </c:pt>
                <c:pt idx="1">
                  <c:v>Metalurgický průmysl (24)</c:v>
                </c:pt>
                <c:pt idx="2">
                  <c:v>Farmaceutický průmysl (21)</c:v>
                </c:pt>
                <c:pt idx="3">
                  <c:v>Textilní, oděvní a obuvnický průmysl (13-15)</c:v>
                </c:pt>
                <c:pt idx="4">
                  <c:v>Průmysl skla, keramiky, porcelánu a stav. hmot (23)</c:v>
                </c:pt>
                <c:pt idx="5">
                  <c:v>Výroba ostatních dopravních prostředků a zařízení (30)</c:v>
                </c:pt>
                <c:pt idx="6">
                  <c:v>Potravinářský a nápojový průmysl (10-12)</c:v>
                </c:pt>
                <c:pt idx="7">
                  <c:v>Petrochemický a chemický průmysl (19-20)</c:v>
                </c:pt>
                <c:pt idx="8">
                  <c:v>Gumárenský a plastový průmysl (22)</c:v>
                </c:pt>
                <c:pt idx="9">
                  <c:v>Automobilový průmysl (29)</c:v>
                </c:pt>
                <c:pt idx="10">
                  <c:v>Ostatní zpracovatelský průmysl (18, 32-33)</c:v>
                </c:pt>
                <c:pt idx="11">
                  <c:v>Elektronický průmysl (26)</c:v>
                </c:pt>
                <c:pt idx="12">
                  <c:v>Elektrotechnický průmysl (27)</c:v>
                </c:pt>
                <c:pt idx="13">
                  <c:v>Výroba kovových konstrukcí a kovodělných výrobků (25)</c:v>
                </c:pt>
                <c:pt idx="14">
                  <c:v>Strojírenský průmysl (28)</c:v>
                </c:pt>
              </c:strCache>
            </c:strRef>
          </c:cat>
          <c:val>
            <c:numRef>
              <c:f>'19GRAF12a'!$D$24:$D$38</c:f>
              <c:numCache>
                <c:formatCode>General</c:formatCode>
                <c:ptCount val="15"/>
                <c:pt idx="0">
                  <c:v>9</c:v>
                </c:pt>
                <c:pt idx="1">
                  <c:v>4</c:v>
                </c:pt>
                <c:pt idx="2">
                  <c:v>8</c:v>
                </c:pt>
                <c:pt idx="3">
                  <c:v>10</c:v>
                </c:pt>
                <c:pt idx="4">
                  <c:v>11</c:v>
                </c:pt>
                <c:pt idx="5">
                  <c:v>5</c:v>
                </c:pt>
                <c:pt idx="6">
                  <c:v>13</c:v>
                </c:pt>
                <c:pt idx="7">
                  <c:v>21</c:v>
                </c:pt>
                <c:pt idx="8">
                  <c:v>19</c:v>
                </c:pt>
                <c:pt idx="9">
                  <c:v>9</c:v>
                </c:pt>
                <c:pt idx="10">
                  <c:v>40</c:v>
                </c:pt>
                <c:pt idx="11">
                  <c:v>52</c:v>
                </c:pt>
                <c:pt idx="12">
                  <c:v>51</c:v>
                </c:pt>
                <c:pt idx="13">
                  <c:v>65</c:v>
                </c:pt>
                <c:pt idx="14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4F-4671-B6D0-CECE69DCC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0661120"/>
        <c:axId val="270659584"/>
      </c:barChart>
      <c:valAx>
        <c:axId val="270656256"/>
        <c:scaling>
          <c:orientation val="minMax"/>
          <c:max val="18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crossAx val="270657792"/>
        <c:crosses val="autoZero"/>
        <c:crossBetween val="between"/>
        <c:majorUnit val="20"/>
        <c:minorUnit val="5"/>
      </c:valAx>
      <c:catAx>
        <c:axId val="270657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0656256"/>
        <c:crosses val="autoZero"/>
        <c:auto val="1"/>
        <c:lblAlgn val="ctr"/>
        <c:lblOffset val="100"/>
        <c:noMultiLvlLbl val="0"/>
      </c:catAx>
      <c:valAx>
        <c:axId val="270659584"/>
        <c:scaling>
          <c:orientation val="minMax"/>
          <c:max val="160"/>
          <c:min val="0"/>
        </c:scaling>
        <c:delete val="1"/>
        <c:axPos val="t"/>
        <c:numFmt formatCode="General" sourceLinked="1"/>
        <c:majorTickMark val="out"/>
        <c:minorTickMark val="none"/>
        <c:tickLblPos val="none"/>
        <c:crossAx val="270661120"/>
        <c:crosses val="max"/>
        <c:crossBetween val="between"/>
        <c:majorUnit val="20"/>
      </c:valAx>
      <c:catAx>
        <c:axId val="270661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7065958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6592205882353013"/>
          <c:y val="0.30104218281126088"/>
          <c:w val="0.12162696078431386"/>
          <c:h val="0.4477595440756821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b) výše podpory v mil. Kč</a:t>
            </a:r>
          </a:p>
        </c:rich>
      </c:tx>
      <c:layout>
        <c:manualLayout>
          <c:xMode val="edge"/>
          <c:yMode val="edge"/>
          <c:x val="3.5983006535947715E-2"/>
          <c:y val="8.819444444444444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47833022875816983"/>
          <c:y val="0.12767430555555556"/>
          <c:w val="0.36848692810457573"/>
          <c:h val="0.76242291666666662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'19GRAF12b'!$C$22</c:f>
              <c:strCache>
                <c:ptCount val="1"/>
                <c:pt idx="0">
                  <c:v>podniky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'19GRAF12b'!$B$23:$B$37</c:f>
              <c:strCache>
                <c:ptCount val="15"/>
                <c:pt idx="0">
                  <c:v>Dřevozpracující a papírenský průmysl (16-17, 31)</c:v>
                </c:pt>
                <c:pt idx="1">
                  <c:v>Metalurgický průmysl (24)</c:v>
                </c:pt>
                <c:pt idx="2">
                  <c:v>Průmysl skla, keramiky, porcelánu a stav. hmot (23)</c:v>
                </c:pt>
                <c:pt idx="3">
                  <c:v>Potravinářský a nápojový průmysl (10-12)</c:v>
                </c:pt>
                <c:pt idx="4">
                  <c:v>Textilní, oděvní a obuvnický průmysl (13-15)</c:v>
                </c:pt>
                <c:pt idx="5">
                  <c:v>Gumárenský a plastový průmysl (22)</c:v>
                </c:pt>
                <c:pt idx="6">
                  <c:v>Farmaceutický průmysl (21)</c:v>
                </c:pt>
                <c:pt idx="7">
                  <c:v>Petrochemický a chemický průmysl (19-20)</c:v>
                </c:pt>
                <c:pt idx="8">
                  <c:v>Ostatní zpracovatelský průmysl (18, 32-33)</c:v>
                </c:pt>
                <c:pt idx="9">
                  <c:v>Výroba kovových konstrukcí a kovodělných výrobků (25)</c:v>
                </c:pt>
                <c:pt idx="10">
                  <c:v>Elektronický průmysl (26)</c:v>
                </c:pt>
                <c:pt idx="11">
                  <c:v>Výroba ostatních dopravních prostředků a zařízení (30)</c:v>
                </c:pt>
                <c:pt idx="12">
                  <c:v>Elektrotechnický průmysl (27)</c:v>
                </c:pt>
                <c:pt idx="13">
                  <c:v>Strojírenský průmysl (28)</c:v>
                </c:pt>
                <c:pt idx="14">
                  <c:v>Automobilový průmysl (29)</c:v>
                </c:pt>
              </c:strCache>
            </c:strRef>
          </c:cat>
          <c:val>
            <c:numRef>
              <c:f>'19GRAF12b'!$C$23:$C$37</c:f>
              <c:numCache>
                <c:formatCode>#,##0</c:formatCode>
                <c:ptCount val="15"/>
                <c:pt idx="0">
                  <c:v>6.9327956200000003</c:v>
                </c:pt>
                <c:pt idx="1">
                  <c:v>8.0234974599999997</c:v>
                </c:pt>
                <c:pt idx="2">
                  <c:v>14.39775844</c:v>
                </c:pt>
                <c:pt idx="3">
                  <c:v>16.665172080000001</c:v>
                </c:pt>
                <c:pt idx="4">
                  <c:v>19.053713569999999</c:v>
                </c:pt>
                <c:pt idx="5">
                  <c:v>48.806780860000003</c:v>
                </c:pt>
                <c:pt idx="6">
                  <c:v>57.377013390000009</c:v>
                </c:pt>
                <c:pt idx="7">
                  <c:v>60.464767039999998</c:v>
                </c:pt>
                <c:pt idx="8">
                  <c:v>60.864100300000004</c:v>
                </c:pt>
                <c:pt idx="9">
                  <c:v>82.891079030000014</c:v>
                </c:pt>
                <c:pt idx="10">
                  <c:v>88.942243869999999</c:v>
                </c:pt>
                <c:pt idx="11">
                  <c:v>105.65859187999999</c:v>
                </c:pt>
                <c:pt idx="12">
                  <c:v>200.74703612000002</c:v>
                </c:pt>
                <c:pt idx="13">
                  <c:v>299.06443365000001</c:v>
                </c:pt>
                <c:pt idx="14">
                  <c:v>709.74324003000004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A7-42CC-8D68-77B100312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23889664"/>
        <c:axId val="223888128"/>
      </c:barChart>
      <c:barChart>
        <c:barDir val="bar"/>
        <c:grouping val="clustered"/>
        <c:varyColors val="0"/>
        <c:ser>
          <c:idx val="0"/>
          <c:order val="1"/>
          <c:tx>
            <c:strRef>
              <c:f>'19GRAF12b'!$D$22</c:f>
              <c:strCache>
                <c:ptCount val="1"/>
                <c:pt idx="0">
                  <c:v>zahraniční podniky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'19GRAF12b'!$B$23:$B$37</c:f>
              <c:strCache>
                <c:ptCount val="15"/>
                <c:pt idx="0">
                  <c:v>Dřevozpracující a papírenský průmysl (16-17, 31)</c:v>
                </c:pt>
                <c:pt idx="1">
                  <c:v>Metalurgický průmysl (24)</c:v>
                </c:pt>
                <c:pt idx="2">
                  <c:v>Průmysl skla, keramiky, porcelánu a stav. hmot (23)</c:v>
                </c:pt>
                <c:pt idx="3">
                  <c:v>Potravinářský a nápojový průmysl (10-12)</c:v>
                </c:pt>
                <c:pt idx="4">
                  <c:v>Textilní, oděvní a obuvnický průmysl (13-15)</c:v>
                </c:pt>
                <c:pt idx="5">
                  <c:v>Gumárenský a plastový průmysl (22)</c:v>
                </c:pt>
                <c:pt idx="6">
                  <c:v>Farmaceutický průmysl (21)</c:v>
                </c:pt>
                <c:pt idx="7">
                  <c:v>Petrochemický a chemický průmysl (19-20)</c:v>
                </c:pt>
                <c:pt idx="8">
                  <c:v>Ostatní zpracovatelský průmysl (18, 32-33)</c:v>
                </c:pt>
                <c:pt idx="9">
                  <c:v>Výroba kovových konstrukcí a kovodělných výrobků (25)</c:v>
                </c:pt>
                <c:pt idx="10">
                  <c:v>Elektronický průmysl (26)</c:v>
                </c:pt>
                <c:pt idx="11">
                  <c:v>Výroba ostatních dopravních prostředků a zařízení (30)</c:v>
                </c:pt>
                <c:pt idx="12">
                  <c:v>Elektrotechnický průmysl (27)</c:v>
                </c:pt>
                <c:pt idx="13">
                  <c:v>Strojírenský průmysl (28)</c:v>
                </c:pt>
                <c:pt idx="14">
                  <c:v>Automobilový průmysl (29)</c:v>
                </c:pt>
              </c:strCache>
            </c:strRef>
          </c:cat>
          <c:val>
            <c:numRef>
              <c:f>'19GRAF12b'!$D$23:$D$37</c:f>
              <c:numCache>
                <c:formatCode>#,##0</c:formatCode>
                <c:ptCount val="15"/>
                <c:pt idx="0">
                  <c:v>4.68933775</c:v>
                </c:pt>
                <c:pt idx="1">
                  <c:v>1.0923499000000001</c:v>
                </c:pt>
                <c:pt idx="2">
                  <c:v>1.9718553399999998</c:v>
                </c:pt>
                <c:pt idx="3">
                  <c:v>8.4675485500000001</c:v>
                </c:pt>
                <c:pt idx="4">
                  <c:v>8.201522709999999</c:v>
                </c:pt>
                <c:pt idx="5">
                  <c:v>31.12948695</c:v>
                </c:pt>
                <c:pt idx="6">
                  <c:v>46.872690110000008</c:v>
                </c:pt>
                <c:pt idx="7">
                  <c:v>48.285645249999995</c:v>
                </c:pt>
                <c:pt idx="8">
                  <c:v>12.790204540000001</c:v>
                </c:pt>
                <c:pt idx="9">
                  <c:v>27.380245830000003</c:v>
                </c:pt>
                <c:pt idx="10">
                  <c:v>33.457365050000007</c:v>
                </c:pt>
                <c:pt idx="11">
                  <c:v>37.069724659999999</c:v>
                </c:pt>
                <c:pt idx="12">
                  <c:v>142.76762165000002</c:v>
                </c:pt>
                <c:pt idx="13">
                  <c:v>194.05837739</c:v>
                </c:pt>
                <c:pt idx="14">
                  <c:v>696.30215343999998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A7-42CC-8D68-77B100312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892992"/>
        <c:axId val="223891456"/>
      </c:barChart>
      <c:valAx>
        <c:axId val="223888128"/>
        <c:scaling>
          <c:orientation val="minMax"/>
          <c:max val="80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crossAx val="223889664"/>
        <c:crosses val="autoZero"/>
        <c:crossBetween val="between"/>
        <c:majorUnit val="100"/>
      </c:valAx>
      <c:catAx>
        <c:axId val="223889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3888128"/>
        <c:crosses val="autoZero"/>
        <c:auto val="1"/>
        <c:lblAlgn val="ctr"/>
        <c:lblOffset val="100"/>
        <c:noMultiLvlLbl val="0"/>
      </c:catAx>
      <c:valAx>
        <c:axId val="22389145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one"/>
        <c:crossAx val="223892992"/>
        <c:crosses val="max"/>
        <c:crossBetween val="between"/>
      </c:valAx>
      <c:catAx>
        <c:axId val="223892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23891456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6177173202614477"/>
          <c:y val="0.30934955560461513"/>
          <c:w val="0.12577728758169951"/>
          <c:h val="0.3771468753321728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a) počet podniků</a:t>
            </a:r>
          </a:p>
        </c:rich>
      </c:tx>
      <c:layout>
        <c:manualLayout>
          <c:xMode val="edge"/>
          <c:yMode val="edge"/>
          <c:x val="4.8433986928104591E-2"/>
          <c:y val="2.758620689655172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649918300653619"/>
          <c:y val="0.13640727667662231"/>
          <c:w val="0.49270777894530937"/>
          <c:h val="0.78127613358674997"/>
        </c:manualLayout>
      </c:layout>
      <c:barChart>
        <c:barDir val="bar"/>
        <c:grouping val="clustered"/>
        <c:varyColors val="0"/>
        <c:ser>
          <c:idx val="1"/>
          <c:order val="1"/>
          <c:tx>
            <c:strRef>
              <c:f>'2019G13A'!$B$1</c:f>
              <c:strCache>
                <c:ptCount val="1"/>
                <c:pt idx="0">
                  <c:v>kraje -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'2019G13A'!$A$2:$A$15</c:f>
              <c:strCache>
                <c:ptCount val="14"/>
                <c:pt idx="0">
                  <c:v>Karlovarský</c:v>
                </c:pt>
                <c:pt idx="1">
                  <c:v>Ústecký</c:v>
                </c:pt>
                <c:pt idx="2">
                  <c:v>Vysočina</c:v>
                </c:pt>
                <c:pt idx="3">
                  <c:v>Jihočeský</c:v>
                </c:pt>
                <c:pt idx="4">
                  <c:v>Plzeňský</c:v>
                </c:pt>
                <c:pt idx="5">
                  <c:v>Liberecký</c:v>
                </c:pt>
                <c:pt idx="6">
                  <c:v>Pardubický</c:v>
                </c:pt>
                <c:pt idx="7">
                  <c:v>Olomoucký</c:v>
                </c:pt>
                <c:pt idx="8">
                  <c:v>Královéhradecký</c:v>
                </c:pt>
                <c:pt idx="9">
                  <c:v>Středočeský</c:v>
                </c:pt>
                <c:pt idx="10">
                  <c:v>Zlínský</c:v>
                </c:pt>
                <c:pt idx="11">
                  <c:v>Moravskoslezský</c:v>
                </c:pt>
                <c:pt idx="12">
                  <c:v>Jihomoravský</c:v>
                </c:pt>
                <c:pt idx="13">
                  <c:v>Praha</c:v>
                </c:pt>
              </c:strCache>
            </c:strRef>
          </c:cat>
          <c:val>
            <c:numRef>
              <c:f>'2019G13A'!$B$2:$B$15</c:f>
              <c:numCache>
                <c:formatCode>General</c:formatCode>
                <c:ptCount val="14"/>
                <c:pt idx="0">
                  <c:v>9</c:v>
                </c:pt>
                <c:pt idx="1">
                  <c:v>29</c:v>
                </c:pt>
                <c:pt idx="2">
                  <c:v>33</c:v>
                </c:pt>
                <c:pt idx="3">
                  <c:v>40</c:v>
                </c:pt>
                <c:pt idx="4">
                  <c:v>42</c:v>
                </c:pt>
                <c:pt idx="5">
                  <c:v>45</c:v>
                </c:pt>
                <c:pt idx="6">
                  <c:v>53</c:v>
                </c:pt>
                <c:pt idx="7">
                  <c:v>53</c:v>
                </c:pt>
                <c:pt idx="8">
                  <c:v>58</c:v>
                </c:pt>
                <c:pt idx="9">
                  <c:v>91</c:v>
                </c:pt>
                <c:pt idx="10">
                  <c:v>103</c:v>
                </c:pt>
                <c:pt idx="11">
                  <c:v>111</c:v>
                </c:pt>
                <c:pt idx="12">
                  <c:v>150</c:v>
                </c:pt>
                <c:pt idx="13">
                  <c:v>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27-4DD1-9661-D7FE8E85E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23934720"/>
        <c:axId val="223933184"/>
      </c:barChart>
      <c:barChart>
        <c:barDir val="bar"/>
        <c:grouping val="clustered"/>
        <c:varyColors val="0"/>
        <c:ser>
          <c:idx val="0"/>
          <c:order val="0"/>
          <c:tx>
            <c:strRef>
              <c:f>'2019G13A'!$C$1</c:f>
              <c:strCache>
                <c:ptCount val="1"/>
                <c:pt idx="0">
                  <c:v>zpracovatelský průmysl - NACE C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'2019G13A'!$A$2:$A$15</c:f>
              <c:strCache>
                <c:ptCount val="14"/>
                <c:pt idx="0">
                  <c:v>Karlovarský</c:v>
                </c:pt>
                <c:pt idx="1">
                  <c:v>Ústecký</c:v>
                </c:pt>
                <c:pt idx="2">
                  <c:v>Vysočina</c:v>
                </c:pt>
                <c:pt idx="3">
                  <c:v>Jihočeský</c:v>
                </c:pt>
                <c:pt idx="4">
                  <c:v>Plzeňský</c:v>
                </c:pt>
                <c:pt idx="5">
                  <c:v>Liberecký</c:v>
                </c:pt>
                <c:pt idx="6">
                  <c:v>Pardubický</c:v>
                </c:pt>
                <c:pt idx="7">
                  <c:v>Olomoucký</c:v>
                </c:pt>
                <c:pt idx="8">
                  <c:v>Královéhradecký</c:v>
                </c:pt>
                <c:pt idx="9">
                  <c:v>Středočeský</c:v>
                </c:pt>
                <c:pt idx="10">
                  <c:v>Zlínský</c:v>
                </c:pt>
                <c:pt idx="11">
                  <c:v>Moravskoslezský</c:v>
                </c:pt>
                <c:pt idx="12">
                  <c:v>Jihomoravský</c:v>
                </c:pt>
                <c:pt idx="13">
                  <c:v>Praha</c:v>
                </c:pt>
              </c:strCache>
            </c:strRef>
          </c:cat>
          <c:val>
            <c:numRef>
              <c:f>'2019G13A'!$C$2:$C$15</c:f>
              <c:numCache>
                <c:formatCode>General</c:formatCode>
                <c:ptCount val="14"/>
                <c:pt idx="0">
                  <c:v>6</c:v>
                </c:pt>
                <c:pt idx="1">
                  <c:v>20</c:v>
                </c:pt>
                <c:pt idx="2">
                  <c:v>28</c:v>
                </c:pt>
                <c:pt idx="3">
                  <c:v>31</c:v>
                </c:pt>
                <c:pt idx="4">
                  <c:v>25</c:v>
                </c:pt>
                <c:pt idx="5">
                  <c:v>33</c:v>
                </c:pt>
                <c:pt idx="6">
                  <c:v>43</c:v>
                </c:pt>
                <c:pt idx="7">
                  <c:v>36</c:v>
                </c:pt>
                <c:pt idx="8">
                  <c:v>41</c:v>
                </c:pt>
                <c:pt idx="9">
                  <c:v>64</c:v>
                </c:pt>
                <c:pt idx="10">
                  <c:v>75</c:v>
                </c:pt>
                <c:pt idx="11">
                  <c:v>71</c:v>
                </c:pt>
                <c:pt idx="12">
                  <c:v>91</c:v>
                </c:pt>
                <c:pt idx="13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27-4DD1-9661-D7FE8E85E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30"/>
        <c:axId val="1044517872"/>
        <c:axId val="923965136"/>
      </c:barChart>
      <c:valAx>
        <c:axId val="223933184"/>
        <c:scaling>
          <c:orientation val="minMax"/>
          <c:max val="35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crossAx val="223934720"/>
        <c:crosses val="autoZero"/>
        <c:crossBetween val="between"/>
        <c:majorUnit val="50"/>
      </c:valAx>
      <c:catAx>
        <c:axId val="223934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3933184"/>
        <c:crosses val="autoZero"/>
        <c:auto val="1"/>
        <c:lblAlgn val="ctr"/>
        <c:lblOffset val="100"/>
        <c:noMultiLvlLbl val="0"/>
      </c:catAx>
      <c:valAx>
        <c:axId val="92396513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044517872"/>
        <c:crosses val="max"/>
        <c:crossBetween val="between"/>
      </c:valAx>
      <c:catAx>
        <c:axId val="1044517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23965136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7262320261438078"/>
          <c:y val="0.42666883880894235"/>
          <c:w val="0.21492581699346419"/>
          <c:h val="0.224823241922345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b) výše podpory v mil. Kč</a:t>
            </a:r>
          </a:p>
        </c:rich>
      </c:tx>
      <c:layout>
        <c:manualLayout>
          <c:xMode val="edge"/>
          <c:yMode val="edge"/>
          <c:x val="4.4283660130718952E-2"/>
          <c:y val="1.327306456248530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027816973415133"/>
          <c:y val="0.10793196248007735"/>
          <c:w val="0.49270777894530937"/>
          <c:h val="0.8107689493899092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'2019G13B'!$B$2</c:f>
              <c:strCache>
                <c:ptCount val="1"/>
                <c:pt idx="0">
                  <c:v>kraje - celkem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cat>
            <c:strRef>
              <c:f>'2019G13B'!$A$3:$A$16</c:f>
              <c:strCache>
                <c:ptCount val="14"/>
                <c:pt idx="0">
                  <c:v>Ústecký</c:v>
                </c:pt>
                <c:pt idx="1">
                  <c:v>Karlovarský</c:v>
                </c:pt>
                <c:pt idx="2">
                  <c:v>Jihočeský</c:v>
                </c:pt>
                <c:pt idx="3">
                  <c:v>Olomoucký</c:v>
                </c:pt>
                <c:pt idx="4">
                  <c:v>Královéhradecký</c:v>
                </c:pt>
                <c:pt idx="5">
                  <c:v>Pardubický</c:v>
                </c:pt>
                <c:pt idx="6">
                  <c:v>Plzeňský</c:v>
                </c:pt>
                <c:pt idx="7">
                  <c:v>Moravskoslezský</c:v>
                </c:pt>
                <c:pt idx="8">
                  <c:v>Zlínský</c:v>
                </c:pt>
                <c:pt idx="9">
                  <c:v>Kraj Vysočina</c:v>
                </c:pt>
                <c:pt idx="10">
                  <c:v>Liberecký</c:v>
                </c:pt>
                <c:pt idx="11">
                  <c:v>Jihomoravský</c:v>
                </c:pt>
                <c:pt idx="12">
                  <c:v>Středočeský</c:v>
                </c:pt>
                <c:pt idx="13">
                  <c:v>Praha</c:v>
                </c:pt>
              </c:strCache>
            </c:strRef>
          </c:cat>
          <c:val>
            <c:numRef>
              <c:f>'2019G13B'!$B$3:$B$16</c:f>
              <c:numCache>
                <c:formatCode>#,##0</c:formatCode>
                <c:ptCount val="14"/>
                <c:pt idx="0">
                  <c:v>26.372870769999999</c:v>
                </c:pt>
                <c:pt idx="1">
                  <c:v>27.35860521</c:v>
                </c:pt>
                <c:pt idx="2">
                  <c:v>30.35037732</c:v>
                </c:pt>
                <c:pt idx="3">
                  <c:v>37.488428419999998</c:v>
                </c:pt>
                <c:pt idx="4">
                  <c:v>54.515692049999998</c:v>
                </c:pt>
                <c:pt idx="5">
                  <c:v>61.593352980000006</c:v>
                </c:pt>
                <c:pt idx="6">
                  <c:v>126.58301429000001</c:v>
                </c:pt>
                <c:pt idx="7">
                  <c:v>145.96044719999998</c:v>
                </c:pt>
                <c:pt idx="8">
                  <c:v>151.68290006999996</c:v>
                </c:pt>
                <c:pt idx="9">
                  <c:v>158.53850724</c:v>
                </c:pt>
                <c:pt idx="10">
                  <c:v>168.91262845999995</c:v>
                </c:pt>
                <c:pt idx="11">
                  <c:v>181.25213703999995</c:v>
                </c:pt>
                <c:pt idx="12">
                  <c:v>628.60269749999998</c:v>
                </c:pt>
                <c:pt idx="13">
                  <c:v>716.59953290999988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B3-4111-9830-99DFA1D3D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70817536"/>
        <c:axId val="270816000"/>
      </c:barChart>
      <c:barChart>
        <c:barDir val="bar"/>
        <c:grouping val="clustered"/>
        <c:varyColors val="0"/>
        <c:ser>
          <c:idx val="0"/>
          <c:order val="1"/>
          <c:tx>
            <c:strRef>
              <c:f>'2019G13B'!$C$2</c:f>
              <c:strCache>
                <c:ptCount val="1"/>
                <c:pt idx="0">
                  <c:v>zahraniční podniky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'2019G13B'!$A$3:$A$16</c:f>
              <c:strCache>
                <c:ptCount val="14"/>
                <c:pt idx="0">
                  <c:v>Ústecký</c:v>
                </c:pt>
                <c:pt idx="1">
                  <c:v>Karlovarský</c:v>
                </c:pt>
                <c:pt idx="2">
                  <c:v>Jihočeský</c:v>
                </c:pt>
                <c:pt idx="3">
                  <c:v>Olomoucký</c:v>
                </c:pt>
                <c:pt idx="4">
                  <c:v>Královéhradecký</c:v>
                </c:pt>
                <c:pt idx="5">
                  <c:v>Pardubický</c:v>
                </c:pt>
                <c:pt idx="6">
                  <c:v>Plzeňský</c:v>
                </c:pt>
                <c:pt idx="7">
                  <c:v>Moravskoslezský</c:v>
                </c:pt>
                <c:pt idx="8">
                  <c:v>Zlínský</c:v>
                </c:pt>
                <c:pt idx="9">
                  <c:v>Kraj Vysočina</c:v>
                </c:pt>
                <c:pt idx="10">
                  <c:v>Liberecký</c:v>
                </c:pt>
                <c:pt idx="11">
                  <c:v>Jihomoravský</c:v>
                </c:pt>
                <c:pt idx="12">
                  <c:v>Středočeský</c:v>
                </c:pt>
                <c:pt idx="13">
                  <c:v>Praha</c:v>
                </c:pt>
              </c:strCache>
            </c:strRef>
          </c:cat>
          <c:val>
            <c:numRef>
              <c:f>'2019G13B'!$C$3:$C$16</c:f>
              <c:numCache>
                <c:formatCode>#,##0</c:formatCode>
                <c:ptCount val="14"/>
                <c:pt idx="0">
                  <c:v>11.368403949999999</c:v>
                </c:pt>
                <c:pt idx="1">
                  <c:v>20.61218895</c:v>
                </c:pt>
                <c:pt idx="2">
                  <c:v>14.422435449999998</c:v>
                </c:pt>
                <c:pt idx="3">
                  <c:v>9.2736849199999991</c:v>
                </c:pt>
                <c:pt idx="4">
                  <c:v>34.086400329999996</c:v>
                </c:pt>
                <c:pt idx="5">
                  <c:v>35.402317910000001</c:v>
                </c:pt>
                <c:pt idx="6">
                  <c:v>46.84950954</c:v>
                </c:pt>
                <c:pt idx="7">
                  <c:v>80.288993880000007</c:v>
                </c:pt>
                <c:pt idx="8">
                  <c:v>79.67098049999997</c:v>
                </c:pt>
                <c:pt idx="9">
                  <c:v>137.96518183999999</c:v>
                </c:pt>
                <c:pt idx="10">
                  <c:v>142.64873636999997</c:v>
                </c:pt>
                <c:pt idx="11">
                  <c:v>76.174710699999991</c:v>
                </c:pt>
                <c:pt idx="12">
                  <c:v>590.96717468999998</c:v>
                </c:pt>
                <c:pt idx="13">
                  <c:v>418.36184018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B3-4111-9830-99DFA1D3D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overlap val="100"/>
        <c:axId val="270820864"/>
        <c:axId val="270819328"/>
      </c:barChart>
      <c:valAx>
        <c:axId val="270816000"/>
        <c:scaling>
          <c:orientation val="minMax"/>
          <c:max val="750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crossAx val="270817536"/>
        <c:crosses val="autoZero"/>
        <c:crossBetween val="between"/>
        <c:majorUnit val="150"/>
      </c:valAx>
      <c:catAx>
        <c:axId val="270817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70816000"/>
        <c:crosses val="autoZero"/>
        <c:auto val="1"/>
        <c:lblAlgn val="ctr"/>
        <c:lblOffset val="100"/>
        <c:noMultiLvlLbl val="0"/>
      </c:catAx>
      <c:valAx>
        <c:axId val="270819328"/>
        <c:scaling>
          <c:orientation val="minMax"/>
          <c:max val="800"/>
        </c:scaling>
        <c:delete val="1"/>
        <c:axPos val="t"/>
        <c:numFmt formatCode="#,##0" sourceLinked="1"/>
        <c:majorTickMark val="out"/>
        <c:minorTickMark val="none"/>
        <c:tickLblPos val="none"/>
        <c:crossAx val="270820864"/>
        <c:crosses val="max"/>
        <c:crossBetween val="between"/>
      </c:valAx>
      <c:catAx>
        <c:axId val="270820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70819328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76397409679618378"/>
          <c:y val="0.43826614114114132"/>
          <c:w val="0.20785212418300653"/>
          <c:h val="0.25349479166666689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322537692395797E-2"/>
          <c:y val="5.5436507936507937E-2"/>
          <c:w val="0.59937669944825156"/>
          <c:h val="0.84245119047619044"/>
        </c:manualLayout>
      </c:layout>
      <c:lineChart>
        <c:grouping val="standard"/>
        <c:varyColors val="0"/>
        <c:ser>
          <c:idx val="0"/>
          <c:order val="0"/>
          <c:tx>
            <c:strRef>
              <c:f>'2019G2'!$A$4</c:f>
              <c:strCache>
                <c:ptCount val="1"/>
                <c:pt idx="0">
                  <c:v>CELKOVÁ VEŘEJNÁ PODPORA</c:v>
                </c:pt>
              </c:strCache>
            </c:strRef>
          </c:tx>
          <c:spPr>
            <a:ln>
              <a:solidFill>
                <a:schemeClr val="accent5">
                  <a:lumMod val="50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marker>
          <c:cat>
            <c:numRef>
              <c:f>'2019G2'!$B$3:$L$3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'2019G2'!$B$4:$L$4</c:f>
              <c:numCache>
                <c:formatCode>#,##0</c:formatCode>
                <c:ptCount val="11"/>
                <c:pt idx="0">
                  <c:v>4874.5235839199986</c:v>
                </c:pt>
                <c:pt idx="1">
                  <c:v>4501.0703773299956</c:v>
                </c:pt>
                <c:pt idx="2">
                  <c:v>5090.639196399994</c:v>
                </c:pt>
                <c:pt idx="3">
                  <c:v>5598.5444846099981</c:v>
                </c:pt>
                <c:pt idx="4">
                  <c:v>7652.0194662199974</c:v>
                </c:pt>
                <c:pt idx="5">
                  <c:v>8311.2236428100005</c:v>
                </c:pt>
                <c:pt idx="6">
                  <c:v>7955.9086827799929</c:v>
                </c:pt>
                <c:pt idx="7">
                  <c:v>7624.7372874700031</c:v>
                </c:pt>
                <c:pt idx="8">
                  <c:v>7211.782990740001</c:v>
                </c:pt>
                <c:pt idx="9">
                  <c:v>5258.725109533355</c:v>
                </c:pt>
                <c:pt idx="10">
                  <c:v>6493.8174729090815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03-4EB6-AE3D-8BF3A28C7370}"/>
            </c:ext>
          </c:extLst>
        </c:ser>
        <c:ser>
          <c:idx val="1"/>
          <c:order val="1"/>
          <c:tx>
            <c:strRef>
              <c:f>'2019G2'!$A$5</c:f>
              <c:strCache>
                <c:ptCount val="1"/>
                <c:pt idx="0">
                  <c:v>přímá domácí veřejná podpora</c:v>
                </c:pt>
              </c:strCache>
            </c:strRef>
          </c:tx>
          <c:marker>
            <c:symbol val="circle"/>
            <c:size val="5"/>
            <c:spPr>
              <a:solidFill>
                <a:schemeClr val="bg1"/>
              </a:solidFill>
            </c:spPr>
          </c:marker>
          <c:cat>
            <c:numRef>
              <c:f>'2019G2'!$B$3:$L$3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'2019G2'!$B$5:$L$5</c:f>
              <c:numCache>
                <c:formatCode>#,##0</c:formatCode>
                <c:ptCount val="11"/>
                <c:pt idx="0">
                  <c:v>3521.897559999999</c:v>
                </c:pt>
                <c:pt idx="1">
                  <c:v>3327.3829099999962</c:v>
                </c:pt>
                <c:pt idx="2">
                  <c:v>3689.5768299999932</c:v>
                </c:pt>
                <c:pt idx="3">
                  <c:v>3597.4832299999998</c:v>
                </c:pt>
                <c:pt idx="4">
                  <c:v>4585.6046799999958</c:v>
                </c:pt>
                <c:pt idx="5">
                  <c:v>4562.1335199999985</c:v>
                </c:pt>
                <c:pt idx="6">
                  <c:v>3953.5794899999942</c:v>
                </c:pt>
                <c:pt idx="7">
                  <c:v>3778.0919500000027</c:v>
                </c:pt>
                <c:pt idx="8">
                  <c:v>3155.503110000001</c:v>
                </c:pt>
                <c:pt idx="9">
                  <c:v>2458.9610536935616</c:v>
                </c:pt>
                <c:pt idx="10">
                  <c:v>3039.8476373829076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C03-4EB6-AE3D-8BF3A28C7370}"/>
            </c:ext>
          </c:extLst>
        </c:ser>
        <c:ser>
          <c:idx val="2"/>
          <c:order val="2"/>
          <c:tx>
            <c:strRef>
              <c:f>'2019G2'!$A$6</c:f>
              <c:strCache>
                <c:ptCount val="1"/>
                <c:pt idx="0">
                  <c:v>nepřímá veřejná podpora</c:v>
                </c:pt>
              </c:strCache>
            </c:strRef>
          </c:tx>
          <c:marker>
            <c:symbol val="circle"/>
            <c:size val="5"/>
            <c:spPr>
              <a:solidFill>
                <a:schemeClr val="bg1"/>
              </a:solidFill>
            </c:spPr>
          </c:marker>
          <c:cat>
            <c:numRef>
              <c:f>'2019G2'!$B$3:$L$3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'2019G2'!$B$6:$L$6</c:f>
              <c:numCache>
                <c:formatCode>#,##0</c:formatCode>
                <c:ptCount val="11"/>
                <c:pt idx="0">
                  <c:v>1204.1870239199993</c:v>
                </c:pt>
                <c:pt idx="1">
                  <c:v>1019.9534673299993</c:v>
                </c:pt>
                <c:pt idx="2">
                  <c:v>1049.2181064000008</c:v>
                </c:pt>
                <c:pt idx="3">
                  <c:v>1316.8555946099987</c:v>
                </c:pt>
                <c:pt idx="4">
                  <c:v>1836.4267862200011</c:v>
                </c:pt>
                <c:pt idx="5">
                  <c:v>1982.6727428100019</c:v>
                </c:pt>
                <c:pt idx="6">
                  <c:v>2297.0599027799985</c:v>
                </c:pt>
                <c:pt idx="7">
                  <c:v>2263.3171474699993</c:v>
                </c:pt>
                <c:pt idx="8">
                  <c:v>2524.5865907399998</c:v>
                </c:pt>
                <c:pt idx="9">
                  <c:v>2384.4497657099982</c:v>
                </c:pt>
                <c:pt idx="10">
                  <c:v>2515.8111914600022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03-4EB6-AE3D-8BF3A28C7370}"/>
            </c:ext>
          </c:extLst>
        </c:ser>
        <c:ser>
          <c:idx val="3"/>
          <c:order val="3"/>
          <c:tx>
            <c:strRef>
              <c:f>'2019G2'!$A$7</c:f>
              <c:strCache>
                <c:ptCount val="1"/>
                <c:pt idx="0">
                  <c:v>přímá zahraniční veřejná podpora</c:v>
                </c:pt>
              </c:strCache>
            </c:strRef>
          </c:tx>
          <c:marker>
            <c:symbol val="circle"/>
            <c:size val="5"/>
            <c:spPr>
              <a:solidFill>
                <a:schemeClr val="bg1"/>
              </a:solidFill>
            </c:spPr>
          </c:marker>
          <c:cat>
            <c:numRef>
              <c:f>'2019G2'!$B$3:$L$3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'2019G2'!$B$7:$L$7</c:f>
              <c:numCache>
                <c:formatCode>#,##0</c:formatCode>
                <c:ptCount val="11"/>
                <c:pt idx="0">
                  <c:v>148.43900000000002</c:v>
                </c:pt>
                <c:pt idx="1">
                  <c:v>153.73399999999998</c:v>
                </c:pt>
                <c:pt idx="2">
                  <c:v>351.84426000000013</c:v>
                </c:pt>
                <c:pt idx="3">
                  <c:v>684.20565999999974</c:v>
                </c:pt>
                <c:pt idx="4">
                  <c:v>1229.9879999999998</c:v>
                </c:pt>
                <c:pt idx="5">
                  <c:v>1766.4173800000001</c:v>
                </c:pt>
                <c:pt idx="6">
                  <c:v>1705.2692900000002</c:v>
                </c:pt>
                <c:pt idx="7">
                  <c:v>1583.3281900000011</c:v>
                </c:pt>
                <c:pt idx="8">
                  <c:v>1531.6932899999999</c:v>
                </c:pt>
                <c:pt idx="9">
                  <c:v>415.31429012979493</c:v>
                </c:pt>
                <c:pt idx="10">
                  <c:v>938.15864406617163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C03-4EB6-AE3D-8BF3A28C73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586304"/>
        <c:axId val="277587840"/>
      </c:lineChart>
      <c:catAx>
        <c:axId val="277586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587840"/>
        <c:crosses val="autoZero"/>
        <c:auto val="1"/>
        <c:lblAlgn val="ctr"/>
        <c:lblOffset val="100"/>
        <c:noMultiLvlLbl val="0"/>
      </c:catAx>
      <c:valAx>
        <c:axId val="27758784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crossAx val="277586304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'2019G14'!$B$26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AEE-4CA4-A39A-7353FEE29D17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FAEE-4CA4-A39A-7353FEE29D17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FAEE-4CA4-A39A-7353FEE29D17}"/>
              </c:ext>
            </c:extLst>
          </c:dPt>
          <c:dLbls>
            <c:dLbl>
              <c:idx val="0"/>
              <c:layout>
                <c:manualLayout>
                  <c:x val="0"/>
                  <c:y val="1.2403709051939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EE-4CA4-A39A-7353FEE29D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'2019G14'!$A$27:$A$53</c:f>
              <c:strCache>
                <c:ptCount val="27"/>
                <c:pt idx="0">
                  <c:v>Belgie</c:v>
                </c:pt>
                <c:pt idx="1">
                  <c:v>Francie (2015)</c:v>
                </c:pt>
                <c:pt idx="2">
                  <c:v>Irsko</c:v>
                </c:pt>
                <c:pt idx="3">
                  <c:v>Nizozemsko</c:v>
                </c:pt>
                <c:pt idx="4">
                  <c:v>Velká Británie (2015)</c:v>
                </c:pt>
                <c:pt idx="5">
                  <c:v>Rakousko</c:v>
                </c:pt>
                <c:pt idx="6">
                  <c:v>Slovinsko</c:v>
                </c:pt>
                <c:pt idx="7">
                  <c:v>Portugalsko</c:v>
                </c:pt>
                <c:pt idx="8">
                  <c:v>Maďarsko</c:v>
                </c:pt>
                <c:pt idx="9">
                  <c:v>Itálie</c:v>
                </c:pt>
                <c:pt idx="10">
                  <c:v>Švédsko (2014)</c:v>
                </c:pt>
                <c:pt idx="11">
                  <c:v>Česko</c:v>
                </c:pt>
                <c:pt idx="12">
                  <c:v>Španělsko</c:v>
                </c:pt>
                <c:pt idx="13">
                  <c:v>Litva</c:v>
                </c:pt>
                <c:pt idx="14">
                  <c:v>Dánsko</c:v>
                </c:pt>
                <c:pt idx="15">
                  <c:v>Rumunsko</c:v>
                </c:pt>
                <c:pt idx="16">
                  <c:v>Řecko</c:v>
                </c:pt>
                <c:pt idx="17">
                  <c:v>Slovensko</c:v>
                </c:pt>
                <c:pt idx="18">
                  <c:v>Lotyšsko</c:v>
                </c:pt>
                <c:pt idx="20">
                  <c:v>Jižní Korea</c:v>
                </c:pt>
                <c:pt idx="21">
                  <c:v>Kanada</c:v>
                </c:pt>
                <c:pt idx="22">
                  <c:v>Norsko</c:v>
                </c:pt>
                <c:pt idx="23">
                  <c:v>Japonsko</c:v>
                </c:pt>
                <c:pt idx="24">
                  <c:v>Rusko</c:v>
                </c:pt>
                <c:pt idx="25">
                  <c:v>Spojené státy (2013)</c:v>
                </c:pt>
                <c:pt idx="26">
                  <c:v>Čína</c:v>
                </c:pt>
              </c:strCache>
            </c:strRef>
          </c:cat>
          <c:val>
            <c:numRef>
              <c:f>'2019G14'!$B$27:$B$53</c:f>
              <c:numCache>
                <c:formatCode>0.00%</c:formatCode>
                <c:ptCount val="27"/>
                <c:pt idx="0">
                  <c:v>2.9949999999999998E-3</c:v>
                </c:pt>
                <c:pt idx="1">
                  <c:v>2.869E-3</c:v>
                </c:pt>
                <c:pt idx="2">
                  <c:v>2.431E-3</c:v>
                </c:pt>
                <c:pt idx="3">
                  <c:v>1.719E-3</c:v>
                </c:pt>
                <c:pt idx="4">
                  <c:v>1.5219999999999999E-3</c:v>
                </c:pt>
                <c:pt idx="5">
                  <c:v>1.4940000000000001E-3</c:v>
                </c:pt>
                <c:pt idx="6">
                  <c:v>1.1999999999999999E-3</c:v>
                </c:pt>
                <c:pt idx="7">
                  <c:v>1.0380000000000001E-3</c:v>
                </c:pt>
                <c:pt idx="8">
                  <c:v>9.1399999999999999E-4</c:v>
                </c:pt>
                <c:pt idx="9">
                  <c:v>7.7200000000000001E-4</c:v>
                </c:pt>
                <c:pt idx="10">
                  <c:v>5.2800000000000004E-4</c:v>
                </c:pt>
                <c:pt idx="11">
                  <c:v>5.0100000000000003E-4</c:v>
                </c:pt>
                <c:pt idx="12">
                  <c:v>3.2200000000000002E-4</c:v>
                </c:pt>
                <c:pt idx="13">
                  <c:v>2.5700000000000001E-4</c:v>
                </c:pt>
                <c:pt idx="14">
                  <c:v>1.95E-4</c:v>
                </c:pt>
                <c:pt idx="15">
                  <c:v>5.7999999999999994E-5</c:v>
                </c:pt>
                <c:pt idx="16" formatCode="0.000%">
                  <c:v>4.7000000000000004E-5</c:v>
                </c:pt>
                <c:pt idx="17" formatCode="0.000%">
                  <c:v>4.4999999999999996E-5</c:v>
                </c:pt>
                <c:pt idx="18" formatCode="0.000%">
                  <c:v>2.5999999999999998E-5</c:v>
                </c:pt>
                <c:pt idx="20">
                  <c:v>1.371E-3</c:v>
                </c:pt>
                <c:pt idx="21">
                  <c:v>1.3139999999999998E-3</c:v>
                </c:pt>
                <c:pt idx="22">
                  <c:v>1.1969999999999999E-3</c:v>
                </c:pt>
                <c:pt idx="23">
                  <c:v>1.101E-3</c:v>
                </c:pt>
                <c:pt idx="24">
                  <c:v>1.0709999999999999E-3</c:v>
                </c:pt>
                <c:pt idx="25">
                  <c:v>7.000000000000001E-4</c:v>
                </c:pt>
                <c:pt idx="26">
                  <c:v>6.5799999999999995E-4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AEE-4CA4-A39A-7353FEE29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71110528"/>
        <c:axId val="271112064"/>
      </c:barChart>
      <c:catAx>
        <c:axId val="27111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71112064"/>
        <c:crosses val="autoZero"/>
        <c:auto val="1"/>
        <c:lblAlgn val="ctr"/>
        <c:lblOffset val="100"/>
        <c:noMultiLvlLbl val="0"/>
      </c:catAx>
      <c:valAx>
        <c:axId val="271112064"/>
        <c:scaling>
          <c:orientation val="minMax"/>
          <c:max val="4.000000000000001E-3"/>
          <c:min val="0"/>
        </c:scaling>
        <c:delete val="1"/>
        <c:axPos val="l"/>
        <c:numFmt formatCode="0.0%" sourceLinked="0"/>
        <c:majorTickMark val="out"/>
        <c:minorTickMark val="none"/>
        <c:tickLblPos val="nextTo"/>
        <c:crossAx val="271110528"/>
        <c:crosses val="autoZero"/>
        <c:crossBetween val="between"/>
        <c:majorUnit val="1.0000000000000013E-3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'2019G15'!$C$35</c:f>
              <c:strCache>
                <c:ptCount val="1"/>
                <c:pt idx="0">
                  <c:v>Volume of R&amp;D tax incentives, million current USD PPPs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3BA-4B9E-8F39-8DF3A3EECE5D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43BA-4B9E-8F39-8DF3A3EECE5D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4-43BA-4B9E-8F39-8DF3A3EECE5D}"/>
              </c:ext>
            </c:extLst>
          </c:dPt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BA-4B9E-8F39-8DF3A3EECE5D}"/>
                </c:ext>
              </c:extLst>
            </c:dLbl>
            <c:dLbl>
              <c:idx val="16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BA-4B9E-8F39-8DF3A3EECE5D}"/>
                </c:ext>
              </c:extLst>
            </c:dLbl>
            <c:dLbl>
              <c:idx val="17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BA-4B9E-8F39-8DF3A3EECE5D}"/>
                </c:ext>
              </c:extLst>
            </c:dLbl>
            <c:dLbl>
              <c:idx val="19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3BA-4B9E-8F39-8DF3A3EECE5D}"/>
                </c:ext>
              </c:extLst>
            </c:dLbl>
            <c:dLbl>
              <c:idx val="2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BA-4B9E-8F39-8DF3A3EECE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'2019G15'!$B$36:$B$63</c:f>
              <c:strCache>
                <c:ptCount val="28"/>
                <c:pt idx="0">
                  <c:v>Francie (2015)</c:v>
                </c:pt>
                <c:pt idx="1">
                  <c:v>Velká Británie (2015)</c:v>
                </c:pt>
                <c:pt idx="2">
                  <c:v>Itálie</c:v>
                </c:pt>
                <c:pt idx="3">
                  <c:v>Belgie</c:v>
                </c:pt>
                <c:pt idx="4">
                  <c:v>Nizozemsko</c:v>
                </c:pt>
                <c:pt idx="5">
                  <c:v>Irsko</c:v>
                </c:pt>
                <c:pt idx="6">
                  <c:v>Rakousko</c:v>
                </c:pt>
                <c:pt idx="7">
                  <c:v>Španělsko</c:v>
                </c:pt>
                <c:pt idx="8">
                  <c:v>Portugalsko</c:v>
                </c:pt>
                <c:pt idx="9">
                  <c:v>Maďarsko</c:v>
                </c:pt>
                <c:pt idx="10">
                  <c:v>Česko</c:v>
                </c:pt>
                <c:pt idx="11">
                  <c:v>Slovinsko (2015)</c:v>
                </c:pt>
                <c:pt idx="12">
                  <c:v>Dánsko</c:v>
                </c:pt>
                <c:pt idx="13">
                  <c:v>Rumunsko</c:v>
                </c:pt>
                <c:pt idx="14">
                  <c:v>Litva</c:v>
                </c:pt>
                <c:pt idx="15">
                  <c:v>Řecko (2015)</c:v>
                </c:pt>
                <c:pt idx="16">
                  <c:v>Slovensko</c:v>
                </c:pt>
                <c:pt idx="17">
                  <c:v>Lotyšsko</c:v>
                </c:pt>
                <c:pt idx="19">
                  <c:v>Čína</c:v>
                </c:pt>
                <c:pt idx="20">
                  <c:v>Spojené státy (2013)</c:v>
                </c:pt>
                <c:pt idx="21">
                  <c:v>Japonsko</c:v>
                </c:pt>
                <c:pt idx="22">
                  <c:v>Rusko</c:v>
                </c:pt>
                <c:pt idx="23">
                  <c:v>Jižní Korea</c:v>
                </c:pt>
                <c:pt idx="24">
                  <c:v>Norsko</c:v>
                </c:pt>
                <c:pt idx="25">
                  <c:v>JAR (2011)</c:v>
                </c:pt>
                <c:pt idx="26">
                  <c:v>Chile (2011)</c:v>
                </c:pt>
                <c:pt idx="27">
                  <c:v>Island</c:v>
                </c:pt>
              </c:strCache>
            </c:strRef>
          </c:cat>
          <c:val>
            <c:numRef>
              <c:f>'2019G15'!$C$36:$C$63</c:f>
              <c:numCache>
                <c:formatCode>#,##0</c:formatCode>
                <c:ptCount val="28"/>
                <c:pt idx="0">
                  <c:v>7749.9738890561357</c:v>
                </c:pt>
                <c:pt idx="1">
                  <c:v>4122.1415636609208</c:v>
                </c:pt>
                <c:pt idx="2">
                  <c:v>1796.6500553709857</c:v>
                </c:pt>
                <c:pt idx="3">
                  <c:v>1575.2528878806695</c:v>
                </c:pt>
                <c:pt idx="4">
                  <c:v>1479.7193922861054</c:v>
                </c:pt>
                <c:pt idx="5">
                  <c:v>825.38845614169088</c:v>
                </c:pt>
                <c:pt idx="6">
                  <c:v>659.27887858874089</c:v>
                </c:pt>
                <c:pt idx="7">
                  <c:v>543.31508201025076</c:v>
                </c:pt>
                <c:pt idx="8">
                  <c:v>328.52071813775683</c:v>
                </c:pt>
                <c:pt idx="9">
                  <c:v>239.46871002409267</c:v>
                </c:pt>
                <c:pt idx="10">
                  <c:v>183.84585686438507</c:v>
                </c:pt>
                <c:pt idx="11">
                  <c:v>77.916518970833138</c:v>
                </c:pt>
                <c:pt idx="12">
                  <c:v>54.673474162161632</c:v>
                </c:pt>
                <c:pt idx="13">
                  <c:v>26.211507805072163</c:v>
                </c:pt>
                <c:pt idx="14">
                  <c:v>21.928950201347632</c:v>
                </c:pt>
                <c:pt idx="15">
                  <c:v>13.435728880099227</c:v>
                </c:pt>
                <c:pt idx="16">
                  <c:v>7.5420776589390952</c:v>
                </c:pt>
                <c:pt idx="17">
                  <c:v>1.4080342433927993</c:v>
                </c:pt>
                <c:pt idx="19">
                  <c:v>14083.316064973906</c:v>
                </c:pt>
                <c:pt idx="20">
                  <c:v>11294.4</c:v>
                </c:pt>
                <c:pt idx="21">
                  <c:v>5909.3746765585511</c:v>
                </c:pt>
                <c:pt idx="22">
                  <c:v>3893.3282197830508</c:v>
                </c:pt>
                <c:pt idx="23">
                  <c:v>2572.6984369183942</c:v>
                </c:pt>
                <c:pt idx="24">
                  <c:v>368.36948506192607</c:v>
                </c:pt>
                <c:pt idx="25">
                  <c:v>196.7</c:v>
                </c:pt>
                <c:pt idx="26">
                  <c:v>19</c:v>
                </c:pt>
                <c:pt idx="27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3BA-4B9E-8F39-8DF3A3EEC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71622528"/>
        <c:axId val="271624064"/>
      </c:barChart>
      <c:catAx>
        <c:axId val="27162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271624064"/>
        <c:crosses val="autoZero"/>
        <c:auto val="1"/>
        <c:lblAlgn val="ctr"/>
        <c:lblOffset val="100"/>
        <c:noMultiLvlLbl val="0"/>
      </c:catAx>
      <c:valAx>
        <c:axId val="271624064"/>
        <c:scaling>
          <c:orientation val="minMax"/>
          <c:max val="15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271622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9BB-4CB2-8D3B-7066A472AF21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49BB-4CB2-8D3B-7066A472AF21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49BB-4CB2-8D3B-7066A472AF21}"/>
              </c:ext>
            </c:extLst>
          </c:dPt>
          <c:dLbls>
            <c:dLbl>
              <c:idx val="0"/>
              <c:layout>
                <c:manualLayout>
                  <c:x val="0"/>
                  <c:y val="1.2403709051939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BB-4CB2-8D3B-7066A472AF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'19GRAF3-3'!$B$3:$B$27</c:f>
              <c:strCache>
                <c:ptCount val="25"/>
                <c:pt idx="0">
                  <c:v>Irsko</c:v>
                </c:pt>
                <c:pt idx="1">
                  <c:v>Francie (2015)</c:v>
                </c:pt>
                <c:pt idx="2">
                  <c:v>Belgie</c:v>
                </c:pt>
                <c:pt idx="3">
                  <c:v>Velká Británie (2015)</c:v>
                </c:pt>
                <c:pt idx="4">
                  <c:v>Nizozemsko</c:v>
                </c:pt>
                <c:pt idx="5">
                  <c:v>Portugalsko</c:v>
                </c:pt>
                <c:pt idx="6">
                  <c:v>Maďarsko</c:v>
                </c:pt>
                <c:pt idx="7">
                  <c:v>Itálie</c:v>
                </c:pt>
                <c:pt idx="8">
                  <c:v>Slovinsko (2015)</c:v>
                </c:pt>
                <c:pt idx="9">
                  <c:v>Rakousko</c:v>
                </c:pt>
                <c:pt idx="10">
                  <c:v>Litva</c:v>
                </c:pt>
                <c:pt idx="11">
                  <c:v>Česko</c:v>
                </c:pt>
                <c:pt idx="12">
                  <c:v>Španělsko</c:v>
                </c:pt>
                <c:pt idx="13">
                  <c:v>Rumunsko</c:v>
                </c:pt>
                <c:pt idx="14">
                  <c:v>Lotyšsko</c:v>
                </c:pt>
                <c:pt idx="15">
                  <c:v>Dánsko</c:v>
                </c:pt>
                <c:pt idx="16">
                  <c:v>Slovensko</c:v>
                </c:pt>
                <c:pt idx="17">
                  <c:v>Řecko (2015)</c:v>
                </c:pt>
                <c:pt idx="19">
                  <c:v>Rusko</c:v>
                </c:pt>
                <c:pt idx="20">
                  <c:v>Norsko</c:v>
                </c:pt>
                <c:pt idx="21">
                  <c:v>Čína</c:v>
                </c:pt>
                <c:pt idx="22">
                  <c:v>Japonsko</c:v>
                </c:pt>
                <c:pt idx="23">
                  <c:v>Jižní Korea</c:v>
                </c:pt>
                <c:pt idx="24">
                  <c:v>Spojené státy (2013)</c:v>
                </c:pt>
              </c:strCache>
            </c:strRef>
          </c:cat>
          <c:val>
            <c:numRef>
              <c:f>'19GRAF3-3'!$C$3:$C$27</c:f>
              <c:numCache>
                <c:formatCode>0.0</c:formatCode>
                <c:ptCount val="25"/>
                <c:pt idx="0">
                  <c:v>20.659882824545175</c:v>
                </c:pt>
                <c:pt idx="1">
                  <c:v>12.655116572058942</c:v>
                </c:pt>
                <c:pt idx="2">
                  <c:v>11.71139474579409</c:v>
                </c:pt>
                <c:pt idx="3">
                  <c:v>9.0901207369791166</c:v>
                </c:pt>
                <c:pt idx="4">
                  <c:v>8.5404806409998351</c:v>
                </c:pt>
                <c:pt idx="5">
                  <c:v>8.0595628911766415</c:v>
                </c:pt>
                <c:pt idx="6">
                  <c:v>7.5771789351821246</c:v>
                </c:pt>
                <c:pt idx="7">
                  <c:v>5.6012503575495742</c:v>
                </c:pt>
                <c:pt idx="8">
                  <c:v>5.4626424419183959</c:v>
                </c:pt>
                <c:pt idx="9">
                  <c:v>4.7398643520344059</c:v>
                </c:pt>
                <c:pt idx="10">
                  <c:v>3.0218673308670012</c:v>
                </c:pt>
                <c:pt idx="11">
                  <c:v>2.9834295088721547</c:v>
                </c:pt>
                <c:pt idx="12">
                  <c:v>2.715686274509804</c:v>
                </c:pt>
                <c:pt idx="13">
                  <c:v>1.1972329972393818</c:v>
                </c:pt>
                <c:pt idx="14">
                  <c:v>0.63405797101449268</c:v>
                </c:pt>
                <c:pt idx="15">
                  <c:v>0.61405519426496724</c:v>
                </c:pt>
                <c:pt idx="16">
                  <c:v>0.57737171034665702</c:v>
                </c:pt>
                <c:pt idx="17">
                  <c:v>0.48127149581528567</c:v>
                </c:pt>
                <c:pt idx="19">
                  <c:v>9.7621335193584517</c:v>
                </c:pt>
                <c:pt idx="20">
                  <c:v>5.8884075725237111</c:v>
                </c:pt>
                <c:pt idx="21">
                  <c:v>4.0274261919137384</c:v>
                </c:pt>
                <c:pt idx="22">
                  <c:v>3.5040337549429279</c:v>
                </c:pt>
                <c:pt idx="23">
                  <c:v>3.2420413815726468</c:v>
                </c:pt>
                <c:pt idx="24">
                  <c:v>2.4832626461838831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9BB-4CB2-8D3B-7066A472A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271110528"/>
        <c:axId val="271112064"/>
      </c:barChart>
      <c:catAx>
        <c:axId val="27111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71112064"/>
        <c:crosses val="autoZero"/>
        <c:auto val="1"/>
        <c:lblAlgn val="ctr"/>
        <c:lblOffset val="100"/>
        <c:noMultiLvlLbl val="0"/>
      </c:catAx>
      <c:valAx>
        <c:axId val="271112064"/>
        <c:scaling>
          <c:orientation val="minMax"/>
        </c:scaling>
        <c:delete val="1"/>
        <c:axPos val="l"/>
        <c:numFmt formatCode="0.0%" sourceLinked="0"/>
        <c:majorTickMark val="out"/>
        <c:minorTickMark val="none"/>
        <c:tickLblPos val="nextTo"/>
        <c:crossAx val="2711105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900" baseline="0">
          <a:latin typeface="+mn-lt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'2019G3'!$A$8</c:f>
              <c:strCache>
                <c:ptCount val="1"/>
                <c:pt idx="0">
                  <c:v>CELKOVÁ VEŘEJNÁ PODPORA</c:v>
                </c:pt>
              </c:strCache>
            </c:strRef>
          </c:tx>
          <c:spPr>
            <a:ln w="28575" cap="rnd">
              <a:solidFill>
                <a:schemeClr val="accent5">
                  <a:shade val="58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5">
                    <a:shade val="65000"/>
                  </a:schemeClr>
                </a:solidFill>
              </a:ln>
              <a:effectLst/>
            </c:spPr>
          </c:marker>
          <c:cat>
            <c:numRef>
              <c:f>'2019G3'!$B$3:$L$3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'2019G3'!$B$8:$L$8</c:f>
              <c:numCache>
                <c:formatCode>0%</c:formatCode>
                <c:ptCount val="11"/>
                <c:pt idx="0">
                  <c:v>0.17849560956478835</c:v>
                </c:pt>
                <c:pt idx="1">
                  <c:v>0.17089166070816855</c:v>
                </c:pt>
                <c:pt idx="2">
                  <c:v>0.19634466988371105</c:v>
                </c:pt>
                <c:pt idx="3">
                  <c:v>0.20107611405568335</c:v>
                </c:pt>
                <c:pt idx="4">
                  <c:v>0.23501003654828276</c:v>
                </c:pt>
                <c:pt idx="5">
                  <c:v>0.22584090141154686</c:v>
                </c:pt>
                <c:pt idx="6">
                  <c:v>0.19921807327815977</c:v>
                </c:pt>
                <c:pt idx="7">
                  <c:v>0.1704505332123743</c:v>
                </c:pt>
                <c:pt idx="8">
                  <c:v>0.15714144774915448</c:v>
                </c:pt>
                <c:pt idx="9">
                  <c:v>0.112022984003302</c:v>
                </c:pt>
                <c:pt idx="10">
                  <c:v>0.11955708477457894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03-42D4-AC6D-D34AD5D933E1}"/>
            </c:ext>
          </c:extLst>
        </c:ser>
        <c:ser>
          <c:idx val="1"/>
          <c:order val="1"/>
          <c:tx>
            <c:strRef>
              <c:f>'2019G3'!$A$9</c:f>
              <c:strCache>
                <c:ptCount val="1"/>
                <c:pt idx="0">
                  <c:v>přímá domácí veřejná podpora</c:v>
                </c:pt>
              </c:strCache>
            </c:strRef>
          </c:tx>
          <c:spPr>
            <a:ln w="28575" cap="rnd">
              <a:solidFill>
                <a:schemeClr val="accent5">
                  <a:shade val="86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5">
                    <a:shade val="86000"/>
                  </a:schemeClr>
                </a:solidFill>
              </a:ln>
              <a:effectLst/>
            </c:spPr>
          </c:marker>
          <c:cat>
            <c:numRef>
              <c:f>'2019G3'!$B$3:$L$3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'2019G3'!$B$9:$L$9</c:f>
              <c:numCache>
                <c:formatCode>0%</c:formatCode>
                <c:ptCount val="11"/>
                <c:pt idx="0">
                  <c:v>0.12896506519543754</c:v>
                </c:pt>
                <c:pt idx="1">
                  <c:v>0.12632929596690007</c:v>
                </c:pt>
                <c:pt idx="2">
                  <c:v>0.14230604777671935</c:v>
                </c:pt>
                <c:pt idx="3">
                  <c:v>0.12920643039586005</c:v>
                </c:pt>
                <c:pt idx="4">
                  <c:v>0.14083381886313051</c:v>
                </c:pt>
                <c:pt idx="5">
                  <c:v>0.12396686586673125</c:v>
                </c:pt>
                <c:pt idx="6">
                  <c:v>9.8998683865566039E-2</c:v>
                </c:pt>
                <c:pt idx="7">
                  <c:v>8.4459013225432755E-2</c:v>
                </c:pt>
                <c:pt idx="8">
                  <c:v>6.8756967274119174E-2</c:v>
                </c:pt>
                <c:pt idx="9">
                  <c:v>5.2381546676262762E-2</c:v>
                </c:pt>
                <c:pt idx="10">
                  <c:v>5.5966359264111108E-2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03-42D4-AC6D-D34AD5D933E1}"/>
            </c:ext>
          </c:extLst>
        </c:ser>
        <c:ser>
          <c:idx val="2"/>
          <c:order val="2"/>
          <c:tx>
            <c:strRef>
              <c:f>'2019G3'!$A$10</c:f>
              <c:strCache>
                <c:ptCount val="1"/>
                <c:pt idx="0">
                  <c:v>nepřímá veřejná podpora</c:v>
                </c:pt>
              </c:strCache>
            </c:strRef>
          </c:tx>
          <c:spPr>
            <a:ln w="28575" cap="rnd">
              <a:solidFill>
                <a:schemeClr val="accent5">
                  <a:tint val="86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5">
                    <a:tint val="86000"/>
                  </a:schemeClr>
                </a:solidFill>
              </a:ln>
              <a:effectLst/>
            </c:spPr>
          </c:marker>
          <c:cat>
            <c:numRef>
              <c:f>'2019G3'!$B$3:$L$3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'2019G3'!$B$10:$L$10</c:f>
              <c:numCache>
                <c:formatCode>0%</c:formatCode>
                <c:ptCount val="11"/>
                <c:pt idx="0">
                  <c:v>4.4094995780440252E-2</c:v>
                </c:pt>
                <c:pt idx="1">
                  <c:v>3.8725613002294317E-2</c:v>
                </c:pt>
                <c:pt idx="2">
                  <c:v>4.0468077738215265E-2</c:v>
                </c:pt>
                <c:pt idx="3">
                  <c:v>4.7295901008654842E-2</c:v>
                </c:pt>
                <c:pt idx="4">
                  <c:v>5.6400630977615933E-2</c:v>
                </c:pt>
                <c:pt idx="5">
                  <c:v>5.3875171537187204E-2</c:v>
                </c:pt>
                <c:pt idx="6">
                  <c:v>5.7518992019959414E-2</c:v>
                </c:pt>
                <c:pt idx="7">
                  <c:v>5.0596315659156323E-2</c:v>
                </c:pt>
                <c:pt idx="8">
                  <c:v>5.5009585333664984E-2</c:v>
                </c:pt>
                <c:pt idx="9">
                  <c:v>5.0794284241358893E-2</c:v>
                </c:pt>
                <c:pt idx="10">
                  <c:v>4.6318371766534118E-2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F03-42D4-AC6D-D34AD5D933E1}"/>
            </c:ext>
          </c:extLst>
        </c:ser>
        <c:ser>
          <c:idx val="3"/>
          <c:order val="3"/>
          <c:tx>
            <c:strRef>
              <c:f>'2019G3'!$A$11</c:f>
              <c:strCache>
                <c:ptCount val="1"/>
                <c:pt idx="0">
                  <c:v>přímá zahraniční veřejná podpora</c:v>
                </c:pt>
              </c:strCache>
            </c:strRef>
          </c:tx>
          <c:spPr>
            <a:ln w="28575" cap="rnd">
              <a:solidFill>
                <a:schemeClr val="accent5">
                  <a:tint val="58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5">
                    <a:tint val="58000"/>
                  </a:schemeClr>
                </a:solidFill>
              </a:ln>
              <a:effectLst/>
            </c:spPr>
          </c:marker>
          <c:cat>
            <c:numRef>
              <c:f>'2019G3'!$B$3:$L$3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'2019G3'!$B$11:$L$11</c:f>
              <c:numCache>
                <c:formatCode>0%</c:formatCode>
                <c:ptCount val="11"/>
                <c:pt idx="0">
                  <c:v>5.4355485889105654E-3</c:v>
                </c:pt>
                <c:pt idx="1">
                  <c:v>5.8367517389741703E-3</c:v>
                </c:pt>
                <c:pt idx="2">
                  <c:v>1.3570544368776454E-2</c:v>
                </c:pt>
                <c:pt idx="3">
                  <c:v>2.4573782651168455E-2</c:v>
                </c:pt>
                <c:pt idx="4">
                  <c:v>3.7775586707536314E-2</c:v>
                </c:pt>
                <c:pt idx="5">
                  <c:v>4.7998864007628372E-2</c:v>
                </c:pt>
                <c:pt idx="6">
                  <c:v>4.2700397392634315E-2</c:v>
                </c:pt>
                <c:pt idx="7">
                  <c:v>3.5395204327785215E-2</c:v>
                </c:pt>
                <c:pt idx="8">
                  <c:v>3.3374895141370306E-2</c:v>
                </c:pt>
                <c:pt idx="9">
                  <c:v>8.8471530856803465E-3</c:v>
                </c:pt>
                <c:pt idx="10">
                  <c:v>1.7272353743933707E-2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F03-42D4-AC6D-D34AD5D933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8514128"/>
        <c:axId val="1378512880"/>
      </c:lineChart>
      <c:catAx>
        <c:axId val="137851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378512880"/>
        <c:crosses val="autoZero"/>
        <c:auto val="1"/>
        <c:lblAlgn val="ctr"/>
        <c:lblOffset val="100"/>
        <c:noMultiLvlLbl val="0"/>
      </c:catAx>
      <c:valAx>
        <c:axId val="137851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378514128"/>
        <c:crosses val="autoZero"/>
        <c:crossBetween val="between"/>
      </c:val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74329553483194E-2"/>
          <c:y val="6.4675925925925928E-2"/>
          <c:w val="0.59310679461490634"/>
          <c:h val="0.81619305555555555"/>
        </c:manualLayout>
      </c:layout>
      <c:lineChart>
        <c:grouping val="standard"/>
        <c:varyColors val="0"/>
        <c:ser>
          <c:idx val="0"/>
          <c:order val="0"/>
          <c:tx>
            <c:strRef>
              <c:f>'2019G4'!$A$30</c:f>
              <c:strCache>
                <c:ptCount val="1"/>
                <c:pt idx="0">
                  <c:v>CELKOVÁ VEŘEJNÁ PODPORA</c:v>
                </c:pt>
              </c:strCache>
              <c:extLst xmlns:c15="http://schemas.microsoft.com/office/drawing/2012/chart"/>
            </c:strRef>
          </c:tx>
          <c:spPr>
            <a:ln w="31750">
              <a:solidFill>
                <a:schemeClr val="accent5">
                  <a:lumMod val="50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marker>
          <c:cat>
            <c:numRef>
              <c:f>'2019G4'!$B$29:$L$29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  <c:extLst xmlns:c15="http://schemas.microsoft.com/office/drawing/2012/chart"/>
            </c:numRef>
          </c:cat>
          <c:val>
            <c:numRef>
              <c:f>'2019G4'!$B$30:$L$30</c:f>
              <c:numCache>
                <c:formatCode>0.00%</c:formatCode>
                <c:ptCount val="11"/>
                <c:pt idx="0">
                  <c:v>1.1960894899608529E-3</c:v>
                </c:pt>
                <c:pt idx="1">
                  <c:v>1.1051476577395745E-3</c:v>
                </c:pt>
                <c:pt idx="2">
                  <c:v>1.2808944810578234E-3</c:v>
                </c:pt>
                <c:pt idx="3">
                  <c:v>1.407523067619037E-3</c:v>
                </c:pt>
                <c:pt idx="4">
                  <c:v>1.7951136016490831E-3</c:v>
                </c:pt>
                <c:pt idx="5">
                  <c:v>1.9575652484117878E-3</c:v>
                </c:pt>
                <c:pt idx="6">
                  <c:v>1.8411876551391267E-3</c:v>
                </c:pt>
                <c:pt idx="7">
                  <c:v>1.7675267120088635E-3</c:v>
                </c:pt>
                <c:pt idx="8">
                  <c:v>1.5692174740930989E-3</c:v>
                </c:pt>
                <c:pt idx="9">
                  <c:v>1.1029228478946793E-3</c:v>
                </c:pt>
                <c:pt idx="10">
                  <c:v>1.361961219069059E-3</c:v>
                </c:pt>
              </c:numCache>
              <c:extLst xmlns:c15="http://schemas.microsoft.com/office/drawing/2012/chart"/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2BE7-471F-8252-8873E587D92E}"/>
            </c:ext>
          </c:extLst>
        </c:ser>
        <c:ser>
          <c:idx val="1"/>
          <c:order val="1"/>
          <c:tx>
            <c:strRef>
              <c:f>'2019G4'!$A$31</c:f>
              <c:strCache>
                <c:ptCount val="1"/>
                <c:pt idx="0">
                  <c:v>přímá domácí veřejná podpora</c:v>
                </c:pt>
              </c:strCache>
            </c:strRef>
          </c:tx>
          <c:spPr>
            <a:ln w="25400">
              <a:solidFill>
                <a:schemeClr val="accent5"/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/>
                </a:solidFill>
              </a:ln>
            </c:spPr>
          </c:marker>
          <c:cat>
            <c:numRef>
              <c:f>'2019G4'!$B$29:$L$29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'2019G4'!$B$31:$L$31</c:f>
              <c:numCache>
                <c:formatCode>0.00%</c:formatCode>
                <c:ptCount val="11"/>
                <c:pt idx="0">
                  <c:v>8.4841856641347134E-4</c:v>
                </c:pt>
                <c:pt idx="1">
                  <c:v>8.1347458585324505E-4</c:v>
                </c:pt>
                <c:pt idx="2">
                  <c:v>9.2442716012506535E-4</c:v>
                </c:pt>
                <c:pt idx="3">
                  <c:v>9.0251879386159738E-4</c:v>
                </c:pt>
                <c:pt idx="4">
                  <c:v>1.0390798846236316E-3</c:v>
                </c:pt>
                <c:pt idx="5">
                  <c:v>1.0430599283925359E-3</c:v>
                </c:pt>
                <c:pt idx="6">
                  <c:v>9.0973280727200327E-4</c:v>
                </c:pt>
                <c:pt idx="7">
                  <c:v>8.7581751216853695E-4</c:v>
                </c:pt>
                <c:pt idx="8">
                  <c:v>6.8660837772366594E-4</c:v>
                </c:pt>
                <c:pt idx="9">
                  <c:v>5.1572277913618876E-4</c:v>
                </c:pt>
                <c:pt idx="10">
                  <c:v>6.3755327452090049E-4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E7-471F-8252-8873E587D92E}"/>
            </c:ext>
          </c:extLst>
        </c:ser>
        <c:ser>
          <c:idx val="2"/>
          <c:order val="2"/>
          <c:tx>
            <c:strRef>
              <c:f>'2019G4'!$A$32</c:f>
              <c:strCache>
                <c:ptCount val="1"/>
                <c:pt idx="0">
                  <c:v>nepřímá veřejná podpora</c:v>
                </c:pt>
              </c:strCache>
            </c:strRef>
          </c:tx>
          <c:spPr>
            <a:ln w="25400"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cat>
            <c:numRef>
              <c:f>'2019G4'!$B$29:$L$29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'2019G4'!$B$32:$L$32</c:f>
              <c:numCache>
                <c:formatCode>0.00%</c:formatCode>
                <c:ptCount val="11"/>
                <c:pt idx="0">
                  <c:v>3.135808163970005E-4</c:v>
                </c:pt>
                <c:pt idx="1">
                  <c:v>2.5346990831032001E-4</c:v>
                </c:pt>
                <c:pt idx="2">
                  <c:v>2.669488357064115E-4</c:v>
                </c:pt>
                <c:pt idx="3">
                  <c:v>3.3233250689722354E-4</c:v>
                </c:pt>
                <c:pt idx="4">
                  <c:v>4.5526483046689744E-4</c:v>
                </c:pt>
                <c:pt idx="5">
                  <c:v>4.8835362510566761E-4</c:v>
                </c:pt>
                <c:pt idx="6">
                  <c:v>5.6051443556179748E-4</c:v>
                </c:pt>
                <c:pt idx="7">
                  <c:v>5.2467034142606459E-4</c:v>
                </c:pt>
                <c:pt idx="8">
                  <c:v>5.4932676123742145E-4</c:v>
                </c:pt>
                <c:pt idx="9">
                  <c:v>5.000953789143851E-4</c:v>
                </c:pt>
                <c:pt idx="10">
                  <c:v>5.2764607129209625E-4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E7-471F-8252-8873E587D92E}"/>
            </c:ext>
          </c:extLst>
        </c:ser>
        <c:ser>
          <c:idx val="3"/>
          <c:order val="3"/>
          <c:tx>
            <c:strRef>
              <c:f>'2019G4'!$A$33</c:f>
              <c:strCache>
                <c:ptCount val="1"/>
                <c:pt idx="0">
                  <c:v>přímá zahraniční veřejná podpora</c:v>
                </c:pt>
              </c:strCache>
            </c:strRef>
          </c:tx>
          <c:spPr>
            <a:ln w="25400">
              <a:solidFill>
                <a:schemeClr val="accent5">
                  <a:lumMod val="40000"/>
                  <a:lumOff val="60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5">
                    <a:lumMod val="40000"/>
                    <a:lumOff val="60000"/>
                  </a:schemeClr>
                </a:solidFill>
              </a:ln>
            </c:spPr>
          </c:marker>
          <c:cat>
            <c:numRef>
              <c:f>'2019G4'!$B$29:$L$29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'2019G4'!$B$33:$L$33</c:f>
              <c:numCache>
                <c:formatCode>0.00%</c:formatCode>
                <c:ptCount val="11"/>
                <c:pt idx="0">
                  <c:v>3.4090107150381084E-5</c:v>
                </c:pt>
                <c:pt idx="1">
                  <c:v>3.8203163576009346E-5</c:v>
                </c:pt>
                <c:pt idx="2">
                  <c:v>8.9518485226346657E-5</c:v>
                </c:pt>
                <c:pt idx="3">
                  <c:v>1.7267176686021628E-4</c:v>
                </c:pt>
                <c:pt idx="4">
                  <c:v>3.0076888655855403E-4</c:v>
                </c:pt>
                <c:pt idx="5">
                  <c:v>4.2615169491358435E-4</c:v>
                </c:pt>
                <c:pt idx="6">
                  <c:v>3.7094041230532584E-4</c:v>
                </c:pt>
                <c:pt idx="7">
                  <c:v>3.670388584142618E-4</c:v>
                </c:pt>
                <c:pt idx="8">
                  <c:v>3.3328233513201135E-4</c:v>
                </c:pt>
                <c:pt idx="9">
                  <c:v>8.7104689844105164E-5</c:v>
                </c:pt>
                <c:pt idx="10">
                  <c:v>1.9676187325606218E-4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BE7-471F-8252-8873E587D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732864"/>
        <c:axId val="183747328"/>
        <c:extLst/>
      </c:lineChart>
      <c:catAx>
        <c:axId val="18373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747328"/>
        <c:crosses val="autoZero"/>
        <c:auto val="1"/>
        <c:lblAlgn val="ctr"/>
        <c:lblOffset val="100"/>
        <c:noMultiLvlLbl val="0"/>
      </c:catAx>
      <c:valAx>
        <c:axId val="183747328"/>
        <c:scaling>
          <c:orientation val="minMax"/>
          <c:max val="2.0000000000000005E-3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numFmt formatCode="0.00%" sourceLinked="1"/>
        <c:majorTickMark val="out"/>
        <c:minorTickMark val="none"/>
        <c:tickLblPos val="nextTo"/>
        <c:crossAx val="183732864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'2019G5'!$A$15</c:f>
              <c:strCache>
                <c:ptCount val="1"/>
                <c:pt idx="0">
                  <c:v>výše nepřímé podpory VaV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numRef>
              <c:f>'2019G5'!$B$13:$L$13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'2019G5'!$B$15:$L$15</c:f>
              <c:numCache>
                <c:formatCode>#,##0</c:formatCode>
                <c:ptCount val="11"/>
                <c:pt idx="0">
                  <c:v>1204.1870239200002</c:v>
                </c:pt>
                <c:pt idx="1">
                  <c:v>1019.99256702</c:v>
                </c:pt>
                <c:pt idx="2">
                  <c:v>1049.2181064000001</c:v>
                </c:pt>
                <c:pt idx="3">
                  <c:v>1316.85559461</c:v>
                </c:pt>
                <c:pt idx="4">
                  <c:v>1836.4267862200002</c:v>
                </c:pt>
                <c:pt idx="5">
                  <c:v>1982.6727428099998</c:v>
                </c:pt>
                <c:pt idx="6">
                  <c:v>2297.0599027799999</c:v>
                </c:pt>
                <c:pt idx="7">
                  <c:v>2263.3171474700007</c:v>
                </c:pt>
                <c:pt idx="8">
                  <c:v>2524.5865907399989</c:v>
                </c:pt>
                <c:pt idx="9">
                  <c:v>2384.4497657099978</c:v>
                </c:pt>
                <c:pt idx="10">
                  <c:v>2515.8111914600022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ED-4B02-8581-B16EE681B5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393728"/>
        <c:axId val="270395264"/>
      </c:barChart>
      <c:lineChart>
        <c:grouping val="standard"/>
        <c:varyColors val="0"/>
        <c:ser>
          <c:idx val="1"/>
          <c:order val="1"/>
          <c:tx>
            <c:strRef>
              <c:f>'2019G5'!$A$16</c:f>
              <c:strCache>
                <c:ptCount val="1"/>
                <c:pt idx="0">
                  <c:v>počet podniků</c:v>
                </c:pt>
              </c:strCache>
            </c:strRef>
          </c:tx>
          <c:marker>
            <c:symbol val="square"/>
            <c:size val="5"/>
            <c:spPr>
              <a:solidFill>
                <a:schemeClr val="bg1"/>
              </a:solidFill>
            </c:spPr>
          </c:marker>
          <c:cat>
            <c:numRef>
              <c:f>'2019G5'!$B$13:$L$13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'2019G5'!$B$16:$L$16</c:f>
              <c:numCache>
                <c:formatCode>#,##0</c:formatCode>
                <c:ptCount val="11"/>
                <c:pt idx="0">
                  <c:v>570</c:v>
                </c:pt>
                <c:pt idx="1">
                  <c:v>596</c:v>
                </c:pt>
                <c:pt idx="2">
                  <c:v>632</c:v>
                </c:pt>
                <c:pt idx="3">
                  <c:v>716</c:v>
                </c:pt>
                <c:pt idx="4">
                  <c:v>859</c:v>
                </c:pt>
                <c:pt idx="5">
                  <c:v>1021</c:v>
                </c:pt>
                <c:pt idx="6">
                  <c:v>1120</c:v>
                </c:pt>
                <c:pt idx="7">
                  <c:v>1264</c:v>
                </c:pt>
                <c:pt idx="8">
                  <c:v>1306</c:v>
                </c:pt>
                <c:pt idx="9" formatCode="General">
                  <c:v>1248</c:v>
                </c:pt>
                <c:pt idx="10" formatCode="General">
                  <c:v>1135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ED-4B02-8581-B16EE681B5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0665216"/>
        <c:axId val="270663680"/>
      </c:lineChart>
      <c:catAx>
        <c:axId val="27039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0395264"/>
        <c:crosses val="autoZero"/>
        <c:auto val="1"/>
        <c:lblAlgn val="ctr"/>
        <c:lblOffset val="100"/>
        <c:noMultiLvlLbl val="0"/>
      </c:catAx>
      <c:valAx>
        <c:axId val="2703952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 Kč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270393728"/>
        <c:crosses val="autoZero"/>
        <c:crossBetween val="between"/>
      </c:valAx>
      <c:valAx>
        <c:axId val="270663680"/>
        <c:scaling>
          <c:orientation val="minMax"/>
          <c:max val="1500"/>
        </c:scaling>
        <c:delete val="0"/>
        <c:axPos val="r"/>
        <c:numFmt formatCode="#,##0" sourceLinked="1"/>
        <c:majorTickMark val="out"/>
        <c:minorTickMark val="none"/>
        <c:tickLblPos val="nextTo"/>
        <c:crossAx val="270665216"/>
        <c:crosses val="max"/>
        <c:crossBetween val="between"/>
        <c:majorUnit val="250"/>
      </c:valAx>
      <c:catAx>
        <c:axId val="2706652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0663680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75000"/>
            </a:schemeClr>
          </a:solidFill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'2019G6'!$A$21</c:f>
              <c:strCache>
                <c:ptCount val="1"/>
                <c:pt idx="0">
                  <c:v>výše odečtených výdajů na VaV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cat>
            <c:numRef>
              <c:f>'2019G6'!$B$20:$L$20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'2019G6'!$B$21:$L$21</c:f>
              <c:numCache>
                <c:formatCode>#,##0</c:formatCode>
                <c:ptCount val="11"/>
                <c:pt idx="0">
                  <c:v>5017.4459329999991</c:v>
                </c:pt>
                <c:pt idx="1">
                  <c:v>4857.1074619999999</c:v>
                </c:pt>
                <c:pt idx="2">
                  <c:v>5246.0905319999993</c:v>
                </c:pt>
                <c:pt idx="3">
                  <c:v>6930.8189189999985</c:v>
                </c:pt>
                <c:pt idx="4">
                  <c:v>9665.4041380000035</c:v>
                </c:pt>
                <c:pt idx="5">
                  <c:v>10435.119698999999</c:v>
                </c:pt>
                <c:pt idx="6">
                  <c:v>12089.788961999999</c:v>
                </c:pt>
                <c:pt idx="7">
                  <c:v>11912.195513000002</c:v>
                </c:pt>
                <c:pt idx="8">
                  <c:v>13287.297845999998</c:v>
                </c:pt>
                <c:pt idx="9">
                  <c:v>12549.735608999999</c:v>
                </c:pt>
                <c:pt idx="10">
                  <c:v>13241.111534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50-4A45-8FDF-429C8EB5F8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529536"/>
        <c:axId val="276531072"/>
      </c:barChart>
      <c:lineChart>
        <c:grouping val="standard"/>
        <c:varyColors val="0"/>
        <c:ser>
          <c:idx val="1"/>
          <c:order val="1"/>
          <c:tx>
            <c:strRef>
              <c:f>'2019G6'!$A$22</c:f>
              <c:strCache>
                <c:ptCount val="1"/>
                <c:pt idx="0">
                  <c:v>výše odečtených výdajů na VaV na jeden podnik</c:v>
                </c:pt>
              </c:strCache>
            </c:strRef>
          </c:tx>
          <c:marker>
            <c:symbol val="triangle"/>
            <c:size val="5"/>
            <c:spPr>
              <a:solidFill>
                <a:schemeClr val="bg1"/>
              </a:solidFill>
            </c:spPr>
          </c:marker>
          <c:cat>
            <c:numRef>
              <c:f>'2019G6'!$B$20:$L$20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'2019G6'!$B$22:$L$22</c:f>
              <c:numCache>
                <c:formatCode>#\ ##0.0</c:formatCode>
                <c:ptCount val="11"/>
                <c:pt idx="0">
                  <c:v>8.802536724561401</c:v>
                </c:pt>
                <c:pt idx="1">
                  <c:v>8.1495091644295297</c:v>
                </c:pt>
                <c:pt idx="2">
                  <c:v>8.3007761582278476</c:v>
                </c:pt>
                <c:pt idx="3">
                  <c:v>9.6799146913407803</c:v>
                </c:pt>
                <c:pt idx="4">
                  <c:v>11.251925655413276</c:v>
                </c:pt>
                <c:pt idx="5">
                  <c:v>10.220489421155728</c:v>
                </c:pt>
                <c:pt idx="6">
                  <c:v>10.794454430357142</c:v>
                </c:pt>
                <c:pt idx="7">
                  <c:v>9.4242053109177242</c:v>
                </c:pt>
                <c:pt idx="8">
                  <c:v>10.174041229709033</c:v>
                </c:pt>
                <c:pt idx="9">
                  <c:v>10.055877891826922</c:v>
                </c:pt>
                <c:pt idx="10">
                  <c:v>11.666177562995594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50-4A45-8FDF-429C8EB5F8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539264"/>
        <c:axId val="276537344"/>
      </c:lineChart>
      <c:catAx>
        <c:axId val="27652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6531072"/>
        <c:crosses val="autoZero"/>
        <c:auto val="1"/>
        <c:lblAlgn val="ctr"/>
        <c:lblOffset val="100"/>
        <c:noMultiLvlLbl val="0"/>
      </c:catAx>
      <c:valAx>
        <c:axId val="27653107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 Kč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276529536"/>
        <c:crosses val="autoZero"/>
        <c:crossBetween val="between"/>
      </c:valAx>
      <c:valAx>
        <c:axId val="276537344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 Kč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276539264"/>
        <c:crosses val="max"/>
        <c:crossBetween val="between"/>
      </c:valAx>
      <c:catAx>
        <c:axId val="276539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6537344"/>
        <c:crosses val="autoZero"/>
        <c:auto val="1"/>
        <c:lblAlgn val="ctr"/>
        <c:lblOffset val="100"/>
        <c:noMultiLvlLbl val="0"/>
      </c:catAx>
      <c:spPr>
        <a:ln>
          <a:solidFill>
            <a:schemeClr val="bg1">
              <a:lumMod val="75000"/>
            </a:schemeClr>
          </a:solidFill>
        </a:ln>
      </c:spPr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557026143790856E-2"/>
          <c:y val="5.7066993464052286E-2"/>
          <c:w val="0.60448888888888896"/>
          <c:h val="0.83781740196078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'2019G7'!$A$3</c:f>
              <c:strCache>
                <c:ptCount val="1"/>
                <c:pt idx="0">
                  <c:v>odečtené výdaje na VaV od základu daně v daném roce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'2019G7'!$B$2:$L$2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'2019G7'!$B$3:$L$3</c:f>
              <c:numCache>
                <c:formatCode>#,##0</c:formatCode>
                <c:ptCount val="11"/>
                <c:pt idx="0">
                  <c:v>5017.4459330000009</c:v>
                </c:pt>
                <c:pt idx="1">
                  <c:v>4857.1074619999999</c:v>
                </c:pt>
                <c:pt idx="2">
                  <c:v>5246.0905320000002</c:v>
                </c:pt>
                <c:pt idx="3">
                  <c:v>6930.8189189999985</c:v>
                </c:pt>
                <c:pt idx="4">
                  <c:v>9665.4041380000035</c:v>
                </c:pt>
                <c:pt idx="5">
                  <c:v>10435.119699000001</c:v>
                </c:pt>
                <c:pt idx="6">
                  <c:v>12089.788961999991</c:v>
                </c:pt>
                <c:pt idx="7">
                  <c:v>11912.195513000001</c:v>
                </c:pt>
                <c:pt idx="8">
                  <c:v>13287.297845999998</c:v>
                </c:pt>
                <c:pt idx="9">
                  <c:v>12549.735608999999</c:v>
                </c:pt>
                <c:pt idx="10">
                  <c:v>13241.111534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6A-4DEE-AF06-31AC8E774B32}"/>
            </c:ext>
          </c:extLst>
        </c:ser>
        <c:ser>
          <c:idx val="1"/>
          <c:order val="1"/>
          <c:tx>
            <c:strRef>
              <c:f>'2019G7'!$A$4</c:f>
              <c:strCache>
                <c:ptCount val="1"/>
                <c:pt idx="0">
                  <c:v>nevyužité výdaje (odečet) na VaV od základu daně v daném roce k uplatnění v dalším roce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'2019G7'!$B$2:$L$2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'2019G7'!$B$4:$L$4</c:f>
              <c:numCache>
                <c:formatCode>#,##0</c:formatCode>
                <c:ptCount val="11"/>
                <c:pt idx="0">
                  <c:v>991.04619100000002</c:v>
                </c:pt>
                <c:pt idx="1">
                  <c:v>1966.6461899999999</c:v>
                </c:pt>
                <c:pt idx="2">
                  <c:v>1308.3958230000001</c:v>
                </c:pt>
                <c:pt idx="3">
                  <c:v>342.73062700000003</c:v>
                </c:pt>
                <c:pt idx="4">
                  <c:v>679.37436600000001</c:v>
                </c:pt>
                <c:pt idx="5">
                  <c:v>547.99735299999998</c:v>
                </c:pt>
                <c:pt idx="6">
                  <c:v>1469.390707</c:v>
                </c:pt>
                <c:pt idx="7">
                  <c:v>4476.2832529999996</c:v>
                </c:pt>
                <c:pt idx="8">
                  <c:v>4540.8725279999999</c:v>
                </c:pt>
                <c:pt idx="9">
                  <c:v>9610.7982699999993</c:v>
                </c:pt>
                <c:pt idx="10">
                  <c:v>5046.9879709999996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6A-4DEE-AF06-31AC8E774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0159424"/>
        <c:axId val="1381635728"/>
      </c:barChart>
      <c:catAx>
        <c:axId val="117015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381635728"/>
        <c:crosses val="autoZero"/>
        <c:auto val="1"/>
        <c:lblAlgn val="ctr"/>
        <c:lblOffset val="100"/>
        <c:noMultiLvlLbl val="0"/>
      </c:catAx>
      <c:valAx>
        <c:axId val="138163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170159424"/>
        <c:crosses val="autoZero"/>
        <c:crossBetween val="between"/>
        <c:majorUnit val="1000"/>
      </c:val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legend>
      <c:legendPos val="r"/>
      <c:layout>
        <c:manualLayout>
          <c:xMode val="edge"/>
          <c:yMode val="edge"/>
          <c:x val="0.68719624183006534"/>
          <c:y val="0.37709232026143791"/>
          <c:w val="0.3003527777777778"/>
          <c:h val="0.375513071895424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 sz="800" b="1">
                <a:solidFill>
                  <a:sysClr val="windowText" lastClr="000000"/>
                </a:solidFill>
              </a:rPr>
              <a:t>a) počet</a:t>
            </a:r>
          </a:p>
        </c:rich>
      </c:tx>
      <c:layout>
        <c:manualLayout>
          <c:xMode val="edge"/>
          <c:yMode val="edge"/>
          <c:x val="0.3208356209150327"/>
          <c:y val="3.52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2147886686577969E-2"/>
          <c:y val="0.15401712962962963"/>
          <c:w val="0.61362696078431378"/>
          <c:h val="0.579861111111111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'2019G8'!$N$3</c:f>
              <c:strCache>
                <c:ptCount val="1"/>
                <c:pt idx="0">
                  <c:v>méně než 0,1 mil. Kč</c:v>
                </c:pt>
              </c:strCache>
            </c:strRef>
          </c:tx>
          <c:spPr>
            <a:solidFill>
              <a:schemeClr val="accent5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'2019G8'!$R$2:$Y$2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'2019G8'!$R$3:$Y$3</c:f>
              <c:numCache>
                <c:formatCode>General</c:formatCode>
                <c:ptCount val="8"/>
                <c:pt idx="0">
                  <c:v>173</c:v>
                </c:pt>
                <c:pt idx="1">
                  <c:v>162</c:v>
                </c:pt>
                <c:pt idx="2">
                  <c:v>198</c:v>
                </c:pt>
                <c:pt idx="3">
                  <c:v>207</c:v>
                </c:pt>
                <c:pt idx="4">
                  <c:v>206</c:v>
                </c:pt>
                <c:pt idx="5">
                  <c:v>223</c:v>
                </c:pt>
                <c:pt idx="6">
                  <c:v>191</c:v>
                </c:pt>
                <c:pt idx="7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B1-4E57-8E64-DBB127C9810A}"/>
            </c:ext>
          </c:extLst>
        </c:ser>
        <c:ser>
          <c:idx val="1"/>
          <c:order val="1"/>
          <c:tx>
            <c:strRef>
              <c:f>'2019G8'!$N$4</c:f>
              <c:strCache>
                <c:ptCount val="1"/>
                <c:pt idx="0">
                  <c:v>0,1-0,99 mil. Kč</c:v>
                </c:pt>
              </c:strCache>
            </c:strRef>
          </c:tx>
          <c:spPr>
            <a:solidFill>
              <a:schemeClr val="accent5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'2019G8'!$R$2:$Y$2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'2019G8'!$R$4:$Y$4</c:f>
              <c:numCache>
                <c:formatCode>General</c:formatCode>
                <c:ptCount val="8"/>
                <c:pt idx="0">
                  <c:v>369</c:v>
                </c:pt>
                <c:pt idx="1">
                  <c:v>468</c:v>
                </c:pt>
                <c:pt idx="2">
                  <c:v>536</c:v>
                </c:pt>
                <c:pt idx="3">
                  <c:v>577</c:v>
                </c:pt>
                <c:pt idx="4">
                  <c:v>678</c:v>
                </c:pt>
                <c:pt idx="5">
                  <c:v>694</c:v>
                </c:pt>
                <c:pt idx="6">
                  <c:v>665</c:v>
                </c:pt>
                <c:pt idx="7">
                  <c:v>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B1-4E57-8E64-DBB127C9810A}"/>
            </c:ext>
          </c:extLst>
        </c:ser>
        <c:ser>
          <c:idx val="2"/>
          <c:order val="2"/>
          <c:tx>
            <c:strRef>
              <c:f>'2019G8'!$N$5</c:f>
              <c:strCache>
                <c:ptCount val="1"/>
                <c:pt idx="0">
                  <c:v>1-9,99 mil. Kč</c:v>
                </c:pt>
              </c:strCache>
            </c:strRef>
          </c:tx>
          <c:spPr>
            <a:solidFill>
              <a:schemeClr val="accent5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'2019G8'!$R$2:$Y$2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'2019G8'!$R$5:$Y$5</c:f>
              <c:numCache>
                <c:formatCode>General</c:formatCode>
                <c:ptCount val="8"/>
                <c:pt idx="0">
                  <c:v>157</c:v>
                </c:pt>
                <c:pt idx="1">
                  <c:v>210</c:v>
                </c:pt>
                <c:pt idx="2">
                  <c:v>264</c:v>
                </c:pt>
                <c:pt idx="3">
                  <c:v>304</c:v>
                </c:pt>
                <c:pt idx="4">
                  <c:v>340</c:v>
                </c:pt>
                <c:pt idx="5">
                  <c:v>350</c:v>
                </c:pt>
                <c:pt idx="6">
                  <c:v>353</c:v>
                </c:pt>
                <c:pt idx="7">
                  <c:v>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B1-4E57-8E64-DBB127C9810A}"/>
            </c:ext>
          </c:extLst>
        </c:ser>
        <c:ser>
          <c:idx val="3"/>
          <c:order val="3"/>
          <c:tx>
            <c:strRef>
              <c:f>'2019G8'!$N$6</c:f>
              <c:strCache>
                <c:ptCount val="1"/>
                <c:pt idx="0">
                  <c:v>10 mil. Kč a více</c:v>
                </c:pt>
              </c:strCache>
            </c:strRef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'2019G8'!$R$2:$Y$2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'2019G8'!$R$6:$Y$6</c:f>
              <c:numCache>
                <c:formatCode>General</c:formatCode>
                <c:ptCount val="8"/>
                <c:pt idx="0">
                  <c:v>17</c:v>
                </c:pt>
                <c:pt idx="1">
                  <c:v>19</c:v>
                </c:pt>
                <c:pt idx="2">
                  <c:v>23</c:v>
                </c:pt>
                <c:pt idx="3">
                  <c:v>32</c:v>
                </c:pt>
                <c:pt idx="4">
                  <c:v>40</c:v>
                </c:pt>
                <c:pt idx="5">
                  <c:v>39</c:v>
                </c:pt>
                <c:pt idx="6">
                  <c:v>39</c:v>
                </c:pt>
                <c:pt idx="7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B1-4E57-8E64-DBB127C981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9031408"/>
        <c:axId val="1029032656"/>
      </c:barChart>
      <c:catAx>
        <c:axId val="102903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029032656"/>
        <c:crosses val="autoZero"/>
        <c:auto val="1"/>
        <c:lblAlgn val="ctr"/>
        <c:lblOffset val="100"/>
        <c:noMultiLvlLbl val="0"/>
      </c:catAx>
      <c:valAx>
        <c:axId val="1029032656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029031408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 sz="800" b="1">
                <a:solidFill>
                  <a:sysClr val="windowText" lastClr="000000"/>
                </a:solidFill>
              </a:rPr>
              <a:t>b) struktura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6533456790123455"/>
          <c:y val="0.18448682066400468"/>
          <c:w val="0.64843086419753082"/>
          <c:h val="0.7072742502931814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'2019G8'!$O$19</c:f>
              <c:strCache>
                <c:ptCount val="1"/>
                <c:pt idx="0">
                  <c:v>méně než 0,1 mil. Kč</c:v>
                </c:pt>
              </c:strCache>
            </c:strRef>
          </c:tx>
          <c:spPr>
            <a:solidFill>
              <a:schemeClr val="accent5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'2019G8'!$P$18:$Q$18</c:f>
              <c:numCache>
                <c:formatCode>@</c:formatCode>
                <c:ptCount val="2"/>
                <c:pt idx="0">
                  <c:v>2010</c:v>
                </c:pt>
                <c:pt idx="1">
                  <c:v>2017</c:v>
                </c:pt>
              </c:numCache>
            </c:numRef>
          </c:cat>
          <c:val>
            <c:numRef>
              <c:f>'2019G8'!$P$19:$Q$19</c:f>
              <c:numCache>
                <c:formatCode>0%</c:formatCode>
                <c:ptCount val="2"/>
                <c:pt idx="0">
                  <c:v>0.24162011173184358</c:v>
                </c:pt>
                <c:pt idx="1">
                  <c:v>0.14625550660792952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E-4503-840D-5838A4926895}"/>
            </c:ext>
          </c:extLst>
        </c:ser>
        <c:ser>
          <c:idx val="1"/>
          <c:order val="1"/>
          <c:tx>
            <c:strRef>
              <c:f>'2019G8'!$O$20</c:f>
              <c:strCache>
                <c:ptCount val="1"/>
                <c:pt idx="0">
                  <c:v>0,1-0,99 mil. Kč</c:v>
                </c:pt>
              </c:strCache>
            </c:strRef>
          </c:tx>
          <c:spPr>
            <a:solidFill>
              <a:schemeClr val="accent5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'2019G8'!$P$18:$Q$18</c:f>
              <c:numCache>
                <c:formatCode>@</c:formatCode>
                <c:ptCount val="2"/>
                <c:pt idx="0">
                  <c:v>2010</c:v>
                </c:pt>
                <c:pt idx="1">
                  <c:v>2017</c:v>
                </c:pt>
              </c:numCache>
            </c:numRef>
          </c:cat>
          <c:val>
            <c:numRef>
              <c:f>'2019G8'!$P$20:$Q$20</c:f>
              <c:numCache>
                <c:formatCode>0%</c:formatCode>
                <c:ptCount val="2"/>
                <c:pt idx="0">
                  <c:v>0.51536312849162014</c:v>
                </c:pt>
                <c:pt idx="1">
                  <c:v>0.54625550660792954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7E-4503-840D-5838A4926895}"/>
            </c:ext>
          </c:extLst>
        </c:ser>
        <c:ser>
          <c:idx val="2"/>
          <c:order val="2"/>
          <c:tx>
            <c:strRef>
              <c:f>'2019G8'!$O$21</c:f>
              <c:strCache>
                <c:ptCount val="1"/>
                <c:pt idx="0">
                  <c:v>1-9,99 mil. Kč</c:v>
                </c:pt>
              </c:strCache>
            </c:strRef>
          </c:tx>
          <c:spPr>
            <a:solidFill>
              <a:schemeClr val="accent5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'2019G8'!$P$18:$Q$18</c:f>
              <c:numCache>
                <c:formatCode>@</c:formatCode>
                <c:ptCount val="2"/>
                <c:pt idx="0">
                  <c:v>2010</c:v>
                </c:pt>
                <c:pt idx="1">
                  <c:v>2017</c:v>
                </c:pt>
              </c:numCache>
            </c:numRef>
          </c:cat>
          <c:val>
            <c:numRef>
              <c:f>'2019G8'!$P$21:$Q$21</c:f>
              <c:numCache>
                <c:formatCode>0%</c:formatCode>
                <c:ptCount val="2"/>
                <c:pt idx="0">
                  <c:v>0.21927374301675978</c:v>
                </c:pt>
                <c:pt idx="1">
                  <c:v>0.27841409691629954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7E-4503-840D-5838A4926895}"/>
            </c:ext>
          </c:extLst>
        </c:ser>
        <c:ser>
          <c:idx val="3"/>
          <c:order val="3"/>
          <c:tx>
            <c:strRef>
              <c:f>'2019G8'!$O$22</c:f>
              <c:strCache>
                <c:ptCount val="1"/>
                <c:pt idx="0">
                  <c:v>10 mil. Kč a více</c:v>
                </c:pt>
              </c:strCache>
            </c:strRef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'2019G8'!$P$18:$Q$18</c:f>
              <c:numCache>
                <c:formatCode>@</c:formatCode>
                <c:ptCount val="2"/>
                <c:pt idx="0">
                  <c:v>2010</c:v>
                </c:pt>
                <c:pt idx="1">
                  <c:v>2017</c:v>
                </c:pt>
              </c:numCache>
            </c:numRef>
          </c:cat>
          <c:val>
            <c:numRef>
              <c:f>'2019G8'!$P$22:$Q$22</c:f>
              <c:numCache>
                <c:formatCode>0%</c:formatCode>
                <c:ptCount val="2"/>
                <c:pt idx="0">
                  <c:v>2.3743016759776536E-2</c:v>
                </c:pt>
                <c:pt idx="1">
                  <c:v>2.9074889867841409E-2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7E-4503-840D-5838A4926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4434864"/>
        <c:axId val="1184436112"/>
      </c:barChart>
      <c:catAx>
        <c:axId val="1184434864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184436112"/>
        <c:crosses val="autoZero"/>
        <c:auto val="1"/>
        <c:lblAlgn val="ctr"/>
        <c:lblOffset val="100"/>
        <c:noMultiLvlLbl val="0"/>
      </c:catAx>
      <c:valAx>
        <c:axId val="118443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184434864"/>
        <c:crosses val="autoZero"/>
        <c:crossBetween val="between"/>
        <c:majorUnit val="0.25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42A0-036E-47E0-B082-629BD705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76</TotalTime>
  <Pages>14</Pages>
  <Words>4072</Words>
  <Characters>24031</Characters>
  <Application>Microsoft Office Word</Application>
  <DocSecurity>0</DocSecurity>
  <Lines>200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17</cp:revision>
  <cp:lastPrinted>2019-03-29T09:51:00Z</cp:lastPrinted>
  <dcterms:created xsi:type="dcterms:W3CDTF">2019-04-08T11:46:00Z</dcterms:created>
  <dcterms:modified xsi:type="dcterms:W3CDTF">2019-04-25T06:46:00Z</dcterms:modified>
</cp:coreProperties>
</file>