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DA" w:rsidRPr="00214E6F" w:rsidRDefault="006067DA" w:rsidP="006067DA">
      <w:pPr>
        <w:keepNext/>
        <w:keepLines/>
        <w:spacing w:before="240" w:after="120"/>
        <w:outlineLvl w:val="1"/>
        <w:rPr>
          <w:rFonts w:eastAsia="MS Gothic"/>
          <w:b/>
          <w:bCs/>
          <w:color w:val="BC091B"/>
          <w:sz w:val="28"/>
          <w:szCs w:val="26"/>
        </w:rPr>
      </w:pPr>
      <w:bookmarkStart w:id="0" w:name="_3.1_Výdaje_zdravotních"/>
      <w:bookmarkStart w:id="1" w:name="_Toc481748790"/>
      <w:bookmarkEnd w:id="0"/>
      <w:r w:rsidRPr="00214E6F">
        <w:rPr>
          <w:rFonts w:eastAsia="MS Gothic"/>
          <w:b/>
          <w:bCs/>
          <w:color w:val="BC091B"/>
          <w:sz w:val="28"/>
          <w:szCs w:val="26"/>
        </w:rPr>
        <w:t>3.1 Výdaje zdravotních pojišťoven</w:t>
      </w:r>
      <w:bookmarkEnd w:id="1"/>
    </w:p>
    <w:p w:rsidR="00C728E0" w:rsidRDefault="006067DA" w:rsidP="00C728E0">
      <w:pPr>
        <w:keepNext/>
        <w:spacing w:before="120"/>
        <w:jc w:val="both"/>
      </w:pPr>
      <w:r w:rsidRPr="00214E6F">
        <w:t xml:space="preserve">Zdravotní péče je v našem systému hrazená převážně z veřejného zdravotního pojištění a pouze v některých </w:t>
      </w:r>
      <w:r w:rsidRPr="00381C1A">
        <w:t>případech bývá doplněna o spoluúčast pacientů (např. doplatky za některé léky, stomatologická péče apod</w:t>
      </w:r>
      <w:r w:rsidRPr="00214E6F">
        <w:t>.)</w:t>
      </w:r>
      <w:r w:rsidR="00E578A9">
        <w:t xml:space="preserve"> </w:t>
      </w:r>
      <w:r w:rsidR="00E578A9" w:rsidRPr="006E71FE">
        <w:t>nebo o přímé výdaje ze státního rozpočtu především na dlouhodobou péči.</w:t>
      </w:r>
      <w:r w:rsidRPr="00214E6F">
        <w:t xml:space="preserve"> </w:t>
      </w:r>
    </w:p>
    <w:p w:rsidR="006067DA" w:rsidRPr="006002E5" w:rsidRDefault="006067DA" w:rsidP="00C728E0">
      <w:pPr>
        <w:keepNext/>
        <w:spacing w:before="120"/>
        <w:jc w:val="both"/>
        <w:rPr>
          <w:rFonts w:cs="Arial"/>
        </w:rPr>
      </w:pPr>
      <w:r w:rsidRPr="00214E6F">
        <w:t xml:space="preserve">Následující kapitola podává </w:t>
      </w:r>
      <w:r>
        <w:t xml:space="preserve">jak </w:t>
      </w:r>
      <w:r w:rsidRPr="00214E6F">
        <w:t xml:space="preserve">ucelenou informaci </w:t>
      </w:r>
      <w:r w:rsidRPr="00214E6F">
        <w:rPr>
          <w:b/>
        </w:rPr>
        <w:t>o</w:t>
      </w:r>
      <w:r>
        <w:rPr>
          <w:b/>
        </w:rPr>
        <w:t xml:space="preserve"> celkových </w:t>
      </w:r>
      <w:r w:rsidRPr="00214E6F">
        <w:rPr>
          <w:b/>
        </w:rPr>
        <w:t xml:space="preserve">výdajích </w:t>
      </w:r>
      <w:r w:rsidRPr="00381C1A">
        <w:t>zdravotních pojišťoven na zdravotní péči</w:t>
      </w:r>
      <w:r>
        <w:t xml:space="preserve">, tak i </w:t>
      </w:r>
      <w:r w:rsidRPr="00214E6F">
        <w:t xml:space="preserve">podrobné informace o </w:t>
      </w:r>
      <w:r w:rsidRPr="00381C1A">
        <w:rPr>
          <w:b/>
        </w:rPr>
        <w:t xml:space="preserve">výdajích na jednotlivé </w:t>
      </w:r>
      <w:r>
        <w:rPr>
          <w:b/>
        </w:rPr>
        <w:t>skupiny</w:t>
      </w:r>
      <w:r w:rsidRPr="00381C1A">
        <w:rPr>
          <w:b/>
        </w:rPr>
        <w:t xml:space="preserve"> diagnóz</w:t>
      </w:r>
      <w:r w:rsidRPr="00214E6F">
        <w:t xml:space="preserve"> podle Mezinárodní statistické klasifikace nemocí a přidružených zdravotních problémů (dále také „MKN-10“) a</w:t>
      </w:r>
      <w:r>
        <w:t> </w:t>
      </w:r>
      <w:r w:rsidRPr="00214E6F">
        <w:t xml:space="preserve">nechybí ani </w:t>
      </w:r>
      <w:r>
        <w:t xml:space="preserve">průměrné </w:t>
      </w:r>
      <w:r w:rsidRPr="00214E6F">
        <w:t>vý</w:t>
      </w:r>
      <w:r w:rsidRPr="00214E6F">
        <w:rPr>
          <w:bCs/>
        </w:rPr>
        <w:t xml:space="preserve">daje zdravotních pojišťoven na zdravotní péči </w:t>
      </w:r>
      <w:r w:rsidRPr="00381C1A">
        <w:rPr>
          <w:b/>
          <w:bCs/>
        </w:rPr>
        <w:t>na 1 pojištěnce podle pohlaví</w:t>
      </w:r>
      <w:r>
        <w:rPr>
          <w:b/>
          <w:bCs/>
        </w:rPr>
        <w:t>, věku</w:t>
      </w:r>
      <w:r w:rsidRPr="00381C1A">
        <w:rPr>
          <w:b/>
          <w:bCs/>
        </w:rPr>
        <w:t xml:space="preserve"> a</w:t>
      </w:r>
      <w:r>
        <w:rPr>
          <w:b/>
          <w:bCs/>
        </w:rPr>
        <w:t> </w:t>
      </w:r>
      <w:r w:rsidRPr="00381C1A">
        <w:rPr>
          <w:b/>
          <w:bCs/>
        </w:rPr>
        <w:t>diagnóz</w:t>
      </w:r>
      <w:r w:rsidRPr="006002E5">
        <w:rPr>
          <w:rFonts w:cs="Arial"/>
          <w:bCs/>
        </w:rPr>
        <w:t xml:space="preserve">. </w:t>
      </w:r>
    </w:p>
    <w:p w:rsidR="006067DA" w:rsidRPr="00214E6F" w:rsidRDefault="006067DA" w:rsidP="006067DA">
      <w:pPr>
        <w:keepNext/>
        <w:keepLines/>
        <w:spacing w:before="240" w:after="120"/>
        <w:outlineLvl w:val="2"/>
        <w:rPr>
          <w:rFonts w:eastAsia="MS Gothic"/>
          <w:b/>
          <w:bCs/>
          <w:color w:val="BC091B"/>
          <w:sz w:val="24"/>
        </w:rPr>
      </w:pPr>
      <w:bookmarkStart w:id="2" w:name="_Toc481748791"/>
      <w:r w:rsidRPr="00214E6F">
        <w:rPr>
          <w:rFonts w:eastAsia="MS Gothic"/>
          <w:b/>
          <w:bCs/>
          <w:color w:val="BC091B"/>
          <w:sz w:val="24"/>
        </w:rPr>
        <w:t>3.1.1. Celkové výdaje zdravotních pojišťoven</w:t>
      </w:r>
      <w:bookmarkEnd w:id="2"/>
    </w:p>
    <w:p w:rsidR="006067DA" w:rsidRDefault="006067DA" w:rsidP="006067DA">
      <w:pPr>
        <w:autoSpaceDE w:val="0"/>
        <w:autoSpaceDN w:val="0"/>
        <w:adjustRightInd w:val="0"/>
        <w:spacing w:before="120"/>
        <w:jc w:val="both"/>
        <w:rPr>
          <w:szCs w:val="17"/>
        </w:rPr>
      </w:pPr>
      <w:r w:rsidRPr="00214E6F">
        <w:rPr>
          <w:b/>
        </w:rPr>
        <w:t xml:space="preserve">Zdravotní pojišťovny </w:t>
      </w:r>
      <w:r w:rsidRPr="00214E6F">
        <w:t>vydaly v roce 201</w:t>
      </w:r>
      <w:r>
        <w:t>7</w:t>
      </w:r>
      <w:r w:rsidRPr="00214E6F">
        <w:t xml:space="preserve"> </w:t>
      </w:r>
      <w:r w:rsidRPr="00C728E0">
        <w:t>na zdravotní péči celkem</w:t>
      </w:r>
      <w:r>
        <w:t xml:space="preserve"> </w:t>
      </w:r>
      <w:r w:rsidRPr="00214E6F">
        <w:t>2</w:t>
      </w:r>
      <w:r>
        <w:t>52</w:t>
      </w:r>
      <w:r w:rsidRPr="00214E6F">
        <w:t>,</w:t>
      </w:r>
      <w:r>
        <w:t>2</w:t>
      </w:r>
      <w:r w:rsidRPr="00214E6F">
        <w:t xml:space="preserve"> mld. Kč</w:t>
      </w:r>
      <w:r>
        <w:t xml:space="preserve"> a touto částkou se tak ze dvou třetin podílely na financování </w:t>
      </w:r>
      <w:r w:rsidRPr="00214E6F">
        <w:t>zdravotní péč</w:t>
      </w:r>
      <w:r>
        <w:t>e</w:t>
      </w:r>
      <w:r w:rsidRPr="00214E6F">
        <w:t xml:space="preserve"> v České republice.</w:t>
      </w:r>
      <w:r w:rsidRPr="00214E6F">
        <w:rPr>
          <w:szCs w:val="17"/>
        </w:rPr>
        <w:t xml:space="preserve"> </w:t>
      </w:r>
      <w:r>
        <w:rPr>
          <w:szCs w:val="17"/>
        </w:rPr>
        <w:t xml:space="preserve">Na jednoho pojištěnce bylo v daném roce vynaloženo 24,3 tisíce Kč, což bylo o téměř 2 tisíce Kč více než v roce 2010. </w:t>
      </w:r>
    </w:p>
    <w:p w:rsidR="00CE45A3" w:rsidRDefault="00CE45A3" w:rsidP="00CE45A3">
      <w:pPr>
        <w:autoSpaceDE w:val="0"/>
        <w:autoSpaceDN w:val="0"/>
        <w:adjustRightInd w:val="0"/>
        <w:spacing w:before="120"/>
        <w:jc w:val="both"/>
        <w:rPr>
          <w:bCs/>
        </w:rPr>
      </w:pPr>
      <w:r>
        <w:rPr>
          <w:bCs/>
        </w:rPr>
        <w:t>Za</w:t>
      </w:r>
      <w:r w:rsidRPr="00214E6F">
        <w:rPr>
          <w:bCs/>
        </w:rPr>
        <w:t xml:space="preserve"> zdravotní péči v</w:t>
      </w:r>
      <w:r>
        <w:rPr>
          <w:bCs/>
        </w:rPr>
        <w:t xml:space="preserve"> letech </w:t>
      </w:r>
      <w:r w:rsidRPr="00214E6F">
        <w:rPr>
          <w:bCs/>
        </w:rPr>
        <w:t xml:space="preserve">2010 </w:t>
      </w:r>
      <w:r>
        <w:rPr>
          <w:bCs/>
        </w:rPr>
        <w:t>až</w:t>
      </w:r>
      <w:r w:rsidRPr="00214E6F">
        <w:rPr>
          <w:bCs/>
        </w:rPr>
        <w:t xml:space="preserve"> 201</w:t>
      </w:r>
      <w:r>
        <w:rPr>
          <w:bCs/>
        </w:rPr>
        <w:t>7</w:t>
      </w:r>
      <w:r w:rsidRPr="00214E6F">
        <w:rPr>
          <w:bCs/>
        </w:rPr>
        <w:t xml:space="preserve"> zaplatily zdravotní pojišťovny celkem 1 </w:t>
      </w:r>
      <w:r>
        <w:rPr>
          <w:bCs/>
        </w:rPr>
        <w:t>901</w:t>
      </w:r>
      <w:r w:rsidRPr="00214E6F">
        <w:rPr>
          <w:bCs/>
        </w:rPr>
        <w:t>,</w:t>
      </w:r>
      <w:r>
        <w:rPr>
          <w:bCs/>
        </w:rPr>
        <w:t>4</w:t>
      </w:r>
      <w:r w:rsidRPr="00214E6F">
        <w:rPr>
          <w:bCs/>
        </w:rPr>
        <w:t xml:space="preserve"> mld. </w:t>
      </w:r>
      <w:r>
        <w:rPr>
          <w:bCs/>
        </w:rPr>
        <w:t>Kč, což je pětkrát více než na ni vydaly ve stejném období domácnosti.</w:t>
      </w:r>
    </w:p>
    <w:p w:rsidR="006067DA" w:rsidRDefault="006067DA" w:rsidP="006067DA">
      <w:pPr>
        <w:spacing w:before="120"/>
        <w:jc w:val="both"/>
        <w:rPr>
          <w:b/>
          <w:bCs/>
          <w:i/>
          <w:sz w:val="16"/>
          <w:szCs w:val="16"/>
        </w:rPr>
      </w:pPr>
      <w:r w:rsidRPr="006A429F">
        <w:rPr>
          <w:b/>
          <w:bCs/>
          <w:sz w:val="18"/>
          <w:szCs w:val="18"/>
        </w:rPr>
        <w:t xml:space="preserve">Graf č. 3.1.1 Výdaje na zdravotní péči </w:t>
      </w:r>
      <w:r>
        <w:rPr>
          <w:b/>
          <w:bCs/>
          <w:sz w:val="18"/>
          <w:szCs w:val="18"/>
        </w:rPr>
        <w:t xml:space="preserve">v Česku </w:t>
      </w:r>
      <w:r w:rsidRPr="006A429F">
        <w:rPr>
          <w:b/>
          <w:bCs/>
          <w:sz w:val="18"/>
          <w:szCs w:val="18"/>
        </w:rPr>
        <w:t xml:space="preserve">financované </w:t>
      </w:r>
      <w:r>
        <w:rPr>
          <w:b/>
          <w:bCs/>
          <w:sz w:val="18"/>
          <w:szCs w:val="18"/>
        </w:rPr>
        <w:t xml:space="preserve">ze zdrojů </w:t>
      </w:r>
      <w:r w:rsidRPr="006A429F">
        <w:rPr>
          <w:b/>
          <w:bCs/>
          <w:sz w:val="18"/>
          <w:szCs w:val="18"/>
        </w:rPr>
        <w:t>z</w:t>
      </w:r>
      <w:r>
        <w:rPr>
          <w:b/>
          <w:bCs/>
          <w:sz w:val="18"/>
          <w:szCs w:val="18"/>
        </w:rPr>
        <w:t>dravotních pojišťoven</w:t>
      </w:r>
      <w:r w:rsidRPr="006A429F">
        <w:rPr>
          <w:b/>
          <w:bCs/>
          <w:sz w:val="18"/>
          <w:szCs w:val="18"/>
        </w:rPr>
        <w:t xml:space="preserve">, </w:t>
      </w:r>
      <w:r>
        <w:rPr>
          <w:b/>
          <w:bCs/>
          <w:sz w:val="18"/>
          <w:szCs w:val="18"/>
        </w:rPr>
        <w:t>2010-2017</w:t>
      </w:r>
    </w:p>
    <w:p w:rsidR="006067DA" w:rsidRDefault="00373A31" w:rsidP="006067DA">
      <w:pPr>
        <w:spacing w:before="120"/>
        <w:jc w:val="right"/>
        <w:rPr>
          <w:b/>
          <w:bCs/>
          <w:i/>
          <w:sz w:val="16"/>
          <w:szCs w:val="16"/>
        </w:rPr>
      </w:pPr>
      <w:r>
        <w:rPr>
          <w:b/>
          <w:bCs/>
          <w:i/>
          <w:noProof/>
          <w:sz w:val="16"/>
          <w:szCs w:val="16"/>
        </w:rPr>
        <w:drawing>
          <wp:inline distT="0" distB="0" distL="0" distR="0" wp14:anchorId="30131B88">
            <wp:extent cx="6120765" cy="306070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060700"/>
                    </a:xfrm>
                    <a:prstGeom prst="rect">
                      <a:avLst/>
                    </a:prstGeom>
                    <a:noFill/>
                  </pic:spPr>
                </pic:pic>
              </a:graphicData>
            </a:graphic>
          </wp:inline>
        </w:drawing>
      </w:r>
      <w:r w:rsidR="006067DA" w:rsidRPr="00214E6F">
        <w:rPr>
          <w:b/>
          <w:bCs/>
          <w:i/>
          <w:sz w:val="16"/>
          <w:szCs w:val="16"/>
        </w:rPr>
        <w:t>Zdroj: ČSÚ 201</w:t>
      </w:r>
      <w:r w:rsidR="006067DA">
        <w:rPr>
          <w:b/>
          <w:bCs/>
          <w:i/>
          <w:sz w:val="16"/>
          <w:szCs w:val="16"/>
        </w:rPr>
        <w:t>9</w:t>
      </w:r>
      <w:r w:rsidR="006067DA" w:rsidRPr="00214E6F">
        <w:rPr>
          <w:b/>
          <w:bCs/>
          <w:i/>
          <w:sz w:val="16"/>
          <w:szCs w:val="16"/>
        </w:rPr>
        <w:t xml:space="preserve">, Zdravotnické účty ČR 2010 </w:t>
      </w:r>
      <w:r w:rsidR="006067DA">
        <w:rPr>
          <w:b/>
          <w:bCs/>
          <w:i/>
          <w:sz w:val="16"/>
          <w:szCs w:val="16"/>
        </w:rPr>
        <w:t>– 2017</w:t>
      </w:r>
    </w:p>
    <w:p w:rsidR="00CE45A3" w:rsidRDefault="00CE45A3" w:rsidP="00CE45A3">
      <w:pPr>
        <w:autoSpaceDE w:val="0"/>
        <w:autoSpaceDN w:val="0"/>
        <w:adjustRightInd w:val="0"/>
        <w:spacing w:before="120"/>
        <w:jc w:val="both"/>
        <w:rPr>
          <w:rFonts w:cs="Arial"/>
          <w:bCs/>
          <w:szCs w:val="20"/>
        </w:rPr>
      </w:pPr>
      <w:r w:rsidRPr="00FE1D90">
        <w:rPr>
          <w:rFonts w:cs="Arial"/>
          <w:szCs w:val="20"/>
        </w:rPr>
        <w:t>V roce 2014 byl v rámci sledovaného období poprvé zaznamenán meziroční pokles výdajů na zdravotní péči financovaný z povinného zdravotního pojištění. Zatímco v roce 2013 dosáhly celkové výdaje zdravotních pojišťoven na zdravotní péči 238,4 mld. Kč, o rok později to bylo o 3,8 mld. Kč (1,6 %) méně. V následujícím roce zůstala výše financování z toho</w:t>
      </w:r>
      <w:r>
        <w:rPr>
          <w:rFonts w:cs="Arial"/>
          <w:szCs w:val="20"/>
        </w:rPr>
        <w:t>to</w:t>
      </w:r>
      <w:r w:rsidRPr="00FE1D90">
        <w:rPr>
          <w:rFonts w:cs="Arial"/>
          <w:szCs w:val="20"/>
        </w:rPr>
        <w:t xml:space="preserve"> zdroje na téměř stejné úrovni. V roce 2016 výdaje na zdravotní péči z veřejného zdravotního pojištění meziročně vzrostly o 3,2 mld. Kč (1,4 %) na </w:t>
      </w:r>
      <w:r w:rsidRPr="00FE1D90">
        <w:rPr>
          <w:rFonts w:cs="Arial"/>
          <w:bCs/>
          <w:szCs w:val="20"/>
        </w:rPr>
        <w:t xml:space="preserve">uvedených 237,7 mld. Kč. </w:t>
      </w:r>
    </w:p>
    <w:p w:rsidR="00CE45A3" w:rsidRPr="009B39A0" w:rsidRDefault="00CE45A3" w:rsidP="00CE45A3">
      <w:pPr>
        <w:autoSpaceDE w:val="0"/>
        <w:autoSpaceDN w:val="0"/>
        <w:adjustRightInd w:val="0"/>
        <w:spacing w:before="120"/>
        <w:jc w:val="both"/>
        <w:rPr>
          <w:rFonts w:ascii="ArialMT" w:eastAsia="Calibri" w:hAnsi="ArialMT" w:cs="ArialMT"/>
          <w:b/>
          <w:szCs w:val="20"/>
        </w:rPr>
      </w:pPr>
      <w:r w:rsidRPr="00FE1D90">
        <w:rPr>
          <w:rFonts w:cs="Arial"/>
          <w:bCs/>
          <w:szCs w:val="20"/>
        </w:rPr>
        <w:t xml:space="preserve">Rok 2017 přinesl 6% navýšení výdajů zdravotních pojišťoven na zdravotní péči. </w:t>
      </w:r>
      <w:r w:rsidRPr="00FE1D90">
        <w:rPr>
          <w:rFonts w:cs="Arial"/>
          <w:szCs w:val="20"/>
        </w:rPr>
        <w:t>Meziroční růst nákladů na zdravotní služby byl největší od roku 2010 a to zejména v důsledku zvýšené produkce poskytovaných služeb, navýšení centrové péče, zavádění nových metod léčení a zdravotnických přístrojů a v neposlední řadě byl ovlivněn změnami v úhradové vyhlášce pro rok 2017.</w:t>
      </w:r>
      <w:r w:rsidRPr="00FE1D90">
        <w:rPr>
          <w:rFonts w:eastAsia="Calibri" w:cs="Arial"/>
          <w:szCs w:val="20"/>
        </w:rPr>
        <w:t xml:space="preserve"> Právě </w:t>
      </w:r>
      <w:r>
        <w:rPr>
          <w:rFonts w:eastAsia="Calibri" w:cs="Arial"/>
          <w:szCs w:val="20"/>
        </w:rPr>
        <w:t xml:space="preserve">často diskutované </w:t>
      </w:r>
      <w:r w:rsidRPr="00FE1D90">
        <w:rPr>
          <w:rFonts w:eastAsia="Calibri" w:cs="Arial"/>
          <w:szCs w:val="20"/>
        </w:rPr>
        <w:t>léky</w:t>
      </w:r>
      <w:r w:rsidRPr="00FE1D90">
        <w:rPr>
          <w:rStyle w:val="Siln"/>
          <w:rFonts w:cs="Arial"/>
          <w:b w:val="0"/>
          <w:szCs w:val="20"/>
        </w:rPr>
        <w:t xml:space="preserve"> předepisované specializovanými centry pro léčbu závažných nemocí stály zdravotní pojišťovny v roce 2017 </w:t>
      </w:r>
      <w:r>
        <w:rPr>
          <w:rStyle w:val="Siln"/>
          <w:rFonts w:cs="Arial"/>
          <w:b w:val="0"/>
          <w:szCs w:val="20"/>
        </w:rPr>
        <w:t xml:space="preserve">více než </w:t>
      </w:r>
      <w:r w:rsidRPr="00FE1D90">
        <w:rPr>
          <w:rStyle w:val="Siln"/>
          <w:rFonts w:cs="Arial"/>
          <w:b w:val="0"/>
          <w:szCs w:val="20"/>
        </w:rPr>
        <w:t>16,</w:t>
      </w:r>
      <w:r>
        <w:rPr>
          <w:rStyle w:val="Siln"/>
          <w:rFonts w:cs="Arial"/>
          <w:b w:val="0"/>
          <w:szCs w:val="20"/>
        </w:rPr>
        <w:t>7</w:t>
      </w:r>
      <w:r w:rsidR="00C728E0">
        <w:rPr>
          <w:rStyle w:val="Siln"/>
          <w:rFonts w:cs="Arial"/>
          <w:b w:val="0"/>
          <w:szCs w:val="20"/>
        </w:rPr>
        <w:t> </w:t>
      </w:r>
      <w:r w:rsidRPr="00FE1D90">
        <w:rPr>
          <w:rStyle w:val="Siln"/>
          <w:rFonts w:cs="Arial"/>
          <w:b w:val="0"/>
          <w:szCs w:val="20"/>
        </w:rPr>
        <w:t>mld. Kč,</w:t>
      </w:r>
      <w:r w:rsidRPr="009B39A0">
        <w:rPr>
          <w:rStyle w:val="Siln"/>
          <w:b w:val="0"/>
        </w:rPr>
        <w:t xml:space="preserve"> což je o 151</w:t>
      </w:r>
      <w:r w:rsidR="00C728E0">
        <w:rPr>
          <w:rStyle w:val="Siln"/>
          <w:b w:val="0"/>
        </w:rPr>
        <w:t> </w:t>
      </w:r>
      <w:r w:rsidRPr="009B39A0">
        <w:rPr>
          <w:rStyle w:val="Siln"/>
          <w:b w:val="0"/>
        </w:rPr>
        <w:t xml:space="preserve">% </w:t>
      </w:r>
      <w:r w:rsidR="00C728E0" w:rsidRPr="009B39A0">
        <w:rPr>
          <w:rStyle w:val="Siln"/>
          <w:b w:val="0"/>
        </w:rPr>
        <w:t>(6,6 mld. Kč)</w:t>
      </w:r>
      <w:r w:rsidR="00C728E0">
        <w:rPr>
          <w:rStyle w:val="Siln"/>
          <w:b w:val="0"/>
        </w:rPr>
        <w:t xml:space="preserve"> </w:t>
      </w:r>
      <w:r w:rsidRPr="009B39A0">
        <w:rPr>
          <w:rStyle w:val="Siln"/>
          <w:b w:val="0"/>
        </w:rPr>
        <w:t>více než v roce 2010.</w:t>
      </w:r>
      <w:r>
        <w:rPr>
          <w:rStyle w:val="Siln"/>
          <w:b w:val="0"/>
        </w:rPr>
        <w:t xml:space="preserve"> </w:t>
      </w:r>
      <w:r w:rsidR="001B176A" w:rsidRPr="001B176A">
        <w:rPr>
          <w:rStyle w:val="Siln"/>
          <w:b w:val="0"/>
          <w:i/>
        </w:rPr>
        <w:t>Podrobněji viz kapitola 3.4 Léky.</w:t>
      </w:r>
    </w:p>
    <w:p w:rsidR="006067DA" w:rsidRPr="00F85DD6" w:rsidRDefault="006067DA" w:rsidP="00CE45A3">
      <w:pPr>
        <w:autoSpaceDE w:val="0"/>
        <w:autoSpaceDN w:val="0"/>
        <w:adjustRightInd w:val="0"/>
        <w:spacing w:before="120"/>
        <w:jc w:val="both"/>
        <w:rPr>
          <w:rFonts w:eastAsia="Calibri" w:cs="Arial"/>
          <w:szCs w:val="20"/>
          <w:lang w:eastAsia="en-US"/>
        </w:rPr>
      </w:pPr>
      <w:r w:rsidRPr="00F85DD6">
        <w:rPr>
          <w:rFonts w:eastAsia="Calibri" w:cs="Arial"/>
          <w:szCs w:val="20"/>
          <w:lang w:eastAsia="en-US"/>
        </w:rPr>
        <w:lastRenderedPageBreak/>
        <w:t xml:space="preserve">Největší část výdajů zdravotních pojišťoven </w:t>
      </w:r>
      <w:r>
        <w:rPr>
          <w:rFonts w:eastAsia="Calibri" w:cs="Arial"/>
          <w:szCs w:val="20"/>
          <w:lang w:eastAsia="en-US"/>
        </w:rPr>
        <w:t>připadla</w:t>
      </w:r>
      <w:r w:rsidRPr="00F85DD6">
        <w:rPr>
          <w:rFonts w:eastAsia="Calibri" w:cs="Arial"/>
          <w:szCs w:val="20"/>
          <w:lang w:eastAsia="en-US"/>
        </w:rPr>
        <w:t xml:space="preserve"> v roce 2017 </w:t>
      </w:r>
      <w:r>
        <w:rPr>
          <w:rFonts w:eastAsia="Calibri" w:cs="Arial"/>
          <w:szCs w:val="20"/>
          <w:lang w:eastAsia="en-US"/>
        </w:rPr>
        <w:t xml:space="preserve">na </w:t>
      </w:r>
      <w:r w:rsidRPr="00C728E0">
        <w:rPr>
          <w:rFonts w:eastAsia="Calibri" w:cs="Arial"/>
          <w:b/>
          <w:szCs w:val="20"/>
          <w:lang w:eastAsia="en-US"/>
        </w:rPr>
        <w:t>ambulantní péči včetně rehabilitační</w:t>
      </w:r>
      <w:r>
        <w:rPr>
          <w:rFonts w:eastAsia="Calibri" w:cs="Arial"/>
          <w:szCs w:val="20"/>
          <w:lang w:eastAsia="en-US"/>
        </w:rPr>
        <w:t xml:space="preserve">, celkem </w:t>
      </w:r>
      <w:r w:rsidRPr="00F85DD6">
        <w:rPr>
          <w:rFonts w:eastAsia="Calibri" w:cs="Arial"/>
          <w:szCs w:val="20"/>
          <w:lang w:eastAsia="en-US"/>
        </w:rPr>
        <w:t>7</w:t>
      </w:r>
      <w:r>
        <w:rPr>
          <w:rFonts w:eastAsia="Calibri" w:cs="Arial"/>
          <w:szCs w:val="20"/>
          <w:lang w:eastAsia="en-US"/>
        </w:rPr>
        <w:t>9,4</w:t>
      </w:r>
      <w:r w:rsidR="00C728E0">
        <w:rPr>
          <w:rFonts w:eastAsia="Calibri" w:cs="Arial"/>
          <w:szCs w:val="20"/>
          <w:lang w:eastAsia="en-US"/>
        </w:rPr>
        <w:t> </w:t>
      </w:r>
      <w:r w:rsidRPr="00F85DD6">
        <w:rPr>
          <w:rFonts w:eastAsia="Calibri" w:cs="Arial"/>
          <w:szCs w:val="20"/>
          <w:lang w:eastAsia="en-US"/>
        </w:rPr>
        <w:t>mld. Kč (32</w:t>
      </w:r>
      <w:r w:rsidR="00C728E0">
        <w:rPr>
          <w:rFonts w:eastAsia="Calibri" w:cs="Arial"/>
          <w:szCs w:val="20"/>
          <w:lang w:eastAsia="en-US"/>
        </w:rPr>
        <w:t> </w:t>
      </w:r>
      <w:r w:rsidRPr="00F85DD6">
        <w:rPr>
          <w:rFonts w:eastAsia="Calibri" w:cs="Arial"/>
          <w:szCs w:val="20"/>
          <w:lang w:eastAsia="en-US"/>
        </w:rPr>
        <w:t>% z</w:t>
      </w:r>
      <w:r>
        <w:rPr>
          <w:rFonts w:eastAsia="Calibri" w:cs="Arial"/>
          <w:szCs w:val="20"/>
          <w:lang w:eastAsia="en-US"/>
        </w:rPr>
        <w:t xml:space="preserve"> jejich </w:t>
      </w:r>
      <w:r w:rsidRPr="00F85DD6">
        <w:rPr>
          <w:rFonts w:eastAsia="Calibri" w:cs="Arial"/>
          <w:szCs w:val="20"/>
          <w:lang w:eastAsia="en-US"/>
        </w:rPr>
        <w:t xml:space="preserve">celkových nákladů). Z toho na ambulantní péči lékařů specialistů </w:t>
      </w:r>
      <w:r>
        <w:rPr>
          <w:rFonts w:eastAsia="Calibri" w:cs="Arial"/>
          <w:szCs w:val="20"/>
          <w:lang w:eastAsia="en-US"/>
        </w:rPr>
        <w:t>připadalo</w:t>
      </w:r>
      <w:r w:rsidRPr="00F85DD6">
        <w:rPr>
          <w:rFonts w:eastAsia="Calibri" w:cs="Arial"/>
          <w:szCs w:val="20"/>
          <w:lang w:eastAsia="en-US"/>
        </w:rPr>
        <w:t xml:space="preserve"> 17</w:t>
      </w:r>
      <w:r w:rsidR="00C728E0">
        <w:rPr>
          <w:rFonts w:eastAsia="Calibri"/>
        </w:rPr>
        <w:t> </w:t>
      </w:r>
      <w:r w:rsidRPr="00F85DD6">
        <w:rPr>
          <w:rFonts w:eastAsia="Calibri" w:cs="Arial"/>
          <w:szCs w:val="20"/>
          <w:lang w:eastAsia="en-US"/>
        </w:rPr>
        <w:t xml:space="preserve">%, na péči praktických lékařů </w:t>
      </w:r>
      <w:r>
        <w:rPr>
          <w:rFonts w:eastAsia="Calibri" w:cs="Arial"/>
          <w:szCs w:val="20"/>
          <w:lang w:eastAsia="en-US"/>
        </w:rPr>
        <w:t xml:space="preserve">nejen </w:t>
      </w:r>
      <w:r w:rsidRPr="00F85DD6">
        <w:rPr>
          <w:rFonts w:eastAsia="Calibri" w:cs="Arial"/>
          <w:szCs w:val="20"/>
          <w:lang w:eastAsia="en-US"/>
        </w:rPr>
        <w:t>pro dospělé</w:t>
      </w:r>
      <w:r>
        <w:rPr>
          <w:rFonts w:eastAsia="Calibri" w:cs="Arial"/>
          <w:szCs w:val="20"/>
          <w:lang w:eastAsia="en-US"/>
        </w:rPr>
        <w:t xml:space="preserve">, ale i </w:t>
      </w:r>
      <w:r w:rsidRPr="00F85DD6">
        <w:rPr>
          <w:rFonts w:eastAsia="Calibri" w:cs="Arial"/>
          <w:szCs w:val="20"/>
          <w:lang w:eastAsia="en-US"/>
        </w:rPr>
        <w:t>děti a dorost 8</w:t>
      </w:r>
      <w:r w:rsidR="00C728E0">
        <w:rPr>
          <w:rFonts w:eastAsia="Calibri" w:cs="Arial"/>
          <w:szCs w:val="20"/>
          <w:lang w:eastAsia="en-US"/>
        </w:rPr>
        <w:t> </w:t>
      </w:r>
      <w:r w:rsidRPr="00F85DD6">
        <w:rPr>
          <w:rFonts w:eastAsia="Calibri" w:cs="Arial"/>
          <w:szCs w:val="20"/>
          <w:lang w:eastAsia="en-US"/>
        </w:rPr>
        <w:t>% a</w:t>
      </w:r>
      <w:r>
        <w:rPr>
          <w:rFonts w:eastAsia="Calibri" w:cs="Arial"/>
          <w:szCs w:val="20"/>
          <w:lang w:eastAsia="en-US"/>
        </w:rPr>
        <w:t xml:space="preserve"> shodně více než 3</w:t>
      </w:r>
      <w:r w:rsidR="00C728E0">
        <w:rPr>
          <w:rFonts w:eastAsia="Calibri" w:cs="Arial"/>
          <w:szCs w:val="20"/>
          <w:lang w:eastAsia="en-US"/>
        </w:rPr>
        <w:t> </w:t>
      </w:r>
      <w:r>
        <w:rPr>
          <w:rFonts w:eastAsia="Calibri" w:cs="Arial"/>
          <w:szCs w:val="20"/>
          <w:lang w:eastAsia="en-US"/>
        </w:rPr>
        <w:t>% představovala</w:t>
      </w:r>
      <w:r w:rsidRPr="00F85DD6">
        <w:rPr>
          <w:rFonts w:eastAsia="Calibri" w:cs="Arial"/>
          <w:szCs w:val="20"/>
          <w:lang w:eastAsia="en-US"/>
        </w:rPr>
        <w:t xml:space="preserve"> ambulantní péče stomatologů a rehabilitačních pracovníků. </w:t>
      </w:r>
      <w:r w:rsidRPr="007E0D3A">
        <w:rPr>
          <w:rFonts w:eastAsia="Calibri" w:cs="Arial"/>
          <w:szCs w:val="20"/>
          <w:lang w:eastAsia="en-US"/>
        </w:rPr>
        <w:t xml:space="preserve">Podíl </w:t>
      </w:r>
      <w:r w:rsidRPr="007E0D3A">
        <w:rPr>
          <w:rFonts w:eastAsia="Calibri" w:cs="Arial"/>
          <w:b/>
          <w:szCs w:val="20"/>
          <w:lang w:eastAsia="en-US"/>
        </w:rPr>
        <w:t>lůžkové péče</w:t>
      </w:r>
      <w:r w:rsidRPr="007E0D3A">
        <w:rPr>
          <w:rFonts w:eastAsia="Calibri" w:cs="Arial"/>
          <w:szCs w:val="20"/>
          <w:lang w:eastAsia="en-US"/>
        </w:rPr>
        <w:t xml:space="preserve"> včetně rehabilitační a dlouhodobé zdravotní </w:t>
      </w:r>
      <w:r w:rsidR="00C728E0" w:rsidRPr="007E0D3A">
        <w:rPr>
          <w:rFonts w:eastAsia="Calibri" w:cs="Arial"/>
          <w:szCs w:val="20"/>
          <w:lang w:eastAsia="en-US"/>
        </w:rPr>
        <w:t xml:space="preserve">dosáhl v roce 2017 téměř třiceti procent (28 %) </w:t>
      </w:r>
      <w:r w:rsidRPr="007E0D3A">
        <w:rPr>
          <w:rFonts w:eastAsia="Calibri" w:cs="Arial"/>
          <w:szCs w:val="20"/>
          <w:lang w:eastAsia="en-US"/>
        </w:rPr>
        <w:t xml:space="preserve">na celkových výdajích </w:t>
      </w:r>
      <w:r w:rsidR="00C728E0" w:rsidRPr="007E0D3A">
        <w:rPr>
          <w:rFonts w:eastAsia="Calibri" w:cs="Arial"/>
          <w:szCs w:val="20"/>
          <w:lang w:eastAsia="en-US"/>
        </w:rPr>
        <w:t xml:space="preserve">zdravotních pojišťoven. V absolutním vyjádření vynaložily zdravotní pojišťovny v roce 2017 na tuto lůžkovou péči </w:t>
      </w:r>
      <w:r w:rsidRPr="007E0D3A">
        <w:rPr>
          <w:rFonts w:eastAsia="Calibri" w:cs="Arial"/>
          <w:szCs w:val="20"/>
          <w:lang w:eastAsia="en-US"/>
        </w:rPr>
        <w:t>70 mld. Kč</w:t>
      </w:r>
      <w:r w:rsidR="00C728E0" w:rsidRPr="007E0D3A">
        <w:rPr>
          <w:rFonts w:eastAsia="Calibri" w:cs="Arial"/>
          <w:szCs w:val="20"/>
          <w:lang w:eastAsia="en-US"/>
        </w:rPr>
        <w:t xml:space="preserve">. </w:t>
      </w:r>
      <w:r w:rsidRPr="007E0D3A">
        <w:rPr>
          <w:rFonts w:eastAsia="Calibri" w:cs="Arial"/>
          <w:szCs w:val="20"/>
          <w:lang w:eastAsia="en-US"/>
        </w:rPr>
        <w:t>Výdaje</w:t>
      </w:r>
      <w:r w:rsidRPr="00F85DD6">
        <w:rPr>
          <w:rFonts w:eastAsia="Calibri" w:cs="Arial"/>
          <w:szCs w:val="20"/>
          <w:lang w:eastAsia="en-US"/>
        </w:rPr>
        <w:t xml:space="preserve"> </w:t>
      </w:r>
      <w:r w:rsidRPr="00C728E0">
        <w:rPr>
          <w:rFonts w:eastAsia="Calibri" w:cs="Arial"/>
          <w:b/>
          <w:szCs w:val="20"/>
          <w:lang w:eastAsia="en-US"/>
        </w:rPr>
        <w:t>na léky na recept</w:t>
      </w:r>
      <w:r w:rsidRPr="00F85DD6">
        <w:rPr>
          <w:rFonts w:eastAsia="Calibri" w:cs="Arial"/>
          <w:szCs w:val="20"/>
          <w:lang w:eastAsia="en-US"/>
        </w:rPr>
        <w:t xml:space="preserve"> tvořil</w:t>
      </w:r>
      <w:r>
        <w:rPr>
          <w:rFonts w:eastAsia="Calibri" w:cs="Arial"/>
          <w:szCs w:val="20"/>
          <w:lang w:eastAsia="en-US"/>
        </w:rPr>
        <w:t>y</w:t>
      </w:r>
      <w:r w:rsidRPr="00F85DD6">
        <w:rPr>
          <w:rFonts w:eastAsia="Calibri" w:cs="Arial"/>
          <w:szCs w:val="20"/>
          <w:lang w:eastAsia="en-US"/>
        </w:rPr>
        <w:t xml:space="preserve"> 13</w:t>
      </w:r>
      <w:r w:rsidR="00C728E0">
        <w:rPr>
          <w:rFonts w:eastAsia="Calibri" w:cs="Arial"/>
          <w:szCs w:val="20"/>
          <w:lang w:eastAsia="en-US"/>
        </w:rPr>
        <w:t> </w:t>
      </w:r>
      <w:r w:rsidRPr="00F85DD6">
        <w:rPr>
          <w:rFonts w:eastAsia="Calibri" w:cs="Arial"/>
          <w:szCs w:val="20"/>
          <w:lang w:eastAsia="en-US"/>
        </w:rPr>
        <w:t>%, což odpovíd</w:t>
      </w:r>
      <w:r>
        <w:rPr>
          <w:rFonts w:eastAsia="Calibri" w:cs="Arial"/>
          <w:szCs w:val="20"/>
          <w:lang w:eastAsia="en-US"/>
        </w:rPr>
        <w:t>alo</w:t>
      </w:r>
      <w:r w:rsidRPr="00F85DD6">
        <w:rPr>
          <w:rFonts w:eastAsia="Calibri" w:cs="Arial"/>
          <w:szCs w:val="20"/>
          <w:lang w:eastAsia="en-US"/>
        </w:rPr>
        <w:t xml:space="preserve"> v </w:t>
      </w:r>
      <w:r>
        <w:rPr>
          <w:rFonts w:eastAsia="Calibri" w:cs="Arial"/>
          <w:szCs w:val="20"/>
          <w:lang w:eastAsia="en-US"/>
        </w:rPr>
        <w:t>hodnotě</w:t>
      </w:r>
      <w:r w:rsidRPr="00F85DD6">
        <w:rPr>
          <w:rFonts w:eastAsia="Calibri" w:cs="Arial"/>
          <w:szCs w:val="20"/>
          <w:lang w:eastAsia="en-US"/>
        </w:rPr>
        <w:t xml:space="preserve"> 32,8</w:t>
      </w:r>
      <w:r w:rsidR="00C728E0">
        <w:rPr>
          <w:rFonts w:eastAsia="Calibri" w:cs="Arial"/>
          <w:szCs w:val="20"/>
          <w:lang w:eastAsia="en-US"/>
        </w:rPr>
        <w:t> </w:t>
      </w:r>
      <w:r w:rsidRPr="00F85DD6">
        <w:rPr>
          <w:rFonts w:eastAsia="Calibri" w:cs="Arial"/>
          <w:szCs w:val="20"/>
          <w:lang w:eastAsia="en-US"/>
        </w:rPr>
        <w:t>mld.</w:t>
      </w:r>
      <w:r w:rsidR="00C728E0">
        <w:rPr>
          <w:rFonts w:eastAsia="Calibri" w:cs="Arial"/>
          <w:szCs w:val="20"/>
          <w:lang w:eastAsia="en-US"/>
        </w:rPr>
        <w:t> +</w:t>
      </w:r>
      <w:r w:rsidRPr="00F85DD6">
        <w:rPr>
          <w:rFonts w:eastAsia="Calibri" w:cs="Arial"/>
          <w:szCs w:val="20"/>
          <w:lang w:eastAsia="en-US"/>
        </w:rPr>
        <w:t xml:space="preserve">Kč. Z dlouhodobého pohledu od roku 2010 zůstávají uvedené </w:t>
      </w:r>
      <w:r>
        <w:rPr>
          <w:rFonts w:eastAsia="Calibri" w:cs="Arial"/>
          <w:szCs w:val="20"/>
          <w:lang w:eastAsia="en-US"/>
        </w:rPr>
        <w:t>procentní podíly</w:t>
      </w:r>
      <w:r w:rsidRPr="00F85DD6">
        <w:rPr>
          <w:rFonts w:eastAsia="Calibri" w:cs="Arial"/>
          <w:szCs w:val="20"/>
          <w:lang w:eastAsia="en-US"/>
        </w:rPr>
        <w:t xml:space="preserve"> bez výrazných změn.</w:t>
      </w:r>
    </w:p>
    <w:p w:rsidR="00C728E0" w:rsidRPr="00320E92" w:rsidRDefault="006067DA" w:rsidP="00C728E0">
      <w:pPr>
        <w:widowControl w:val="0"/>
        <w:spacing w:before="120"/>
        <w:jc w:val="both"/>
        <w:rPr>
          <w:rFonts w:cs="Arial"/>
          <w:i/>
          <w:szCs w:val="20"/>
        </w:rPr>
      </w:pPr>
      <w:r w:rsidRPr="00D72EF5">
        <w:t>V </w:t>
      </w:r>
      <w:r w:rsidRPr="00D72EF5">
        <w:rPr>
          <w:b/>
        </w:rPr>
        <w:t>mezinárodním srovnání</w:t>
      </w:r>
      <w:r w:rsidRPr="00D72EF5">
        <w:t xml:space="preserve"> podíl výdajů na zdravotní péči v České republice financovaný z povinného zdravotního pojištění vysoce převyšuje průměr zemí EU (41 % v roce 2016). Náš stát se tak řadí k zemím jako je například Německo, Slovensko, Francie či Nizozemsko, kde je systém financování zdravotní péče založený především na zdrojích ze všeobecného zdravotního pojištění. V sousedním Polsku tvoří povinné zdravotní pojištění 60 % a v Rakousku 44 % celkových výdajů na zdravotní péči. </w:t>
      </w:r>
      <w:r w:rsidR="00C728E0" w:rsidRPr="00320E92">
        <w:rPr>
          <w:rFonts w:cs="Arial"/>
          <w:i/>
          <w:szCs w:val="20"/>
        </w:rPr>
        <w:t>Podrobněji viz kapitola</w:t>
      </w:r>
      <w:r w:rsidR="00C728E0">
        <w:rPr>
          <w:rFonts w:cs="Arial"/>
          <w:i/>
          <w:szCs w:val="20"/>
        </w:rPr>
        <w:t xml:space="preserve"> č. </w:t>
      </w:r>
      <w:r w:rsidR="00C728E0" w:rsidRPr="00320E92">
        <w:rPr>
          <w:rFonts w:cs="Arial"/>
          <w:i/>
          <w:szCs w:val="20"/>
        </w:rPr>
        <w:t>4</w:t>
      </w:r>
      <w:r w:rsidR="00C728E0">
        <w:rPr>
          <w:rFonts w:cs="Arial"/>
          <w:i/>
          <w:szCs w:val="20"/>
        </w:rPr>
        <w:t> </w:t>
      </w:r>
      <w:r w:rsidR="00C728E0" w:rsidRPr="00320E92">
        <w:rPr>
          <w:rFonts w:cs="Arial"/>
          <w:i/>
          <w:szCs w:val="20"/>
        </w:rPr>
        <w:t>Mezinárodní srovnání.</w:t>
      </w:r>
    </w:p>
    <w:p w:rsidR="006067DA" w:rsidRPr="00214E6F" w:rsidRDefault="006067DA" w:rsidP="006067DA">
      <w:pPr>
        <w:keepNext/>
        <w:keepLines/>
        <w:spacing w:before="240" w:after="120"/>
        <w:outlineLvl w:val="2"/>
        <w:rPr>
          <w:rFonts w:eastAsia="MS Gothic"/>
          <w:b/>
          <w:bCs/>
          <w:color w:val="BC091B"/>
          <w:sz w:val="24"/>
        </w:rPr>
      </w:pPr>
      <w:r w:rsidRPr="00214E6F">
        <w:rPr>
          <w:rFonts w:eastAsia="MS Gothic"/>
          <w:b/>
          <w:bCs/>
          <w:color w:val="BC091B"/>
          <w:sz w:val="24"/>
        </w:rPr>
        <w:t>3.1.2. Výdaje zdravotních pojišťoven podle diagnóz</w:t>
      </w:r>
    </w:p>
    <w:p w:rsidR="006067DA" w:rsidRDefault="006067DA" w:rsidP="006067DA">
      <w:pPr>
        <w:spacing w:before="120"/>
        <w:jc w:val="both"/>
      </w:pPr>
      <w:r w:rsidRPr="007E0D3A">
        <w:t xml:space="preserve">V této kapitole se budeme podrobně věnovat výdajům na zdravotní péči podle </w:t>
      </w:r>
      <w:r w:rsidRPr="007E0D3A">
        <w:rPr>
          <w:b/>
        </w:rPr>
        <w:t>diagnóz</w:t>
      </w:r>
      <w:r w:rsidRPr="007E0D3A">
        <w:t>, na jejichž léčbu byly vynaloženy</w:t>
      </w:r>
      <w:r w:rsidR="00C728E0" w:rsidRPr="007E0D3A">
        <w:t>,</w:t>
      </w:r>
      <w:r w:rsidRPr="007E0D3A">
        <w:t xml:space="preserve"> definovaných podle</w:t>
      </w:r>
      <w:r w:rsidR="00C728E0" w:rsidRPr="007E0D3A">
        <w:t xml:space="preserve"> jednotlivých tříd</w:t>
      </w:r>
      <w:r w:rsidR="007E0D3A" w:rsidRPr="007E0D3A">
        <w:t xml:space="preserve"> 10. revize</w:t>
      </w:r>
      <w:r w:rsidRPr="007E0D3A">
        <w:t xml:space="preserve"> </w:t>
      </w:r>
      <w:r w:rsidRPr="007E0D3A">
        <w:rPr>
          <w:b/>
        </w:rPr>
        <w:t>Mezinárodní s</w:t>
      </w:r>
      <w:r w:rsidR="007E0D3A" w:rsidRPr="007E0D3A">
        <w:rPr>
          <w:b/>
        </w:rPr>
        <w:t>tatistické klasifikace nemocí a </w:t>
      </w:r>
      <w:r w:rsidRPr="007E0D3A">
        <w:rPr>
          <w:b/>
        </w:rPr>
        <w:t>při</w:t>
      </w:r>
      <w:r w:rsidR="007E0D3A" w:rsidRPr="007E0D3A">
        <w:rPr>
          <w:b/>
        </w:rPr>
        <w:t>družených zdravotní</w:t>
      </w:r>
      <w:r w:rsidRPr="007E0D3A">
        <w:rPr>
          <w:b/>
        </w:rPr>
        <w:t xml:space="preserve">ch problémů </w:t>
      </w:r>
      <w:r w:rsidRPr="007E0D3A">
        <w:t>(dále jen MKN-10), a to v členění podle pohlaví a věku pojištěnců.</w:t>
      </w:r>
    </w:p>
    <w:p w:rsidR="006067DA" w:rsidRPr="00214E6F" w:rsidRDefault="006067DA" w:rsidP="00CE45A3">
      <w:pPr>
        <w:spacing w:before="240"/>
        <w:jc w:val="both"/>
        <w:rPr>
          <w:b/>
          <w:bCs/>
          <w:sz w:val="18"/>
          <w:szCs w:val="18"/>
        </w:rPr>
      </w:pPr>
      <w:r w:rsidRPr="00214E6F">
        <w:rPr>
          <w:b/>
          <w:bCs/>
          <w:sz w:val="18"/>
          <w:szCs w:val="18"/>
        </w:rPr>
        <w:t>Graf č. 3.1.2 Výdaje zdravotních pojišťoven na zdravotní péči v ČR podle diagnóz MKN-10, 201</w:t>
      </w:r>
      <w:r>
        <w:rPr>
          <w:b/>
          <w:bCs/>
          <w:sz w:val="18"/>
          <w:szCs w:val="18"/>
        </w:rPr>
        <w:t>7</w:t>
      </w:r>
      <w:r w:rsidRPr="00214E6F">
        <w:rPr>
          <w:b/>
          <w:bCs/>
          <w:sz w:val="18"/>
          <w:szCs w:val="18"/>
        </w:rPr>
        <w:t xml:space="preserve"> (v mld. Kč; %)</w:t>
      </w:r>
    </w:p>
    <w:p w:rsidR="00A84BAF" w:rsidRDefault="00373A31" w:rsidP="00A84BAF">
      <w:pPr>
        <w:rPr>
          <w:noProof/>
          <w:lang w:val="en-US" w:eastAsia="en-US"/>
        </w:rPr>
      </w:pPr>
      <w:r>
        <w:rPr>
          <w:noProof/>
        </w:rPr>
        <w:drawing>
          <wp:inline distT="0" distB="0" distL="0" distR="0" wp14:anchorId="5FA80B8E">
            <wp:extent cx="6132830" cy="2859405"/>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2859405"/>
                    </a:xfrm>
                    <a:prstGeom prst="rect">
                      <a:avLst/>
                    </a:prstGeom>
                    <a:noFill/>
                  </pic:spPr>
                </pic:pic>
              </a:graphicData>
            </a:graphic>
          </wp:inline>
        </w:drawing>
      </w:r>
    </w:p>
    <w:p w:rsidR="006067DA" w:rsidRPr="00A84BAF" w:rsidRDefault="00A84BAF" w:rsidP="00A84BAF">
      <w:pPr>
        <w:rPr>
          <w:sz w:val="16"/>
        </w:rPr>
      </w:pPr>
      <w:r>
        <w:rPr>
          <w:sz w:val="16"/>
        </w:rPr>
        <w:t xml:space="preserve">(1) </w:t>
      </w:r>
      <w:r w:rsidR="006067DA" w:rsidRPr="00A84BAF">
        <w:rPr>
          <w:sz w:val="16"/>
        </w:rPr>
        <w:t>Ostatní -  zahrnuje výdaje na další kapitoly diagnóz v grafu neuvedené: např. nemoci nervové soustavy, nemoci oka, nemoci ucha, nemoci kůže, některé infekční a parazitární nemoci, těhotenství, porod a šestinedělí atd.</w:t>
      </w:r>
    </w:p>
    <w:p w:rsidR="006067DA" w:rsidRPr="00FB007E" w:rsidRDefault="006067DA" w:rsidP="006067DA">
      <w:pPr>
        <w:spacing w:before="120" w:line="240" w:lineRule="auto"/>
        <w:jc w:val="both"/>
        <w:rPr>
          <w:b/>
          <w:bCs/>
          <w:i/>
          <w:sz w:val="12"/>
          <w:szCs w:val="16"/>
        </w:rPr>
      </w:pPr>
      <w:r w:rsidRPr="00FB007E">
        <w:rPr>
          <w:sz w:val="16"/>
        </w:rPr>
        <w:t xml:space="preserve">Poznámka: </w:t>
      </w:r>
      <w:r>
        <w:rPr>
          <w:sz w:val="16"/>
        </w:rPr>
        <w:t>v</w:t>
      </w:r>
      <w:r w:rsidRPr="00D516DE">
        <w:rPr>
          <w:sz w:val="16"/>
        </w:rPr>
        <w:t>ýdaje zdravotních pojišťoven na zdravotní péči v ČR podle diagnóz MKN-10 uvedené v tomto grafu neobsahují výdaje, které není možné rozčlenit na konkrétní diagnózy</w:t>
      </w:r>
      <w:r>
        <w:rPr>
          <w:sz w:val="16"/>
        </w:rPr>
        <w:t xml:space="preserve"> (43,9</w:t>
      </w:r>
      <w:r w:rsidRPr="00D516DE">
        <w:rPr>
          <w:sz w:val="16"/>
        </w:rPr>
        <w:t xml:space="preserve"> mld. Kč</w:t>
      </w:r>
      <w:r>
        <w:rPr>
          <w:sz w:val="16"/>
        </w:rPr>
        <w:t>)</w:t>
      </w:r>
      <w:r w:rsidRPr="00D516DE">
        <w:rPr>
          <w:sz w:val="16"/>
        </w:rPr>
        <w:t>. Jedná se například o kapitační platby registrujícím lékařům, návštěvní službu v rámci domácí péče, léky na recept, různé bonusy a příspěvky a také náklady pojišťoven na správu a provoz vlastních organizací.</w:t>
      </w:r>
    </w:p>
    <w:p w:rsidR="006067DA" w:rsidRDefault="006067DA" w:rsidP="006067DA">
      <w:pPr>
        <w:spacing w:before="120" w:after="240" w:line="240" w:lineRule="auto"/>
        <w:jc w:val="right"/>
        <w:rPr>
          <w:b/>
          <w:bCs/>
          <w:i/>
          <w:sz w:val="16"/>
          <w:szCs w:val="16"/>
        </w:rPr>
      </w:pPr>
      <w:r w:rsidRPr="00214E6F">
        <w:rPr>
          <w:b/>
          <w:bCs/>
          <w:i/>
          <w:sz w:val="16"/>
          <w:szCs w:val="16"/>
        </w:rPr>
        <w:t>Zdroj: ČSÚ 201</w:t>
      </w:r>
      <w:r>
        <w:rPr>
          <w:b/>
          <w:bCs/>
          <w:i/>
          <w:sz w:val="16"/>
          <w:szCs w:val="16"/>
        </w:rPr>
        <w:t>9</w:t>
      </w:r>
      <w:r w:rsidRPr="00214E6F">
        <w:rPr>
          <w:b/>
          <w:bCs/>
          <w:i/>
          <w:sz w:val="16"/>
          <w:szCs w:val="16"/>
        </w:rPr>
        <w:t>, Zdravotnické účty ČR 2010 - 201</w:t>
      </w:r>
      <w:r>
        <w:rPr>
          <w:b/>
          <w:bCs/>
          <w:i/>
          <w:sz w:val="16"/>
          <w:szCs w:val="16"/>
        </w:rPr>
        <w:t>7</w:t>
      </w:r>
      <w:r w:rsidRPr="00214E6F">
        <w:rPr>
          <w:b/>
          <w:bCs/>
          <w:i/>
          <w:sz w:val="16"/>
          <w:szCs w:val="16"/>
        </w:rPr>
        <w:t xml:space="preserve"> </w:t>
      </w:r>
    </w:p>
    <w:p w:rsidR="006067DA" w:rsidRPr="00214E6F" w:rsidRDefault="006067DA" w:rsidP="006067DA">
      <w:pPr>
        <w:keepNext/>
        <w:spacing w:before="240" w:after="120" w:line="240" w:lineRule="auto"/>
        <w:rPr>
          <w:b/>
          <w:bCs/>
          <w:i/>
          <w:sz w:val="16"/>
          <w:szCs w:val="16"/>
        </w:rPr>
      </w:pPr>
      <w:r w:rsidRPr="00214E6F">
        <w:rPr>
          <w:rFonts w:eastAsia="MS Gothic"/>
          <w:b/>
          <w:bCs/>
          <w:i/>
        </w:rPr>
        <w:t xml:space="preserve">Nejvíce peněz vydávají zdravotní pojišťovny </w:t>
      </w:r>
      <w:r>
        <w:rPr>
          <w:rFonts w:eastAsia="MS Gothic"/>
          <w:b/>
          <w:bCs/>
          <w:i/>
        </w:rPr>
        <w:t xml:space="preserve">dlouhodobě </w:t>
      </w:r>
      <w:r w:rsidRPr="00214E6F">
        <w:rPr>
          <w:rFonts w:eastAsia="MS Gothic"/>
          <w:b/>
          <w:bCs/>
          <w:i/>
        </w:rPr>
        <w:t>na léčení nemocí srdce a cév</w:t>
      </w:r>
      <w:r>
        <w:rPr>
          <w:rFonts w:eastAsia="MS Gothic"/>
          <w:b/>
          <w:bCs/>
          <w:i/>
        </w:rPr>
        <w:t xml:space="preserve"> </w:t>
      </w:r>
    </w:p>
    <w:p w:rsidR="00FC0B39" w:rsidRDefault="006067DA" w:rsidP="00FC0B39">
      <w:pPr>
        <w:keepNext/>
        <w:spacing w:before="120"/>
        <w:jc w:val="both"/>
      </w:pPr>
      <w:r w:rsidRPr="00214E6F">
        <w:t xml:space="preserve">Na celkových výdajích u jednotlivých kapitol diagnóz se podílí jednak četnost daných onemocnění v populaci a pochopitelně také </w:t>
      </w:r>
      <w:r>
        <w:t>nákladnost</w:t>
      </w:r>
      <w:r w:rsidRPr="00214E6F">
        <w:t xml:space="preserve"> jejich léčby. </w:t>
      </w:r>
      <w:r>
        <w:t>Celkově n</w:t>
      </w:r>
      <w:r w:rsidRPr="00214E6F">
        <w:t xml:space="preserve">ejnákladnější skupinou onemocnění jsou dlouhodobě </w:t>
      </w:r>
      <w:r w:rsidRPr="00214E6F">
        <w:rPr>
          <w:b/>
        </w:rPr>
        <w:t xml:space="preserve">nemoci oběhové soustavy </w:t>
      </w:r>
      <w:r w:rsidRPr="00214E6F">
        <w:t>(</w:t>
      </w:r>
      <w:r>
        <w:t>v roce 2017</w:t>
      </w:r>
      <w:r w:rsidR="00146973">
        <w:t xml:space="preserve"> na ně bylo vynaloženo </w:t>
      </w:r>
      <w:r w:rsidRPr="00214E6F">
        <w:t>2</w:t>
      </w:r>
      <w:r>
        <w:t>8</w:t>
      </w:r>
      <w:r w:rsidRPr="00214E6F">
        <w:t>,</w:t>
      </w:r>
      <w:r>
        <w:t>9</w:t>
      </w:r>
      <w:r w:rsidRPr="00214E6F">
        <w:t xml:space="preserve"> mld. Kč), kam spadají mimo jiné ischemické choroby srdeční (např. infarkt myokardu, angina pectoris aj.) a cévní </w:t>
      </w:r>
      <w:r>
        <w:t>mozková příhody</w:t>
      </w:r>
      <w:r w:rsidRPr="00214E6F">
        <w:t xml:space="preserve">, což jsou jak vysoce </w:t>
      </w:r>
      <w:r>
        <w:t>finančně n</w:t>
      </w:r>
      <w:r w:rsidRPr="00214E6F">
        <w:t>ákladná</w:t>
      </w:r>
      <w:r>
        <w:t>,</w:t>
      </w:r>
      <w:r w:rsidRPr="00214E6F">
        <w:t xml:space="preserve"> tak i relativně častá onemocnění. </w:t>
      </w:r>
      <w:r>
        <w:t xml:space="preserve">Meziroční nárůst od roku 2016 představoval </w:t>
      </w:r>
      <w:r>
        <w:lastRenderedPageBreak/>
        <w:t xml:space="preserve">až 14 %. Zvýšení výdajů </w:t>
      </w:r>
      <w:r w:rsidRPr="00F954C5">
        <w:t xml:space="preserve">na léčbu </w:t>
      </w:r>
      <w:r>
        <w:t xml:space="preserve">onemocnění z uvedené kategorie </w:t>
      </w:r>
      <w:r w:rsidRPr="00F954C5">
        <w:t>by</w:t>
      </w:r>
      <w:r>
        <w:t>lo</w:t>
      </w:r>
      <w:r w:rsidRPr="00F954C5">
        <w:t xml:space="preserve"> v tomto období zaznamenán</w:t>
      </w:r>
      <w:r>
        <w:t>o</w:t>
      </w:r>
      <w:r w:rsidRPr="00F954C5">
        <w:t xml:space="preserve"> ve všech věkových skupinách</w:t>
      </w:r>
      <w:r>
        <w:t>, nejvíce však ve věkové skupině 70-79 let až o jednu pětinu.</w:t>
      </w:r>
      <w:r w:rsidR="00FC0B39">
        <w:t xml:space="preserve"> </w:t>
      </w:r>
    </w:p>
    <w:p w:rsidR="006067DA" w:rsidRDefault="006067DA" w:rsidP="00FC0B39">
      <w:pPr>
        <w:keepNext/>
        <w:spacing w:before="120"/>
        <w:jc w:val="both"/>
        <w:rPr>
          <w:rFonts w:eastAsia="Calibri" w:cs="Arial"/>
          <w:i/>
          <w:szCs w:val="20"/>
        </w:rPr>
      </w:pPr>
      <w:r w:rsidRPr="00D52C44">
        <w:rPr>
          <w:rFonts w:cs="Arial"/>
          <w:i/>
          <w:szCs w:val="20"/>
        </w:rPr>
        <w:t xml:space="preserve">Nemoci oběhové soustavy byly </w:t>
      </w:r>
      <w:r w:rsidRPr="00D52C44">
        <w:rPr>
          <w:rFonts w:eastAsia="Calibri" w:cs="Arial"/>
          <w:i/>
          <w:szCs w:val="20"/>
        </w:rPr>
        <w:t xml:space="preserve">druhým nejčetnějším důvodem pro hospitalizaci. Tvořily 13 % z celkového počtu všech hospitalizovaných v nemocnicích s průměrnou ošetřovací dobou 7,6 dne. </w:t>
      </w:r>
      <w:r>
        <w:rPr>
          <w:rFonts w:eastAsia="Calibri" w:cs="Arial"/>
          <w:i/>
          <w:szCs w:val="20"/>
        </w:rPr>
        <w:t xml:space="preserve">S nemocemi oběhové soustavy byli častěji hospitalizováni muži než ženy. </w:t>
      </w:r>
      <w:r w:rsidRPr="00D52C44">
        <w:rPr>
          <w:rFonts w:eastAsia="Calibri" w:cs="Arial"/>
          <w:i/>
          <w:szCs w:val="20"/>
        </w:rPr>
        <w:t xml:space="preserve">Téměř 40 % pacientů bylo starších 75 let s průměrnou dobou hospitalizace 10,5 dne. </w:t>
      </w:r>
    </w:p>
    <w:p w:rsidR="006067DA" w:rsidRPr="00214E6F" w:rsidRDefault="006067DA" w:rsidP="00FC0B39">
      <w:pPr>
        <w:spacing w:before="240" w:after="120"/>
        <w:jc w:val="both"/>
        <w:rPr>
          <w:rFonts w:eastAsia="MS Gothic"/>
          <w:b/>
          <w:i/>
        </w:rPr>
      </w:pPr>
      <w:r w:rsidRPr="00214E6F">
        <w:rPr>
          <w:rFonts w:eastAsia="MS Gothic"/>
          <w:b/>
          <w:i/>
        </w:rPr>
        <w:t xml:space="preserve">Výdaje na onkologickou léčbu </w:t>
      </w:r>
      <w:r>
        <w:rPr>
          <w:rFonts w:eastAsia="MS Gothic"/>
          <w:b/>
          <w:i/>
        </w:rPr>
        <w:t>v roce 2017 dosáhly 26,3 miliard korun</w:t>
      </w:r>
    </w:p>
    <w:p w:rsidR="00FC0B39" w:rsidRDefault="006067DA" w:rsidP="00FC0B39">
      <w:pPr>
        <w:jc w:val="both"/>
        <w:rPr>
          <w:rStyle w:val="Hypertextovodkaz"/>
          <w:rFonts w:cs="Arial"/>
          <w:color w:val="auto"/>
          <w:szCs w:val="20"/>
        </w:rPr>
      </w:pPr>
      <w:r w:rsidRPr="00420638">
        <w:rPr>
          <w:rFonts w:cs="Arial"/>
          <w:szCs w:val="20"/>
        </w:rPr>
        <w:t xml:space="preserve">Ve stejném roce </w:t>
      </w:r>
      <w:r>
        <w:rPr>
          <w:rFonts w:cs="Arial"/>
          <w:szCs w:val="20"/>
        </w:rPr>
        <w:t>poukázaly</w:t>
      </w:r>
      <w:r w:rsidRPr="00420638">
        <w:rPr>
          <w:rFonts w:cs="Arial"/>
          <w:szCs w:val="20"/>
        </w:rPr>
        <w:t xml:space="preserve"> </w:t>
      </w:r>
      <w:r>
        <w:rPr>
          <w:rFonts w:cs="Arial"/>
          <w:szCs w:val="20"/>
        </w:rPr>
        <w:t>zdravotní</w:t>
      </w:r>
      <w:r w:rsidRPr="00420638">
        <w:rPr>
          <w:rFonts w:cs="Arial"/>
          <w:szCs w:val="20"/>
        </w:rPr>
        <w:t xml:space="preserve"> pojišťov</w:t>
      </w:r>
      <w:r>
        <w:rPr>
          <w:rFonts w:cs="Arial"/>
          <w:szCs w:val="20"/>
        </w:rPr>
        <w:t>ny</w:t>
      </w:r>
      <w:r w:rsidRPr="00420638">
        <w:rPr>
          <w:rFonts w:cs="Arial"/>
          <w:szCs w:val="20"/>
        </w:rPr>
        <w:t xml:space="preserve"> na léčbu </w:t>
      </w:r>
      <w:r w:rsidRPr="00420638">
        <w:rPr>
          <w:rFonts w:cs="Arial"/>
          <w:b/>
          <w:szCs w:val="20"/>
        </w:rPr>
        <w:t>onkologických onemocnění</w:t>
      </w:r>
      <w:r w:rsidRPr="00420638">
        <w:rPr>
          <w:rFonts w:cs="Arial"/>
          <w:szCs w:val="20"/>
        </w:rPr>
        <w:t xml:space="preserve"> 26,3 mld. Kč. Oproti roku 2010 se zvýšily výdaje na onkologickou léčbu o více než jednu třetinu. Nárůst výdajů na onkologickou léčbu souvisí </w:t>
      </w:r>
      <w:r w:rsidR="00F127ED">
        <w:rPr>
          <w:rFonts w:cs="Arial"/>
          <w:szCs w:val="20"/>
        </w:rPr>
        <w:t xml:space="preserve">nárůstem incidence zhoubných novotvarů v populaci a </w:t>
      </w:r>
      <w:r w:rsidRPr="00420638">
        <w:rPr>
          <w:rFonts w:cs="Arial"/>
          <w:szCs w:val="20"/>
        </w:rPr>
        <w:t>s možnostmi nových moderních léčebných i diagnostických metod, přístrojů a léčivých prostředků a jejich z</w:t>
      </w:r>
      <w:r>
        <w:rPr>
          <w:rFonts w:cs="Arial"/>
          <w:szCs w:val="20"/>
        </w:rPr>
        <w:t>a</w:t>
      </w:r>
      <w:r w:rsidRPr="00420638">
        <w:rPr>
          <w:rFonts w:cs="Arial"/>
          <w:szCs w:val="20"/>
        </w:rPr>
        <w:t>váděním do praxe.</w:t>
      </w:r>
      <w:r w:rsidRPr="00420638">
        <w:rPr>
          <w:rStyle w:val="Hypertextovodkaz"/>
          <w:rFonts w:cs="Arial"/>
          <w:color w:val="auto"/>
          <w:szCs w:val="20"/>
        </w:rPr>
        <w:t xml:space="preserve"> </w:t>
      </w:r>
    </w:p>
    <w:p w:rsidR="006067DA" w:rsidRPr="00FC0B39" w:rsidRDefault="006067DA" w:rsidP="00FC0B39">
      <w:pPr>
        <w:keepNext/>
        <w:spacing w:before="120"/>
        <w:jc w:val="both"/>
        <w:rPr>
          <w:rFonts w:cs="Arial"/>
          <w:i/>
          <w:szCs w:val="20"/>
        </w:rPr>
      </w:pPr>
      <w:r w:rsidRPr="00FC0B39">
        <w:rPr>
          <w:rFonts w:cs="Arial"/>
          <w:i/>
          <w:szCs w:val="20"/>
        </w:rPr>
        <w:t>Novotvary představovaly 7 % z celkového počtu hospitalizací s průměrným počtem ošetřovacích dní 6,3 dní a průměrným věkem u mužů 64,1 let a u žen 59,8 let. Hospitalizačně léčené zhoubné novotvary nejčastěji postihovaly trávicí trakt (19,5 %), močové ústrojí (9,3 %), dále dýchací ústrojí (7,2 %), a prs (5,6 %). Nejdelší průměrnou ošetřovací dobou (11,1 dne) se vyznačovala léčba leukémie. K nejnákladnějším skupinám onkologických onemocnění patří nádory trávicího ústrojí a nádory mízní a krvetvorné tkáně a nádory prsu.</w:t>
      </w:r>
      <w:r w:rsidRPr="00FC0B39">
        <w:rPr>
          <w:rFonts w:cs="Arial"/>
          <w:b/>
          <w:bCs/>
          <w:szCs w:val="20"/>
        </w:rPr>
        <w:t xml:space="preserve"> </w:t>
      </w:r>
    </w:p>
    <w:p w:rsidR="006067DA" w:rsidRDefault="006067DA" w:rsidP="006067DA">
      <w:pPr>
        <w:spacing w:before="240"/>
        <w:jc w:val="both"/>
        <w:rPr>
          <w:b/>
          <w:bCs/>
          <w:sz w:val="18"/>
          <w:szCs w:val="18"/>
        </w:rPr>
      </w:pPr>
      <w:r w:rsidRPr="00214E6F">
        <w:rPr>
          <w:b/>
          <w:bCs/>
          <w:sz w:val="18"/>
          <w:szCs w:val="18"/>
        </w:rPr>
        <w:t xml:space="preserve">Graf č. 3.1.3 </w:t>
      </w:r>
      <w:r>
        <w:rPr>
          <w:b/>
          <w:bCs/>
          <w:sz w:val="18"/>
          <w:szCs w:val="18"/>
        </w:rPr>
        <w:t>V</w:t>
      </w:r>
      <w:r w:rsidRPr="00214E6F">
        <w:rPr>
          <w:b/>
          <w:bCs/>
          <w:sz w:val="18"/>
          <w:szCs w:val="18"/>
        </w:rPr>
        <w:t>ýdaj</w:t>
      </w:r>
      <w:r>
        <w:rPr>
          <w:b/>
          <w:bCs/>
          <w:sz w:val="18"/>
          <w:szCs w:val="18"/>
        </w:rPr>
        <w:t>e</w:t>
      </w:r>
      <w:r w:rsidRPr="00214E6F">
        <w:rPr>
          <w:b/>
          <w:bCs/>
          <w:sz w:val="18"/>
          <w:szCs w:val="18"/>
        </w:rPr>
        <w:t xml:space="preserve"> zdravotních pojišťoven v Č</w:t>
      </w:r>
      <w:r>
        <w:rPr>
          <w:b/>
          <w:bCs/>
          <w:sz w:val="18"/>
          <w:szCs w:val="18"/>
        </w:rPr>
        <w:t>esku</w:t>
      </w:r>
      <w:r w:rsidRPr="00214E6F">
        <w:rPr>
          <w:b/>
          <w:bCs/>
          <w:sz w:val="18"/>
          <w:szCs w:val="18"/>
        </w:rPr>
        <w:t xml:space="preserve"> podle diagnóz MKN-10</w:t>
      </w:r>
      <w:r w:rsidR="000D3E6C">
        <w:rPr>
          <w:b/>
          <w:bCs/>
          <w:sz w:val="18"/>
          <w:szCs w:val="18"/>
        </w:rPr>
        <w:t xml:space="preserve"> v roce </w:t>
      </w:r>
      <w:r w:rsidRPr="00214E6F">
        <w:rPr>
          <w:b/>
          <w:bCs/>
          <w:sz w:val="18"/>
          <w:szCs w:val="18"/>
        </w:rPr>
        <w:t>201</w:t>
      </w:r>
      <w:r>
        <w:rPr>
          <w:b/>
          <w:bCs/>
          <w:sz w:val="18"/>
          <w:szCs w:val="18"/>
        </w:rPr>
        <w:t>7</w:t>
      </w:r>
      <w:r w:rsidRPr="00214E6F">
        <w:rPr>
          <w:b/>
          <w:bCs/>
          <w:sz w:val="18"/>
          <w:szCs w:val="18"/>
        </w:rPr>
        <w:t xml:space="preserve"> (mil. Kč) </w:t>
      </w:r>
    </w:p>
    <w:p w:rsidR="006067DA" w:rsidRPr="00214E6F" w:rsidRDefault="00373A31" w:rsidP="006067DA">
      <w:pPr>
        <w:jc w:val="both"/>
        <w:rPr>
          <w:b/>
          <w:bCs/>
          <w:sz w:val="18"/>
          <w:szCs w:val="18"/>
        </w:rPr>
      </w:pPr>
      <w:r>
        <w:rPr>
          <w:b/>
          <w:bCs/>
          <w:noProof/>
          <w:sz w:val="18"/>
          <w:szCs w:val="18"/>
        </w:rPr>
        <w:drawing>
          <wp:inline distT="0" distB="0" distL="0" distR="0" wp14:anchorId="392DD2A1">
            <wp:extent cx="6120765" cy="413956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139565"/>
                    </a:xfrm>
                    <a:prstGeom prst="rect">
                      <a:avLst/>
                    </a:prstGeom>
                    <a:noFill/>
                  </pic:spPr>
                </pic:pic>
              </a:graphicData>
            </a:graphic>
          </wp:inline>
        </w:drawing>
      </w:r>
    </w:p>
    <w:p w:rsidR="006067DA" w:rsidRDefault="006067DA" w:rsidP="006067DA">
      <w:pPr>
        <w:spacing w:before="120" w:after="240" w:line="240" w:lineRule="auto"/>
        <w:jc w:val="right"/>
        <w:rPr>
          <w:b/>
          <w:bCs/>
          <w:i/>
          <w:sz w:val="16"/>
          <w:szCs w:val="16"/>
        </w:rPr>
      </w:pPr>
      <w:r w:rsidRPr="00214E6F">
        <w:rPr>
          <w:b/>
          <w:bCs/>
          <w:i/>
          <w:sz w:val="16"/>
          <w:szCs w:val="16"/>
        </w:rPr>
        <w:t>Zdroj: ČSÚ 201</w:t>
      </w:r>
      <w:r>
        <w:rPr>
          <w:b/>
          <w:bCs/>
          <w:i/>
          <w:sz w:val="16"/>
          <w:szCs w:val="16"/>
        </w:rPr>
        <w:t>9</w:t>
      </w:r>
      <w:r w:rsidRPr="00214E6F">
        <w:rPr>
          <w:b/>
          <w:bCs/>
          <w:i/>
          <w:sz w:val="16"/>
          <w:szCs w:val="16"/>
        </w:rPr>
        <w:t>, Zdravotnické účty ČR 2010 - 201</w:t>
      </w:r>
      <w:r>
        <w:rPr>
          <w:b/>
          <w:bCs/>
          <w:i/>
          <w:sz w:val="16"/>
          <w:szCs w:val="16"/>
        </w:rPr>
        <w:t>7</w:t>
      </w:r>
      <w:r w:rsidRPr="00214E6F">
        <w:rPr>
          <w:b/>
          <w:bCs/>
          <w:i/>
          <w:sz w:val="16"/>
          <w:szCs w:val="16"/>
        </w:rPr>
        <w:t xml:space="preserve"> </w:t>
      </w:r>
    </w:p>
    <w:p w:rsidR="006067DA" w:rsidRDefault="006067DA" w:rsidP="006067DA">
      <w:pPr>
        <w:spacing w:before="120"/>
        <w:jc w:val="both"/>
      </w:pPr>
      <w:r w:rsidRPr="00214E6F">
        <w:t xml:space="preserve">Třetí nejnákladnější kapitolou jsou </w:t>
      </w:r>
      <w:r w:rsidRPr="00214E6F">
        <w:rPr>
          <w:b/>
        </w:rPr>
        <w:t xml:space="preserve">faktory ovlivňující zdravotní stav a kontakt se zdravotnickými službami </w:t>
      </w:r>
      <w:r w:rsidRPr="00214E6F">
        <w:t>(</w:t>
      </w:r>
      <w:r>
        <w:t>20</w:t>
      </w:r>
      <w:r w:rsidRPr="00214E6F">
        <w:t xml:space="preserve">,0 mld. Kč). Jedná se obsahově o velmi různorodou skupinu příčin čerpání zdravotní péče. Patří sem nejrůznější prohlídky (preventivní, zubní, gynekologické, v těhotenství, oční atd.), laboratorní vyšetření, screeningové vyšetření, očkování, lékařské pozorování, kosmetické výkony, přizpůsobení a seřízení implantovaných nebo protetických pomůcek, následná vyšetření po chemoterapii, dárcovství orgánů a tkání, hospitalizace novorozenců po porodu, doprovod dítěte při hospitalizaci a další. </w:t>
      </w:r>
    </w:p>
    <w:p w:rsidR="006067DA" w:rsidRPr="007335EC" w:rsidRDefault="006067DA" w:rsidP="006067DA">
      <w:pPr>
        <w:autoSpaceDE w:val="0"/>
        <w:autoSpaceDN w:val="0"/>
        <w:adjustRightInd w:val="0"/>
        <w:spacing w:before="120"/>
        <w:jc w:val="both"/>
        <w:rPr>
          <w:rFonts w:eastAsia="Calibri" w:cs="Arial"/>
          <w:i/>
          <w:szCs w:val="20"/>
        </w:rPr>
      </w:pPr>
      <w:r w:rsidRPr="007335EC">
        <w:rPr>
          <w:rFonts w:eastAsia="Calibri" w:cs="Arial"/>
          <w:i/>
          <w:szCs w:val="20"/>
        </w:rPr>
        <w:lastRenderedPageBreak/>
        <w:t>Podle informací ÚZIS ČR uvedená široká skupina příčin tvořila 14 % všech hospitalizaci s</w:t>
      </w:r>
      <w:r>
        <w:rPr>
          <w:rFonts w:eastAsia="Calibri" w:cs="Arial"/>
          <w:i/>
          <w:szCs w:val="20"/>
        </w:rPr>
        <w:t> </w:t>
      </w:r>
      <w:r w:rsidRPr="007335EC">
        <w:rPr>
          <w:rFonts w:eastAsia="Calibri" w:cs="Arial"/>
          <w:i/>
          <w:szCs w:val="20"/>
        </w:rPr>
        <w:t>průměrným počte</w:t>
      </w:r>
      <w:r>
        <w:rPr>
          <w:rFonts w:eastAsia="Calibri" w:cs="Arial"/>
          <w:i/>
          <w:szCs w:val="20"/>
        </w:rPr>
        <w:t>m ošetřovacích dní 5,7</w:t>
      </w:r>
      <w:r w:rsidRPr="007335EC">
        <w:rPr>
          <w:rFonts w:eastAsia="Calibri" w:cs="Arial"/>
          <w:i/>
          <w:szCs w:val="20"/>
        </w:rPr>
        <w:t xml:space="preserve"> v roce 2017</w:t>
      </w:r>
      <w:r>
        <w:rPr>
          <w:rFonts w:eastAsia="Calibri" w:cs="Arial"/>
          <w:i/>
          <w:szCs w:val="20"/>
        </w:rPr>
        <w:t xml:space="preserve">. </w:t>
      </w:r>
      <w:r w:rsidRPr="007335EC">
        <w:rPr>
          <w:rFonts w:eastAsia="Calibri" w:cs="Arial"/>
          <w:i/>
          <w:szCs w:val="20"/>
        </w:rPr>
        <w:t>Velká část pobyt</w:t>
      </w:r>
      <w:r>
        <w:rPr>
          <w:rFonts w:eastAsia="Calibri" w:cs="Arial"/>
          <w:i/>
          <w:szCs w:val="20"/>
        </w:rPr>
        <w:t>ů</w:t>
      </w:r>
      <w:r w:rsidRPr="007335EC">
        <w:rPr>
          <w:rFonts w:eastAsia="Calibri" w:cs="Arial"/>
          <w:i/>
          <w:szCs w:val="20"/>
        </w:rPr>
        <w:t xml:space="preserve"> v nemocnici se netýká primárně nemocnosti. Nejčastěji </w:t>
      </w:r>
      <w:r>
        <w:rPr>
          <w:rFonts w:eastAsia="Calibri" w:cs="Arial"/>
          <w:i/>
          <w:szCs w:val="20"/>
        </w:rPr>
        <w:t xml:space="preserve">sem spadají </w:t>
      </w:r>
      <w:r w:rsidRPr="007335EC">
        <w:rPr>
          <w:rFonts w:eastAsia="Calibri" w:cs="Arial"/>
          <w:i/>
          <w:szCs w:val="20"/>
        </w:rPr>
        <w:t>osoby hospitalizované za okolností souvisejících s</w:t>
      </w:r>
      <w:r>
        <w:rPr>
          <w:rFonts w:eastAsia="Calibri" w:cs="Arial"/>
          <w:i/>
          <w:szCs w:val="20"/>
        </w:rPr>
        <w:t> </w:t>
      </w:r>
      <w:r w:rsidRPr="007335EC">
        <w:rPr>
          <w:rFonts w:eastAsia="Calibri" w:cs="Arial"/>
          <w:i/>
          <w:szCs w:val="20"/>
        </w:rPr>
        <w:t>rep</w:t>
      </w:r>
      <w:r>
        <w:rPr>
          <w:rFonts w:eastAsia="Calibri" w:cs="Arial"/>
          <w:i/>
          <w:szCs w:val="20"/>
        </w:rPr>
        <w:t xml:space="preserve">rodukcí, především </w:t>
      </w:r>
      <w:r w:rsidRPr="007335EC">
        <w:rPr>
          <w:rFonts w:eastAsia="Calibri" w:cs="Arial"/>
          <w:i/>
          <w:szCs w:val="20"/>
        </w:rPr>
        <w:t xml:space="preserve">se </w:t>
      </w:r>
      <w:r>
        <w:rPr>
          <w:rFonts w:eastAsia="Calibri" w:cs="Arial"/>
          <w:i/>
          <w:szCs w:val="20"/>
        </w:rPr>
        <w:t>j</w:t>
      </w:r>
      <w:r w:rsidRPr="007335EC">
        <w:rPr>
          <w:rFonts w:eastAsia="Calibri" w:cs="Arial"/>
          <w:i/>
          <w:szCs w:val="20"/>
        </w:rPr>
        <w:t xml:space="preserve">ednalo o hospitalizace narozených dětí. Poměrně vysoké zastoupení představovaly hospitalizace zdravých osob, které doprovázely osoby nemocné. </w:t>
      </w:r>
      <w:r>
        <w:rPr>
          <w:rFonts w:eastAsia="Calibri" w:cs="Arial"/>
          <w:i/>
          <w:szCs w:val="20"/>
        </w:rPr>
        <w:t>M</w:t>
      </w:r>
      <w:r w:rsidRPr="007335EC">
        <w:rPr>
          <w:rFonts w:eastAsia="Calibri" w:cs="Arial"/>
          <w:i/>
          <w:szCs w:val="20"/>
        </w:rPr>
        <w:t>ezi početně významné</w:t>
      </w:r>
      <w:r>
        <w:rPr>
          <w:rFonts w:eastAsia="Calibri" w:cs="Arial"/>
          <w:i/>
          <w:szCs w:val="20"/>
        </w:rPr>
        <w:t xml:space="preserve"> také patří</w:t>
      </w:r>
      <w:r w:rsidRPr="007335EC">
        <w:rPr>
          <w:rFonts w:eastAsia="Calibri" w:cs="Arial"/>
          <w:i/>
          <w:szCs w:val="20"/>
        </w:rPr>
        <w:t xml:space="preserve"> hospitalizace z důvodu provádění chemoterapie, radioterapie, paliativní či jiné lékařské péče</w:t>
      </w:r>
      <w:r>
        <w:rPr>
          <w:rFonts w:eastAsia="Calibri" w:cs="Arial"/>
          <w:i/>
          <w:szCs w:val="20"/>
        </w:rPr>
        <w:t>.</w:t>
      </w:r>
    </w:p>
    <w:p w:rsidR="006067DA" w:rsidRPr="00214E6F" w:rsidRDefault="006067DA" w:rsidP="006067DA">
      <w:pPr>
        <w:keepNext/>
        <w:spacing w:before="120"/>
        <w:jc w:val="both"/>
      </w:pPr>
      <w:r w:rsidRPr="00214E6F">
        <w:t xml:space="preserve">Léčba </w:t>
      </w:r>
      <w:r w:rsidRPr="00214E6F">
        <w:rPr>
          <w:b/>
        </w:rPr>
        <w:t xml:space="preserve">nemocí svalové a kosterní soustavy a pojivové tkáně </w:t>
      </w:r>
      <w:r w:rsidRPr="00214E6F">
        <w:t>stála v roce 201</w:t>
      </w:r>
      <w:r>
        <w:t>7</w:t>
      </w:r>
      <w:r w:rsidRPr="00214E6F">
        <w:t xml:space="preserve"> zdravotní pojišťovny 1</w:t>
      </w:r>
      <w:r>
        <w:t>8 </w:t>
      </w:r>
      <w:r w:rsidRPr="00214E6F">
        <w:t xml:space="preserve">mld. Kč, což je </w:t>
      </w:r>
      <w:r>
        <w:t>o dvě třetiny</w:t>
      </w:r>
      <w:r w:rsidRPr="00214E6F">
        <w:t xml:space="preserve"> více než v roce 2010. Dlouhodobě se výdaje za léčbu nemocí pohybového ústrojí obecně řadí na přední místa pomyslného žebříčku. </w:t>
      </w:r>
    </w:p>
    <w:p w:rsidR="006067DA" w:rsidRPr="001A3F86" w:rsidRDefault="006067DA" w:rsidP="006067DA">
      <w:pPr>
        <w:spacing w:before="240" w:after="120"/>
        <w:rPr>
          <w:b/>
          <w:bCs/>
          <w:spacing w:val="-6"/>
          <w:sz w:val="18"/>
          <w:szCs w:val="18"/>
        </w:rPr>
      </w:pPr>
      <w:r w:rsidRPr="001A3F86">
        <w:rPr>
          <w:b/>
          <w:bCs/>
          <w:spacing w:val="-6"/>
          <w:sz w:val="18"/>
          <w:szCs w:val="18"/>
        </w:rPr>
        <w:t xml:space="preserve">Graf č. 3.1.4 Nejčastější příčiny úmrtí podle pohlaví a diagnóz MKN-10, 2017 (%) </w:t>
      </w:r>
    </w:p>
    <w:p w:rsidR="006067DA" w:rsidRDefault="00373A31" w:rsidP="00FC0B39">
      <w:pPr>
        <w:rPr>
          <w:b/>
          <w:bCs/>
          <w:i/>
          <w:sz w:val="16"/>
          <w:szCs w:val="16"/>
        </w:rPr>
      </w:pPr>
      <w:r>
        <w:rPr>
          <w:b/>
          <w:bCs/>
          <w:i/>
          <w:noProof/>
          <w:sz w:val="16"/>
          <w:szCs w:val="16"/>
        </w:rPr>
        <w:drawing>
          <wp:inline distT="0" distB="0" distL="0" distR="0" wp14:anchorId="3BBC88CB">
            <wp:extent cx="6145530" cy="3438525"/>
            <wp:effectExtent l="0" t="0" r="762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5530" cy="3438525"/>
                    </a:xfrm>
                    <a:prstGeom prst="rect">
                      <a:avLst/>
                    </a:prstGeom>
                    <a:noFill/>
                  </pic:spPr>
                </pic:pic>
              </a:graphicData>
            </a:graphic>
          </wp:inline>
        </w:drawing>
      </w:r>
    </w:p>
    <w:p w:rsidR="006067DA" w:rsidRDefault="006067DA" w:rsidP="006067DA">
      <w:pPr>
        <w:spacing w:before="120" w:after="120"/>
        <w:jc w:val="right"/>
      </w:pPr>
      <w:r w:rsidRPr="00EE0391">
        <w:rPr>
          <w:b/>
          <w:bCs/>
          <w:i/>
          <w:sz w:val="16"/>
          <w:szCs w:val="16"/>
        </w:rPr>
        <w:t xml:space="preserve">Zdroj: </w:t>
      </w:r>
      <w:r>
        <w:rPr>
          <w:b/>
          <w:bCs/>
          <w:i/>
          <w:sz w:val="16"/>
          <w:szCs w:val="16"/>
        </w:rPr>
        <w:t>CSÚ 2018, Statistická ročenka ČR</w:t>
      </w:r>
    </w:p>
    <w:p w:rsidR="006067DA" w:rsidRPr="00FD3C1F" w:rsidRDefault="006067DA" w:rsidP="006067DA">
      <w:pPr>
        <w:spacing w:before="120"/>
        <w:jc w:val="both"/>
        <w:rPr>
          <w:i/>
        </w:rPr>
      </w:pPr>
      <w:r w:rsidRPr="00FD3C1F">
        <w:rPr>
          <w:i/>
        </w:rPr>
        <w:t xml:space="preserve">Celkový počet </w:t>
      </w:r>
      <w:r>
        <w:rPr>
          <w:i/>
        </w:rPr>
        <w:t>zemřelých</w:t>
      </w:r>
      <w:r w:rsidRPr="00FD3C1F">
        <w:rPr>
          <w:i/>
        </w:rPr>
        <w:t xml:space="preserve"> v České republice v roce 2017 činil 111 443 osob, z toho 56 442 mužů a 55 001 žen. Podle informací </w:t>
      </w:r>
      <w:r>
        <w:rPr>
          <w:i/>
        </w:rPr>
        <w:t>ČSÚ</w:t>
      </w:r>
      <w:r w:rsidRPr="00FD3C1F">
        <w:rPr>
          <w:i/>
        </w:rPr>
        <w:t xml:space="preserve"> patří kardiovaskulární onemocnění nadále k nejčastějším příčinám úmrtí v Česku u obou pohlaví</w:t>
      </w:r>
      <w:r w:rsidRPr="00FD3C1F">
        <w:rPr>
          <w:i/>
          <w:color w:val="FF0000"/>
        </w:rPr>
        <w:t xml:space="preserve">. </w:t>
      </w:r>
      <w:r w:rsidRPr="00FD3C1F">
        <w:rPr>
          <w:i/>
        </w:rPr>
        <w:t xml:space="preserve">V roce 2017 byly příčinou 40 % úmrtí mužů a 48 % úmrtí žen. Nádorová onemocnění jsou stále druhou nejběžnější příčinou úmrtí. Diagnostikována byla u více než čtvrtiny zemřelých tj. zhruba u 27,3 tisíc osob, z toho bylo 27 % mužů a 22 % žen. U mužů se </w:t>
      </w:r>
      <w:r>
        <w:rPr>
          <w:i/>
        </w:rPr>
        <w:t xml:space="preserve">novotvary </w:t>
      </w:r>
      <w:r w:rsidRPr="00FD3C1F">
        <w:rPr>
          <w:i/>
        </w:rPr>
        <w:t xml:space="preserve">týkají zejména plic, prostaty a tlustého střeva. U žen je zaznamenána nejvýznamnější část úmrtí v důsledku novotvarů plic, prsu a tlustého střeva. </w:t>
      </w:r>
      <w:r w:rsidRPr="00FD3C1F">
        <w:rPr>
          <w:rFonts w:eastAsia="MS Gothic"/>
          <w:i/>
        </w:rPr>
        <w:t>Třetí nejčastější skupinou příčin smrti byly nemoci dýchací soustavy, v jejich</w:t>
      </w:r>
      <w:r>
        <w:rPr>
          <w:rFonts w:eastAsia="MS Gothic"/>
          <w:i/>
        </w:rPr>
        <w:t>ž</w:t>
      </w:r>
      <w:r w:rsidRPr="00FD3C1F">
        <w:rPr>
          <w:rFonts w:eastAsia="MS Gothic"/>
          <w:i/>
        </w:rPr>
        <w:t xml:space="preserve"> důsledku zemřelo v roce 2017 více než 8 tisíc osob, což je 7,8 % ze všech úmrtí u mužů a 6,7 </w:t>
      </w:r>
      <w:r>
        <w:rPr>
          <w:rFonts w:eastAsia="MS Gothic"/>
          <w:i/>
        </w:rPr>
        <w:t>%</w:t>
      </w:r>
      <w:r w:rsidRPr="00FD3C1F">
        <w:rPr>
          <w:rFonts w:eastAsia="MS Gothic"/>
          <w:i/>
        </w:rPr>
        <w:t xml:space="preserve"> </w:t>
      </w:r>
      <w:r>
        <w:rPr>
          <w:rFonts w:eastAsia="MS Gothic"/>
          <w:i/>
        </w:rPr>
        <w:t xml:space="preserve">ze všech </w:t>
      </w:r>
      <w:r w:rsidRPr="00FD3C1F">
        <w:rPr>
          <w:rFonts w:eastAsia="MS Gothic"/>
          <w:i/>
        </w:rPr>
        <w:t>úmrtí u žen.</w:t>
      </w:r>
    </w:p>
    <w:p w:rsidR="006067DA" w:rsidRPr="00214E6F" w:rsidRDefault="006067DA" w:rsidP="006067DA">
      <w:pPr>
        <w:spacing w:before="240" w:after="120"/>
        <w:rPr>
          <w:rFonts w:eastAsia="MS Gothic"/>
          <w:b/>
          <w:i/>
          <w:color w:val="FF0000"/>
        </w:rPr>
      </w:pPr>
      <w:r>
        <w:rPr>
          <w:rFonts w:eastAsia="MS Gothic"/>
          <w:b/>
          <w:i/>
        </w:rPr>
        <w:t>V uplynulých osmi letech</w:t>
      </w:r>
      <w:r w:rsidRPr="00214E6F">
        <w:rPr>
          <w:rFonts w:eastAsia="MS Gothic"/>
          <w:b/>
          <w:i/>
        </w:rPr>
        <w:t xml:space="preserve"> </w:t>
      </w:r>
      <w:r>
        <w:rPr>
          <w:rFonts w:eastAsia="MS Gothic"/>
          <w:b/>
          <w:i/>
        </w:rPr>
        <w:t xml:space="preserve">procentuálně </w:t>
      </w:r>
      <w:r w:rsidRPr="00214E6F">
        <w:rPr>
          <w:rFonts w:eastAsia="MS Gothic"/>
          <w:b/>
          <w:i/>
        </w:rPr>
        <w:t>nejvíce vzrostly výdaje na léčení poranění a otrav</w:t>
      </w:r>
    </w:p>
    <w:p w:rsidR="006067DA" w:rsidRDefault="006067DA" w:rsidP="006067DA">
      <w:pPr>
        <w:spacing w:before="120"/>
        <w:jc w:val="both"/>
      </w:pPr>
      <w:r w:rsidRPr="00F954C5">
        <w:t xml:space="preserve">Od roku 2010 se v absolutních číslech nejvíce zvýšily náklady na léčení </w:t>
      </w:r>
      <w:r w:rsidRPr="00F954C5">
        <w:rPr>
          <w:b/>
        </w:rPr>
        <w:t xml:space="preserve">nemocí svalové a kosterní soustavy a pojivové tkáně </w:t>
      </w:r>
      <w:r w:rsidRPr="00F954C5">
        <w:t xml:space="preserve">a na kapitolu </w:t>
      </w:r>
      <w:r w:rsidRPr="00F954C5">
        <w:rPr>
          <w:b/>
        </w:rPr>
        <w:t xml:space="preserve">faktory ovlivňující zdravotní stav </w:t>
      </w:r>
      <w:r w:rsidRPr="00F954C5">
        <w:t>(</w:t>
      </w:r>
      <w:r>
        <w:t xml:space="preserve">shodně </w:t>
      </w:r>
      <w:r w:rsidRPr="00F954C5">
        <w:t xml:space="preserve">o </w:t>
      </w:r>
      <w:r>
        <w:t xml:space="preserve">7,4 mld. Kč), </w:t>
      </w:r>
      <w:r w:rsidRPr="00F954C5">
        <w:t>která</w:t>
      </w:r>
      <w:r w:rsidRPr="00F954C5">
        <w:rPr>
          <w:b/>
        </w:rPr>
        <w:t xml:space="preserve"> </w:t>
      </w:r>
      <w:r w:rsidRPr="00F954C5">
        <w:t xml:space="preserve">zahrnuje různá vyšetření, poradny, hospitalizaci dětí po porodu, doprovod při hospitalizaci, laboratorní vyšetření a </w:t>
      </w:r>
      <w:r>
        <w:t xml:space="preserve">mnoho </w:t>
      </w:r>
      <w:r w:rsidRPr="00F954C5">
        <w:t>další</w:t>
      </w:r>
      <w:r>
        <w:t xml:space="preserve">ch obdobných zdravotnických </w:t>
      </w:r>
      <w:r w:rsidRPr="00F954C5">
        <w:t>úkon</w:t>
      </w:r>
      <w:r>
        <w:t>ů</w:t>
      </w:r>
      <w:r w:rsidRPr="00F954C5">
        <w:t>. Vysoce nadprůměrnou dynamiku v absolutních hodnotách</w:t>
      </w:r>
      <w:r w:rsidRPr="00214E6F">
        <w:t xml:space="preserve"> měly</w:t>
      </w:r>
      <w:r w:rsidRPr="00537A97">
        <w:t xml:space="preserve"> </w:t>
      </w:r>
      <w:r>
        <w:t xml:space="preserve">již výše uvedená </w:t>
      </w:r>
      <w:r w:rsidRPr="00F85872">
        <w:rPr>
          <w:b/>
        </w:rPr>
        <w:t>onkologická onemocnění</w:t>
      </w:r>
      <w:r>
        <w:rPr>
          <w:b/>
        </w:rPr>
        <w:t xml:space="preserve"> </w:t>
      </w:r>
      <w:r w:rsidRPr="00F85872">
        <w:t xml:space="preserve">(o </w:t>
      </w:r>
      <w:r>
        <w:t>7 </w:t>
      </w:r>
      <w:r w:rsidRPr="00F85872">
        <w:t>mld.</w:t>
      </w:r>
      <w:r>
        <w:t xml:space="preserve"> </w:t>
      </w:r>
      <w:r w:rsidRPr="00F85872">
        <w:t>Kč)</w:t>
      </w:r>
      <w:r>
        <w:t xml:space="preserve"> i</w:t>
      </w:r>
      <w:r w:rsidRPr="00214E6F">
        <w:t xml:space="preserve"> </w:t>
      </w:r>
      <w:r w:rsidRPr="00214E6F">
        <w:rPr>
          <w:b/>
        </w:rPr>
        <w:t>diagnózy poranění a otrav</w:t>
      </w:r>
      <w:r>
        <w:rPr>
          <w:b/>
        </w:rPr>
        <w:t xml:space="preserve"> </w:t>
      </w:r>
      <w:r w:rsidRPr="00537A97">
        <w:t>(o</w:t>
      </w:r>
      <w:r w:rsidR="00FC0B39">
        <w:t> </w:t>
      </w:r>
      <w:r w:rsidRPr="00537A97">
        <w:t>5,4 mld. Kč).</w:t>
      </w:r>
      <w:r w:rsidRPr="00214E6F">
        <w:t xml:space="preserve"> </w:t>
      </w:r>
    </w:p>
    <w:p w:rsidR="00373A31" w:rsidRPr="00214E6F" w:rsidRDefault="00373A31" w:rsidP="006067DA">
      <w:pPr>
        <w:spacing w:before="120"/>
        <w:jc w:val="both"/>
      </w:pPr>
    </w:p>
    <w:p w:rsidR="006067DA" w:rsidRDefault="006067DA" w:rsidP="006067DA">
      <w:pPr>
        <w:widowControl w:val="0"/>
        <w:spacing w:before="120" w:after="80"/>
        <w:jc w:val="both"/>
        <w:rPr>
          <w:rFonts w:cs="Arial"/>
          <w:b/>
          <w:bCs/>
          <w:spacing w:val="-7"/>
          <w:sz w:val="18"/>
          <w:szCs w:val="18"/>
        </w:rPr>
      </w:pPr>
      <w:r w:rsidRPr="00214E6F">
        <w:rPr>
          <w:rFonts w:cs="Arial"/>
          <w:b/>
          <w:bCs/>
          <w:spacing w:val="-7"/>
          <w:sz w:val="18"/>
          <w:szCs w:val="18"/>
        </w:rPr>
        <w:lastRenderedPageBreak/>
        <w:t>Graf č. 3.1.</w:t>
      </w:r>
      <w:r>
        <w:rPr>
          <w:rFonts w:cs="Arial"/>
          <w:b/>
          <w:bCs/>
          <w:spacing w:val="-7"/>
          <w:sz w:val="18"/>
          <w:szCs w:val="18"/>
        </w:rPr>
        <w:t>5</w:t>
      </w:r>
      <w:r w:rsidRPr="00214E6F">
        <w:rPr>
          <w:rFonts w:cs="Arial"/>
          <w:b/>
          <w:bCs/>
          <w:spacing w:val="-7"/>
          <w:sz w:val="18"/>
          <w:szCs w:val="18"/>
        </w:rPr>
        <w:t xml:space="preserve"> </w:t>
      </w:r>
      <w:r>
        <w:rPr>
          <w:rFonts w:cs="Arial"/>
          <w:b/>
          <w:bCs/>
          <w:spacing w:val="-7"/>
          <w:sz w:val="18"/>
          <w:szCs w:val="18"/>
        </w:rPr>
        <w:t xml:space="preserve">Změna </w:t>
      </w:r>
      <w:r w:rsidRPr="00214E6F">
        <w:rPr>
          <w:rFonts w:cs="Arial"/>
          <w:b/>
          <w:bCs/>
          <w:spacing w:val="-7"/>
          <w:sz w:val="18"/>
          <w:szCs w:val="18"/>
        </w:rPr>
        <w:t>výdaj</w:t>
      </w:r>
      <w:r>
        <w:rPr>
          <w:rFonts w:cs="Arial"/>
          <w:b/>
          <w:bCs/>
          <w:spacing w:val="-7"/>
          <w:sz w:val="18"/>
          <w:szCs w:val="18"/>
        </w:rPr>
        <w:t>ů</w:t>
      </w:r>
      <w:r w:rsidRPr="00214E6F">
        <w:rPr>
          <w:rFonts w:cs="Arial"/>
          <w:b/>
          <w:bCs/>
          <w:spacing w:val="-7"/>
          <w:sz w:val="18"/>
          <w:szCs w:val="18"/>
        </w:rPr>
        <w:t xml:space="preserve"> zdravotních pojišťoven </w:t>
      </w:r>
      <w:r>
        <w:rPr>
          <w:rFonts w:cs="Arial"/>
          <w:b/>
          <w:bCs/>
          <w:spacing w:val="-7"/>
          <w:sz w:val="18"/>
          <w:szCs w:val="18"/>
        </w:rPr>
        <w:t xml:space="preserve">v Česku </w:t>
      </w:r>
      <w:r w:rsidRPr="00214E6F">
        <w:rPr>
          <w:rFonts w:cs="Arial"/>
          <w:b/>
          <w:bCs/>
          <w:spacing w:val="-7"/>
          <w:sz w:val="18"/>
          <w:szCs w:val="18"/>
        </w:rPr>
        <w:t xml:space="preserve">dle diagnóz </w:t>
      </w:r>
      <w:r w:rsidRPr="00214E6F">
        <w:rPr>
          <w:b/>
          <w:bCs/>
          <w:sz w:val="18"/>
          <w:szCs w:val="18"/>
        </w:rPr>
        <w:t xml:space="preserve">MKN-10 </w:t>
      </w:r>
      <w:r w:rsidRPr="00214E6F">
        <w:rPr>
          <w:rFonts w:cs="Arial"/>
          <w:b/>
          <w:bCs/>
          <w:spacing w:val="-7"/>
          <w:sz w:val="18"/>
          <w:szCs w:val="18"/>
        </w:rPr>
        <w:t>m</w:t>
      </w:r>
      <w:r>
        <w:rPr>
          <w:rFonts w:cs="Arial"/>
          <w:b/>
          <w:bCs/>
          <w:spacing w:val="-7"/>
          <w:sz w:val="18"/>
          <w:szCs w:val="18"/>
        </w:rPr>
        <w:t>ezi roky 2010 a 2017 (mil. Kč)</w:t>
      </w:r>
    </w:p>
    <w:p w:rsidR="006067DA" w:rsidRPr="00F53404" w:rsidRDefault="006067DA" w:rsidP="006067DA">
      <w:pPr>
        <w:widowControl w:val="0"/>
        <w:spacing w:before="240" w:after="80"/>
        <w:jc w:val="both"/>
        <w:rPr>
          <w:rFonts w:cs="Arial"/>
          <w:b/>
          <w:bCs/>
          <w:spacing w:val="-7"/>
          <w:sz w:val="18"/>
          <w:szCs w:val="18"/>
        </w:rPr>
      </w:pPr>
      <w:r>
        <w:rPr>
          <w:rFonts w:cs="Arial"/>
          <w:b/>
          <w:bCs/>
          <w:spacing w:val="-7"/>
          <w:sz w:val="18"/>
          <w:szCs w:val="18"/>
        </w:rPr>
        <w:t xml:space="preserve"> </w:t>
      </w:r>
      <w:r w:rsidR="00373A31">
        <w:rPr>
          <w:rFonts w:cs="Arial"/>
          <w:b/>
          <w:bCs/>
          <w:noProof/>
          <w:spacing w:val="-7"/>
          <w:sz w:val="18"/>
          <w:szCs w:val="18"/>
        </w:rPr>
        <w:drawing>
          <wp:inline distT="0" distB="0" distL="0" distR="0" wp14:anchorId="3170A037">
            <wp:extent cx="5980430" cy="3956685"/>
            <wp:effectExtent l="0" t="0" r="1270" b="571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430" cy="3956685"/>
                    </a:xfrm>
                    <a:prstGeom prst="rect">
                      <a:avLst/>
                    </a:prstGeom>
                    <a:noFill/>
                  </pic:spPr>
                </pic:pic>
              </a:graphicData>
            </a:graphic>
          </wp:inline>
        </w:drawing>
      </w:r>
    </w:p>
    <w:p w:rsidR="006067DA" w:rsidRPr="00214E6F" w:rsidRDefault="006067DA" w:rsidP="006067DA">
      <w:pPr>
        <w:spacing w:line="240" w:lineRule="auto"/>
        <w:jc w:val="right"/>
        <w:rPr>
          <w:b/>
          <w:bCs/>
          <w:i/>
          <w:sz w:val="16"/>
          <w:szCs w:val="16"/>
        </w:rPr>
      </w:pPr>
      <w:r>
        <w:rPr>
          <w:b/>
          <w:bCs/>
          <w:i/>
          <w:sz w:val="16"/>
          <w:szCs w:val="16"/>
        </w:rPr>
        <w:t>Zdroj: ČSÚ 2019</w:t>
      </w:r>
      <w:r w:rsidRPr="00214E6F">
        <w:rPr>
          <w:b/>
          <w:bCs/>
          <w:i/>
          <w:sz w:val="16"/>
          <w:szCs w:val="16"/>
        </w:rPr>
        <w:t>, Zdravotnické účty ČR 2010 - 201</w:t>
      </w:r>
      <w:r>
        <w:rPr>
          <w:b/>
          <w:bCs/>
          <w:i/>
          <w:sz w:val="16"/>
          <w:szCs w:val="16"/>
        </w:rPr>
        <w:t>7</w:t>
      </w:r>
      <w:r w:rsidRPr="00214E6F">
        <w:rPr>
          <w:b/>
          <w:bCs/>
          <w:i/>
          <w:sz w:val="16"/>
          <w:szCs w:val="16"/>
        </w:rPr>
        <w:t xml:space="preserve"> </w:t>
      </w:r>
    </w:p>
    <w:p w:rsidR="00FC0B39" w:rsidRDefault="006067DA" w:rsidP="00FC0B39">
      <w:pPr>
        <w:spacing w:before="120"/>
        <w:jc w:val="both"/>
      </w:pPr>
      <w:r w:rsidRPr="00214E6F">
        <w:rPr>
          <w:b/>
        </w:rPr>
        <w:t>Procentuálně</w:t>
      </w:r>
      <w:r w:rsidRPr="00214E6F">
        <w:t xml:space="preserve"> mezi roky 2010 a 201</w:t>
      </w:r>
      <w:r>
        <w:t>7</w:t>
      </w:r>
      <w:r w:rsidRPr="00214E6F">
        <w:t xml:space="preserve"> nejvíce vzrostly výdaje na léčbu </w:t>
      </w:r>
      <w:r w:rsidRPr="00214E6F">
        <w:rPr>
          <w:b/>
        </w:rPr>
        <w:t>následků poranění a otrav</w:t>
      </w:r>
      <w:r w:rsidRPr="00214E6F">
        <w:t xml:space="preserve"> (nárůst o </w:t>
      </w:r>
      <w:r>
        <w:t>81</w:t>
      </w:r>
      <w:r w:rsidRPr="00214E6F">
        <w:t xml:space="preserve"> %)</w:t>
      </w:r>
      <w:r>
        <w:t xml:space="preserve">, </w:t>
      </w:r>
      <w:r w:rsidRPr="00214E6F">
        <w:rPr>
          <w:b/>
        </w:rPr>
        <w:t>nemocí svalové a kosterní soustavy a pojivové tkáně</w:t>
      </w:r>
      <w:r>
        <w:rPr>
          <w:b/>
        </w:rPr>
        <w:t xml:space="preserve"> a nemocí nervové soustavy</w:t>
      </w:r>
      <w:r w:rsidRPr="00214E6F">
        <w:t xml:space="preserve"> (nárůst o </w:t>
      </w:r>
      <w:r>
        <w:t>70</w:t>
      </w:r>
      <w:r w:rsidR="00FC0B39">
        <w:t> </w:t>
      </w:r>
      <w:r w:rsidRPr="00214E6F">
        <w:t>%).</w:t>
      </w:r>
      <w:r w:rsidR="00FC0B39">
        <w:t xml:space="preserve"> </w:t>
      </w:r>
    </w:p>
    <w:p w:rsidR="006067DA" w:rsidRPr="00BF011D" w:rsidRDefault="006067DA" w:rsidP="00FC0B39">
      <w:pPr>
        <w:spacing w:before="120"/>
        <w:jc w:val="both"/>
        <w:rPr>
          <w:rFonts w:eastAsia="Calibri"/>
          <w:i/>
        </w:rPr>
      </w:pPr>
      <w:r w:rsidRPr="00BF011D">
        <w:rPr>
          <w:rFonts w:eastAsia="Calibri"/>
          <w:i/>
        </w:rPr>
        <w:t xml:space="preserve">Podle informací </w:t>
      </w:r>
      <w:r>
        <w:rPr>
          <w:rFonts w:eastAsia="Calibri"/>
          <w:i/>
        </w:rPr>
        <w:t>ČSSZ</w:t>
      </w:r>
      <w:r w:rsidRPr="00BF011D">
        <w:rPr>
          <w:rFonts w:eastAsia="Calibri"/>
          <w:i/>
        </w:rPr>
        <w:t xml:space="preserve"> jsou </w:t>
      </w:r>
      <w:r w:rsidRPr="00BF011D">
        <w:rPr>
          <w:rFonts w:eastAsia="Calibri"/>
          <w:b/>
          <w:i/>
        </w:rPr>
        <w:t>nemoci svalové a kosterní soustavy</w:t>
      </w:r>
      <w:r w:rsidRPr="00BF011D">
        <w:rPr>
          <w:rFonts w:eastAsia="Calibri"/>
          <w:i/>
        </w:rPr>
        <w:t xml:space="preserve"> dlouhodobě druhou nejčastější příčinou pracovní neschopnosti (dále jen PN)</w:t>
      </w:r>
      <w:r>
        <w:rPr>
          <w:rFonts w:eastAsia="Calibri"/>
          <w:i/>
        </w:rPr>
        <w:t xml:space="preserve"> po onemocněních dýchacích cest</w:t>
      </w:r>
      <w:r w:rsidRPr="00BF011D">
        <w:rPr>
          <w:rFonts w:eastAsia="Calibri"/>
          <w:i/>
        </w:rPr>
        <w:t>.</w:t>
      </w:r>
      <w:r>
        <w:rPr>
          <w:rFonts w:eastAsia="Calibri"/>
          <w:i/>
        </w:rPr>
        <w:t xml:space="preserve"> </w:t>
      </w:r>
      <w:r w:rsidRPr="00BF011D">
        <w:rPr>
          <w:rFonts w:eastAsia="Calibri"/>
          <w:i/>
        </w:rPr>
        <w:t>V roce 201</w:t>
      </w:r>
      <w:r>
        <w:rPr>
          <w:rFonts w:eastAsia="Calibri"/>
          <w:i/>
        </w:rPr>
        <w:t>7</w:t>
      </w:r>
      <w:r w:rsidRPr="00BF011D">
        <w:rPr>
          <w:rFonts w:eastAsia="Calibri"/>
          <w:i/>
        </w:rPr>
        <w:t xml:space="preserve"> tvořily pětinu všech případů PN. Tyto nemoci se vyznačují poměrně dlouhou průměrnou dobou trvání jednoho případu PN, která v roce 201</w:t>
      </w:r>
      <w:r>
        <w:rPr>
          <w:rFonts w:eastAsia="Calibri"/>
          <w:i/>
        </w:rPr>
        <w:t>7</w:t>
      </w:r>
      <w:r w:rsidRPr="00BF011D">
        <w:rPr>
          <w:rFonts w:eastAsia="Calibri"/>
          <w:i/>
        </w:rPr>
        <w:t xml:space="preserve"> činila 6</w:t>
      </w:r>
      <w:r>
        <w:rPr>
          <w:rFonts w:eastAsia="Calibri"/>
          <w:i/>
        </w:rPr>
        <w:t>5</w:t>
      </w:r>
      <w:r w:rsidRPr="00BF011D">
        <w:rPr>
          <w:rFonts w:eastAsia="Calibri"/>
          <w:i/>
        </w:rPr>
        <w:t xml:space="preserve"> dnů. Na celkovém počtu prostonaných dnů se nemoci svalové a kosterní soustavy podílely 3</w:t>
      </w:r>
      <w:r>
        <w:rPr>
          <w:rFonts w:eastAsia="Calibri"/>
          <w:i/>
        </w:rPr>
        <w:t>0</w:t>
      </w:r>
      <w:r w:rsidRPr="00BF011D">
        <w:rPr>
          <w:rFonts w:eastAsia="Calibri"/>
          <w:i/>
        </w:rPr>
        <w:t xml:space="preserve"> %, což je dlouhodobě nejvyšší podíl. Z této skupiny onemocnění se na pracovní neschopnosti nejvíce p</w:t>
      </w:r>
      <w:r>
        <w:rPr>
          <w:rFonts w:eastAsia="Calibri"/>
          <w:i/>
        </w:rPr>
        <w:t>odílely ze dvou třetin onemocnění zad a páteře.</w:t>
      </w:r>
    </w:p>
    <w:p w:rsidR="006067DA" w:rsidRPr="0076383D" w:rsidRDefault="006067DA" w:rsidP="006067DA">
      <w:pPr>
        <w:widowControl w:val="0"/>
        <w:spacing w:before="120"/>
        <w:jc w:val="both"/>
        <w:rPr>
          <w:i/>
        </w:rPr>
      </w:pPr>
      <w:r w:rsidRPr="00214E6F">
        <w:rPr>
          <w:rFonts w:eastAsia="Calibri"/>
          <w:b/>
        </w:rPr>
        <w:t>Poranění, otravy a jiné následky vnějších příčin</w:t>
      </w:r>
      <w:r w:rsidRPr="00214E6F">
        <w:rPr>
          <w:rFonts w:eastAsia="Calibri"/>
        </w:rPr>
        <w:t xml:space="preserve"> byly v roce 201</w:t>
      </w:r>
      <w:r>
        <w:rPr>
          <w:rFonts w:eastAsia="Calibri"/>
        </w:rPr>
        <w:t>7</w:t>
      </w:r>
      <w:r w:rsidRPr="00214E6F">
        <w:rPr>
          <w:rFonts w:eastAsia="Calibri"/>
        </w:rPr>
        <w:t xml:space="preserve"> mezi důvody pracovní neschopnosti na třetím místě. </w:t>
      </w:r>
      <w:r w:rsidRPr="0076383D">
        <w:rPr>
          <w:rFonts w:eastAsia="Calibri"/>
          <w:i/>
        </w:rPr>
        <w:t>Poranění, otravy a jiné následky vnějších příčin bylo důvodem 11 % prostonaných dnů v PN. Průměrná doba PN u této skupiny činila 52 dní. Nejvíce případů PN z této skupiny příčin způsobil</w:t>
      </w:r>
      <w:r>
        <w:rPr>
          <w:rFonts w:eastAsia="Calibri"/>
          <w:i/>
        </w:rPr>
        <w:t xml:space="preserve">y zlomeniny končetin vymknutí </w:t>
      </w:r>
      <w:r w:rsidRPr="0076383D">
        <w:rPr>
          <w:rFonts w:eastAsia="Calibri"/>
          <w:i/>
        </w:rPr>
        <w:t>a natažení kloubních vazů.</w:t>
      </w:r>
    </w:p>
    <w:p w:rsidR="006067DA" w:rsidRPr="00214E6F" w:rsidRDefault="006067DA" w:rsidP="006067DA">
      <w:pPr>
        <w:widowControl w:val="0"/>
        <w:spacing w:before="120"/>
        <w:jc w:val="both"/>
      </w:pPr>
      <w:r>
        <w:t>Ke</w:t>
      </w:r>
      <w:r w:rsidRPr="00214E6F">
        <w:t xml:space="preserve"> snížení výdajů pojišťoven </w:t>
      </w:r>
      <w:r>
        <w:t>na zdravotní péči mezi roky 2010 a 2017 došlo u kapitoly</w:t>
      </w:r>
      <w:r w:rsidRPr="00214E6F">
        <w:t xml:space="preserve"> </w:t>
      </w:r>
      <w:r w:rsidRPr="00214E6F">
        <w:rPr>
          <w:b/>
        </w:rPr>
        <w:t>stavy vzniklé v perinatálním období</w:t>
      </w:r>
      <w:r>
        <w:rPr>
          <w:b/>
        </w:rPr>
        <w:t xml:space="preserve"> </w:t>
      </w:r>
      <w:r w:rsidRPr="00534498">
        <w:t>o 2</w:t>
      </w:r>
      <w:r>
        <w:t>1</w:t>
      </w:r>
      <w:r w:rsidRPr="00534498">
        <w:t xml:space="preserve"> %.</w:t>
      </w:r>
      <w:r w:rsidRPr="00214E6F">
        <w:t xml:space="preserve"> </w:t>
      </w:r>
      <w:r>
        <w:t xml:space="preserve">V případě diagnózy stavy vzniklé v prenatálním období je poměrně výrazný relativní pokles dán také nízkou absolutní výší výdajů zdravotních pojišťoven na tento druh zdravotní péče. Nevelké absolutní snížení tak způsobí významný procentuální pokles. Jistý vliv zde může mít mimo jiné i celkový pokles </w:t>
      </w:r>
      <w:r w:rsidRPr="00214E6F">
        <w:t>počtu narozených dětí v tomto období, který se snížil ze 117 tisíc v roce 2010 na 11</w:t>
      </w:r>
      <w:r>
        <w:t>5</w:t>
      </w:r>
      <w:r w:rsidRPr="00214E6F">
        <w:t xml:space="preserve"> tisíc v roce 201</w:t>
      </w:r>
      <w:r>
        <w:t>7</w:t>
      </w:r>
      <w:r w:rsidRPr="00214E6F">
        <w:t>.</w:t>
      </w:r>
    </w:p>
    <w:p w:rsidR="006067DA" w:rsidRPr="00214E6F" w:rsidRDefault="006067DA" w:rsidP="006067DA">
      <w:pPr>
        <w:spacing w:before="240" w:after="120"/>
        <w:jc w:val="both"/>
        <w:rPr>
          <w:rFonts w:eastAsia="MS Gothic"/>
          <w:b/>
          <w:i/>
        </w:rPr>
      </w:pPr>
      <w:r>
        <w:rPr>
          <w:rFonts w:eastAsia="MS Gothic"/>
          <w:b/>
          <w:i/>
        </w:rPr>
        <w:t xml:space="preserve">U dětí jde nejvíce peněz na léčbu nemocí </w:t>
      </w:r>
      <w:r w:rsidRPr="00214E6F">
        <w:rPr>
          <w:rFonts w:eastAsia="MS Gothic"/>
          <w:b/>
          <w:i/>
        </w:rPr>
        <w:t>dýchacích cest a stavů vzniklých v perinatálním období</w:t>
      </w:r>
    </w:p>
    <w:p w:rsidR="006067DA" w:rsidRPr="00FC5EE5" w:rsidRDefault="006067DA" w:rsidP="006067DA">
      <w:pPr>
        <w:widowControl w:val="0"/>
        <w:jc w:val="both"/>
        <w:rPr>
          <w:rFonts w:eastAsia="Calibri"/>
          <w:i/>
        </w:rPr>
      </w:pPr>
      <w:r w:rsidRPr="00214E6F">
        <w:t>Následující graf č. 3.1.</w:t>
      </w:r>
      <w:r>
        <w:t>6</w:t>
      </w:r>
      <w:r w:rsidRPr="00214E6F">
        <w:t xml:space="preserve"> přináší přehled nejnákladnějších kapitol diagnóz z roku 201</w:t>
      </w:r>
      <w:r>
        <w:t>7</w:t>
      </w:r>
      <w:r w:rsidRPr="00214E6F">
        <w:t xml:space="preserve"> ve třech základních </w:t>
      </w:r>
      <w:r w:rsidRPr="00214E6F">
        <w:lastRenderedPageBreak/>
        <w:t>věkových skupinách.</w:t>
      </w:r>
      <w:r w:rsidRPr="00214E6F">
        <w:rPr>
          <w:rFonts w:cs="Arial"/>
          <w:szCs w:val="20"/>
          <w:vertAlign w:val="superscript"/>
        </w:rPr>
        <w:footnoteReference w:id="1"/>
      </w:r>
      <w:r w:rsidRPr="00214E6F">
        <w:t xml:space="preserve">  Ve věkových skupinách </w:t>
      </w:r>
      <w:r w:rsidRPr="00214E6F">
        <w:rPr>
          <w:b/>
        </w:rPr>
        <w:t xml:space="preserve">15 – 64 let </w:t>
      </w:r>
      <w:r w:rsidRPr="00214E6F">
        <w:t xml:space="preserve">a </w:t>
      </w:r>
      <w:r w:rsidRPr="00214E6F">
        <w:rPr>
          <w:b/>
        </w:rPr>
        <w:t>65 a více let</w:t>
      </w:r>
      <w:r w:rsidRPr="00214E6F">
        <w:t xml:space="preserve"> je výčet nejnákladovějších skupin diagnóz téměř totožný a mění se mírně pouze jejich pořadí. Nejmarkantnější </w:t>
      </w:r>
      <w:r w:rsidRPr="00214E6F">
        <w:rPr>
          <w:b/>
        </w:rPr>
        <w:t>rozdíl</w:t>
      </w:r>
      <w:r w:rsidRPr="00214E6F">
        <w:t xml:space="preserve"> podle věku je ve výdajích zdravotních pojišťoven </w:t>
      </w:r>
      <w:r w:rsidRPr="00214E6F">
        <w:rPr>
          <w:b/>
        </w:rPr>
        <w:t>na léčení nemocí kardiovaskulárního systému</w:t>
      </w:r>
      <w:r w:rsidRPr="00214E6F">
        <w:t xml:space="preserve">. Ve věkové skupině 65+ tvoří téměř </w:t>
      </w:r>
      <w:r>
        <w:t xml:space="preserve">pětinu </w:t>
      </w:r>
      <w:r w:rsidRPr="00214E6F">
        <w:t xml:space="preserve">výdajů zdravotních pojišťoven na zdravotní péči, zatímco ve skupině 15 – 64 let se jedná o </w:t>
      </w:r>
      <w:r>
        <w:t>8 %.</w:t>
      </w:r>
      <w:r w:rsidRPr="00214E6F">
        <w:t xml:space="preserve"> </w:t>
      </w:r>
      <w:r w:rsidRPr="00FC5EE5">
        <w:rPr>
          <w:rFonts w:eastAsia="Calibri"/>
          <w:i/>
        </w:rPr>
        <w:t xml:space="preserve">Z hlediska struktury příčin nemocnosti jsou stále nemoci oběhové soustavy nejčastějším důvodem pro hospitalizaci a také </w:t>
      </w:r>
      <w:r>
        <w:rPr>
          <w:i/>
        </w:rPr>
        <w:t>nejčastější příčinou úmrtí</w:t>
      </w:r>
      <w:r w:rsidRPr="00FC5EE5">
        <w:rPr>
          <w:i/>
        </w:rPr>
        <w:t xml:space="preserve">. Podle demografické statistiky ČR umírá polovina seniorů starších 65 let na nemoci oběhové soustavy (zejména na infarkt myokardu a cévní onemocnění), ve středním věku jsou nejčastějšími příčinami úmrtí zhoubné novotvary. </w:t>
      </w:r>
    </w:p>
    <w:p w:rsidR="006067DA" w:rsidRPr="00214E6F" w:rsidRDefault="006067DA" w:rsidP="006067DA">
      <w:pPr>
        <w:spacing w:before="120"/>
        <w:jc w:val="both"/>
      </w:pPr>
      <w:r w:rsidRPr="00214E6F">
        <w:rPr>
          <w:b/>
        </w:rPr>
        <w:t>U dětí do 14 let</w:t>
      </w:r>
      <w:r w:rsidRPr="00214E6F">
        <w:t xml:space="preserve"> je výčet finančně nejnáročnějších diagnóz z hlediska výdajů zdravotních pojišťoven odlišný. Jedná se zejména o nemoci </w:t>
      </w:r>
      <w:r w:rsidRPr="00214E6F">
        <w:rPr>
          <w:b/>
        </w:rPr>
        <w:t xml:space="preserve">dýchací soustavy </w:t>
      </w:r>
      <w:r w:rsidRPr="00214E6F">
        <w:t>a</w:t>
      </w:r>
      <w:r w:rsidRPr="00214E6F">
        <w:rPr>
          <w:b/>
        </w:rPr>
        <w:t xml:space="preserve"> stavy vzniklé v perinatálním období</w:t>
      </w:r>
      <w:r w:rsidRPr="00214E6F">
        <w:t>, což je pravděpodobně ovlivněno nárůstem počtu předčasně narozených dětí s nízkou či velmi nízkou porodní hmotností</w:t>
      </w:r>
      <w:r>
        <w:t>.</w:t>
      </w:r>
    </w:p>
    <w:p w:rsidR="006067DA" w:rsidRPr="00214E6F" w:rsidRDefault="006067DA" w:rsidP="00C54836">
      <w:pPr>
        <w:spacing w:before="240"/>
        <w:rPr>
          <w:b/>
          <w:bCs/>
          <w:spacing w:val="-6"/>
          <w:sz w:val="18"/>
          <w:szCs w:val="18"/>
        </w:rPr>
      </w:pPr>
      <w:r w:rsidRPr="00214E6F">
        <w:rPr>
          <w:b/>
          <w:bCs/>
          <w:spacing w:val="-6"/>
          <w:sz w:val="18"/>
          <w:szCs w:val="18"/>
        </w:rPr>
        <w:t>Graf č. 3.1.</w:t>
      </w:r>
      <w:r>
        <w:rPr>
          <w:b/>
          <w:bCs/>
          <w:spacing w:val="-6"/>
          <w:sz w:val="18"/>
          <w:szCs w:val="18"/>
        </w:rPr>
        <w:t>6</w:t>
      </w:r>
      <w:r w:rsidRPr="00214E6F">
        <w:rPr>
          <w:b/>
          <w:bCs/>
          <w:spacing w:val="-6"/>
          <w:sz w:val="18"/>
          <w:szCs w:val="18"/>
        </w:rPr>
        <w:t xml:space="preserve"> </w:t>
      </w:r>
      <w:r>
        <w:rPr>
          <w:b/>
          <w:bCs/>
          <w:spacing w:val="-6"/>
          <w:sz w:val="18"/>
          <w:szCs w:val="18"/>
        </w:rPr>
        <w:t>V</w:t>
      </w:r>
      <w:r w:rsidRPr="00214E6F">
        <w:rPr>
          <w:b/>
          <w:bCs/>
          <w:spacing w:val="-6"/>
          <w:sz w:val="18"/>
          <w:szCs w:val="18"/>
        </w:rPr>
        <w:t xml:space="preserve">ýdaje zdravotních pojišťoven </w:t>
      </w:r>
      <w:r>
        <w:rPr>
          <w:b/>
          <w:bCs/>
          <w:spacing w:val="-6"/>
          <w:sz w:val="18"/>
          <w:szCs w:val="18"/>
        </w:rPr>
        <w:t xml:space="preserve">v Česku </w:t>
      </w:r>
      <w:r w:rsidRPr="00214E6F">
        <w:rPr>
          <w:b/>
          <w:bCs/>
          <w:spacing w:val="-6"/>
          <w:sz w:val="18"/>
          <w:szCs w:val="18"/>
        </w:rPr>
        <w:t>podle věkových skupin a diagnóz MKN-10, 201</w:t>
      </w:r>
      <w:r>
        <w:rPr>
          <w:b/>
          <w:bCs/>
          <w:spacing w:val="-6"/>
          <w:sz w:val="18"/>
          <w:szCs w:val="18"/>
        </w:rPr>
        <w:t>7</w:t>
      </w:r>
      <w:r w:rsidRPr="00214E6F">
        <w:rPr>
          <w:b/>
          <w:bCs/>
          <w:spacing w:val="-6"/>
          <w:sz w:val="18"/>
          <w:szCs w:val="18"/>
        </w:rPr>
        <w:t xml:space="preserve"> (%) </w:t>
      </w:r>
    </w:p>
    <w:p w:rsidR="006067DA" w:rsidRDefault="00373A31" w:rsidP="00C54836">
      <w:pPr>
        <w:spacing w:after="120"/>
        <w:rPr>
          <w:sz w:val="16"/>
        </w:rPr>
      </w:pPr>
      <w:r>
        <w:rPr>
          <w:noProof/>
          <w:sz w:val="16"/>
        </w:rPr>
        <w:drawing>
          <wp:inline distT="0" distB="0" distL="0" distR="0" wp14:anchorId="7AF805FB">
            <wp:extent cx="6059805" cy="271272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805" cy="2712720"/>
                    </a:xfrm>
                    <a:prstGeom prst="rect">
                      <a:avLst/>
                    </a:prstGeom>
                    <a:noFill/>
                  </pic:spPr>
                </pic:pic>
              </a:graphicData>
            </a:graphic>
          </wp:inline>
        </w:drawing>
      </w:r>
    </w:p>
    <w:p w:rsidR="006067DA" w:rsidRPr="00FB007E" w:rsidRDefault="006067DA" w:rsidP="006067DA">
      <w:pPr>
        <w:spacing w:before="120" w:after="120"/>
        <w:jc w:val="both"/>
        <w:rPr>
          <w:b/>
          <w:bCs/>
          <w:i/>
          <w:sz w:val="12"/>
          <w:szCs w:val="16"/>
        </w:rPr>
      </w:pPr>
      <w:r w:rsidRPr="00FB007E">
        <w:rPr>
          <w:sz w:val="16"/>
        </w:rPr>
        <w:t xml:space="preserve">Poznámka: </w:t>
      </w:r>
      <w:r>
        <w:rPr>
          <w:sz w:val="16"/>
        </w:rPr>
        <w:t>v</w:t>
      </w:r>
      <w:r w:rsidRPr="00D516DE">
        <w:rPr>
          <w:sz w:val="16"/>
        </w:rPr>
        <w:t>ýdaje zdravotních pojišťoven na zdravotní péči v ČR podle diagnóz MKN-10 uvedené v tomto grafu neobsahují výdaje, které není možné rozčlenit na konkrétní diagnózy. Jedná se například o kapitační platby registrujícím lékařům, návštěvní službu v rámci domácí péče, léky na recept, různé bonusy a příspěvky a také náklady pojišťoven na správu a provoz vlastních organizací</w:t>
      </w:r>
    </w:p>
    <w:p w:rsidR="006067DA" w:rsidRPr="00214E6F" w:rsidRDefault="006067DA" w:rsidP="006067DA">
      <w:pPr>
        <w:keepNext/>
        <w:spacing w:before="120" w:line="240" w:lineRule="auto"/>
        <w:jc w:val="right"/>
        <w:rPr>
          <w:b/>
          <w:bCs/>
          <w:i/>
          <w:sz w:val="16"/>
          <w:szCs w:val="16"/>
        </w:rPr>
      </w:pPr>
      <w:r w:rsidRPr="00214E6F">
        <w:rPr>
          <w:b/>
          <w:bCs/>
          <w:i/>
          <w:sz w:val="16"/>
          <w:szCs w:val="16"/>
        </w:rPr>
        <w:t>Zdroj: ČSÚ 201</w:t>
      </w:r>
      <w:r>
        <w:rPr>
          <w:b/>
          <w:bCs/>
          <w:i/>
          <w:sz w:val="16"/>
          <w:szCs w:val="16"/>
        </w:rPr>
        <w:t>9</w:t>
      </w:r>
      <w:r w:rsidRPr="00214E6F">
        <w:rPr>
          <w:b/>
          <w:bCs/>
          <w:i/>
          <w:sz w:val="16"/>
          <w:szCs w:val="16"/>
        </w:rPr>
        <w:t>, Zdravotnické účty ČR 2010 - 201</w:t>
      </w:r>
      <w:r>
        <w:rPr>
          <w:b/>
          <w:bCs/>
          <w:i/>
          <w:sz w:val="16"/>
          <w:szCs w:val="16"/>
        </w:rPr>
        <w:t>7</w:t>
      </w:r>
    </w:p>
    <w:p w:rsidR="006067DA" w:rsidRPr="00214E6F" w:rsidRDefault="006067DA" w:rsidP="006067DA">
      <w:pPr>
        <w:spacing w:before="120" w:line="240" w:lineRule="auto"/>
        <w:rPr>
          <w:rFonts w:eastAsia="MS Gothic"/>
          <w:b/>
          <w:i/>
        </w:rPr>
      </w:pPr>
      <w:r w:rsidRPr="00221DE9">
        <w:rPr>
          <w:rFonts w:eastAsia="MS Gothic"/>
          <w:b/>
          <w:i/>
        </w:rPr>
        <w:t>Výrazně vyšší jsou výdaje na léčení nemocí oběhové soustavy u mužů než u žen</w:t>
      </w:r>
    </w:p>
    <w:p w:rsidR="006067DA" w:rsidRPr="00214E6F" w:rsidRDefault="006067DA" w:rsidP="006067DA">
      <w:pPr>
        <w:spacing w:before="120"/>
        <w:jc w:val="both"/>
        <w:rPr>
          <w:szCs w:val="20"/>
        </w:rPr>
      </w:pPr>
      <w:r>
        <w:rPr>
          <w:szCs w:val="20"/>
        </w:rPr>
        <w:t>Graf č. 3.1.7</w:t>
      </w:r>
      <w:r w:rsidRPr="00214E6F">
        <w:rPr>
          <w:szCs w:val="20"/>
        </w:rPr>
        <w:t xml:space="preserve"> podává přehled o průměrných výdajích zdravotních pojišťoven podle diagnóz přepočtených na jednoho pojištěnce daného pohlaví. Je zde patrná převaha výdajů na zdravotní péči o</w:t>
      </w:r>
      <w:r w:rsidRPr="00214E6F">
        <w:rPr>
          <w:b/>
          <w:szCs w:val="20"/>
        </w:rPr>
        <w:t xml:space="preserve"> ženy</w:t>
      </w:r>
      <w:r w:rsidRPr="00214E6F">
        <w:rPr>
          <w:szCs w:val="20"/>
        </w:rPr>
        <w:t xml:space="preserve"> u nemocí svalové a kosterní soustavy, </w:t>
      </w:r>
      <w:r>
        <w:rPr>
          <w:szCs w:val="20"/>
        </w:rPr>
        <w:t xml:space="preserve">které se nejčastěji objevují ve vyšším věku, kdy ženy početně muže převyšují, </w:t>
      </w:r>
      <w:r w:rsidRPr="00214E6F">
        <w:rPr>
          <w:szCs w:val="20"/>
        </w:rPr>
        <w:t>ale také u diagnóz ze skupiny faktory ovlivňující zdravotní stav</w:t>
      </w:r>
      <w:r>
        <w:rPr>
          <w:szCs w:val="20"/>
        </w:rPr>
        <w:t xml:space="preserve"> (častěji své děti v nemocnici</w:t>
      </w:r>
      <w:r w:rsidRPr="002A12D9">
        <w:rPr>
          <w:szCs w:val="20"/>
        </w:rPr>
        <w:t xml:space="preserve"> </w:t>
      </w:r>
      <w:r>
        <w:rPr>
          <w:szCs w:val="20"/>
        </w:rPr>
        <w:t>doprovází</w:t>
      </w:r>
      <w:r w:rsidRPr="002A12D9">
        <w:rPr>
          <w:szCs w:val="20"/>
        </w:rPr>
        <w:t xml:space="preserve"> </w:t>
      </w:r>
      <w:r>
        <w:rPr>
          <w:szCs w:val="20"/>
        </w:rPr>
        <w:t>ženy)</w:t>
      </w:r>
      <w:r w:rsidRPr="00214E6F">
        <w:rPr>
          <w:szCs w:val="20"/>
        </w:rPr>
        <w:t xml:space="preserve">.  Také u nemocí močové a pohlavní soustavy a nemocí nervové soustavy jsou průměrné výdaje pojišťoven vyšší u žen než u mužů. </w:t>
      </w:r>
    </w:p>
    <w:p w:rsidR="006067DA" w:rsidRPr="00214E6F" w:rsidRDefault="006067DA" w:rsidP="006067DA">
      <w:pPr>
        <w:spacing w:before="120"/>
        <w:jc w:val="both"/>
        <w:rPr>
          <w:szCs w:val="20"/>
        </w:rPr>
      </w:pPr>
      <w:r w:rsidRPr="00214E6F">
        <w:rPr>
          <w:szCs w:val="20"/>
        </w:rPr>
        <w:t>Naopak vyšší výdaje pojišťoven na zdravotní péči o </w:t>
      </w:r>
      <w:r w:rsidRPr="00214E6F">
        <w:rPr>
          <w:b/>
          <w:szCs w:val="20"/>
        </w:rPr>
        <w:t xml:space="preserve">muže </w:t>
      </w:r>
      <w:r w:rsidRPr="00214E6F">
        <w:rPr>
          <w:szCs w:val="20"/>
        </w:rPr>
        <w:t>jsou zaznamenány u onemocnění oběhové soustavy</w:t>
      </w:r>
      <w:r>
        <w:rPr>
          <w:szCs w:val="20"/>
        </w:rPr>
        <w:t xml:space="preserve"> a mírně také u novotvarů.</w:t>
      </w:r>
      <w:r w:rsidRPr="00214E6F">
        <w:rPr>
          <w:szCs w:val="20"/>
        </w:rPr>
        <w:t xml:space="preserve"> I v tomto případě odrážejí průměrné náklady jak četnost onemocnění, která může být pro muže a ženy různá, tak i nákladnost léčby. Při tom v jedné skupině diagnóz často najdeme diagnózy typické jak pro muže, tak pro ženy, které se svou frekvencí i nákladností léčby mohou velmi lišit.</w:t>
      </w:r>
    </w:p>
    <w:p w:rsidR="006067DA" w:rsidRDefault="006067DA" w:rsidP="006067DA">
      <w:pPr>
        <w:spacing w:before="240"/>
        <w:jc w:val="both"/>
        <w:rPr>
          <w:b/>
          <w:bCs/>
          <w:sz w:val="18"/>
          <w:szCs w:val="18"/>
        </w:rPr>
      </w:pPr>
      <w:r w:rsidRPr="00214E6F">
        <w:rPr>
          <w:b/>
          <w:bCs/>
          <w:sz w:val="18"/>
          <w:szCs w:val="18"/>
        </w:rPr>
        <w:lastRenderedPageBreak/>
        <w:t>Graf č. 3.1.</w:t>
      </w:r>
      <w:r>
        <w:rPr>
          <w:b/>
          <w:bCs/>
          <w:sz w:val="18"/>
          <w:szCs w:val="18"/>
        </w:rPr>
        <w:t xml:space="preserve">7 </w:t>
      </w:r>
      <w:r w:rsidRPr="00214E6F">
        <w:rPr>
          <w:b/>
          <w:bCs/>
          <w:sz w:val="18"/>
          <w:szCs w:val="18"/>
        </w:rPr>
        <w:t xml:space="preserve">Výdaje zdravotních pojišťoven </w:t>
      </w:r>
      <w:r>
        <w:rPr>
          <w:b/>
          <w:bCs/>
          <w:sz w:val="18"/>
          <w:szCs w:val="18"/>
        </w:rPr>
        <w:t xml:space="preserve">v Česku </w:t>
      </w:r>
      <w:r w:rsidRPr="00214E6F">
        <w:rPr>
          <w:b/>
          <w:bCs/>
          <w:sz w:val="18"/>
          <w:szCs w:val="18"/>
        </w:rPr>
        <w:t>na 1 pojištěnce podle pohlaví a diagnóz MKN-10, 201</w:t>
      </w:r>
      <w:r>
        <w:rPr>
          <w:b/>
          <w:bCs/>
          <w:sz w:val="18"/>
          <w:szCs w:val="18"/>
        </w:rPr>
        <w:t>7</w:t>
      </w:r>
      <w:r w:rsidRPr="00214E6F">
        <w:rPr>
          <w:b/>
          <w:bCs/>
          <w:sz w:val="18"/>
          <w:szCs w:val="18"/>
        </w:rPr>
        <w:t xml:space="preserve"> (Kč) </w:t>
      </w:r>
    </w:p>
    <w:p w:rsidR="006067DA" w:rsidRDefault="006067DA" w:rsidP="006067DA">
      <w:pPr>
        <w:spacing w:line="240" w:lineRule="auto"/>
        <w:jc w:val="right"/>
        <w:rPr>
          <w:noProof/>
        </w:rPr>
      </w:pPr>
    </w:p>
    <w:p w:rsidR="006067DA" w:rsidRDefault="00373A31" w:rsidP="006067DA">
      <w:pPr>
        <w:spacing w:line="240" w:lineRule="auto"/>
        <w:jc w:val="right"/>
        <w:rPr>
          <w:noProof/>
        </w:rPr>
      </w:pPr>
      <w:r>
        <w:rPr>
          <w:noProof/>
        </w:rPr>
        <w:drawing>
          <wp:inline distT="0" distB="0" distL="0" distR="0" wp14:anchorId="0718B9BD">
            <wp:extent cx="6059805" cy="4681855"/>
            <wp:effectExtent l="0" t="0" r="0" b="444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9805" cy="4681855"/>
                    </a:xfrm>
                    <a:prstGeom prst="rect">
                      <a:avLst/>
                    </a:prstGeom>
                    <a:noFill/>
                  </pic:spPr>
                </pic:pic>
              </a:graphicData>
            </a:graphic>
          </wp:inline>
        </w:drawing>
      </w:r>
    </w:p>
    <w:p w:rsidR="006067DA" w:rsidRPr="006E57C9" w:rsidRDefault="006067DA" w:rsidP="006067DA">
      <w:pPr>
        <w:keepNext/>
        <w:spacing w:before="120" w:line="240" w:lineRule="auto"/>
        <w:jc w:val="right"/>
        <w:rPr>
          <w:b/>
          <w:bCs/>
          <w:i/>
          <w:sz w:val="16"/>
          <w:szCs w:val="16"/>
        </w:rPr>
      </w:pPr>
      <w:r>
        <w:rPr>
          <w:b/>
          <w:bCs/>
          <w:i/>
          <w:sz w:val="16"/>
          <w:szCs w:val="16"/>
        </w:rPr>
        <w:t xml:space="preserve">       </w:t>
      </w:r>
      <w:r w:rsidRPr="00214E6F">
        <w:rPr>
          <w:b/>
          <w:bCs/>
          <w:i/>
          <w:sz w:val="16"/>
          <w:szCs w:val="16"/>
        </w:rPr>
        <w:t>Zdroj: ČSÚ 201</w:t>
      </w:r>
      <w:r>
        <w:rPr>
          <w:b/>
          <w:bCs/>
          <w:i/>
          <w:sz w:val="16"/>
          <w:szCs w:val="16"/>
        </w:rPr>
        <w:t>9</w:t>
      </w:r>
      <w:r w:rsidRPr="00214E6F">
        <w:rPr>
          <w:b/>
          <w:bCs/>
          <w:i/>
          <w:sz w:val="16"/>
          <w:szCs w:val="16"/>
        </w:rPr>
        <w:t>, Zdravotnické účty ČR 2010 - 201</w:t>
      </w:r>
      <w:r>
        <w:rPr>
          <w:b/>
          <w:bCs/>
          <w:i/>
          <w:sz w:val="16"/>
          <w:szCs w:val="16"/>
        </w:rPr>
        <w:t>7</w:t>
      </w:r>
      <w:r>
        <w:rPr>
          <w:noProof/>
        </w:rPr>
        <w:tab/>
      </w:r>
    </w:p>
    <w:p w:rsidR="006067DA" w:rsidRPr="00214E6F" w:rsidRDefault="006067DA" w:rsidP="006067DA">
      <w:pPr>
        <w:widowControl w:val="0"/>
        <w:spacing w:before="240" w:after="120"/>
        <w:rPr>
          <w:rFonts w:eastAsia="MS Gothic"/>
          <w:b/>
          <w:i/>
        </w:rPr>
      </w:pPr>
      <w:r w:rsidRPr="00F52503">
        <w:rPr>
          <w:rFonts w:eastAsia="MS Gothic"/>
          <w:b/>
          <w:i/>
        </w:rPr>
        <w:t xml:space="preserve">Nejvíce peněz vydaly zdravotní pojišťovny na péči o muže </w:t>
      </w:r>
      <w:r>
        <w:rPr>
          <w:rFonts w:eastAsia="MS Gothic"/>
          <w:b/>
          <w:i/>
        </w:rPr>
        <w:t>ve věku 65 – 69 let</w:t>
      </w:r>
    </w:p>
    <w:p w:rsidR="006067DA" w:rsidRPr="00214E6F" w:rsidRDefault="006067DA" w:rsidP="006067DA">
      <w:pPr>
        <w:widowControl w:val="0"/>
        <w:spacing w:before="120"/>
        <w:jc w:val="both"/>
      </w:pPr>
      <w:r w:rsidRPr="00214E6F">
        <w:t>Následující část je zaměřena na výdaje pojišťoven na zdravotní péči členěné</w:t>
      </w:r>
      <w:r w:rsidRPr="00214E6F">
        <w:rPr>
          <w:b/>
        </w:rPr>
        <w:t xml:space="preserve"> podle věku </w:t>
      </w:r>
      <w:r w:rsidRPr="00214E6F">
        <w:t>a</w:t>
      </w:r>
      <w:r w:rsidRPr="00214E6F">
        <w:rPr>
          <w:b/>
        </w:rPr>
        <w:t xml:space="preserve"> pohlaví pojištěnců</w:t>
      </w:r>
      <w:r w:rsidRPr="00214E6F">
        <w:t xml:space="preserve">, na které byla tato péče vykázána. </w:t>
      </w:r>
      <w:r w:rsidRPr="00480E40">
        <w:rPr>
          <w:i/>
        </w:rPr>
        <w:t>Každá věková skupina má odlišný počet pojištěnců, který přímo úměrně ovlivňuje výši celkových vynaložených výdajů. Při vyčíslení výdajů na jednoho pojištěnce se ukazuje jako potřebné vzít v úvahu i věk pojištěnce, protože v různém věku se stejná nemoc může projevovat různě, mít odlišnou délku léčení, specifické komplikace, odlišný průběh a tudíž rozdílné náklady</w:t>
      </w:r>
      <w:r w:rsidRPr="00214E6F">
        <w:t>.</w:t>
      </w:r>
    </w:p>
    <w:p w:rsidR="006067DA" w:rsidRPr="006D533A" w:rsidRDefault="006067DA" w:rsidP="006067DA">
      <w:pPr>
        <w:spacing w:before="120"/>
        <w:jc w:val="both"/>
      </w:pPr>
      <w:r w:rsidRPr="00214E6F">
        <w:t xml:space="preserve">Z celkových výdajů zdravotních pojišťoven na zdravotní péči připadlo zhruba 48 % na péči </w:t>
      </w:r>
      <w:r w:rsidRPr="00480E40">
        <w:t>o</w:t>
      </w:r>
      <w:r w:rsidRPr="00480E40">
        <w:rPr>
          <w:b/>
        </w:rPr>
        <w:t> muže</w:t>
      </w:r>
      <w:r w:rsidRPr="00214E6F">
        <w:t xml:space="preserve"> a 52 % na </w:t>
      </w:r>
      <w:r w:rsidRPr="00480E40">
        <w:t>péči o</w:t>
      </w:r>
      <w:r w:rsidRPr="00480E40">
        <w:rPr>
          <w:b/>
        </w:rPr>
        <w:t xml:space="preserve"> ženy</w:t>
      </w:r>
      <w:r w:rsidRPr="00214E6F">
        <w:t>. Vyšší výdaje na zdravotní péči o muže než na péči o ženy byly v roce 201</w:t>
      </w:r>
      <w:r>
        <w:t>7</w:t>
      </w:r>
      <w:r w:rsidRPr="00214E6F">
        <w:t xml:space="preserve"> pojišťovnami evidovány ve věkových skupinách 0 – 14 a 5</w:t>
      </w:r>
      <w:r>
        <w:t>0</w:t>
      </w:r>
      <w:r w:rsidRPr="00214E6F">
        <w:t xml:space="preserve"> – 7</w:t>
      </w:r>
      <w:r>
        <w:t>4</w:t>
      </w:r>
      <w:r w:rsidRPr="00214E6F">
        <w:t xml:space="preserve"> let. V ostatních věkových skupinách byly vyšší výdaje na zdravotní péči o ženy než o muže. </w:t>
      </w:r>
      <w:r w:rsidRPr="006D533A">
        <w:t>U mužů se nejvyšší částka objevuje ve věkové skupině 65-69 let, u žen pak ve věkové skupině 70 – 74 let.</w:t>
      </w:r>
    </w:p>
    <w:p w:rsidR="006067DA" w:rsidRDefault="006067DA" w:rsidP="006067DA">
      <w:pPr>
        <w:spacing w:before="240"/>
        <w:jc w:val="both"/>
      </w:pPr>
      <w:r w:rsidRPr="00C51E92">
        <w:t>V porovnání s rokem 2010 se celkové výdaje zdravotních pojišťoven na zdravotní péči v roce 201</w:t>
      </w:r>
      <w:r>
        <w:t>7</w:t>
      </w:r>
      <w:r w:rsidRPr="00C51E92">
        <w:t xml:space="preserve"> zvýšily </w:t>
      </w:r>
      <w:r>
        <w:t>o více než 20 miliard Kč.</w:t>
      </w:r>
      <w:r w:rsidRPr="00C51E92">
        <w:t xml:space="preserve"> Největší </w:t>
      </w:r>
      <w:r>
        <w:t xml:space="preserve">absolutní </w:t>
      </w:r>
      <w:r w:rsidRPr="00C51E92">
        <w:t>nárůst výdajů pojišťoven na zdravotní péči byl mezi lety 2010 a 201</w:t>
      </w:r>
      <w:r>
        <w:t>7</w:t>
      </w:r>
      <w:r w:rsidRPr="00C51E92">
        <w:t xml:space="preserve"> zaznamenán </w:t>
      </w:r>
      <w:r>
        <w:t xml:space="preserve">u obou pohlaví </w:t>
      </w:r>
      <w:r w:rsidRPr="0089641B">
        <w:rPr>
          <w:b/>
        </w:rPr>
        <w:t xml:space="preserve">ve </w:t>
      </w:r>
      <w:r w:rsidRPr="00C51E92">
        <w:rPr>
          <w:b/>
        </w:rPr>
        <w:t>věkové skupině</w:t>
      </w:r>
      <w:r w:rsidRPr="00C51E92">
        <w:t xml:space="preserve"> 70 až 74 let</w:t>
      </w:r>
      <w:r>
        <w:t>.</w:t>
      </w:r>
      <w:r w:rsidRPr="00C51E92">
        <w:t xml:space="preserve"> </w:t>
      </w:r>
      <w:r w:rsidRPr="00DF1E92">
        <w:t>V</w:t>
      </w:r>
      <w:r w:rsidRPr="00C51E92">
        <w:t> </w:t>
      </w:r>
      <w:r>
        <w:t>této</w:t>
      </w:r>
      <w:r w:rsidRPr="00C51E92">
        <w:t xml:space="preserve"> </w:t>
      </w:r>
      <w:r>
        <w:t>kategorii</w:t>
      </w:r>
      <w:r w:rsidRPr="00C51E92">
        <w:t xml:space="preserve"> došlo </w:t>
      </w:r>
      <w:r>
        <w:t>ve sledovaném období</w:t>
      </w:r>
      <w:r w:rsidRPr="00C51E92">
        <w:t xml:space="preserve"> k výraznému nárůstu počtu obyvatel a zároveň se jedná o věkov</w:t>
      </w:r>
      <w:r>
        <w:t>ou</w:t>
      </w:r>
      <w:r w:rsidRPr="00C51E92">
        <w:t xml:space="preserve"> skupin</w:t>
      </w:r>
      <w:r>
        <w:t>u</w:t>
      </w:r>
      <w:r w:rsidRPr="00C51E92">
        <w:t xml:space="preserve">, </w:t>
      </w:r>
      <w:r>
        <w:t>kde</w:t>
      </w:r>
      <w:r w:rsidRPr="00C51E92">
        <w:t xml:space="preserve"> je tradičně vysoká míra nemocnosti. </w:t>
      </w:r>
    </w:p>
    <w:p w:rsidR="00373A31" w:rsidRPr="00214E6F" w:rsidRDefault="00373A31" w:rsidP="006067DA">
      <w:pPr>
        <w:spacing w:before="240"/>
        <w:jc w:val="both"/>
      </w:pPr>
    </w:p>
    <w:p w:rsidR="006067DA" w:rsidRPr="00E61C6D" w:rsidRDefault="006067DA" w:rsidP="006067DA">
      <w:pPr>
        <w:keepNext/>
        <w:spacing w:before="240" w:after="120" w:line="240" w:lineRule="auto"/>
        <w:jc w:val="both"/>
        <w:rPr>
          <w:b/>
          <w:bCs/>
          <w:sz w:val="18"/>
          <w:szCs w:val="18"/>
        </w:rPr>
      </w:pPr>
      <w:r w:rsidRPr="00214E6F">
        <w:rPr>
          <w:b/>
          <w:bCs/>
          <w:sz w:val="18"/>
          <w:szCs w:val="18"/>
        </w:rPr>
        <w:lastRenderedPageBreak/>
        <w:t>Tab. č. 3.1.1 Výdaje zdravotních pojišťoven na zdravotní péči v ČR podle věku a pohlaví, 2010 a 201</w:t>
      </w:r>
      <w:r>
        <w:rPr>
          <w:b/>
          <w:bCs/>
          <w:sz w:val="18"/>
          <w:szCs w:val="18"/>
        </w:rPr>
        <w:t>7</w:t>
      </w:r>
      <w:r w:rsidRPr="00214E6F">
        <w:rPr>
          <w:b/>
          <w:bCs/>
          <w:sz w:val="18"/>
          <w:szCs w:val="18"/>
        </w:rPr>
        <w:t xml:space="preserve"> (mil. Kč) </w:t>
      </w:r>
    </w:p>
    <w:tbl>
      <w:tblPr>
        <w:tblW w:w="9583" w:type="dxa"/>
        <w:tblInd w:w="55" w:type="dxa"/>
        <w:tblLayout w:type="fixed"/>
        <w:tblCellMar>
          <w:left w:w="70" w:type="dxa"/>
          <w:right w:w="70" w:type="dxa"/>
        </w:tblCellMar>
        <w:tblLook w:val="04A0" w:firstRow="1" w:lastRow="0" w:firstColumn="1" w:lastColumn="0" w:noHBand="0" w:noVBand="1"/>
      </w:tblPr>
      <w:tblGrid>
        <w:gridCol w:w="940"/>
        <w:gridCol w:w="960"/>
        <w:gridCol w:w="960"/>
        <w:gridCol w:w="961"/>
        <w:gridCol w:w="960"/>
        <w:gridCol w:w="960"/>
        <w:gridCol w:w="961"/>
        <w:gridCol w:w="960"/>
        <w:gridCol w:w="960"/>
        <w:gridCol w:w="961"/>
      </w:tblGrid>
      <w:tr w:rsidR="00C54836" w:rsidRPr="00E61C6D" w:rsidTr="00C54836">
        <w:trPr>
          <w:trHeight w:val="270"/>
        </w:trPr>
        <w:tc>
          <w:tcPr>
            <w:tcW w:w="940" w:type="dxa"/>
            <w:tcBorders>
              <w:top w:val="single" w:sz="8" w:space="0" w:color="auto"/>
              <w:left w:val="nil"/>
              <w:bottom w:val="single" w:sz="8" w:space="0" w:color="auto"/>
              <w:right w:val="single" w:sz="4" w:space="0" w:color="auto"/>
            </w:tcBorders>
            <w:shd w:val="clear" w:color="000000" w:fill="FFFFFF"/>
            <w:noWrap/>
            <w:vAlign w:val="center"/>
            <w:hideMark/>
          </w:tcPr>
          <w:p w:rsidR="00C54836" w:rsidRPr="00E61C6D" w:rsidRDefault="00C54836" w:rsidP="00777353">
            <w:pPr>
              <w:spacing w:line="240" w:lineRule="auto"/>
              <w:jc w:val="center"/>
              <w:rPr>
                <w:rFonts w:cs="Arial"/>
                <w:sz w:val="16"/>
                <w:szCs w:val="16"/>
              </w:rPr>
            </w:pPr>
            <w:r w:rsidRPr="00E61C6D">
              <w:rPr>
                <w:rFonts w:cs="Arial"/>
                <w:sz w:val="16"/>
                <w:szCs w:val="16"/>
              </w:rPr>
              <w:t>Ukazatel</w:t>
            </w:r>
          </w:p>
        </w:tc>
        <w:tc>
          <w:tcPr>
            <w:tcW w:w="2881" w:type="dxa"/>
            <w:gridSpan w:val="3"/>
            <w:tcBorders>
              <w:top w:val="single" w:sz="8" w:space="0" w:color="auto"/>
              <w:left w:val="nil"/>
              <w:bottom w:val="single" w:sz="8" w:space="0" w:color="auto"/>
              <w:right w:val="single" w:sz="4" w:space="0" w:color="000000"/>
            </w:tcBorders>
            <w:shd w:val="clear" w:color="000000" w:fill="FFFFFF"/>
            <w:noWrap/>
            <w:vAlign w:val="center"/>
            <w:hideMark/>
          </w:tcPr>
          <w:p w:rsidR="00C54836" w:rsidRPr="00E61C6D" w:rsidRDefault="00C54836" w:rsidP="00777353">
            <w:pPr>
              <w:spacing w:line="240" w:lineRule="auto"/>
              <w:jc w:val="center"/>
              <w:rPr>
                <w:rFonts w:cs="Arial"/>
                <w:b/>
                <w:bCs/>
                <w:sz w:val="16"/>
                <w:szCs w:val="16"/>
              </w:rPr>
            </w:pPr>
            <w:r w:rsidRPr="00E61C6D">
              <w:rPr>
                <w:rFonts w:cs="Arial"/>
                <w:b/>
                <w:bCs/>
                <w:sz w:val="16"/>
                <w:szCs w:val="16"/>
              </w:rPr>
              <w:t>2010</w:t>
            </w:r>
          </w:p>
        </w:tc>
        <w:tc>
          <w:tcPr>
            <w:tcW w:w="2881"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2017 </w:t>
            </w:r>
          </w:p>
        </w:tc>
        <w:tc>
          <w:tcPr>
            <w:tcW w:w="2881" w:type="dxa"/>
            <w:gridSpan w:val="3"/>
            <w:tcBorders>
              <w:top w:val="single" w:sz="8" w:space="0" w:color="auto"/>
              <w:left w:val="single" w:sz="4" w:space="0" w:color="auto"/>
              <w:bottom w:val="single" w:sz="8" w:space="0" w:color="auto"/>
              <w:right w:val="nil"/>
            </w:tcBorders>
            <w:shd w:val="clear" w:color="000000" w:fill="FFFFFF"/>
            <w:vAlign w:val="center"/>
          </w:tcPr>
          <w:p w:rsidR="00C54836" w:rsidRPr="0073795D" w:rsidRDefault="001B176A" w:rsidP="00C54836">
            <w:pPr>
              <w:spacing w:line="240" w:lineRule="auto"/>
              <w:jc w:val="center"/>
              <w:rPr>
                <w:rFonts w:cs="Arial"/>
                <w:b/>
                <w:bCs/>
                <w:i/>
                <w:sz w:val="16"/>
                <w:szCs w:val="16"/>
                <w:highlight w:val="yellow"/>
              </w:rPr>
            </w:pPr>
            <w:r w:rsidRPr="0073795D">
              <w:rPr>
                <w:rFonts w:cs="Arial"/>
                <w:b/>
                <w:bCs/>
                <w:i/>
                <w:sz w:val="16"/>
                <w:szCs w:val="16"/>
              </w:rPr>
              <w:t xml:space="preserve">Index </w:t>
            </w:r>
            <w:r w:rsidR="00C54836" w:rsidRPr="0073795D">
              <w:rPr>
                <w:rFonts w:cs="Arial"/>
                <w:b/>
                <w:bCs/>
                <w:i/>
                <w:sz w:val="16"/>
                <w:szCs w:val="16"/>
              </w:rPr>
              <w:t>2017/2010</w:t>
            </w:r>
          </w:p>
        </w:tc>
      </w:tr>
      <w:tr w:rsidR="00C54836" w:rsidRPr="00E61C6D" w:rsidTr="00320E92">
        <w:trPr>
          <w:trHeight w:val="270"/>
        </w:trPr>
        <w:tc>
          <w:tcPr>
            <w:tcW w:w="940" w:type="dxa"/>
            <w:tcBorders>
              <w:top w:val="nil"/>
              <w:left w:val="nil"/>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cs="Arial"/>
                <w:sz w:val="16"/>
                <w:szCs w:val="16"/>
              </w:rPr>
            </w:pPr>
            <w:r w:rsidRPr="00E61C6D">
              <w:rPr>
                <w:rFonts w:cs="Arial"/>
                <w:sz w:val="16"/>
                <w:szCs w:val="16"/>
              </w:rPr>
              <w:t>Věková skupina</w:t>
            </w:r>
          </w:p>
        </w:tc>
        <w:tc>
          <w:tcPr>
            <w:tcW w:w="960" w:type="dxa"/>
            <w:tcBorders>
              <w:top w:val="nil"/>
              <w:left w:val="single" w:sz="4" w:space="0" w:color="auto"/>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Muži</w:t>
            </w:r>
          </w:p>
        </w:tc>
        <w:tc>
          <w:tcPr>
            <w:tcW w:w="960" w:type="dxa"/>
            <w:tcBorders>
              <w:top w:val="nil"/>
              <w:left w:val="nil"/>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Ženy</w:t>
            </w:r>
          </w:p>
        </w:tc>
        <w:tc>
          <w:tcPr>
            <w:tcW w:w="961" w:type="dxa"/>
            <w:tcBorders>
              <w:top w:val="nil"/>
              <w:left w:val="nil"/>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ascii="MS Sans Serif" w:hAnsi="MS Sans Serif"/>
                <w:b/>
                <w:bCs/>
                <w:sz w:val="16"/>
                <w:szCs w:val="16"/>
              </w:rPr>
            </w:pPr>
            <w:r w:rsidRPr="00532AC9">
              <w:rPr>
                <w:rFonts w:cs="Arial"/>
                <w:b/>
                <w:bCs/>
                <w:sz w:val="16"/>
                <w:szCs w:val="16"/>
              </w:rPr>
              <w:t>Celkem</w:t>
            </w:r>
          </w:p>
        </w:tc>
        <w:tc>
          <w:tcPr>
            <w:tcW w:w="960" w:type="dxa"/>
            <w:tcBorders>
              <w:top w:val="nil"/>
              <w:left w:val="nil"/>
              <w:bottom w:val="single" w:sz="4" w:space="0" w:color="auto"/>
              <w:right w:val="single" w:sz="4" w:space="0" w:color="auto"/>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Muži</w:t>
            </w:r>
          </w:p>
        </w:tc>
        <w:tc>
          <w:tcPr>
            <w:tcW w:w="960" w:type="dxa"/>
            <w:tcBorders>
              <w:top w:val="nil"/>
              <w:left w:val="single" w:sz="4" w:space="0" w:color="auto"/>
              <w:bottom w:val="single" w:sz="4" w:space="0" w:color="auto"/>
              <w:right w:val="nil"/>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 xml:space="preserve">Ženy </w:t>
            </w:r>
          </w:p>
        </w:tc>
        <w:tc>
          <w:tcPr>
            <w:tcW w:w="961" w:type="dxa"/>
            <w:tcBorders>
              <w:top w:val="nil"/>
              <w:left w:val="single" w:sz="4" w:space="0" w:color="auto"/>
              <w:bottom w:val="single" w:sz="4" w:space="0" w:color="auto"/>
              <w:right w:val="nil"/>
            </w:tcBorders>
            <w:shd w:val="clear" w:color="000000" w:fill="F2DCDB"/>
            <w:noWrap/>
            <w:vAlign w:val="center"/>
            <w:hideMark/>
          </w:tcPr>
          <w:p w:rsidR="00C54836" w:rsidRPr="00E61C6D" w:rsidRDefault="00C54836" w:rsidP="00C54836">
            <w:pPr>
              <w:spacing w:line="240" w:lineRule="auto"/>
              <w:jc w:val="center"/>
              <w:rPr>
                <w:rFonts w:cs="Arial"/>
                <w:b/>
                <w:bCs/>
                <w:sz w:val="16"/>
                <w:szCs w:val="16"/>
              </w:rPr>
            </w:pPr>
            <w:r w:rsidRPr="00E61C6D">
              <w:rPr>
                <w:rFonts w:cs="Arial"/>
                <w:b/>
                <w:bCs/>
                <w:sz w:val="16"/>
                <w:szCs w:val="16"/>
              </w:rPr>
              <w:t>Celkem</w:t>
            </w:r>
          </w:p>
        </w:tc>
        <w:tc>
          <w:tcPr>
            <w:tcW w:w="960" w:type="dxa"/>
            <w:tcBorders>
              <w:top w:val="nil"/>
              <w:left w:val="single" w:sz="4" w:space="0" w:color="auto"/>
              <w:bottom w:val="single" w:sz="4" w:space="0" w:color="auto"/>
              <w:right w:val="nil"/>
            </w:tcBorders>
            <w:shd w:val="clear" w:color="000000" w:fill="F2DCDB"/>
            <w:vAlign w:val="center"/>
          </w:tcPr>
          <w:p w:rsidR="00C54836" w:rsidRPr="0073795D" w:rsidRDefault="00C54836" w:rsidP="00C54836">
            <w:pPr>
              <w:spacing w:line="240" w:lineRule="auto"/>
              <w:jc w:val="center"/>
              <w:rPr>
                <w:rFonts w:cs="Arial"/>
                <w:b/>
                <w:bCs/>
                <w:i/>
                <w:sz w:val="16"/>
                <w:szCs w:val="16"/>
              </w:rPr>
            </w:pPr>
            <w:r w:rsidRPr="0073795D">
              <w:rPr>
                <w:rFonts w:cs="Arial"/>
                <w:b/>
                <w:bCs/>
                <w:i/>
                <w:sz w:val="16"/>
                <w:szCs w:val="16"/>
              </w:rPr>
              <w:t>Muži</w:t>
            </w:r>
          </w:p>
        </w:tc>
        <w:tc>
          <w:tcPr>
            <w:tcW w:w="960" w:type="dxa"/>
            <w:tcBorders>
              <w:top w:val="nil"/>
              <w:left w:val="single" w:sz="4" w:space="0" w:color="auto"/>
              <w:bottom w:val="single" w:sz="4" w:space="0" w:color="auto"/>
              <w:right w:val="nil"/>
            </w:tcBorders>
            <w:shd w:val="clear" w:color="000000" w:fill="F2DCDB"/>
            <w:vAlign w:val="center"/>
          </w:tcPr>
          <w:p w:rsidR="00C54836" w:rsidRPr="0073795D" w:rsidRDefault="00C54836" w:rsidP="00C54836">
            <w:pPr>
              <w:spacing w:line="240" w:lineRule="auto"/>
              <w:jc w:val="center"/>
              <w:rPr>
                <w:rFonts w:cs="Arial"/>
                <w:b/>
                <w:bCs/>
                <w:i/>
                <w:sz w:val="16"/>
                <w:szCs w:val="16"/>
              </w:rPr>
            </w:pPr>
            <w:r w:rsidRPr="0073795D">
              <w:rPr>
                <w:rFonts w:cs="Arial"/>
                <w:b/>
                <w:bCs/>
                <w:i/>
                <w:sz w:val="16"/>
                <w:szCs w:val="16"/>
              </w:rPr>
              <w:t xml:space="preserve">Ženy </w:t>
            </w:r>
          </w:p>
        </w:tc>
        <w:tc>
          <w:tcPr>
            <w:tcW w:w="961" w:type="dxa"/>
            <w:tcBorders>
              <w:top w:val="nil"/>
              <w:left w:val="single" w:sz="4" w:space="0" w:color="auto"/>
              <w:bottom w:val="single" w:sz="4" w:space="0" w:color="auto"/>
              <w:right w:val="nil"/>
            </w:tcBorders>
            <w:shd w:val="clear" w:color="000000" w:fill="F2DCDB"/>
            <w:vAlign w:val="center"/>
          </w:tcPr>
          <w:p w:rsidR="00C54836" w:rsidRPr="0073795D" w:rsidRDefault="00C54836" w:rsidP="00C54836">
            <w:pPr>
              <w:spacing w:line="240" w:lineRule="auto"/>
              <w:jc w:val="center"/>
              <w:rPr>
                <w:rFonts w:cs="Arial"/>
                <w:b/>
                <w:bCs/>
                <w:i/>
                <w:sz w:val="16"/>
                <w:szCs w:val="16"/>
              </w:rPr>
            </w:pPr>
            <w:r w:rsidRPr="0073795D">
              <w:rPr>
                <w:rFonts w:cs="Arial"/>
                <w:b/>
                <w:bCs/>
                <w:i/>
                <w:sz w:val="16"/>
                <w:szCs w:val="16"/>
              </w:rPr>
              <w:t>Celkem</w:t>
            </w:r>
          </w:p>
        </w:tc>
      </w:tr>
      <w:tr w:rsidR="001B176A" w:rsidRPr="00E61C6D" w:rsidTr="001B176A">
        <w:trPr>
          <w:trHeight w:val="270"/>
        </w:trPr>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0-4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5 256</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4 072</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9 328</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5 466</w:t>
            </w:r>
          </w:p>
        </w:tc>
        <w:tc>
          <w:tcPr>
            <w:tcW w:w="960" w:type="dxa"/>
            <w:tcBorders>
              <w:top w:val="single" w:sz="4" w:space="0" w:color="auto"/>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4 350</w:t>
            </w:r>
          </w:p>
        </w:tc>
        <w:tc>
          <w:tcPr>
            <w:tcW w:w="961" w:type="dxa"/>
            <w:tcBorders>
              <w:top w:val="nil"/>
              <w:left w:val="single" w:sz="4" w:space="0" w:color="auto"/>
              <w:bottom w:val="single" w:sz="4" w:space="0" w:color="auto"/>
              <w:right w:val="nil"/>
            </w:tcBorders>
            <w:shd w:val="clear" w:color="auto" w:fill="auto"/>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9 816</w:t>
            </w:r>
          </w:p>
        </w:tc>
        <w:tc>
          <w:tcPr>
            <w:tcW w:w="960" w:type="dxa"/>
            <w:tcBorders>
              <w:top w:val="nil"/>
              <w:left w:val="single" w:sz="4" w:space="0" w:color="auto"/>
              <w:bottom w:val="single" w:sz="4" w:space="0" w:color="auto"/>
              <w:right w:val="nil"/>
            </w:tcBorders>
            <w:vAlign w:val="center"/>
          </w:tcPr>
          <w:p w:rsidR="001B176A" w:rsidRPr="0073795D" w:rsidRDefault="001B176A" w:rsidP="001B176A">
            <w:pPr>
              <w:jc w:val="right"/>
              <w:rPr>
                <w:rFonts w:cs="Arial"/>
                <w:i/>
                <w:sz w:val="16"/>
                <w:szCs w:val="16"/>
              </w:rPr>
            </w:pPr>
            <w:r w:rsidRPr="0073795D">
              <w:rPr>
                <w:rFonts w:cs="Arial"/>
                <w:i/>
                <w:sz w:val="16"/>
                <w:szCs w:val="16"/>
              </w:rPr>
              <w:t>104,0</w:t>
            </w:r>
          </w:p>
        </w:tc>
        <w:tc>
          <w:tcPr>
            <w:tcW w:w="960" w:type="dxa"/>
            <w:tcBorders>
              <w:top w:val="nil"/>
              <w:left w:val="single" w:sz="4" w:space="0" w:color="auto"/>
              <w:bottom w:val="single" w:sz="4" w:space="0" w:color="auto"/>
              <w:right w:val="nil"/>
            </w:tcBorders>
            <w:vAlign w:val="center"/>
          </w:tcPr>
          <w:p w:rsidR="001B176A" w:rsidRPr="0073795D" w:rsidRDefault="001B176A" w:rsidP="001B176A">
            <w:pPr>
              <w:jc w:val="right"/>
              <w:rPr>
                <w:rFonts w:cs="Arial"/>
                <w:i/>
                <w:sz w:val="16"/>
                <w:szCs w:val="16"/>
              </w:rPr>
            </w:pPr>
            <w:r w:rsidRPr="0073795D">
              <w:rPr>
                <w:rFonts w:cs="Arial"/>
                <w:i/>
                <w:sz w:val="16"/>
                <w:szCs w:val="16"/>
              </w:rPr>
              <w:t>106,8</w:t>
            </w:r>
          </w:p>
        </w:tc>
        <w:tc>
          <w:tcPr>
            <w:tcW w:w="961" w:type="dxa"/>
            <w:tcBorders>
              <w:top w:val="nil"/>
              <w:left w:val="single" w:sz="4" w:space="0" w:color="auto"/>
              <w:bottom w:val="single" w:sz="4" w:space="0" w:color="auto"/>
              <w:right w:val="nil"/>
            </w:tcBorders>
            <w:vAlign w:val="center"/>
          </w:tcPr>
          <w:p w:rsidR="001B176A" w:rsidRPr="0073795D" w:rsidRDefault="001B176A" w:rsidP="001B176A">
            <w:pPr>
              <w:jc w:val="right"/>
              <w:rPr>
                <w:rFonts w:cs="Arial"/>
                <w:b/>
                <w:i/>
                <w:sz w:val="16"/>
                <w:szCs w:val="16"/>
              </w:rPr>
            </w:pPr>
            <w:r w:rsidRPr="0073795D">
              <w:rPr>
                <w:rFonts w:cs="Arial"/>
                <w:b/>
                <w:i/>
                <w:sz w:val="16"/>
                <w:szCs w:val="16"/>
              </w:rPr>
              <w:t>105,2</w:t>
            </w:r>
          </w:p>
        </w:tc>
      </w:tr>
      <w:tr w:rsidR="001B176A" w:rsidRPr="00E61C6D" w:rsidTr="001B176A">
        <w:trPr>
          <w:trHeight w:val="270"/>
        </w:trPr>
        <w:tc>
          <w:tcPr>
            <w:tcW w:w="94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Pr>
                <w:rFonts w:cs="Arial"/>
                <w:sz w:val="16"/>
                <w:szCs w:val="16"/>
              </w:rPr>
              <w:t>5-10</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2 716</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2 188</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4 904</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3 161</w:t>
            </w:r>
          </w:p>
        </w:tc>
        <w:tc>
          <w:tcPr>
            <w:tcW w:w="960" w:type="dxa"/>
            <w:tcBorders>
              <w:top w:val="nil"/>
              <w:left w:val="nil"/>
              <w:bottom w:val="single" w:sz="4" w:space="0" w:color="auto"/>
              <w:right w:val="nil"/>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2 546</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5 707</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116,4</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116,3</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116,4</w:t>
            </w:r>
          </w:p>
        </w:tc>
      </w:tr>
      <w:tr w:rsidR="001B176A" w:rsidRPr="00E61C6D" w:rsidTr="001B176A">
        <w:trPr>
          <w:trHeight w:val="270"/>
        </w:trPr>
        <w:tc>
          <w:tcPr>
            <w:tcW w:w="94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10-14</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2 584</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2 627</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5 211</w:t>
            </w:r>
          </w:p>
        </w:tc>
        <w:tc>
          <w:tcPr>
            <w:tcW w:w="960"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2 926</w:t>
            </w:r>
          </w:p>
        </w:tc>
        <w:tc>
          <w:tcPr>
            <w:tcW w:w="960" w:type="dxa"/>
            <w:tcBorders>
              <w:top w:val="nil"/>
              <w:left w:val="nil"/>
              <w:bottom w:val="single" w:sz="4" w:space="0" w:color="auto"/>
              <w:right w:val="nil"/>
            </w:tcBorders>
            <w:shd w:val="clear" w:color="auto" w:fill="auto"/>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2 627</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5 553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113,2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100,0</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106,6</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15-19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2 964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3 385</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6 349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2 564</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2 908</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5 472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86,5</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85,9</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86,2</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20-24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2 831</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3 673</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6 504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2 444</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3 308</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5 753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86,3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90,1</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88,4</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25-29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3 503</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5 446</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8 949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3 456</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5 239</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8 695</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98,7</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96,2</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97,2</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30-34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4 650</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7 589</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12 239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4 121</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5 605</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9 726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88,6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73,9</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79,5</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35-39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4 780</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5 975</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10 755</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4 777</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6 405</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11 182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99,9</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107,2</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104,0</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40-44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5 368</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5 759</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11 127</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6 133</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7 382</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13 514</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114,2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128,2</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121,5</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45-49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5 499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6 229</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11 728</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6 435</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6 897</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13 333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117,0</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110,7</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113,7</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50-54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8 201</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8 664</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16 865</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8 025</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7 687</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15 712</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97,8</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88,7</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93,2</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55-59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10 631</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10 095</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20 726</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9 219</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8 260</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17 479</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86,7</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81,8</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84,3</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60-64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13 828</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11 523</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25 351</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13 626</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10 660</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24 286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98,5</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92,5</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95,8</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65-69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11 282</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11 942</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23 224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15 524</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13 390</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28 914</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137,6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112,1</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124,5</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70-74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8 650</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10 182</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18 832</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14 436</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14 017</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28 453</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166,9</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137,7</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151,1</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75-79</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7 730</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9 707</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17 437</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9 241</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10 923</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20 164</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119,6</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112,5</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115,6</w:t>
            </w:r>
          </w:p>
        </w:tc>
      </w:tr>
      <w:tr w:rsidR="001B176A" w:rsidRPr="00E61C6D" w:rsidTr="001B176A">
        <w:trPr>
          <w:trHeight w:val="255"/>
        </w:trPr>
        <w:tc>
          <w:tcPr>
            <w:tcW w:w="94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80-84</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5 092</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8 071</w:t>
            </w:r>
          </w:p>
        </w:tc>
        <w:tc>
          <w:tcPr>
            <w:tcW w:w="961" w:type="dxa"/>
            <w:tcBorders>
              <w:top w:val="nil"/>
              <w:left w:val="nil"/>
              <w:bottom w:val="single" w:sz="4" w:space="0" w:color="auto"/>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13 163</w:t>
            </w:r>
          </w:p>
        </w:tc>
        <w:tc>
          <w:tcPr>
            <w:tcW w:w="960" w:type="dxa"/>
            <w:tcBorders>
              <w:top w:val="nil"/>
              <w:left w:val="nil"/>
              <w:bottom w:val="single" w:sz="4" w:space="0" w:color="auto"/>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5 829</w:t>
            </w:r>
          </w:p>
        </w:tc>
        <w:tc>
          <w:tcPr>
            <w:tcW w:w="960" w:type="dxa"/>
            <w:tcBorders>
              <w:top w:val="nil"/>
              <w:left w:val="nil"/>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8 862</w:t>
            </w:r>
          </w:p>
        </w:tc>
        <w:tc>
          <w:tcPr>
            <w:tcW w:w="961" w:type="dxa"/>
            <w:tcBorders>
              <w:top w:val="nil"/>
              <w:left w:val="single" w:sz="4" w:space="0" w:color="auto"/>
              <w:bottom w:val="single" w:sz="4" w:space="0" w:color="auto"/>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14 691</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114,5</w:t>
            </w:r>
          </w:p>
        </w:tc>
        <w:tc>
          <w:tcPr>
            <w:tcW w:w="960"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109,8</w:t>
            </w:r>
          </w:p>
        </w:tc>
        <w:tc>
          <w:tcPr>
            <w:tcW w:w="961" w:type="dxa"/>
            <w:tcBorders>
              <w:top w:val="nil"/>
              <w:left w:val="single" w:sz="4" w:space="0" w:color="auto"/>
              <w:bottom w:val="single" w:sz="4" w:space="0" w:color="auto"/>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111,6</w:t>
            </w:r>
          </w:p>
        </w:tc>
      </w:tr>
      <w:tr w:rsidR="001B176A" w:rsidRPr="00E61C6D" w:rsidTr="001B176A">
        <w:trPr>
          <w:trHeight w:val="270"/>
        </w:trPr>
        <w:tc>
          <w:tcPr>
            <w:tcW w:w="940" w:type="dxa"/>
            <w:tcBorders>
              <w:top w:val="single" w:sz="4" w:space="0" w:color="auto"/>
              <w:left w:val="nil"/>
              <w:bottom w:val="nil"/>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85+</w:t>
            </w:r>
          </w:p>
        </w:tc>
        <w:tc>
          <w:tcPr>
            <w:tcW w:w="960" w:type="dxa"/>
            <w:tcBorders>
              <w:top w:val="nil"/>
              <w:left w:val="single" w:sz="4" w:space="0" w:color="auto"/>
              <w:bottom w:val="nil"/>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2 772</w:t>
            </w:r>
          </w:p>
        </w:tc>
        <w:tc>
          <w:tcPr>
            <w:tcW w:w="960" w:type="dxa"/>
            <w:tcBorders>
              <w:top w:val="nil"/>
              <w:left w:val="nil"/>
              <w:bottom w:val="nil"/>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6 435</w:t>
            </w:r>
          </w:p>
        </w:tc>
        <w:tc>
          <w:tcPr>
            <w:tcW w:w="961" w:type="dxa"/>
            <w:tcBorders>
              <w:top w:val="nil"/>
              <w:left w:val="nil"/>
              <w:bottom w:val="nil"/>
              <w:right w:val="single" w:sz="4" w:space="0" w:color="auto"/>
            </w:tcBorders>
            <w:shd w:val="clear" w:color="auto" w:fill="auto"/>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9 207</w:t>
            </w:r>
          </w:p>
        </w:tc>
        <w:tc>
          <w:tcPr>
            <w:tcW w:w="960" w:type="dxa"/>
            <w:tcBorders>
              <w:top w:val="nil"/>
              <w:left w:val="nil"/>
              <w:bottom w:val="nil"/>
              <w:right w:val="single" w:sz="4" w:space="0" w:color="auto"/>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4 199</w:t>
            </w:r>
          </w:p>
        </w:tc>
        <w:tc>
          <w:tcPr>
            <w:tcW w:w="960" w:type="dxa"/>
            <w:tcBorders>
              <w:top w:val="single" w:sz="4" w:space="0" w:color="auto"/>
              <w:left w:val="single" w:sz="4" w:space="0" w:color="auto"/>
              <w:bottom w:val="nil"/>
              <w:right w:val="nil"/>
            </w:tcBorders>
            <w:shd w:val="clear" w:color="000000" w:fill="FFFFFF"/>
            <w:noWrap/>
            <w:vAlign w:val="center"/>
            <w:hideMark/>
          </w:tcPr>
          <w:p w:rsidR="001B176A" w:rsidRPr="00E61C6D" w:rsidRDefault="001B176A" w:rsidP="00C54836">
            <w:pPr>
              <w:spacing w:line="240" w:lineRule="auto"/>
              <w:jc w:val="right"/>
              <w:rPr>
                <w:rFonts w:cs="Arial"/>
                <w:sz w:val="16"/>
                <w:szCs w:val="16"/>
              </w:rPr>
            </w:pPr>
            <w:r w:rsidRPr="00E61C6D">
              <w:rPr>
                <w:rFonts w:cs="Arial"/>
                <w:sz w:val="16"/>
                <w:szCs w:val="16"/>
              </w:rPr>
              <w:t>9 522</w:t>
            </w:r>
          </w:p>
        </w:tc>
        <w:tc>
          <w:tcPr>
            <w:tcW w:w="961" w:type="dxa"/>
            <w:tcBorders>
              <w:top w:val="single" w:sz="4" w:space="0" w:color="auto"/>
              <w:left w:val="single" w:sz="4" w:space="0" w:color="auto"/>
              <w:bottom w:val="nil"/>
              <w:right w:val="nil"/>
            </w:tcBorders>
            <w:shd w:val="clear" w:color="000000" w:fill="FFFFFF"/>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13 721</w:t>
            </w:r>
          </w:p>
        </w:tc>
        <w:tc>
          <w:tcPr>
            <w:tcW w:w="960" w:type="dxa"/>
            <w:tcBorders>
              <w:top w:val="single" w:sz="4" w:space="0" w:color="auto"/>
              <w:left w:val="single" w:sz="4" w:space="0" w:color="auto"/>
              <w:bottom w:val="nil"/>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151,5</w:t>
            </w:r>
          </w:p>
        </w:tc>
        <w:tc>
          <w:tcPr>
            <w:tcW w:w="960" w:type="dxa"/>
            <w:tcBorders>
              <w:top w:val="single" w:sz="4" w:space="0" w:color="auto"/>
              <w:left w:val="single" w:sz="4" w:space="0" w:color="auto"/>
              <w:bottom w:val="nil"/>
              <w:right w:val="nil"/>
            </w:tcBorders>
            <w:shd w:val="clear" w:color="000000" w:fill="FFFFFF"/>
            <w:vAlign w:val="center"/>
          </w:tcPr>
          <w:p w:rsidR="001B176A" w:rsidRPr="0073795D" w:rsidRDefault="001B176A" w:rsidP="001B176A">
            <w:pPr>
              <w:jc w:val="right"/>
              <w:rPr>
                <w:rFonts w:cs="Arial"/>
                <w:i/>
                <w:sz w:val="16"/>
                <w:szCs w:val="16"/>
              </w:rPr>
            </w:pPr>
            <w:r w:rsidRPr="0073795D">
              <w:rPr>
                <w:rFonts w:cs="Arial"/>
                <w:i/>
                <w:sz w:val="16"/>
                <w:szCs w:val="16"/>
              </w:rPr>
              <w:t>148,0</w:t>
            </w:r>
          </w:p>
        </w:tc>
        <w:tc>
          <w:tcPr>
            <w:tcW w:w="961" w:type="dxa"/>
            <w:tcBorders>
              <w:top w:val="single" w:sz="4" w:space="0" w:color="auto"/>
              <w:left w:val="single" w:sz="4" w:space="0" w:color="auto"/>
              <w:bottom w:val="nil"/>
              <w:right w:val="nil"/>
            </w:tcBorders>
            <w:shd w:val="clear" w:color="000000" w:fill="FFFFFF"/>
            <w:vAlign w:val="center"/>
          </w:tcPr>
          <w:p w:rsidR="001B176A" w:rsidRPr="0073795D" w:rsidRDefault="001B176A" w:rsidP="001B176A">
            <w:pPr>
              <w:jc w:val="right"/>
              <w:rPr>
                <w:rFonts w:cs="Arial"/>
                <w:b/>
                <w:i/>
                <w:sz w:val="16"/>
                <w:szCs w:val="16"/>
              </w:rPr>
            </w:pPr>
            <w:r w:rsidRPr="0073795D">
              <w:rPr>
                <w:rFonts w:cs="Arial"/>
                <w:b/>
                <w:i/>
                <w:sz w:val="16"/>
                <w:szCs w:val="16"/>
              </w:rPr>
              <w:t>149,0</w:t>
            </w:r>
          </w:p>
        </w:tc>
      </w:tr>
      <w:tr w:rsidR="001B176A" w:rsidRPr="00E61C6D" w:rsidTr="001B176A">
        <w:trPr>
          <w:trHeight w:val="270"/>
        </w:trPr>
        <w:tc>
          <w:tcPr>
            <w:tcW w:w="940"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Výdaje celkem</w:t>
            </w:r>
          </w:p>
        </w:tc>
        <w:tc>
          <w:tcPr>
            <w:tcW w:w="960"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108 332</w:t>
            </w:r>
          </w:p>
        </w:tc>
        <w:tc>
          <w:tcPr>
            <w:tcW w:w="960"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123 557</w:t>
            </w:r>
          </w:p>
        </w:tc>
        <w:tc>
          <w:tcPr>
            <w:tcW w:w="961"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231 889</w:t>
            </w:r>
          </w:p>
        </w:tc>
        <w:tc>
          <w:tcPr>
            <w:tcW w:w="960" w:type="dxa"/>
            <w:tcBorders>
              <w:top w:val="single" w:sz="8" w:space="0" w:color="auto"/>
              <w:left w:val="nil"/>
              <w:bottom w:val="single" w:sz="8" w:space="0" w:color="auto"/>
              <w:right w:val="single" w:sz="4" w:space="0" w:color="auto"/>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121 581</w:t>
            </w:r>
          </w:p>
        </w:tc>
        <w:tc>
          <w:tcPr>
            <w:tcW w:w="960" w:type="dxa"/>
            <w:tcBorders>
              <w:top w:val="single" w:sz="8" w:space="0" w:color="auto"/>
              <w:left w:val="nil"/>
              <w:bottom w:val="single" w:sz="8" w:space="0" w:color="auto"/>
              <w:right w:val="nil"/>
            </w:tcBorders>
            <w:shd w:val="clear" w:color="000000" w:fill="F2DCDB"/>
            <w:noWrap/>
            <w:vAlign w:val="center"/>
            <w:hideMark/>
          </w:tcPr>
          <w:p w:rsidR="001B176A" w:rsidRPr="00E61C6D" w:rsidRDefault="001B176A" w:rsidP="00C54836">
            <w:pPr>
              <w:spacing w:line="240" w:lineRule="auto"/>
              <w:jc w:val="right"/>
              <w:rPr>
                <w:rFonts w:cs="Arial"/>
                <w:b/>
                <w:bCs/>
                <w:sz w:val="16"/>
                <w:szCs w:val="16"/>
              </w:rPr>
            </w:pPr>
            <w:r w:rsidRPr="00E61C6D">
              <w:rPr>
                <w:rFonts w:cs="Arial"/>
                <w:b/>
                <w:bCs/>
                <w:sz w:val="16"/>
                <w:szCs w:val="16"/>
              </w:rPr>
              <w:t>130 587</w:t>
            </w:r>
          </w:p>
        </w:tc>
        <w:tc>
          <w:tcPr>
            <w:tcW w:w="961" w:type="dxa"/>
            <w:tcBorders>
              <w:top w:val="single" w:sz="8" w:space="0" w:color="auto"/>
              <w:left w:val="single" w:sz="4" w:space="0" w:color="auto"/>
              <w:bottom w:val="single" w:sz="8" w:space="0" w:color="auto"/>
              <w:right w:val="nil"/>
            </w:tcBorders>
            <w:shd w:val="clear" w:color="000000" w:fill="F2DCDB"/>
            <w:noWrap/>
            <w:vAlign w:val="center"/>
            <w:hideMark/>
          </w:tcPr>
          <w:p w:rsidR="001B176A" w:rsidRPr="00E61C6D" w:rsidRDefault="001B176A" w:rsidP="00C54836">
            <w:pPr>
              <w:spacing w:line="240" w:lineRule="auto"/>
              <w:jc w:val="right"/>
              <w:rPr>
                <w:rFonts w:cs="Arial"/>
                <w:b/>
                <w:bCs/>
                <w:color w:val="000000"/>
                <w:sz w:val="16"/>
                <w:szCs w:val="16"/>
              </w:rPr>
            </w:pPr>
            <w:r w:rsidRPr="00E61C6D">
              <w:rPr>
                <w:rFonts w:cs="Arial"/>
                <w:b/>
                <w:bCs/>
                <w:color w:val="000000"/>
                <w:sz w:val="16"/>
                <w:szCs w:val="16"/>
              </w:rPr>
              <w:t>252 169</w:t>
            </w:r>
          </w:p>
        </w:tc>
        <w:tc>
          <w:tcPr>
            <w:tcW w:w="960" w:type="dxa"/>
            <w:tcBorders>
              <w:top w:val="single" w:sz="8" w:space="0" w:color="auto"/>
              <w:left w:val="single" w:sz="4" w:space="0" w:color="auto"/>
              <w:bottom w:val="single" w:sz="8" w:space="0" w:color="auto"/>
              <w:right w:val="nil"/>
            </w:tcBorders>
            <w:shd w:val="clear" w:color="000000" w:fill="F2DCDB"/>
            <w:vAlign w:val="center"/>
          </w:tcPr>
          <w:p w:rsidR="001B176A" w:rsidRPr="0073795D" w:rsidRDefault="001B176A" w:rsidP="001B176A">
            <w:pPr>
              <w:jc w:val="right"/>
              <w:rPr>
                <w:rFonts w:cs="Arial"/>
                <w:b/>
                <w:i/>
                <w:sz w:val="16"/>
                <w:szCs w:val="16"/>
              </w:rPr>
            </w:pPr>
            <w:r w:rsidRPr="0073795D">
              <w:rPr>
                <w:rFonts w:cs="Arial"/>
                <w:b/>
                <w:i/>
                <w:sz w:val="16"/>
                <w:szCs w:val="16"/>
              </w:rPr>
              <w:t>112,2</w:t>
            </w:r>
          </w:p>
        </w:tc>
        <w:tc>
          <w:tcPr>
            <w:tcW w:w="960" w:type="dxa"/>
            <w:tcBorders>
              <w:top w:val="single" w:sz="8" w:space="0" w:color="auto"/>
              <w:left w:val="single" w:sz="4" w:space="0" w:color="auto"/>
              <w:bottom w:val="single" w:sz="8" w:space="0" w:color="auto"/>
              <w:right w:val="nil"/>
            </w:tcBorders>
            <w:shd w:val="clear" w:color="000000" w:fill="F2DCDB"/>
            <w:vAlign w:val="center"/>
          </w:tcPr>
          <w:p w:rsidR="001B176A" w:rsidRPr="0073795D" w:rsidRDefault="001B176A" w:rsidP="001B176A">
            <w:pPr>
              <w:jc w:val="right"/>
              <w:rPr>
                <w:rFonts w:cs="Arial"/>
                <w:b/>
                <w:i/>
                <w:sz w:val="16"/>
                <w:szCs w:val="16"/>
              </w:rPr>
            </w:pPr>
            <w:r w:rsidRPr="0073795D">
              <w:rPr>
                <w:rFonts w:cs="Arial"/>
                <w:b/>
                <w:i/>
                <w:sz w:val="16"/>
                <w:szCs w:val="16"/>
              </w:rPr>
              <w:t>105,7</w:t>
            </w:r>
          </w:p>
        </w:tc>
        <w:tc>
          <w:tcPr>
            <w:tcW w:w="961" w:type="dxa"/>
            <w:tcBorders>
              <w:top w:val="single" w:sz="8" w:space="0" w:color="auto"/>
              <w:left w:val="single" w:sz="4" w:space="0" w:color="auto"/>
              <w:bottom w:val="single" w:sz="8" w:space="0" w:color="auto"/>
              <w:right w:val="nil"/>
            </w:tcBorders>
            <w:shd w:val="clear" w:color="000000" w:fill="F2DCDB"/>
            <w:vAlign w:val="center"/>
          </w:tcPr>
          <w:p w:rsidR="001B176A" w:rsidRPr="0073795D" w:rsidRDefault="001B176A" w:rsidP="001B176A">
            <w:pPr>
              <w:jc w:val="right"/>
              <w:rPr>
                <w:rFonts w:cs="Arial"/>
                <w:b/>
                <w:i/>
                <w:sz w:val="16"/>
                <w:szCs w:val="16"/>
              </w:rPr>
            </w:pPr>
            <w:r w:rsidRPr="0073795D">
              <w:rPr>
                <w:rFonts w:cs="Arial"/>
                <w:b/>
                <w:i/>
                <w:sz w:val="16"/>
                <w:szCs w:val="16"/>
              </w:rPr>
              <w:t>108,7</w:t>
            </w:r>
          </w:p>
        </w:tc>
      </w:tr>
    </w:tbl>
    <w:p w:rsidR="006067DA" w:rsidRDefault="006067DA" w:rsidP="006067DA">
      <w:pPr>
        <w:spacing w:before="120"/>
        <w:jc w:val="right"/>
      </w:pPr>
      <w:r w:rsidRPr="00214E6F">
        <w:rPr>
          <w:b/>
          <w:bCs/>
          <w:i/>
          <w:sz w:val="16"/>
          <w:szCs w:val="16"/>
        </w:rPr>
        <w:t>Zdroj: ČSÚ 201</w:t>
      </w:r>
      <w:r>
        <w:rPr>
          <w:b/>
          <w:bCs/>
          <w:i/>
          <w:sz w:val="16"/>
          <w:szCs w:val="16"/>
        </w:rPr>
        <w:t>9</w:t>
      </w:r>
      <w:r w:rsidRPr="00214E6F">
        <w:rPr>
          <w:b/>
          <w:bCs/>
          <w:i/>
          <w:sz w:val="16"/>
          <w:szCs w:val="16"/>
        </w:rPr>
        <w:t xml:space="preserve">, </w:t>
      </w:r>
      <w:r>
        <w:rPr>
          <w:b/>
          <w:bCs/>
          <w:i/>
          <w:sz w:val="16"/>
          <w:szCs w:val="16"/>
        </w:rPr>
        <w:t>Zdravotnické účty ČR 2010 - 2017</w:t>
      </w:r>
    </w:p>
    <w:p w:rsidR="006067DA" w:rsidRDefault="006067DA" w:rsidP="006067DA">
      <w:pPr>
        <w:spacing w:before="120"/>
        <w:jc w:val="both"/>
      </w:pPr>
      <w:r w:rsidRPr="007E0D3A">
        <w:t>K největšímu poklesu naopak došlo u výdajů na zdravotní péči o muže ve věkové skupině 15 – 24 let (o</w:t>
      </w:r>
      <w:r w:rsidR="00FC0B39" w:rsidRPr="007E0D3A">
        <w:t> </w:t>
      </w:r>
      <w:r w:rsidRPr="007E0D3A">
        <w:t>14 %), což je důsledek snížení počtu mužů ve věku 15 – 24 let o jednu čtvrtinu v porovnání s rokem 2010. Výdaje na péči o ženy v kategorii 30 – 34 let poklesly o 26 %, což může být do jisté míry ovlivněno také poklesem počtu žen v dané věkové skupině.</w:t>
      </w:r>
    </w:p>
    <w:p w:rsidR="006067DA" w:rsidRPr="00214E6F" w:rsidRDefault="006067DA" w:rsidP="006067DA">
      <w:pPr>
        <w:spacing w:before="120" w:line="240" w:lineRule="auto"/>
        <w:rPr>
          <w:b/>
          <w:bCs/>
          <w:sz w:val="18"/>
          <w:szCs w:val="18"/>
        </w:rPr>
      </w:pPr>
      <w:r w:rsidRPr="00214E6F">
        <w:rPr>
          <w:b/>
          <w:bCs/>
          <w:sz w:val="18"/>
          <w:szCs w:val="18"/>
        </w:rPr>
        <w:t>Graf č. 3.1.</w:t>
      </w:r>
      <w:r>
        <w:rPr>
          <w:b/>
          <w:bCs/>
          <w:sz w:val="18"/>
          <w:szCs w:val="18"/>
        </w:rPr>
        <w:t>8</w:t>
      </w:r>
      <w:r w:rsidRPr="00214E6F">
        <w:rPr>
          <w:b/>
          <w:bCs/>
          <w:sz w:val="18"/>
          <w:szCs w:val="18"/>
        </w:rPr>
        <w:t xml:space="preserve"> Výdaje zdravotních pojišťoven na zdravotní péči v Č</w:t>
      </w:r>
      <w:r>
        <w:rPr>
          <w:b/>
          <w:bCs/>
          <w:sz w:val="18"/>
          <w:szCs w:val="18"/>
        </w:rPr>
        <w:t>esku</w:t>
      </w:r>
      <w:r w:rsidRPr="00214E6F">
        <w:rPr>
          <w:b/>
          <w:bCs/>
          <w:sz w:val="18"/>
          <w:szCs w:val="18"/>
        </w:rPr>
        <w:t xml:space="preserve"> podle věku a pohlaví v roce 201</w:t>
      </w:r>
      <w:r>
        <w:rPr>
          <w:b/>
          <w:bCs/>
          <w:sz w:val="18"/>
          <w:szCs w:val="18"/>
        </w:rPr>
        <w:t>7</w:t>
      </w:r>
      <w:r w:rsidRPr="00214E6F">
        <w:rPr>
          <w:b/>
          <w:bCs/>
          <w:sz w:val="18"/>
          <w:szCs w:val="18"/>
        </w:rPr>
        <w:t xml:space="preserve"> </w:t>
      </w:r>
      <w:r>
        <w:rPr>
          <w:b/>
          <w:bCs/>
          <w:sz w:val="18"/>
          <w:szCs w:val="18"/>
        </w:rPr>
        <w:t>(</w:t>
      </w:r>
      <w:r w:rsidRPr="00214E6F">
        <w:rPr>
          <w:b/>
          <w:bCs/>
          <w:sz w:val="18"/>
          <w:szCs w:val="18"/>
        </w:rPr>
        <w:t>mil. Kč)</w:t>
      </w:r>
    </w:p>
    <w:p w:rsidR="006067DA" w:rsidRDefault="00373A31" w:rsidP="001C1996">
      <w:pPr>
        <w:tabs>
          <w:tab w:val="left" w:pos="480"/>
          <w:tab w:val="right" w:pos="9638"/>
        </w:tabs>
        <w:rPr>
          <w:b/>
          <w:i/>
          <w:sz w:val="16"/>
          <w:szCs w:val="16"/>
        </w:rPr>
      </w:pPr>
      <w:r>
        <w:rPr>
          <w:b/>
          <w:i/>
          <w:noProof/>
          <w:sz w:val="16"/>
          <w:szCs w:val="16"/>
        </w:rPr>
        <w:drawing>
          <wp:inline distT="0" distB="0" distL="0" distR="0" wp14:anchorId="750C84AD">
            <wp:extent cx="6132830" cy="3615055"/>
            <wp:effectExtent l="0" t="0" r="1270" b="444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2830" cy="3615055"/>
                    </a:xfrm>
                    <a:prstGeom prst="rect">
                      <a:avLst/>
                    </a:prstGeom>
                    <a:noFill/>
                  </pic:spPr>
                </pic:pic>
              </a:graphicData>
            </a:graphic>
          </wp:inline>
        </w:drawing>
      </w:r>
    </w:p>
    <w:p w:rsidR="006067DA" w:rsidRPr="00214E6F" w:rsidRDefault="006067DA" w:rsidP="001C1996">
      <w:pPr>
        <w:tabs>
          <w:tab w:val="left" w:pos="480"/>
          <w:tab w:val="right" w:pos="9638"/>
        </w:tabs>
        <w:spacing w:before="120" w:after="120"/>
        <w:jc w:val="right"/>
        <w:rPr>
          <w:b/>
          <w:bCs/>
          <w:sz w:val="18"/>
          <w:szCs w:val="18"/>
        </w:rPr>
      </w:pPr>
      <w:r w:rsidRPr="00214E6F">
        <w:rPr>
          <w:b/>
          <w:i/>
          <w:sz w:val="16"/>
          <w:szCs w:val="16"/>
        </w:rPr>
        <w:t>Zdroj: ČSÚ 201</w:t>
      </w:r>
      <w:r>
        <w:rPr>
          <w:b/>
          <w:i/>
          <w:sz w:val="16"/>
          <w:szCs w:val="16"/>
        </w:rPr>
        <w:t>9</w:t>
      </w:r>
      <w:r w:rsidRPr="00214E6F">
        <w:rPr>
          <w:b/>
          <w:i/>
          <w:sz w:val="16"/>
          <w:szCs w:val="16"/>
        </w:rPr>
        <w:t>, Zdravotnické účty ČR 2010 - 201</w:t>
      </w:r>
      <w:r>
        <w:rPr>
          <w:b/>
          <w:i/>
          <w:sz w:val="16"/>
          <w:szCs w:val="16"/>
        </w:rPr>
        <w:t>7</w:t>
      </w:r>
      <w:r w:rsidRPr="00214E6F">
        <w:rPr>
          <w:i/>
          <w:sz w:val="16"/>
          <w:szCs w:val="16"/>
        </w:rPr>
        <w:t xml:space="preserve"> </w:t>
      </w:r>
    </w:p>
    <w:p w:rsidR="006067DA" w:rsidRPr="00214E6F" w:rsidRDefault="006067DA" w:rsidP="006067DA">
      <w:pPr>
        <w:spacing w:before="240"/>
        <w:rPr>
          <w:rFonts w:eastAsia="MS Gothic"/>
          <w:b/>
          <w:i/>
        </w:rPr>
      </w:pPr>
      <w:r w:rsidRPr="00214E6F">
        <w:rPr>
          <w:rFonts w:eastAsia="MS Gothic"/>
          <w:b/>
          <w:i/>
        </w:rPr>
        <w:lastRenderedPageBreak/>
        <w:t xml:space="preserve">Výdaje na léčení žen jsou v průměru o </w:t>
      </w:r>
      <w:r>
        <w:rPr>
          <w:rFonts w:eastAsia="MS Gothic"/>
          <w:b/>
          <w:i/>
        </w:rPr>
        <w:t>4,3</w:t>
      </w:r>
      <w:r w:rsidRPr="00214E6F">
        <w:rPr>
          <w:rFonts w:eastAsia="MS Gothic"/>
          <w:b/>
          <w:i/>
        </w:rPr>
        <w:t> % vyšší než na léčení mužů</w:t>
      </w:r>
    </w:p>
    <w:p w:rsidR="006067DA" w:rsidRPr="0073795D" w:rsidRDefault="0073795D" w:rsidP="0073795D">
      <w:pPr>
        <w:keepNext/>
        <w:spacing w:before="120"/>
        <w:jc w:val="both"/>
      </w:pPr>
      <w:r w:rsidRPr="00214E6F">
        <w:t xml:space="preserve">Vývoj průměrných ročních výdajů zdravotních pojišťoven na zdravotní péči </w:t>
      </w:r>
      <w:r w:rsidRPr="00D615CD">
        <w:rPr>
          <w:b/>
        </w:rPr>
        <w:t>na jednoho pojištěnce podle věku a pohlaví</w:t>
      </w:r>
      <w:r w:rsidRPr="00C51E92">
        <w:rPr>
          <w:bCs/>
          <w:szCs w:val="17"/>
          <w:vertAlign w:val="superscript"/>
        </w:rPr>
        <w:footnoteReference w:id="2"/>
      </w:r>
      <w:r w:rsidRPr="00214E6F">
        <w:t xml:space="preserve"> mezi roky 2010 a 201</w:t>
      </w:r>
      <w:r>
        <w:t>7</w:t>
      </w:r>
      <w:r w:rsidRPr="00214E6F">
        <w:t xml:space="preserve"> přehledně zachycuje následující tabulka č. 3.1.2. </w:t>
      </w:r>
      <w:r w:rsidR="006067DA" w:rsidRPr="00C51E92">
        <w:rPr>
          <w:bCs/>
          <w:szCs w:val="17"/>
        </w:rPr>
        <w:t>Obecně lze říci, že výdaje na zdravotní péči rostou spolu s věkem a v jednotlivých věkových skupinách se jejich výše liší i v závislosti na pohlaví.</w:t>
      </w:r>
    </w:p>
    <w:p w:rsidR="006067DA" w:rsidRPr="00214E6F" w:rsidRDefault="006067DA" w:rsidP="0073795D">
      <w:pPr>
        <w:keepNext/>
        <w:spacing w:before="120"/>
        <w:jc w:val="both"/>
      </w:pPr>
      <w:r w:rsidRPr="00214E6F">
        <w:t xml:space="preserve">Důvodem je čerpání velmi odlišné zdravotní péče u každé věkové skupiny. Poměrně vysoké výdaje na jednoho pojištěnce jsou vykazovány v nejmladší věkové skupině dětí do 4 let, což je dáno nákladnější péčí o novorozence (každý novorozenec je po porodu hospitalizován), zejména u předčasně narozených dětí. U mladších ročníků obou pohlaví jsou často průměrné výdaje na jednoho pojištěnce v dané věkové skupině ovlivněny </w:t>
      </w:r>
      <w:r>
        <w:t xml:space="preserve">očkovacím kalendářem, </w:t>
      </w:r>
      <w:r w:rsidRPr="00214E6F">
        <w:t xml:space="preserve">nabídkou </w:t>
      </w:r>
      <w:r>
        <w:t>na nepovinná</w:t>
      </w:r>
      <w:r w:rsidRPr="00214E6F">
        <w:t xml:space="preserve"> očkování nebo preventivní</w:t>
      </w:r>
      <w:r>
        <w:t>mi</w:t>
      </w:r>
      <w:r w:rsidRPr="00214E6F">
        <w:t xml:space="preserve"> programy. V následujících věkových skupinách</w:t>
      </w:r>
      <w:r>
        <w:t xml:space="preserve"> </w:t>
      </w:r>
      <w:r w:rsidRPr="00214E6F">
        <w:t>se</w:t>
      </w:r>
      <w:r>
        <w:t xml:space="preserve"> u mužů do 39 let </w:t>
      </w:r>
      <w:r w:rsidRPr="00214E6F">
        <w:t>hodnota průměrných ročních výdajů na jednoho pojištěnce pohybuje kolem 10</w:t>
      </w:r>
      <w:r>
        <w:t>,7</w:t>
      </w:r>
      <w:r w:rsidRPr="00214E6F">
        <w:t xml:space="preserve"> tisíc Kč</w:t>
      </w:r>
      <w:r>
        <w:t xml:space="preserve">. </w:t>
      </w:r>
      <w:r w:rsidRPr="00214E6F">
        <w:t xml:space="preserve">Od </w:t>
      </w:r>
      <w:r>
        <w:t>40</w:t>
      </w:r>
      <w:r w:rsidRPr="00214E6F">
        <w:t>. roku věku se průměrné výdaje na zdravotní péči zvyšují s narůstajícím věkem.</w:t>
      </w:r>
      <w:r>
        <w:t xml:space="preserve"> U dívek a žen od 5 do 24 let</w:t>
      </w:r>
      <w:r w:rsidRPr="00214E6F">
        <w:t xml:space="preserve"> </w:t>
      </w:r>
      <w:r>
        <w:t xml:space="preserve">činily průměrné roční výdaje 11,4 tisíc Kč. Výdaje na zdravotní péči na jednu pojištěnou ženu v poměrně široké věkové skupině 25 – 44 let </w:t>
      </w:r>
      <w:r w:rsidR="0073795D">
        <w:t xml:space="preserve">dosáhly v roce 2017 </w:t>
      </w:r>
      <w:r>
        <w:t>v průměru 16,7 tisíc Kč</w:t>
      </w:r>
      <w:r w:rsidR="0073795D">
        <w:t xml:space="preserve"> </w:t>
      </w:r>
      <w:r w:rsidR="0073795D" w:rsidRPr="007E0D3A">
        <w:t>a jsou v</w:t>
      </w:r>
      <w:r w:rsidR="007E0D3A" w:rsidRPr="007E0D3A">
        <w:t xml:space="preserve">ýrazně vyšší než v případě mužů, jelikož tato věková skupina žen čerpá </w:t>
      </w:r>
      <w:r w:rsidR="007E0D3A">
        <w:t xml:space="preserve">často </w:t>
      </w:r>
      <w:r w:rsidR="007E0D3A" w:rsidRPr="007E0D3A">
        <w:t>zdravotní péči také v souvislosti s těhotenstvím a mateřstvím</w:t>
      </w:r>
      <w:r w:rsidRPr="007E0D3A">
        <w:t>.</w:t>
      </w:r>
      <w:r>
        <w:t xml:space="preserve"> Od 45 let výše</w:t>
      </w:r>
      <w:r w:rsidR="007E0D3A">
        <w:t xml:space="preserve"> se každoročně výdaje na péči o </w:t>
      </w:r>
      <w:r>
        <w:t>zdraví zvyšují</w:t>
      </w:r>
      <w:r w:rsidR="0073795D">
        <w:t xml:space="preserve"> jak u mužů, tak i u žen</w:t>
      </w:r>
      <w:r>
        <w:t>.</w:t>
      </w:r>
      <w:r w:rsidRPr="00214E6F">
        <w:t xml:space="preserve"> </w:t>
      </w:r>
    </w:p>
    <w:p w:rsidR="006067DA" w:rsidRDefault="006067DA" w:rsidP="006067DA">
      <w:pPr>
        <w:autoSpaceDE w:val="0"/>
        <w:autoSpaceDN w:val="0"/>
        <w:adjustRightInd w:val="0"/>
        <w:spacing w:before="120"/>
        <w:jc w:val="both"/>
      </w:pPr>
      <w:r w:rsidRPr="00214E6F">
        <w:t>Celkově byly v roce 201</w:t>
      </w:r>
      <w:r>
        <w:t>7</w:t>
      </w:r>
      <w:r w:rsidRPr="00214E6F">
        <w:t xml:space="preserve"> průměrné výdaje zdravotních pojišťoven na jednu pojištěnou ženu (2</w:t>
      </w:r>
      <w:r>
        <w:t>4</w:t>
      </w:r>
      <w:r w:rsidRPr="00214E6F">
        <w:t> </w:t>
      </w:r>
      <w:r>
        <w:t>838</w:t>
      </w:r>
      <w:r w:rsidRPr="00214E6F">
        <w:t xml:space="preserve"> Kč) o </w:t>
      </w:r>
      <w:r>
        <w:t>4,3</w:t>
      </w:r>
      <w:r w:rsidRPr="00214E6F">
        <w:t> % vyšší než průměrné výdaje na jednoho pojištěného muže (2</w:t>
      </w:r>
      <w:r>
        <w:t>3</w:t>
      </w:r>
      <w:r w:rsidRPr="00214E6F">
        <w:t> </w:t>
      </w:r>
      <w:r>
        <w:t>815</w:t>
      </w:r>
      <w:r w:rsidRPr="00214E6F">
        <w:t xml:space="preserve"> Kč). Průměrné výdaje na jednu pojištěnou ženu </w:t>
      </w:r>
      <w:r>
        <w:t>vzrostly</w:t>
      </w:r>
      <w:r w:rsidRPr="00214E6F">
        <w:t xml:space="preserve"> mezi roky 2010 a 201</w:t>
      </w:r>
      <w:r>
        <w:t>7</w:t>
      </w:r>
      <w:r w:rsidRPr="00214E6F">
        <w:t xml:space="preserve"> </w:t>
      </w:r>
      <w:r>
        <w:t>o 5,9 %. V</w:t>
      </w:r>
      <w:r w:rsidRPr="00214E6F">
        <w:t xml:space="preserve">ýdaje na jednoho pojištěnce - muže </w:t>
      </w:r>
      <w:r>
        <w:t>se zvýšily</w:t>
      </w:r>
      <w:r w:rsidRPr="00214E6F">
        <w:t xml:space="preserve"> </w:t>
      </w:r>
      <w:r>
        <w:t xml:space="preserve">ve stejném období </w:t>
      </w:r>
      <w:r w:rsidRPr="00214E6F">
        <w:t xml:space="preserve">o </w:t>
      </w:r>
      <w:r>
        <w:t>12</w:t>
      </w:r>
      <w:r w:rsidRPr="00214E6F">
        <w:t xml:space="preserve"> %. K největšímu nárůstu průměrných výdajů došlo </w:t>
      </w:r>
      <w:r>
        <w:t xml:space="preserve">u žen ve věku 35 – 39 let </w:t>
      </w:r>
      <w:r w:rsidRPr="00214E6F">
        <w:t xml:space="preserve">o </w:t>
      </w:r>
      <w:r>
        <w:t xml:space="preserve">14,6 % </w:t>
      </w:r>
      <w:r w:rsidRPr="00214E6F">
        <w:t xml:space="preserve">a u mužů ve věkové skupině </w:t>
      </w:r>
      <w:r>
        <w:t>4</w:t>
      </w:r>
      <w:r w:rsidRPr="00214E6F">
        <w:t xml:space="preserve">5 – </w:t>
      </w:r>
      <w:r>
        <w:t>4</w:t>
      </w:r>
      <w:r w:rsidRPr="00214E6F">
        <w:t>9 let o 1</w:t>
      </w:r>
      <w:r>
        <w:t>2</w:t>
      </w:r>
      <w:r w:rsidRPr="00214E6F">
        <w:t>,</w:t>
      </w:r>
      <w:r>
        <w:t>5</w:t>
      </w:r>
      <w:r w:rsidRPr="00214E6F">
        <w:t xml:space="preserve"> %. Naopak nejvíce se za toto </w:t>
      </w:r>
      <w:r>
        <w:t>osmi</w:t>
      </w:r>
      <w:r w:rsidRPr="00214E6F">
        <w:t xml:space="preserve">leté období snížily průměrné výdaje u </w:t>
      </w:r>
      <w:r>
        <w:t>žen ve věkové skup</w:t>
      </w:r>
      <w:r w:rsidRPr="00214E6F">
        <w:t xml:space="preserve">ině </w:t>
      </w:r>
      <w:r>
        <w:t>50 – 54 let</w:t>
      </w:r>
      <w:r w:rsidRPr="00214E6F">
        <w:t xml:space="preserve"> o 1</w:t>
      </w:r>
      <w:r>
        <w:t>0,1</w:t>
      </w:r>
      <w:r w:rsidRPr="00214E6F">
        <w:t xml:space="preserve"> % a u </w:t>
      </w:r>
      <w:r>
        <w:t>mužů ve věku 40 – 44 let o 11,5 %.</w:t>
      </w:r>
    </w:p>
    <w:p w:rsidR="006067DA" w:rsidRDefault="006067DA" w:rsidP="006067DA">
      <w:pPr>
        <w:spacing w:before="240" w:after="120"/>
        <w:rPr>
          <w:b/>
          <w:bCs/>
          <w:sz w:val="18"/>
          <w:szCs w:val="18"/>
        </w:rPr>
      </w:pPr>
      <w:r>
        <w:rPr>
          <w:b/>
          <w:bCs/>
          <w:sz w:val="18"/>
          <w:szCs w:val="18"/>
        </w:rPr>
        <w:t>T</w:t>
      </w:r>
      <w:r w:rsidRPr="00214E6F">
        <w:rPr>
          <w:b/>
          <w:bCs/>
          <w:sz w:val="18"/>
          <w:szCs w:val="18"/>
        </w:rPr>
        <w:t xml:space="preserve">abulka č. 3.1.2 </w:t>
      </w:r>
      <w:r>
        <w:rPr>
          <w:b/>
          <w:bCs/>
          <w:sz w:val="18"/>
          <w:szCs w:val="18"/>
        </w:rPr>
        <w:t>V</w:t>
      </w:r>
      <w:r w:rsidRPr="00214E6F">
        <w:rPr>
          <w:b/>
          <w:bCs/>
          <w:sz w:val="18"/>
          <w:szCs w:val="18"/>
        </w:rPr>
        <w:t>ýdaj</w:t>
      </w:r>
      <w:r>
        <w:rPr>
          <w:b/>
          <w:bCs/>
          <w:sz w:val="18"/>
          <w:szCs w:val="18"/>
        </w:rPr>
        <w:t>e</w:t>
      </w:r>
      <w:r w:rsidRPr="00214E6F">
        <w:rPr>
          <w:b/>
          <w:bCs/>
          <w:sz w:val="18"/>
          <w:szCs w:val="18"/>
        </w:rPr>
        <w:t xml:space="preserve"> zdravotních pojišťoven </w:t>
      </w:r>
      <w:r>
        <w:rPr>
          <w:b/>
          <w:bCs/>
          <w:sz w:val="18"/>
          <w:szCs w:val="18"/>
        </w:rPr>
        <w:t>v ČR</w:t>
      </w:r>
      <w:r w:rsidRPr="00214E6F">
        <w:rPr>
          <w:b/>
          <w:bCs/>
          <w:sz w:val="18"/>
          <w:szCs w:val="18"/>
        </w:rPr>
        <w:t xml:space="preserve"> na </w:t>
      </w:r>
      <w:r>
        <w:rPr>
          <w:b/>
          <w:bCs/>
          <w:sz w:val="18"/>
          <w:szCs w:val="18"/>
        </w:rPr>
        <w:t>1</w:t>
      </w:r>
      <w:r w:rsidRPr="00214E6F">
        <w:rPr>
          <w:b/>
          <w:bCs/>
          <w:sz w:val="18"/>
          <w:szCs w:val="18"/>
        </w:rPr>
        <w:t xml:space="preserve"> pojištěnce podle věku a pohlaví</w:t>
      </w:r>
      <w:r>
        <w:rPr>
          <w:b/>
          <w:bCs/>
          <w:sz w:val="18"/>
          <w:szCs w:val="18"/>
        </w:rPr>
        <w:t xml:space="preserve">, </w:t>
      </w:r>
      <w:r w:rsidRPr="00214E6F">
        <w:rPr>
          <w:b/>
          <w:bCs/>
          <w:sz w:val="18"/>
          <w:szCs w:val="18"/>
        </w:rPr>
        <w:t>2010 a 201</w:t>
      </w:r>
      <w:r>
        <w:rPr>
          <w:b/>
          <w:bCs/>
          <w:sz w:val="18"/>
          <w:szCs w:val="18"/>
        </w:rPr>
        <w:t>7</w:t>
      </w:r>
      <w:r w:rsidRPr="00214E6F">
        <w:rPr>
          <w:b/>
          <w:bCs/>
          <w:sz w:val="18"/>
          <w:szCs w:val="18"/>
        </w:rPr>
        <w:t xml:space="preserve"> (v Kč)</w:t>
      </w:r>
    </w:p>
    <w:tbl>
      <w:tblPr>
        <w:tblW w:w="9583" w:type="dxa"/>
        <w:tblInd w:w="55" w:type="dxa"/>
        <w:tblLayout w:type="fixed"/>
        <w:tblCellMar>
          <w:left w:w="70" w:type="dxa"/>
          <w:right w:w="70" w:type="dxa"/>
        </w:tblCellMar>
        <w:tblLook w:val="04A0" w:firstRow="1" w:lastRow="0" w:firstColumn="1" w:lastColumn="0" w:noHBand="0" w:noVBand="1"/>
      </w:tblPr>
      <w:tblGrid>
        <w:gridCol w:w="1008"/>
        <w:gridCol w:w="952"/>
        <w:gridCol w:w="953"/>
        <w:gridCol w:w="953"/>
        <w:gridCol w:w="953"/>
        <w:gridCol w:w="952"/>
        <w:gridCol w:w="953"/>
        <w:gridCol w:w="953"/>
        <w:gridCol w:w="953"/>
        <w:gridCol w:w="953"/>
      </w:tblGrid>
      <w:tr w:rsidR="001C1996" w:rsidRPr="00CB2768" w:rsidTr="00F93BEC">
        <w:trPr>
          <w:trHeight w:hRule="exact" w:val="284"/>
        </w:trPr>
        <w:tc>
          <w:tcPr>
            <w:tcW w:w="1008"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1C1996" w:rsidRPr="00CB2768" w:rsidRDefault="001C1996" w:rsidP="00777353">
            <w:pPr>
              <w:spacing w:line="240" w:lineRule="auto"/>
              <w:jc w:val="center"/>
              <w:rPr>
                <w:rFonts w:cs="Arial"/>
                <w:sz w:val="16"/>
                <w:szCs w:val="16"/>
              </w:rPr>
            </w:pPr>
            <w:r w:rsidRPr="00CB2768">
              <w:rPr>
                <w:rFonts w:cs="Arial"/>
                <w:sz w:val="16"/>
                <w:szCs w:val="16"/>
              </w:rPr>
              <w:t>Věková skupina</w:t>
            </w:r>
          </w:p>
        </w:tc>
        <w:tc>
          <w:tcPr>
            <w:tcW w:w="2858"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1C1996" w:rsidRPr="00CB2768" w:rsidRDefault="001C1996" w:rsidP="00777353">
            <w:pPr>
              <w:spacing w:line="240" w:lineRule="auto"/>
              <w:jc w:val="center"/>
              <w:rPr>
                <w:rFonts w:cs="Arial"/>
                <w:b/>
                <w:bCs/>
                <w:sz w:val="16"/>
                <w:szCs w:val="16"/>
              </w:rPr>
            </w:pPr>
            <w:r w:rsidRPr="00CB2768">
              <w:rPr>
                <w:rFonts w:cs="Arial"/>
                <w:b/>
                <w:bCs/>
                <w:sz w:val="16"/>
                <w:szCs w:val="16"/>
              </w:rPr>
              <w:t>2010</w:t>
            </w:r>
          </w:p>
        </w:tc>
        <w:tc>
          <w:tcPr>
            <w:tcW w:w="2858" w:type="dxa"/>
            <w:gridSpan w:val="3"/>
            <w:tcBorders>
              <w:top w:val="single" w:sz="8" w:space="0" w:color="auto"/>
              <w:left w:val="nil"/>
              <w:bottom w:val="single" w:sz="8" w:space="0" w:color="auto"/>
              <w:right w:val="single" w:sz="4" w:space="0" w:color="auto"/>
            </w:tcBorders>
            <w:shd w:val="clear" w:color="000000" w:fill="FFFFFF"/>
            <w:noWrap/>
            <w:vAlign w:val="center"/>
            <w:hideMark/>
          </w:tcPr>
          <w:p w:rsidR="001C1996" w:rsidRPr="00CB2768" w:rsidRDefault="001C1996" w:rsidP="00777353">
            <w:pPr>
              <w:spacing w:line="240" w:lineRule="auto"/>
              <w:jc w:val="center"/>
              <w:rPr>
                <w:rFonts w:cs="Arial"/>
                <w:b/>
                <w:bCs/>
                <w:sz w:val="16"/>
                <w:szCs w:val="16"/>
              </w:rPr>
            </w:pPr>
            <w:r>
              <w:rPr>
                <w:rFonts w:cs="Arial"/>
                <w:b/>
                <w:bCs/>
                <w:sz w:val="16"/>
                <w:szCs w:val="16"/>
              </w:rPr>
              <w:t>2017</w:t>
            </w:r>
          </w:p>
        </w:tc>
        <w:tc>
          <w:tcPr>
            <w:tcW w:w="2859" w:type="dxa"/>
            <w:gridSpan w:val="3"/>
            <w:tcBorders>
              <w:top w:val="single" w:sz="8" w:space="0" w:color="auto"/>
              <w:left w:val="single" w:sz="4" w:space="0" w:color="auto"/>
              <w:bottom w:val="single" w:sz="8" w:space="0" w:color="auto"/>
            </w:tcBorders>
            <w:shd w:val="clear" w:color="000000" w:fill="FFFFFF"/>
            <w:vAlign w:val="center"/>
          </w:tcPr>
          <w:p w:rsidR="001C1996" w:rsidRPr="0073795D" w:rsidRDefault="00223026" w:rsidP="000F2D17">
            <w:pPr>
              <w:spacing w:line="240" w:lineRule="auto"/>
              <w:jc w:val="center"/>
              <w:rPr>
                <w:rFonts w:cs="Arial"/>
                <w:b/>
                <w:bCs/>
                <w:i/>
                <w:sz w:val="16"/>
                <w:szCs w:val="16"/>
              </w:rPr>
            </w:pPr>
            <w:r w:rsidRPr="0073795D">
              <w:rPr>
                <w:rFonts w:cs="Arial"/>
                <w:b/>
                <w:bCs/>
                <w:i/>
                <w:sz w:val="16"/>
                <w:szCs w:val="16"/>
              </w:rPr>
              <w:t xml:space="preserve">Index </w:t>
            </w:r>
            <w:r w:rsidR="001C1996" w:rsidRPr="0073795D">
              <w:rPr>
                <w:rFonts w:cs="Arial"/>
                <w:b/>
                <w:bCs/>
                <w:i/>
                <w:sz w:val="16"/>
                <w:szCs w:val="16"/>
              </w:rPr>
              <w:t>2017/2010</w:t>
            </w:r>
          </w:p>
        </w:tc>
      </w:tr>
      <w:tr w:rsidR="001C1996" w:rsidRPr="00CB2768" w:rsidTr="00F93BEC">
        <w:trPr>
          <w:trHeight w:hRule="exact" w:val="284"/>
        </w:trPr>
        <w:tc>
          <w:tcPr>
            <w:tcW w:w="1008" w:type="dxa"/>
            <w:vMerge/>
            <w:tcBorders>
              <w:top w:val="single" w:sz="8" w:space="0" w:color="auto"/>
              <w:left w:val="nil"/>
              <w:bottom w:val="single" w:sz="8" w:space="0" w:color="000000"/>
              <w:right w:val="single" w:sz="8" w:space="0" w:color="auto"/>
            </w:tcBorders>
            <w:vAlign w:val="center"/>
            <w:hideMark/>
          </w:tcPr>
          <w:p w:rsidR="001C1996" w:rsidRPr="00CB2768" w:rsidRDefault="001C1996" w:rsidP="001C1996">
            <w:pPr>
              <w:spacing w:line="240" w:lineRule="auto"/>
              <w:rPr>
                <w:rFonts w:cs="Arial"/>
                <w:sz w:val="16"/>
                <w:szCs w:val="16"/>
              </w:rPr>
            </w:pPr>
          </w:p>
        </w:tc>
        <w:tc>
          <w:tcPr>
            <w:tcW w:w="952" w:type="dxa"/>
            <w:tcBorders>
              <w:top w:val="nil"/>
              <w:left w:val="nil"/>
              <w:bottom w:val="single" w:sz="8" w:space="0" w:color="auto"/>
              <w:right w:val="single" w:sz="8" w:space="0" w:color="auto"/>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Muži</w:t>
            </w:r>
          </w:p>
        </w:tc>
        <w:tc>
          <w:tcPr>
            <w:tcW w:w="953" w:type="dxa"/>
            <w:tcBorders>
              <w:top w:val="nil"/>
              <w:left w:val="nil"/>
              <w:bottom w:val="single" w:sz="8" w:space="0" w:color="auto"/>
              <w:right w:val="single" w:sz="8" w:space="0" w:color="auto"/>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Ženy</w:t>
            </w:r>
          </w:p>
        </w:tc>
        <w:tc>
          <w:tcPr>
            <w:tcW w:w="953" w:type="dxa"/>
            <w:tcBorders>
              <w:top w:val="nil"/>
              <w:left w:val="nil"/>
              <w:bottom w:val="single" w:sz="8" w:space="0" w:color="auto"/>
              <w:right w:val="single" w:sz="4" w:space="0" w:color="auto"/>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Celkem</w:t>
            </w:r>
          </w:p>
        </w:tc>
        <w:tc>
          <w:tcPr>
            <w:tcW w:w="953" w:type="dxa"/>
            <w:tcBorders>
              <w:top w:val="nil"/>
              <w:left w:val="single" w:sz="4" w:space="0" w:color="auto"/>
              <w:bottom w:val="single" w:sz="8" w:space="0" w:color="auto"/>
              <w:right w:val="single" w:sz="8" w:space="0" w:color="auto"/>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Muži</w:t>
            </w:r>
          </w:p>
        </w:tc>
        <w:tc>
          <w:tcPr>
            <w:tcW w:w="952" w:type="dxa"/>
            <w:tcBorders>
              <w:top w:val="nil"/>
              <w:left w:val="nil"/>
              <w:bottom w:val="single" w:sz="8" w:space="0" w:color="auto"/>
              <w:right w:val="nil"/>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 xml:space="preserve">Ženy </w:t>
            </w:r>
          </w:p>
        </w:tc>
        <w:tc>
          <w:tcPr>
            <w:tcW w:w="953" w:type="dxa"/>
            <w:tcBorders>
              <w:top w:val="nil"/>
              <w:left w:val="single" w:sz="8" w:space="0" w:color="auto"/>
              <w:bottom w:val="single" w:sz="8" w:space="0" w:color="auto"/>
              <w:right w:val="nil"/>
            </w:tcBorders>
            <w:shd w:val="clear" w:color="000000" w:fill="F2DCDB"/>
            <w:noWrap/>
            <w:vAlign w:val="center"/>
            <w:hideMark/>
          </w:tcPr>
          <w:p w:rsidR="001C1996" w:rsidRPr="00CB2768" w:rsidRDefault="001C1996" w:rsidP="001C1996">
            <w:pPr>
              <w:spacing w:line="240" w:lineRule="auto"/>
              <w:jc w:val="center"/>
              <w:rPr>
                <w:rFonts w:cs="Arial"/>
                <w:b/>
                <w:bCs/>
                <w:sz w:val="16"/>
                <w:szCs w:val="16"/>
              </w:rPr>
            </w:pPr>
            <w:r w:rsidRPr="00CB2768">
              <w:rPr>
                <w:rFonts w:cs="Arial"/>
                <w:b/>
                <w:bCs/>
                <w:sz w:val="16"/>
                <w:szCs w:val="16"/>
              </w:rPr>
              <w:t>Celkem</w:t>
            </w:r>
          </w:p>
        </w:tc>
        <w:tc>
          <w:tcPr>
            <w:tcW w:w="953" w:type="dxa"/>
            <w:tcBorders>
              <w:top w:val="nil"/>
              <w:left w:val="single" w:sz="8" w:space="0" w:color="auto"/>
              <w:bottom w:val="single" w:sz="8" w:space="0" w:color="auto"/>
              <w:right w:val="nil"/>
            </w:tcBorders>
            <w:shd w:val="clear" w:color="000000" w:fill="F2DCDB"/>
            <w:vAlign w:val="center"/>
          </w:tcPr>
          <w:p w:rsidR="001C1996" w:rsidRPr="0073795D" w:rsidRDefault="001C1996" w:rsidP="001C1996">
            <w:pPr>
              <w:spacing w:line="240" w:lineRule="auto"/>
              <w:jc w:val="center"/>
              <w:rPr>
                <w:rFonts w:cs="Arial"/>
                <w:b/>
                <w:bCs/>
                <w:i/>
                <w:sz w:val="16"/>
                <w:szCs w:val="16"/>
              </w:rPr>
            </w:pPr>
            <w:r w:rsidRPr="0073795D">
              <w:rPr>
                <w:rFonts w:cs="Arial"/>
                <w:b/>
                <w:bCs/>
                <w:i/>
                <w:sz w:val="16"/>
                <w:szCs w:val="16"/>
              </w:rPr>
              <w:t>Muži</w:t>
            </w:r>
          </w:p>
        </w:tc>
        <w:tc>
          <w:tcPr>
            <w:tcW w:w="953" w:type="dxa"/>
            <w:tcBorders>
              <w:top w:val="nil"/>
              <w:left w:val="single" w:sz="8" w:space="0" w:color="auto"/>
              <w:bottom w:val="single" w:sz="8" w:space="0" w:color="auto"/>
              <w:right w:val="nil"/>
            </w:tcBorders>
            <w:shd w:val="clear" w:color="000000" w:fill="F2DCDB"/>
            <w:vAlign w:val="center"/>
          </w:tcPr>
          <w:p w:rsidR="001C1996" w:rsidRPr="0073795D" w:rsidRDefault="001C1996" w:rsidP="001C1996">
            <w:pPr>
              <w:spacing w:line="240" w:lineRule="auto"/>
              <w:jc w:val="center"/>
              <w:rPr>
                <w:rFonts w:cs="Arial"/>
                <w:b/>
                <w:bCs/>
                <w:i/>
                <w:sz w:val="16"/>
                <w:szCs w:val="16"/>
              </w:rPr>
            </w:pPr>
            <w:r w:rsidRPr="0073795D">
              <w:rPr>
                <w:rFonts w:cs="Arial"/>
                <w:b/>
                <w:bCs/>
                <w:i/>
                <w:sz w:val="16"/>
                <w:szCs w:val="16"/>
              </w:rPr>
              <w:t>Ženy</w:t>
            </w:r>
          </w:p>
        </w:tc>
        <w:tc>
          <w:tcPr>
            <w:tcW w:w="953" w:type="dxa"/>
            <w:tcBorders>
              <w:top w:val="nil"/>
              <w:left w:val="single" w:sz="8" w:space="0" w:color="auto"/>
              <w:bottom w:val="single" w:sz="8" w:space="0" w:color="auto"/>
              <w:right w:val="nil"/>
            </w:tcBorders>
            <w:shd w:val="clear" w:color="000000" w:fill="F2DCDB"/>
            <w:vAlign w:val="center"/>
          </w:tcPr>
          <w:p w:rsidR="001C1996" w:rsidRPr="0073795D" w:rsidRDefault="001C1996" w:rsidP="001C1996">
            <w:pPr>
              <w:spacing w:line="240" w:lineRule="auto"/>
              <w:jc w:val="center"/>
              <w:rPr>
                <w:rFonts w:cs="Arial"/>
                <w:b/>
                <w:bCs/>
                <w:i/>
                <w:sz w:val="16"/>
                <w:szCs w:val="16"/>
              </w:rPr>
            </w:pPr>
            <w:r w:rsidRPr="0073795D">
              <w:rPr>
                <w:rFonts w:cs="Arial"/>
                <w:b/>
                <w:bCs/>
                <w:i/>
                <w:sz w:val="16"/>
                <w:szCs w:val="16"/>
              </w:rPr>
              <w:t>Celkem</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0-4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17 666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14 361</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16 014</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19 311</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16 172</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17 741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109,3</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112,6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110,8</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center"/>
              <w:rPr>
                <w:rFonts w:cs="Arial"/>
                <w:sz w:val="16"/>
                <w:szCs w:val="16"/>
              </w:rPr>
            </w:pPr>
            <w:r>
              <w:rPr>
                <w:rFonts w:cs="Arial"/>
                <w:sz w:val="16"/>
                <w:szCs w:val="16"/>
              </w:rPr>
              <w:t>5-</w:t>
            </w:r>
            <w:r w:rsidRPr="00CB2768">
              <w:rPr>
                <w:rFonts w:cs="Arial"/>
                <w:sz w:val="16"/>
                <w:szCs w:val="16"/>
              </w:rPr>
              <w:t>9</w:t>
            </w:r>
          </w:p>
        </w:tc>
        <w:tc>
          <w:tcPr>
            <w:tcW w:w="952"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11 156</w:t>
            </w:r>
          </w:p>
        </w:tc>
        <w:tc>
          <w:tcPr>
            <w:tcW w:w="953"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9 514</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10 335</w:t>
            </w:r>
          </w:p>
        </w:tc>
        <w:tc>
          <w:tcPr>
            <w:tcW w:w="953"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10 654</w:t>
            </w:r>
          </w:p>
        </w:tc>
        <w:tc>
          <w:tcPr>
            <w:tcW w:w="952" w:type="dxa"/>
            <w:tcBorders>
              <w:top w:val="nil"/>
              <w:left w:val="nil"/>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8 978</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9 816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95,5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94,4</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95,0</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center"/>
              <w:rPr>
                <w:rFonts w:cs="Arial"/>
                <w:sz w:val="16"/>
                <w:szCs w:val="16"/>
              </w:rPr>
            </w:pPr>
            <w:r>
              <w:rPr>
                <w:rFonts w:cs="Arial"/>
                <w:sz w:val="16"/>
                <w:szCs w:val="16"/>
              </w:rPr>
              <w:t>10-</w:t>
            </w:r>
            <w:r w:rsidRPr="00CB2768">
              <w:rPr>
                <w:rFonts w:cs="Arial"/>
                <w:sz w:val="16"/>
                <w:szCs w:val="16"/>
              </w:rPr>
              <w:t>14</w:t>
            </w:r>
          </w:p>
        </w:tc>
        <w:tc>
          <w:tcPr>
            <w:tcW w:w="952"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11 014</w:t>
            </w:r>
          </w:p>
        </w:tc>
        <w:tc>
          <w:tcPr>
            <w:tcW w:w="953"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11 822</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11 418</w:t>
            </w:r>
          </w:p>
        </w:tc>
        <w:tc>
          <w:tcPr>
            <w:tcW w:w="953" w:type="dxa"/>
            <w:tcBorders>
              <w:top w:val="nil"/>
              <w:left w:val="nil"/>
              <w:bottom w:val="single" w:sz="8" w:space="0" w:color="auto"/>
              <w:right w:val="single" w:sz="8" w:space="0" w:color="auto"/>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11 281</w:t>
            </w:r>
          </w:p>
        </w:tc>
        <w:tc>
          <w:tcPr>
            <w:tcW w:w="952" w:type="dxa"/>
            <w:tcBorders>
              <w:top w:val="nil"/>
              <w:left w:val="nil"/>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10 689</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10 985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102,4</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90,4</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96,2</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15-19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9 667</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11 659</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10 663</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10 935</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13 159</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12 047</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113,1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112,9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113,0</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20-24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8 345</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11 412</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9 879</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8 921</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12 905</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10 913</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106,9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113,1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110,5</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25-29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9 618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15 907</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12 763</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10 179</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16 457</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13 318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105,8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103,5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104,3</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30-34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10 281</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17 854</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14 068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11 573</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16 806</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14 189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112,6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94,1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100,9</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35-39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10 922</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14 566</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12 744</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11 643</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16 694</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14 168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106,6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114,6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111,2</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40-44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15 088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17 168</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16 128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13 349</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16 953</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15 151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88,5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98,8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93,9</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45-49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15 761</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18 675</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17 218</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17 739</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19 998</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18 868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112,5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107,1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109,6</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50-54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23 815</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25 436</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24 626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23 033</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22 858</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22 945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96,7</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89,9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93,2</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55-59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28 516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26 057</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27 287</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29 958</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26 859</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28 408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105,1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103,1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104,1</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60-64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39 756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30 036</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34 896</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40 496</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29 655</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35 075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101,9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98,7</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100,5</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65-69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45 612</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40 172</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42 892</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49 214</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36 680</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42 947</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107,9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91,3</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100,1</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70-74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54 245</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47 241</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50 743</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60 486</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45 621</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53 054</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111,5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96,6</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104,6</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75-79</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62 624</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50 086</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56 355</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65 608</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53 041</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59 325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104,8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105,9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105,3</w:t>
            </w:r>
          </w:p>
        </w:tc>
      </w:tr>
      <w:tr w:rsidR="00223026" w:rsidRPr="00CB2768" w:rsidTr="00F93BEC">
        <w:trPr>
          <w:trHeight w:hRule="exact" w:val="284"/>
        </w:trPr>
        <w:tc>
          <w:tcPr>
            <w:tcW w:w="1008"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80-84</w:t>
            </w:r>
          </w:p>
        </w:tc>
        <w:tc>
          <w:tcPr>
            <w:tcW w:w="952"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65 217</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53 670</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59 444</w:t>
            </w:r>
          </w:p>
        </w:tc>
        <w:tc>
          <w:tcPr>
            <w:tcW w:w="953" w:type="dxa"/>
            <w:tcBorders>
              <w:top w:val="nil"/>
              <w:left w:val="nil"/>
              <w:bottom w:val="single" w:sz="8" w:space="0" w:color="auto"/>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70 471</w:t>
            </w:r>
          </w:p>
        </w:tc>
        <w:tc>
          <w:tcPr>
            <w:tcW w:w="952" w:type="dxa"/>
            <w:tcBorders>
              <w:top w:val="nil"/>
              <w:left w:val="nil"/>
              <w:bottom w:val="single" w:sz="8" w:space="0" w:color="auto"/>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61 268</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65 869</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108,1</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114,2</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110,8</w:t>
            </w:r>
          </w:p>
        </w:tc>
      </w:tr>
      <w:tr w:rsidR="00223026" w:rsidRPr="00CB2768" w:rsidTr="00F93BEC">
        <w:trPr>
          <w:trHeight w:hRule="exact" w:val="284"/>
        </w:trPr>
        <w:tc>
          <w:tcPr>
            <w:tcW w:w="1008" w:type="dxa"/>
            <w:tcBorders>
              <w:top w:val="nil"/>
              <w:left w:val="nil"/>
              <w:bottom w:val="nil"/>
              <w:right w:val="single" w:sz="8" w:space="0" w:color="auto"/>
            </w:tcBorders>
            <w:shd w:val="clear" w:color="000000" w:fill="FFFFFF"/>
            <w:noWrap/>
            <w:vAlign w:val="center"/>
            <w:hideMark/>
          </w:tcPr>
          <w:p w:rsidR="00223026" w:rsidRPr="00CB2768" w:rsidRDefault="00223026" w:rsidP="001C1996">
            <w:pPr>
              <w:spacing w:line="240" w:lineRule="auto"/>
              <w:jc w:val="center"/>
              <w:rPr>
                <w:rFonts w:cs="Arial"/>
                <w:sz w:val="16"/>
                <w:szCs w:val="16"/>
              </w:rPr>
            </w:pPr>
            <w:r w:rsidRPr="00CB2768">
              <w:rPr>
                <w:rFonts w:cs="Arial"/>
                <w:sz w:val="16"/>
                <w:szCs w:val="16"/>
              </w:rPr>
              <w:t>85+</w:t>
            </w:r>
          </w:p>
        </w:tc>
        <w:tc>
          <w:tcPr>
            <w:tcW w:w="952" w:type="dxa"/>
            <w:tcBorders>
              <w:top w:val="nil"/>
              <w:left w:val="nil"/>
              <w:bottom w:val="nil"/>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68 462</w:t>
            </w:r>
          </w:p>
        </w:tc>
        <w:tc>
          <w:tcPr>
            <w:tcW w:w="953" w:type="dxa"/>
            <w:tcBorders>
              <w:top w:val="nil"/>
              <w:left w:val="nil"/>
              <w:bottom w:val="nil"/>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60 030</w:t>
            </w:r>
          </w:p>
        </w:tc>
        <w:tc>
          <w:tcPr>
            <w:tcW w:w="953" w:type="dxa"/>
            <w:tcBorders>
              <w:top w:val="nil"/>
              <w:left w:val="nil"/>
              <w:bottom w:val="single" w:sz="8" w:space="0" w:color="auto"/>
              <w:right w:val="single" w:sz="8" w:space="0" w:color="auto"/>
            </w:tcBorders>
            <w:shd w:val="clear" w:color="000000" w:fill="FFFFFF"/>
            <w:vAlign w:val="center"/>
            <w:hideMark/>
          </w:tcPr>
          <w:p w:rsidR="00223026" w:rsidRPr="00CB2768" w:rsidRDefault="00223026" w:rsidP="001C1996">
            <w:pPr>
              <w:spacing w:line="240" w:lineRule="auto"/>
              <w:jc w:val="right"/>
              <w:rPr>
                <w:rFonts w:cs="Arial"/>
                <w:b/>
                <w:bCs/>
                <w:color w:val="000000"/>
                <w:sz w:val="16"/>
                <w:szCs w:val="16"/>
              </w:rPr>
            </w:pPr>
            <w:r w:rsidRPr="00CB2768">
              <w:rPr>
                <w:rFonts w:cs="Arial"/>
                <w:b/>
                <w:bCs/>
                <w:color w:val="000000"/>
                <w:sz w:val="16"/>
                <w:szCs w:val="16"/>
              </w:rPr>
              <w:t>64 246</w:t>
            </w:r>
          </w:p>
        </w:tc>
        <w:tc>
          <w:tcPr>
            <w:tcW w:w="953" w:type="dxa"/>
            <w:tcBorders>
              <w:top w:val="nil"/>
              <w:left w:val="nil"/>
              <w:bottom w:val="nil"/>
              <w:right w:val="single" w:sz="8" w:space="0" w:color="auto"/>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70 829</w:t>
            </w:r>
          </w:p>
        </w:tc>
        <w:tc>
          <w:tcPr>
            <w:tcW w:w="952" w:type="dxa"/>
            <w:tcBorders>
              <w:top w:val="nil"/>
              <w:left w:val="nil"/>
              <w:bottom w:val="nil"/>
              <w:right w:val="nil"/>
            </w:tcBorders>
            <w:shd w:val="clear" w:color="000000" w:fill="FFFFFF"/>
            <w:noWrap/>
            <w:vAlign w:val="center"/>
            <w:hideMark/>
          </w:tcPr>
          <w:p w:rsidR="00223026" w:rsidRPr="00CB2768" w:rsidRDefault="00223026" w:rsidP="001C1996">
            <w:pPr>
              <w:spacing w:line="240" w:lineRule="auto"/>
              <w:jc w:val="right"/>
              <w:rPr>
                <w:rFonts w:cs="Arial"/>
                <w:sz w:val="16"/>
                <w:szCs w:val="16"/>
              </w:rPr>
            </w:pPr>
            <w:r w:rsidRPr="00CB2768">
              <w:rPr>
                <w:rFonts w:cs="Arial"/>
                <w:sz w:val="16"/>
                <w:szCs w:val="16"/>
              </w:rPr>
              <w:t>68 107</w:t>
            </w:r>
          </w:p>
        </w:tc>
        <w:tc>
          <w:tcPr>
            <w:tcW w:w="953" w:type="dxa"/>
            <w:tcBorders>
              <w:top w:val="nil"/>
              <w:left w:val="single" w:sz="8" w:space="0" w:color="auto"/>
              <w:bottom w:val="single" w:sz="8" w:space="0" w:color="auto"/>
              <w:right w:val="nil"/>
            </w:tcBorders>
            <w:shd w:val="clear" w:color="auto" w:fill="auto"/>
            <w:noWrap/>
            <w:vAlign w:val="center"/>
            <w:hideMark/>
          </w:tcPr>
          <w:p w:rsidR="00223026" w:rsidRPr="00CB2768" w:rsidRDefault="00223026" w:rsidP="001C1996">
            <w:pPr>
              <w:spacing w:line="240" w:lineRule="auto"/>
              <w:jc w:val="right"/>
              <w:rPr>
                <w:rFonts w:cs="Arial"/>
                <w:color w:val="000000"/>
                <w:sz w:val="16"/>
                <w:szCs w:val="16"/>
              </w:rPr>
            </w:pPr>
            <w:r w:rsidRPr="00CB2768">
              <w:rPr>
                <w:rFonts w:cs="Arial"/>
                <w:color w:val="000000"/>
                <w:sz w:val="16"/>
                <w:szCs w:val="16"/>
              </w:rPr>
              <w:t>69 468</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103,5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113,5</w:t>
            </w:r>
          </w:p>
        </w:tc>
        <w:tc>
          <w:tcPr>
            <w:tcW w:w="953" w:type="dxa"/>
            <w:tcBorders>
              <w:top w:val="nil"/>
              <w:left w:val="single" w:sz="8" w:space="0" w:color="auto"/>
              <w:bottom w:val="single" w:sz="8" w:space="0" w:color="auto"/>
              <w:right w:val="nil"/>
            </w:tcBorders>
            <w:vAlign w:val="center"/>
          </w:tcPr>
          <w:p w:rsidR="00223026" w:rsidRPr="0073795D" w:rsidRDefault="00223026" w:rsidP="00223026">
            <w:pPr>
              <w:spacing w:line="240" w:lineRule="auto"/>
              <w:jc w:val="right"/>
              <w:rPr>
                <w:rFonts w:cs="Arial"/>
                <w:i/>
                <w:color w:val="000000"/>
                <w:sz w:val="16"/>
                <w:szCs w:val="16"/>
              </w:rPr>
            </w:pPr>
            <w:r w:rsidRPr="0073795D">
              <w:rPr>
                <w:rFonts w:cs="Arial"/>
                <w:i/>
                <w:color w:val="000000"/>
                <w:sz w:val="16"/>
                <w:szCs w:val="16"/>
              </w:rPr>
              <w:t>108,1</w:t>
            </w:r>
          </w:p>
        </w:tc>
      </w:tr>
      <w:tr w:rsidR="00223026" w:rsidRPr="00CB2768" w:rsidTr="00F93BEC">
        <w:trPr>
          <w:trHeight w:hRule="exact" w:val="284"/>
        </w:trPr>
        <w:tc>
          <w:tcPr>
            <w:tcW w:w="1008" w:type="dxa"/>
            <w:tcBorders>
              <w:top w:val="single" w:sz="8" w:space="0" w:color="auto"/>
              <w:left w:val="nil"/>
              <w:bottom w:val="single" w:sz="8" w:space="0" w:color="auto"/>
              <w:right w:val="single" w:sz="8" w:space="0" w:color="auto"/>
            </w:tcBorders>
            <w:shd w:val="clear" w:color="000000" w:fill="F2DCDB"/>
            <w:noWrap/>
            <w:vAlign w:val="center"/>
            <w:hideMark/>
          </w:tcPr>
          <w:p w:rsidR="00223026" w:rsidRPr="00CB2768" w:rsidRDefault="00223026" w:rsidP="001C1996">
            <w:pPr>
              <w:spacing w:line="240" w:lineRule="auto"/>
              <w:jc w:val="center"/>
              <w:rPr>
                <w:rFonts w:cs="Arial"/>
                <w:b/>
                <w:sz w:val="16"/>
                <w:szCs w:val="16"/>
              </w:rPr>
            </w:pPr>
            <w:r w:rsidRPr="00CB2768">
              <w:rPr>
                <w:rFonts w:cs="Arial"/>
                <w:b/>
                <w:sz w:val="16"/>
                <w:szCs w:val="16"/>
              </w:rPr>
              <w:t>Celkem</w:t>
            </w:r>
          </w:p>
        </w:tc>
        <w:tc>
          <w:tcPr>
            <w:tcW w:w="952" w:type="dxa"/>
            <w:tcBorders>
              <w:top w:val="single" w:sz="8" w:space="0" w:color="auto"/>
              <w:left w:val="nil"/>
              <w:bottom w:val="single" w:sz="8" w:space="0" w:color="auto"/>
              <w:right w:val="single" w:sz="8" w:space="0" w:color="auto"/>
            </w:tcBorders>
            <w:shd w:val="clear" w:color="000000" w:fill="F2DCDB"/>
            <w:noWrap/>
            <w:vAlign w:val="center"/>
            <w:hideMark/>
          </w:tcPr>
          <w:p w:rsidR="00223026" w:rsidRPr="00223026" w:rsidRDefault="00223026" w:rsidP="00223026">
            <w:pPr>
              <w:spacing w:line="240" w:lineRule="auto"/>
              <w:jc w:val="right"/>
              <w:rPr>
                <w:rFonts w:cs="Arial"/>
                <w:b/>
                <w:sz w:val="16"/>
                <w:szCs w:val="16"/>
              </w:rPr>
            </w:pPr>
            <w:r w:rsidRPr="00223026">
              <w:rPr>
                <w:rFonts w:cs="Arial"/>
                <w:b/>
                <w:sz w:val="16"/>
                <w:szCs w:val="16"/>
              </w:rPr>
              <w:t>21 267</w:t>
            </w:r>
          </w:p>
        </w:tc>
        <w:tc>
          <w:tcPr>
            <w:tcW w:w="953" w:type="dxa"/>
            <w:tcBorders>
              <w:top w:val="single" w:sz="8" w:space="0" w:color="auto"/>
              <w:left w:val="nil"/>
              <w:bottom w:val="single" w:sz="8" w:space="0" w:color="auto"/>
              <w:right w:val="single" w:sz="8" w:space="0" w:color="auto"/>
            </w:tcBorders>
            <w:shd w:val="clear" w:color="000000" w:fill="F2DCDB"/>
            <w:noWrap/>
            <w:vAlign w:val="center"/>
            <w:hideMark/>
          </w:tcPr>
          <w:p w:rsidR="00223026" w:rsidRPr="00223026" w:rsidRDefault="00223026" w:rsidP="00223026">
            <w:pPr>
              <w:spacing w:line="240" w:lineRule="auto"/>
              <w:jc w:val="right"/>
              <w:rPr>
                <w:rFonts w:cs="Arial"/>
                <w:b/>
                <w:sz w:val="16"/>
                <w:szCs w:val="16"/>
              </w:rPr>
            </w:pPr>
            <w:r w:rsidRPr="00223026">
              <w:rPr>
                <w:rFonts w:cs="Arial"/>
                <w:b/>
                <w:sz w:val="16"/>
                <w:szCs w:val="16"/>
              </w:rPr>
              <w:t>23 445</w:t>
            </w:r>
          </w:p>
        </w:tc>
        <w:tc>
          <w:tcPr>
            <w:tcW w:w="953" w:type="dxa"/>
            <w:tcBorders>
              <w:top w:val="nil"/>
              <w:left w:val="nil"/>
              <w:bottom w:val="single" w:sz="8" w:space="0" w:color="auto"/>
              <w:right w:val="single" w:sz="8" w:space="0" w:color="auto"/>
            </w:tcBorders>
            <w:shd w:val="clear" w:color="000000" w:fill="F2DCDB"/>
            <w:vAlign w:val="center"/>
            <w:hideMark/>
          </w:tcPr>
          <w:p w:rsidR="00223026" w:rsidRPr="00223026" w:rsidRDefault="00223026" w:rsidP="00223026">
            <w:pPr>
              <w:spacing w:line="240" w:lineRule="auto"/>
              <w:jc w:val="right"/>
              <w:rPr>
                <w:rFonts w:cs="Arial"/>
                <w:b/>
                <w:bCs/>
                <w:color w:val="000000"/>
                <w:sz w:val="16"/>
                <w:szCs w:val="16"/>
              </w:rPr>
            </w:pPr>
            <w:r w:rsidRPr="00223026">
              <w:rPr>
                <w:rFonts w:cs="Arial"/>
                <w:b/>
                <w:bCs/>
                <w:color w:val="000000"/>
                <w:sz w:val="16"/>
                <w:szCs w:val="16"/>
              </w:rPr>
              <w:t>22 356</w:t>
            </w:r>
          </w:p>
        </w:tc>
        <w:tc>
          <w:tcPr>
            <w:tcW w:w="953" w:type="dxa"/>
            <w:tcBorders>
              <w:top w:val="single" w:sz="8" w:space="0" w:color="auto"/>
              <w:left w:val="nil"/>
              <w:bottom w:val="single" w:sz="8" w:space="0" w:color="auto"/>
              <w:right w:val="single" w:sz="8" w:space="0" w:color="auto"/>
            </w:tcBorders>
            <w:shd w:val="clear" w:color="000000" w:fill="F2DCDB"/>
            <w:noWrap/>
            <w:vAlign w:val="center"/>
            <w:hideMark/>
          </w:tcPr>
          <w:p w:rsidR="00223026" w:rsidRPr="00223026" w:rsidRDefault="00223026" w:rsidP="00223026">
            <w:pPr>
              <w:spacing w:line="240" w:lineRule="auto"/>
              <w:jc w:val="right"/>
              <w:rPr>
                <w:rFonts w:cs="Arial"/>
                <w:b/>
                <w:sz w:val="16"/>
                <w:szCs w:val="16"/>
              </w:rPr>
            </w:pPr>
            <w:r w:rsidRPr="00223026">
              <w:rPr>
                <w:rFonts w:cs="Arial"/>
                <w:b/>
                <w:sz w:val="16"/>
                <w:szCs w:val="16"/>
              </w:rPr>
              <w:t>23 815</w:t>
            </w:r>
          </w:p>
        </w:tc>
        <w:tc>
          <w:tcPr>
            <w:tcW w:w="952" w:type="dxa"/>
            <w:tcBorders>
              <w:top w:val="single" w:sz="8" w:space="0" w:color="auto"/>
              <w:left w:val="nil"/>
              <w:bottom w:val="single" w:sz="8" w:space="0" w:color="auto"/>
              <w:right w:val="nil"/>
            </w:tcBorders>
            <w:shd w:val="clear" w:color="000000" w:fill="F2DCDB"/>
            <w:noWrap/>
            <w:vAlign w:val="center"/>
            <w:hideMark/>
          </w:tcPr>
          <w:p w:rsidR="00223026" w:rsidRPr="00223026" w:rsidRDefault="00223026" w:rsidP="00223026">
            <w:pPr>
              <w:spacing w:line="240" w:lineRule="auto"/>
              <w:jc w:val="right"/>
              <w:rPr>
                <w:rFonts w:cs="Arial"/>
                <w:b/>
                <w:sz w:val="16"/>
                <w:szCs w:val="16"/>
              </w:rPr>
            </w:pPr>
            <w:r w:rsidRPr="00223026">
              <w:rPr>
                <w:rFonts w:cs="Arial"/>
                <w:b/>
                <w:sz w:val="16"/>
                <w:szCs w:val="16"/>
              </w:rPr>
              <w:t>24 838</w:t>
            </w:r>
          </w:p>
        </w:tc>
        <w:tc>
          <w:tcPr>
            <w:tcW w:w="953" w:type="dxa"/>
            <w:tcBorders>
              <w:top w:val="nil"/>
              <w:left w:val="single" w:sz="8" w:space="0" w:color="auto"/>
              <w:bottom w:val="single" w:sz="8" w:space="0" w:color="auto"/>
              <w:right w:val="nil"/>
            </w:tcBorders>
            <w:shd w:val="clear" w:color="auto" w:fill="F2DBDB" w:themeFill="accent2" w:themeFillTint="33"/>
            <w:noWrap/>
            <w:vAlign w:val="center"/>
            <w:hideMark/>
          </w:tcPr>
          <w:p w:rsidR="00223026" w:rsidRPr="00223026" w:rsidRDefault="00223026" w:rsidP="00223026">
            <w:pPr>
              <w:spacing w:line="240" w:lineRule="auto"/>
              <w:jc w:val="right"/>
              <w:rPr>
                <w:rFonts w:cs="Arial"/>
                <w:b/>
                <w:color w:val="000000"/>
                <w:sz w:val="16"/>
                <w:szCs w:val="16"/>
              </w:rPr>
            </w:pPr>
            <w:r w:rsidRPr="00223026">
              <w:rPr>
                <w:rFonts w:cs="Arial"/>
                <w:b/>
                <w:color w:val="000000"/>
                <w:sz w:val="16"/>
                <w:szCs w:val="16"/>
              </w:rPr>
              <w:t>24 327</w:t>
            </w:r>
          </w:p>
        </w:tc>
        <w:tc>
          <w:tcPr>
            <w:tcW w:w="953" w:type="dxa"/>
            <w:tcBorders>
              <w:top w:val="nil"/>
              <w:left w:val="single" w:sz="8" w:space="0" w:color="auto"/>
              <w:bottom w:val="single" w:sz="8" w:space="0" w:color="auto"/>
              <w:right w:val="nil"/>
            </w:tcBorders>
            <w:shd w:val="clear" w:color="auto" w:fill="F2DBDB" w:themeFill="accent2" w:themeFillTint="33"/>
            <w:vAlign w:val="center"/>
          </w:tcPr>
          <w:p w:rsidR="00223026" w:rsidRPr="0073795D" w:rsidRDefault="00223026" w:rsidP="00223026">
            <w:pPr>
              <w:spacing w:line="240" w:lineRule="auto"/>
              <w:jc w:val="right"/>
              <w:rPr>
                <w:rFonts w:cs="Arial"/>
                <w:b/>
                <w:i/>
                <w:color w:val="000000"/>
                <w:sz w:val="16"/>
                <w:szCs w:val="16"/>
              </w:rPr>
            </w:pPr>
            <w:r w:rsidRPr="0073795D">
              <w:rPr>
                <w:rFonts w:cs="Arial"/>
                <w:b/>
                <w:i/>
                <w:color w:val="000000"/>
                <w:sz w:val="16"/>
                <w:szCs w:val="16"/>
              </w:rPr>
              <w:t>112,0</w:t>
            </w:r>
          </w:p>
        </w:tc>
        <w:tc>
          <w:tcPr>
            <w:tcW w:w="953" w:type="dxa"/>
            <w:tcBorders>
              <w:top w:val="nil"/>
              <w:left w:val="single" w:sz="8" w:space="0" w:color="auto"/>
              <w:bottom w:val="single" w:sz="8" w:space="0" w:color="auto"/>
              <w:right w:val="nil"/>
            </w:tcBorders>
            <w:shd w:val="clear" w:color="auto" w:fill="F2DBDB" w:themeFill="accent2" w:themeFillTint="33"/>
            <w:vAlign w:val="center"/>
          </w:tcPr>
          <w:p w:rsidR="00223026" w:rsidRPr="0073795D" w:rsidRDefault="00223026" w:rsidP="00223026">
            <w:pPr>
              <w:spacing w:line="240" w:lineRule="auto"/>
              <w:jc w:val="right"/>
              <w:rPr>
                <w:rFonts w:cs="Arial"/>
                <w:b/>
                <w:i/>
                <w:color w:val="000000"/>
                <w:sz w:val="16"/>
                <w:szCs w:val="16"/>
              </w:rPr>
            </w:pPr>
            <w:r w:rsidRPr="0073795D">
              <w:rPr>
                <w:rFonts w:cs="Arial"/>
                <w:b/>
                <w:i/>
                <w:color w:val="000000"/>
                <w:sz w:val="16"/>
                <w:szCs w:val="16"/>
              </w:rPr>
              <w:t>105,9</w:t>
            </w:r>
          </w:p>
        </w:tc>
        <w:tc>
          <w:tcPr>
            <w:tcW w:w="953" w:type="dxa"/>
            <w:tcBorders>
              <w:top w:val="nil"/>
              <w:left w:val="single" w:sz="8" w:space="0" w:color="auto"/>
              <w:bottom w:val="single" w:sz="8" w:space="0" w:color="auto"/>
              <w:right w:val="nil"/>
            </w:tcBorders>
            <w:shd w:val="clear" w:color="auto" w:fill="F2DBDB" w:themeFill="accent2" w:themeFillTint="33"/>
            <w:vAlign w:val="center"/>
          </w:tcPr>
          <w:p w:rsidR="00223026" w:rsidRPr="0073795D" w:rsidRDefault="00223026" w:rsidP="00223026">
            <w:pPr>
              <w:spacing w:line="240" w:lineRule="auto"/>
              <w:jc w:val="right"/>
              <w:rPr>
                <w:rFonts w:cs="Arial"/>
                <w:b/>
                <w:i/>
                <w:color w:val="000000"/>
                <w:sz w:val="16"/>
                <w:szCs w:val="16"/>
              </w:rPr>
            </w:pPr>
            <w:r w:rsidRPr="0073795D">
              <w:rPr>
                <w:rFonts w:cs="Arial"/>
                <w:b/>
                <w:i/>
                <w:color w:val="000000"/>
                <w:sz w:val="16"/>
                <w:szCs w:val="16"/>
              </w:rPr>
              <w:t>108,8</w:t>
            </w:r>
          </w:p>
        </w:tc>
      </w:tr>
    </w:tbl>
    <w:p w:rsidR="001C1996" w:rsidRDefault="001C1996" w:rsidP="00F93BEC">
      <w:pPr>
        <w:spacing w:before="120"/>
      </w:pPr>
      <w:bookmarkStart w:id="3" w:name="_GoBack"/>
      <w:bookmarkEnd w:id="3"/>
    </w:p>
    <w:sectPr w:rsidR="001C1996" w:rsidSect="001A3B66">
      <w:headerReference w:type="even" r:id="rId16"/>
      <w:headerReference w:type="default" r:id="rId17"/>
      <w:footerReference w:type="even" r:id="rId18"/>
      <w:footerReference w:type="default" r:id="rId19"/>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D1A" w:rsidRDefault="006A4D1A" w:rsidP="00E71A58">
      <w:r>
        <w:separator/>
      </w:r>
    </w:p>
  </w:endnote>
  <w:endnote w:type="continuationSeparator" w:id="0">
    <w:p w:rsidR="006A4D1A" w:rsidRDefault="006A4D1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Default="00831D41"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0699F325" wp14:editId="5B11737C">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F93BEC">
      <w:rPr>
        <w:rFonts w:ascii="Arial" w:hAnsi="Arial" w:cs="Arial"/>
        <w:noProof/>
        <w:sz w:val="16"/>
        <w:szCs w:val="16"/>
      </w:rPr>
      <w:t>6</w:t>
    </w:r>
    <w:r w:rsidRPr="005A21E0">
      <w:rPr>
        <w:rFonts w:ascii="Arial" w:hAnsi="Arial" w:cs="Arial"/>
        <w:sz w:val="16"/>
        <w:szCs w:val="16"/>
      </w:rPr>
      <w:fldChar w:fldCharType="end"/>
    </w:r>
    <w:r>
      <w:rPr>
        <w:rFonts w:ascii="Arial" w:hAnsi="Arial" w:cs="Arial"/>
        <w:sz w:val="16"/>
        <w:szCs w:val="16"/>
      </w:rPr>
      <w:tab/>
      <w:t>2019</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Default="00831D4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192" behindDoc="0" locked="0" layoutInCell="1" allowOverlap="1" wp14:anchorId="6A92E2B6" wp14:editId="20105575">
          <wp:simplePos x="0" y="0"/>
          <wp:positionH relativeFrom="column">
            <wp:posOffset>3810</wp:posOffset>
          </wp:positionH>
          <wp:positionV relativeFrom="paragraph">
            <wp:posOffset>90170</wp:posOffset>
          </wp:positionV>
          <wp:extent cx="495300" cy="266700"/>
          <wp:effectExtent l="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p>
  <w:p w:rsidR="00831D41" w:rsidRDefault="00831D41"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2019</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F93BEC">
      <w:rPr>
        <w:rFonts w:ascii="Arial" w:hAnsi="Arial" w:cs="Arial"/>
        <w:noProof/>
        <w:sz w:val="16"/>
        <w:szCs w:val="16"/>
      </w:rPr>
      <w:t>5</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D1A" w:rsidRDefault="006A4D1A" w:rsidP="00E71A58">
      <w:r>
        <w:separator/>
      </w:r>
    </w:p>
  </w:footnote>
  <w:footnote w:type="continuationSeparator" w:id="0">
    <w:p w:rsidR="006A4D1A" w:rsidRDefault="006A4D1A" w:rsidP="00E71A58">
      <w:r>
        <w:continuationSeparator/>
      </w:r>
    </w:p>
  </w:footnote>
  <w:footnote w:id="1">
    <w:p w:rsidR="00831D41" w:rsidRDefault="00831D41" w:rsidP="006067DA">
      <w:pPr>
        <w:pStyle w:val="Textpoznpodarou"/>
      </w:pPr>
      <w:r w:rsidRPr="00991FEF">
        <w:rPr>
          <w:rStyle w:val="Znakapoznpodarou"/>
        </w:rPr>
        <w:footnoteRef/>
      </w:r>
      <w:r w:rsidRPr="00991FEF">
        <w:t xml:space="preserve"> Nejsou zde samostatně </w:t>
      </w:r>
      <w:r>
        <w:t>uvedeny</w:t>
      </w:r>
      <w:r w:rsidRPr="00991FEF">
        <w:t xml:space="preserve"> diagnózy z kapitoly - Faktory ovlivňující zdravotní stav a kontakt se zdravotnickými službami, které</w:t>
      </w:r>
      <w:r>
        <w:t> </w:t>
      </w:r>
      <w:r w:rsidRPr="00991FEF">
        <w:t xml:space="preserve">jsou </w:t>
      </w:r>
      <w:r>
        <w:t>zahrnuty</w:t>
      </w:r>
      <w:r w:rsidRPr="00991FEF">
        <w:t xml:space="preserve"> v položce ostatní.</w:t>
      </w:r>
    </w:p>
    <w:p w:rsidR="00831D41" w:rsidRDefault="00831D41" w:rsidP="006067DA">
      <w:pPr>
        <w:pStyle w:val="Textpoznpodarou"/>
      </w:pPr>
    </w:p>
  </w:footnote>
  <w:footnote w:id="2">
    <w:p w:rsidR="00831D41" w:rsidRDefault="00831D41" w:rsidP="0073795D">
      <w:pPr>
        <w:pStyle w:val="Textpoznpodarou"/>
      </w:pPr>
      <w:r>
        <w:rPr>
          <w:rStyle w:val="Znakapoznpodarou"/>
        </w:rPr>
        <w:footnoteRef/>
      </w:r>
      <w:r>
        <w:t xml:space="preserve"> </w:t>
      </w:r>
      <w:r w:rsidRPr="00B23596">
        <w:t xml:space="preserve">Tabulka počtu pojištěnců podle věku a pohlaví je uvedena </w:t>
      </w:r>
      <w:r w:rsidRPr="00223335">
        <w:t>v příloze (viz tabulka č.1</w:t>
      </w:r>
      <w:r>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Pr="002175EE" w:rsidRDefault="00831D41" w:rsidP="00D67975">
    <w:pPr>
      <w:pStyle w:val="Nadpis1"/>
      <w:rPr>
        <w:b w:val="0"/>
        <w:color w:val="auto"/>
        <w:sz w:val="16"/>
        <w:szCs w:val="16"/>
      </w:rPr>
    </w:pPr>
    <w:r w:rsidRPr="002175EE">
      <w:rPr>
        <w:b w:val="0"/>
        <w:color w:val="auto"/>
        <w:sz w:val="16"/>
        <w:szCs w:val="16"/>
      </w:rPr>
      <w:t>Výs</w:t>
    </w:r>
    <w:r>
      <w:rPr>
        <w:b w:val="0"/>
        <w:color w:val="auto"/>
        <w:sz w:val="16"/>
        <w:szCs w:val="16"/>
      </w:rPr>
      <w:t>ledky zdravotnických účtů ČR 2010–2017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41" w:rsidRPr="002175EE" w:rsidRDefault="00831D41" w:rsidP="002175EE">
    <w:pPr>
      <w:pStyle w:val="Nadpis1"/>
      <w:rPr>
        <w:b w:val="0"/>
        <w:color w:val="auto"/>
        <w:sz w:val="16"/>
        <w:szCs w:val="16"/>
      </w:rPr>
    </w:pPr>
    <w:r w:rsidRPr="002175EE">
      <w:rPr>
        <w:b w:val="0"/>
        <w:color w:val="auto"/>
        <w:sz w:val="16"/>
        <w:szCs w:val="16"/>
      </w:rPr>
      <w:t xml:space="preserve">Výsledky </w:t>
    </w:r>
    <w:r>
      <w:rPr>
        <w:b w:val="0"/>
        <w:color w:val="auto"/>
        <w:sz w:val="16"/>
        <w:szCs w:val="16"/>
      </w:rPr>
      <w:t>zdravotnických účtů ČR 2010–2017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21"/>
    <w:multiLevelType w:val="hybridMultilevel"/>
    <w:tmpl w:val="99D61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D550C"/>
    <w:multiLevelType w:val="hybridMultilevel"/>
    <w:tmpl w:val="86B43882"/>
    <w:lvl w:ilvl="0" w:tplc="46C2DFC0">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07A27793"/>
    <w:multiLevelType w:val="hybridMultilevel"/>
    <w:tmpl w:val="D486A0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AF5F6D"/>
    <w:multiLevelType w:val="hybridMultilevel"/>
    <w:tmpl w:val="5824D116"/>
    <w:lvl w:ilvl="0" w:tplc="F93889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16AC4"/>
    <w:multiLevelType w:val="hybridMultilevel"/>
    <w:tmpl w:val="371460E6"/>
    <w:lvl w:ilvl="0" w:tplc="4DA05D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A26586"/>
    <w:multiLevelType w:val="hybridMultilevel"/>
    <w:tmpl w:val="5F2EFD9C"/>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087D8F"/>
    <w:multiLevelType w:val="hybridMultilevel"/>
    <w:tmpl w:val="5DE801E0"/>
    <w:lvl w:ilvl="0" w:tplc="267E35C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DB521B"/>
    <w:multiLevelType w:val="hybridMultilevel"/>
    <w:tmpl w:val="2DC43A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D80405"/>
    <w:multiLevelType w:val="multilevel"/>
    <w:tmpl w:val="B94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21244"/>
    <w:multiLevelType w:val="hybridMultilevel"/>
    <w:tmpl w:val="939657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632BB"/>
    <w:multiLevelType w:val="hybridMultilevel"/>
    <w:tmpl w:val="29F85DA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1FFD6DEF"/>
    <w:multiLevelType w:val="multilevel"/>
    <w:tmpl w:val="58CE67C4"/>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66454"/>
    <w:multiLevelType w:val="hybridMultilevel"/>
    <w:tmpl w:val="936055B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AC752F"/>
    <w:multiLevelType w:val="hybridMultilevel"/>
    <w:tmpl w:val="F1DE7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504B67"/>
    <w:multiLevelType w:val="hybridMultilevel"/>
    <w:tmpl w:val="141024E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C8760B6"/>
    <w:multiLevelType w:val="hybridMultilevel"/>
    <w:tmpl w:val="2EF6101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2E814446"/>
    <w:multiLevelType w:val="hybridMultilevel"/>
    <w:tmpl w:val="12C803C8"/>
    <w:lvl w:ilvl="0" w:tplc="CD9C6B54">
      <w:start w:val="2"/>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52F38"/>
    <w:multiLevelType w:val="multilevel"/>
    <w:tmpl w:val="7BD287E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F919ED"/>
    <w:multiLevelType w:val="multilevel"/>
    <w:tmpl w:val="B0E2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D815B2"/>
    <w:multiLevelType w:val="hybridMultilevel"/>
    <w:tmpl w:val="132CDB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CB35327"/>
    <w:multiLevelType w:val="hybridMultilevel"/>
    <w:tmpl w:val="0CBCD77C"/>
    <w:lvl w:ilvl="0" w:tplc="C80617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0A6F9C"/>
    <w:multiLevelType w:val="hybridMultilevel"/>
    <w:tmpl w:val="5C0CA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6F4090"/>
    <w:multiLevelType w:val="hybridMultilevel"/>
    <w:tmpl w:val="179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737E1"/>
    <w:multiLevelType w:val="hybridMultilevel"/>
    <w:tmpl w:val="89AAB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2D3E"/>
    <w:multiLevelType w:val="hybridMultilevel"/>
    <w:tmpl w:val="2DA69084"/>
    <w:lvl w:ilvl="0" w:tplc="F9388996">
      <w:start w:val="1"/>
      <w:numFmt w:val="bullet"/>
      <w:lvlText w:val="-"/>
      <w:lvlJc w:val="left"/>
      <w:pPr>
        <w:tabs>
          <w:tab w:val="num" w:pos="765"/>
        </w:tabs>
        <w:ind w:left="765" w:hanging="405"/>
      </w:pPr>
      <w:rPr>
        <w:rFonts w:ascii="Times New Roman" w:eastAsia="Times New Roman" w:hAnsi="Times New Roman" w:cs="Times New Roman" w:hint="default"/>
      </w:rPr>
    </w:lvl>
    <w:lvl w:ilvl="1" w:tplc="F938899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51525A"/>
    <w:multiLevelType w:val="multilevel"/>
    <w:tmpl w:val="1B6E9F1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7647E6"/>
    <w:multiLevelType w:val="hybridMultilevel"/>
    <w:tmpl w:val="7D3E41A0"/>
    <w:lvl w:ilvl="0" w:tplc="F938899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45645A0C"/>
    <w:multiLevelType w:val="hybridMultilevel"/>
    <w:tmpl w:val="D004D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6F7E70"/>
    <w:multiLevelType w:val="hybridMultilevel"/>
    <w:tmpl w:val="0128A08A"/>
    <w:lvl w:ilvl="0" w:tplc="49A0ED0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7844F8"/>
    <w:multiLevelType w:val="hybridMultilevel"/>
    <w:tmpl w:val="1C3A2F2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4AFF5011"/>
    <w:multiLevelType w:val="hybridMultilevel"/>
    <w:tmpl w:val="AAAE5906"/>
    <w:lvl w:ilvl="0" w:tplc="BB2899F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CC32522"/>
    <w:multiLevelType w:val="hybridMultilevel"/>
    <w:tmpl w:val="7F9C2826"/>
    <w:lvl w:ilvl="0" w:tplc="F93889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25667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54D3E"/>
    <w:multiLevelType w:val="multilevel"/>
    <w:tmpl w:val="C57A87AC"/>
    <w:lvl w:ilvl="0">
      <w:start w:val="2"/>
      <w:numFmt w:val="decimal"/>
      <w:lvlText w:val="%1."/>
      <w:lvlJc w:val="left"/>
      <w:pPr>
        <w:ind w:left="36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5" w15:restartNumberingAfterBreak="0">
    <w:nsid w:val="58544EA5"/>
    <w:multiLevelType w:val="hybridMultilevel"/>
    <w:tmpl w:val="E0D623B2"/>
    <w:lvl w:ilvl="0" w:tplc="E0F4A91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952ED8"/>
    <w:multiLevelType w:val="multilevel"/>
    <w:tmpl w:val="83DAB85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050CCD"/>
    <w:multiLevelType w:val="multilevel"/>
    <w:tmpl w:val="61B826CE"/>
    <w:lvl w:ilvl="0">
      <w:start w:val="2"/>
      <w:numFmt w:val="decimal"/>
      <w:lvlText w:val="%1."/>
      <w:lvlJc w:val="left"/>
      <w:pPr>
        <w:ind w:left="36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60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920" w:hanging="1080"/>
      </w:pPr>
      <w:rPr>
        <w:rFonts w:hint="default"/>
      </w:rPr>
    </w:lvl>
    <w:lvl w:ilvl="8">
      <w:start w:val="1"/>
      <w:numFmt w:val="decimal"/>
      <w:isLgl/>
      <w:lvlText w:val="%1.%2.%3.%4.%5.%6.%7.%8.%9"/>
      <w:lvlJc w:val="left"/>
      <w:pPr>
        <w:ind w:left="2400" w:hanging="1440"/>
      </w:pPr>
      <w:rPr>
        <w:rFonts w:hint="default"/>
      </w:rPr>
    </w:lvl>
  </w:abstractNum>
  <w:abstractNum w:abstractNumId="38" w15:restartNumberingAfterBreak="0">
    <w:nsid w:val="6F893287"/>
    <w:multiLevelType w:val="multilevel"/>
    <w:tmpl w:val="418C03A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FE39F3"/>
    <w:multiLevelType w:val="hybridMultilevel"/>
    <w:tmpl w:val="405C553E"/>
    <w:lvl w:ilvl="0" w:tplc="04050001">
      <w:start w:val="7"/>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415C6D"/>
    <w:multiLevelType w:val="hybridMultilevel"/>
    <w:tmpl w:val="A598291C"/>
    <w:lvl w:ilvl="0" w:tplc="5F1AC2C0">
      <w:start w:val="1"/>
      <w:numFmt w:val="lowerLetter"/>
      <w:lvlText w:val="%1)"/>
      <w:lvlJc w:val="left"/>
      <w:pPr>
        <w:ind w:left="360" w:hanging="360"/>
      </w:pPr>
      <w:rPr>
        <w:rFonts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B90EB4"/>
    <w:multiLevelType w:val="hybridMultilevel"/>
    <w:tmpl w:val="98F67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20001"/>
    <w:multiLevelType w:val="multilevel"/>
    <w:tmpl w:val="4A3A04D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762E6D"/>
    <w:multiLevelType w:val="hybridMultilevel"/>
    <w:tmpl w:val="586A2F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571231"/>
    <w:multiLevelType w:val="hybridMultilevel"/>
    <w:tmpl w:val="EF7631D6"/>
    <w:lvl w:ilvl="0" w:tplc="D4C2B7B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F9F4163"/>
    <w:multiLevelType w:val="hybridMultilevel"/>
    <w:tmpl w:val="A78ADFC6"/>
    <w:lvl w:ilvl="0" w:tplc="242AA788">
      <w:numFmt w:val="bullet"/>
      <w:lvlText w:val="-"/>
      <w:lvlJc w:val="left"/>
      <w:pPr>
        <w:ind w:left="306" w:hanging="360"/>
      </w:pPr>
      <w:rPr>
        <w:rFonts w:ascii="Arial" w:eastAsia="Times New Roman" w:hAnsi="Arial" w:cs="Arial" w:hint="default"/>
      </w:rPr>
    </w:lvl>
    <w:lvl w:ilvl="1" w:tplc="04050003" w:tentative="1">
      <w:start w:val="1"/>
      <w:numFmt w:val="bullet"/>
      <w:lvlText w:val="o"/>
      <w:lvlJc w:val="left"/>
      <w:pPr>
        <w:ind w:left="1026" w:hanging="360"/>
      </w:pPr>
      <w:rPr>
        <w:rFonts w:ascii="Courier New" w:hAnsi="Courier New" w:cs="Courier New" w:hint="default"/>
      </w:rPr>
    </w:lvl>
    <w:lvl w:ilvl="2" w:tplc="04050005" w:tentative="1">
      <w:start w:val="1"/>
      <w:numFmt w:val="bullet"/>
      <w:lvlText w:val=""/>
      <w:lvlJc w:val="left"/>
      <w:pPr>
        <w:ind w:left="1746" w:hanging="360"/>
      </w:pPr>
      <w:rPr>
        <w:rFonts w:ascii="Wingdings" w:hAnsi="Wingdings" w:hint="default"/>
      </w:rPr>
    </w:lvl>
    <w:lvl w:ilvl="3" w:tplc="04050001" w:tentative="1">
      <w:start w:val="1"/>
      <w:numFmt w:val="bullet"/>
      <w:lvlText w:val=""/>
      <w:lvlJc w:val="left"/>
      <w:pPr>
        <w:ind w:left="2466" w:hanging="360"/>
      </w:pPr>
      <w:rPr>
        <w:rFonts w:ascii="Symbol" w:hAnsi="Symbol" w:hint="default"/>
      </w:rPr>
    </w:lvl>
    <w:lvl w:ilvl="4" w:tplc="04050003" w:tentative="1">
      <w:start w:val="1"/>
      <w:numFmt w:val="bullet"/>
      <w:lvlText w:val="o"/>
      <w:lvlJc w:val="left"/>
      <w:pPr>
        <w:ind w:left="3186" w:hanging="360"/>
      </w:pPr>
      <w:rPr>
        <w:rFonts w:ascii="Courier New" w:hAnsi="Courier New" w:cs="Courier New" w:hint="default"/>
      </w:rPr>
    </w:lvl>
    <w:lvl w:ilvl="5" w:tplc="04050005" w:tentative="1">
      <w:start w:val="1"/>
      <w:numFmt w:val="bullet"/>
      <w:lvlText w:val=""/>
      <w:lvlJc w:val="left"/>
      <w:pPr>
        <w:ind w:left="3906" w:hanging="360"/>
      </w:pPr>
      <w:rPr>
        <w:rFonts w:ascii="Wingdings" w:hAnsi="Wingdings" w:hint="default"/>
      </w:rPr>
    </w:lvl>
    <w:lvl w:ilvl="6" w:tplc="04050001" w:tentative="1">
      <w:start w:val="1"/>
      <w:numFmt w:val="bullet"/>
      <w:lvlText w:val=""/>
      <w:lvlJc w:val="left"/>
      <w:pPr>
        <w:ind w:left="4626" w:hanging="360"/>
      </w:pPr>
      <w:rPr>
        <w:rFonts w:ascii="Symbol" w:hAnsi="Symbol" w:hint="default"/>
      </w:rPr>
    </w:lvl>
    <w:lvl w:ilvl="7" w:tplc="04050003" w:tentative="1">
      <w:start w:val="1"/>
      <w:numFmt w:val="bullet"/>
      <w:lvlText w:val="o"/>
      <w:lvlJc w:val="left"/>
      <w:pPr>
        <w:ind w:left="5346" w:hanging="360"/>
      </w:pPr>
      <w:rPr>
        <w:rFonts w:ascii="Courier New" w:hAnsi="Courier New" w:cs="Courier New" w:hint="default"/>
      </w:rPr>
    </w:lvl>
    <w:lvl w:ilvl="8" w:tplc="04050005" w:tentative="1">
      <w:start w:val="1"/>
      <w:numFmt w:val="bullet"/>
      <w:lvlText w:val=""/>
      <w:lvlJc w:val="left"/>
      <w:pPr>
        <w:ind w:left="6066" w:hanging="360"/>
      </w:pPr>
      <w:rPr>
        <w:rFonts w:ascii="Wingdings" w:hAnsi="Wingdings" w:hint="default"/>
      </w:rPr>
    </w:lvl>
  </w:abstractNum>
  <w:num w:numId="1">
    <w:abstractNumId w:val="25"/>
  </w:num>
  <w:num w:numId="2">
    <w:abstractNumId w:val="32"/>
  </w:num>
  <w:num w:numId="3">
    <w:abstractNumId w:val="6"/>
  </w:num>
  <w:num w:numId="4">
    <w:abstractNumId w:val="33"/>
  </w:num>
  <w:num w:numId="5">
    <w:abstractNumId w:val="3"/>
  </w:num>
  <w:num w:numId="6">
    <w:abstractNumId w:val="12"/>
  </w:num>
  <w:num w:numId="7">
    <w:abstractNumId w:val="27"/>
  </w:num>
  <w:num w:numId="8">
    <w:abstractNumId w:val="38"/>
  </w:num>
  <w:num w:numId="9">
    <w:abstractNumId w:val="26"/>
  </w:num>
  <w:num w:numId="10">
    <w:abstractNumId w:val="36"/>
  </w:num>
  <w:num w:numId="11">
    <w:abstractNumId w:val="11"/>
  </w:num>
  <w:num w:numId="12">
    <w:abstractNumId w:val="42"/>
  </w:num>
  <w:num w:numId="13">
    <w:abstractNumId w:val="31"/>
  </w:num>
  <w:num w:numId="14">
    <w:abstractNumId w:val="34"/>
  </w:num>
  <w:num w:numId="15">
    <w:abstractNumId w:val="37"/>
  </w:num>
  <w:num w:numId="16">
    <w:abstractNumId w:val="5"/>
  </w:num>
  <w:num w:numId="17">
    <w:abstractNumId w:val="17"/>
  </w:num>
  <w:num w:numId="18">
    <w:abstractNumId w:val="39"/>
  </w:num>
  <w:num w:numId="19">
    <w:abstractNumId w:val="0"/>
  </w:num>
  <w:num w:numId="20">
    <w:abstractNumId w:val="45"/>
  </w:num>
  <w:num w:numId="21">
    <w:abstractNumId w:val="7"/>
  </w:num>
  <w:num w:numId="22">
    <w:abstractNumId w:val="30"/>
  </w:num>
  <w:num w:numId="23">
    <w:abstractNumId w:val="18"/>
  </w:num>
  <w:num w:numId="24">
    <w:abstractNumId w:val="15"/>
  </w:num>
  <w:num w:numId="25">
    <w:abstractNumId w:val="44"/>
  </w:num>
  <w:num w:numId="26">
    <w:abstractNumId w:val="20"/>
  </w:num>
  <w:num w:numId="27">
    <w:abstractNumId w:val="13"/>
  </w:num>
  <w:num w:numId="28">
    <w:abstractNumId w:val="40"/>
  </w:num>
  <w:num w:numId="29">
    <w:abstractNumId w:val="16"/>
  </w:num>
  <w:num w:numId="30">
    <w:abstractNumId w:val="22"/>
  </w:num>
  <w:num w:numId="31">
    <w:abstractNumId w:val="10"/>
  </w:num>
  <w:num w:numId="32">
    <w:abstractNumId w:val="43"/>
  </w:num>
  <w:num w:numId="33">
    <w:abstractNumId w:val="28"/>
  </w:num>
  <w:num w:numId="34">
    <w:abstractNumId w:val="8"/>
  </w:num>
  <w:num w:numId="35">
    <w:abstractNumId w:val="19"/>
  </w:num>
  <w:num w:numId="36">
    <w:abstractNumId w:val="21"/>
  </w:num>
  <w:num w:numId="37">
    <w:abstractNumId w:val="14"/>
  </w:num>
  <w:num w:numId="38">
    <w:abstractNumId w:val="1"/>
  </w:num>
  <w:num w:numId="39">
    <w:abstractNumId w:val="9"/>
  </w:num>
  <w:num w:numId="40">
    <w:abstractNumId w:val="29"/>
  </w:num>
  <w:num w:numId="41">
    <w:abstractNumId w:val="2"/>
  </w:num>
  <w:num w:numId="42">
    <w:abstractNumId w:val="41"/>
  </w:num>
  <w:num w:numId="43">
    <w:abstractNumId w:val="24"/>
  </w:num>
  <w:num w:numId="44">
    <w:abstractNumId w:val="4"/>
  </w:num>
  <w:num w:numId="45">
    <w:abstractNumId w:val="35"/>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708"/>
  <w:hyphenationZone w:val="425"/>
  <w:evenAndOddHeaders/>
  <w:drawingGridHorizontalSpacing w:val="110"/>
  <w:displayHorizontalDrawingGridEvery w:val="2"/>
  <w:characterSpacingControl w:val="doNotCompress"/>
  <w:hdrShapeDefaults>
    <o:shapedefaults v:ext="edit" spidmax="4097">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1"/>
    <w:rsid w:val="00002F19"/>
    <w:rsid w:val="00005515"/>
    <w:rsid w:val="00005868"/>
    <w:rsid w:val="0000767A"/>
    <w:rsid w:val="00007BF6"/>
    <w:rsid w:val="00010702"/>
    <w:rsid w:val="0002040C"/>
    <w:rsid w:val="00025165"/>
    <w:rsid w:val="000307D2"/>
    <w:rsid w:val="000353CA"/>
    <w:rsid w:val="0004694F"/>
    <w:rsid w:val="00052153"/>
    <w:rsid w:val="00052D0B"/>
    <w:rsid w:val="00060D56"/>
    <w:rsid w:val="00062320"/>
    <w:rsid w:val="00062EC5"/>
    <w:rsid w:val="0006345C"/>
    <w:rsid w:val="00074403"/>
    <w:rsid w:val="0007543A"/>
    <w:rsid w:val="00083528"/>
    <w:rsid w:val="00087634"/>
    <w:rsid w:val="000915F5"/>
    <w:rsid w:val="00096004"/>
    <w:rsid w:val="000A1183"/>
    <w:rsid w:val="000A2D10"/>
    <w:rsid w:val="000C3408"/>
    <w:rsid w:val="000C547E"/>
    <w:rsid w:val="000D0933"/>
    <w:rsid w:val="000D1765"/>
    <w:rsid w:val="000D21E1"/>
    <w:rsid w:val="000D2433"/>
    <w:rsid w:val="000D3D85"/>
    <w:rsid w:val="000D3E6C"/>
    <w:rsid w:val="000D5E39"/>
    <w:rsid w:val="000E5DE5"/>
    <w:rsid w:val="000F2D17"/>
    <w:rsid w:val="000F6E14"/>
    <w:rsid w:val="0010041E"/>
    <w:rsid w:val="00101535"/>
    <w:rsid w:val="00110E3B"/>
    <w:rsid w:val="001149A1"/>
    <w:rsid w:val="0011701D"/>
    <w:rsid w:val="00121C92"/>
    <w:rsid w:val="00123EF0"/>
    <w:rsid w:val="001319EB"/>
    <w:rsid w:val="00133BA8"/>
    <w:rsid w:val="001351C9"/>
    <w:rsid w:val="001405FA"/>
    <w:rsid w:val="001425C3"/>
    <w:rsid w:val="001466BB"/>
    <w:rsid w:val="00146973"/>
    <w:rsid w:val="00154ED5"/>
    <w:rsid w:val="00157587"/>
    <w:rsid w:val="00162BF0"/>
    <w:rsid w:val="00162D56"/>
    <w:rsid w:val="00163793"/>
    <w:rsid w:val="00164260"/>
    <w:rsid w:val="0016731E"/>
    <w:rsid w:val="001714F2"/>
    <w:rsid w:val="00172311"/>
    <w:rsid w:val="00175160"/>
    <w:rsid w:val="0017745B"/>
    <w:rsid w:val="0017751B"/>
    <w:rsid w:val="00185010"/>
    <w:rsid w:val="0018680D"/>
    <w:rsid w:val="00190B38"/>
    <w:rsid w:val="00193560"/>
    <w:rsid w:val="001A177C"/>
    <w:rsid w:val="001A3B66"/>
    <w:rsid w:val="001A4ACA"/>
    <w:rsid w:val="001A552F"/>
    <w:rsid w:val="001B176A"/>
    <w:rsid w:val="001B3110"/>
    <w:rsid w:val="001B61BC"/>
    <w:rsid w:val="001C1996"/>
    <w:rsid w:val="001C1D52"/>
    <w:rsid w:val="001D189A"/>
    <w:rsid w:val="001E1749"/>
    <w:rsid w:val="001E3731"/>
    <w:rsid w:val="001F4597"/>
    <w:rsid w:val="00200B56"/>
    <w:rsid w:val="00201D3A"/>
    <w:rsid w:val="002075A8"/>
    <w:rsid w:val="00207936"/>
    <w:rsid w:val="00210AA5"/>
    <w:rsid w:val="00213704"/>
    <w:rsid w:val="00213C72"/>
    <w:rsid w:val="00214E6F"/>
    <w:rsid w:val="00216072"/>
    <w:rsid w:val="002175EE"/>
    <w:rsid w:val="0022139E"/>
    <w:rsid w:val="00222564"/>
    <w:rsid w:val="00223026"/>
    <w:rsid w:val="00223335"/>
    <w:rsid w:val="002237C6"/>
    <w:rsid w:val="002252E0"/>
    <w:rsid w:val="002255F6"/>
    <w:rsid w:val="00226272"/>
    <w:rsid w:val="00227AA9"/>
    <w:rsid w:val="002339D2"/>
    <w:rsid w:val="00236443"/>
    <w:rsid w:val="0024085E"/>
    <w:rsid w:val="00240B6D"/>
    <w:rsid w:val="002436BA"/>
    <w:rsid w:val="00244A15"/>
    <w:rsid w:val="0024799E"/>
    <w:rsid w:val="00247A40"/>
    <w:rsid w:val="00254100"/>
    <w:rsid w:val="0026319A"/>
    <w:rsid w:val="00264C1E"/>
    <w:rsid w:val="00270041"/>
    <w:rsid w:val="00271AC3"/>
    <w:rsid w:val="00277062"/>
    <w:rsid w:val="00277DC6"/>
    <w:rsid w:val="00281EE4"/>
    <w:rsid w:val="00282A20"/>
    <w:rsid w:val="0028438F"/>
    <w:rsid w:val="00290B98"/>
    <w:rsid w:val="00290F1C"/>
    <w:rsid w:val="002A310D"/>
    <w:rsid w:val="002A795D"/>
    <w:rsid w:val="002B4648"/>
    <w:rsid w:val="002B6C95"/>
    <w:rsid w:val="002B7526"/>
    <w:rsid w:val="002C1EDC"/>
    <w:rsid w:val="002C43BD"/>
    <w:rsid w:val="002D036A"/>
    <w:rsid w:val="002D1024"/>
    <w:rsid w:val="002D246F"/>
    <w:rsid w:val="002D700F"/>
    <w:rsid w:val="002E02A1"/>
    <w:rsid w:val="002E7C59"/>
    <w:rsid w:val="002F59C4"/>
    <w:rsid w:val="00304771"/>
    <w:rsid w:val="00306C5B"/>
    <w:rsid w:val="00313FC3"/>
    <w:rsid w:val="003209D6"/>
    <w:rsid w:val="00320E92"/>
    <w:rsid w:val="00323231"/>
    <w:rsid w:val="00330C8E"/>
    <w:rsid w:val="0034055C"/>
    <w:rsid w:val="00341C9C"/>
    <w:rsid w:val="00341E61"/>
    <w:rsid w:val="00344398"/>
    <w:rsid w:val="003446FE"/>
    <w:rsid w:val="00344A9F"/>
    <w:rsid w:val="003452B6"/>
    <w:rsid w:val="00345347"/>
    <w:rsid w:val="0035195A"/>
    <w:rsid w:val="00352ACB"/>
    <w:rsid w:val="00356E1F"/>
    <w:rsid w:val="003657F3"/>
    <w:rsid w:val="00370B28"/>
    <w:rsid w:val="00373A31"/>
    <w:rsid w:val="00375B3D"/>
    <w:rsid w:val="00380B0F"/>
    <w:rsid w:val="00381C1A"/>
    <w:rsid w:val="0038205A"/>
    <w:rsid w:val="00385D98"/>
    <w:rsid w:val="00394B23"/>
    <w:rsid w:val="00396A34"/>
    <w:rsid w:val="00397972"/>
    <w:rsid w:val="003A2B4D"/>
    <w:rsid w:val="003A478C"/>
    <w:rsid w:val="003A5525"/>
    <w:rsid w:val="003A6B38"/>
    <w:rsid w:val="003A7223"/>
    <w:rsid w:val="003B0B06"/>
    <w:rsid w:val="003B34FF"/>
    <w:rsid w:val="003B4169"/>
    <w:rsid w:val="003B5A32"/>
    <w:rsid w:val="003B5B99"/>
    <w:rsid w:val="003C1109"/>
    <w:rsid w:val="003C627D"/>
    <w:rsid w:val="003C6CC2"/>
    <w:rsid w:val="003D5919"/>
    <w:rsid w:val="003E037E"/>
    <w:rsid w:val="003E0671"/>
    <w:rsid w:val="003E76A0"/>
    <w:rsid w:val="003F144E"/>
    <w:rsid w:val="003F174C"/>
    <w:rsid w:val="003F313C"/>
    <w:rsid w:val="004004F4"/>
    <w:rsid w:val="0040155D"/>
    <w:rsid w:val="00403034"/>
    <w:rsid w:val="00403484"/>
    <w:rsid w:val="00406353"/>
    <w:rsid w:val="004117C8"/>
    <w:rsid w:val="00416281"/>
    <w:rsid w:val="00416C0A"/>
    <w:rsid w:val="004236AB"/>
    <w:rsid w:val="004242B2"/>
    <w:rsid w:val="00426A61"/>
    <w:rsid w:val="00437926"/>
    <w:rsid w:val="00437DC6"/>
    <w:rsid w:val="00441783"/>
    <w:rsid w:val="0044625F"/>
    <w:rsid w:val="00452B8C"/>
    <w:rsid w:val="00452EBE"/>
    <w:rsid w:val="00467087"/>
    <w:rsid w:val="00470E57"/>
    <w:rsid w:val="00476265"/>
    <w:rsid w:val="004775D1"/>
    <w:rsid w:val="0048086F"/>
    <w:rsid w:val="00480E40"/>
    <w:rsid w:val="0048139F"/>
    <w:rsid w:val="004859A8"/>
    <w:rsid w:val="004868D6"/>
    <w:rsid w:val="004A081C"/>
    <w:rsid w:val="004A3F3B"/>
    <w:rsid w:val="004A44A2"/>
    <w:rsid w:val="004A77DF"/>
    <w:rsid w:val="004B2C1E"/>
    <w:rsid w:val="004B55B7"/>
    <w:rsid w:val="004B7591"/>
    <w:rsid w:val="004C3867"/>
    <w:rsid w:val="004C4ABE"/>
    <w:rsid w:val="004C4CD0"/>
    <w:rsid w:val="004C70DC"/>
    <w:rsid w:val="004D0211"/>
    <w:rsid w:val="004D5E24"/>
    <w:rsid w:val="004E1007"/>
    <w:rsid w:val="004E3E1A"/>
    <w:rsid w:val="004F06F5"/>
    <w:rsid w:val="004F0E28"/>
    <w:rsid w:val="004F209C"/>
    <w:rsid w:val="004F78C3"/>
    <w:rsid w:val="00501EFA"/>
    <w:rsid w:val="005108C0"/>
    <w:rsid w:val="00511873"/>
    <w:rsid w:val="00513B7E"/>
    <w:rsid w:val="00514041"/>
    <w:rsid w:val="0051478D"/>
    <w:rsid w:val="005151FB"/>
    <w:rsid w:val="00520DCA"/>
    <w:rsid w:val="005221B3"/>
    <w:rsid w:val="0052495E"/>
    <w:rsid w:val="00525137"/>
    <w:rsid w:val="005251DD"/>
    <w:rsid w:val="00527720"/>
    <w:rsid w:val="00531985"/>
    <w:rsid w:val="00532D7D"/>
    <w:rsid w:val="005376AD"/>
    <w:rsid w:val="005376E3"/>
    <w:rsid w:val="00542E84"/>
    <w:rsid w:val="00544082"/>
    <w:rsid w:val="00550483"/>
    <w:rsid w:val="00550FE5"/>
    <w:rsid w:val="005513E1"/>
    <w:rsid w:val="00551573"/>
    <w:rsid w:val="00557A96"/>
    <w:rsid w:val="00561D72"/>
    <w:rsid w:val="00572C92"/>
    <w:rsid w:val="0058147F"/>
    <w:rsid w:val="00583FFD"/>
    <w:rsid w:val="0058445D"/>
    <w:rsid w:val="00586971"/>
    <w:rsid w:val="00591143"/>
    <w:rsid w:val="00593152"/>
    <w:rsid w:val="00593E87"/>
    <w:rsid w:val="005956E7"/>
    <w:rsid w:val="005A21E0"/>
    <w:rsid w:val="005A54EB"/>
    <w:rsid w:val="005A7305"/>
    <w:rsid w:val="005A7316"/>
    <w:rsid w:val="005B20AA"/>
    <w:rsid w:val="005B2486"/>
    <w:rsid w:val="005C04E2"/>
    <w:rsid w:val="005C2045"/>
    <w:rsid w:val="005D1BF3"/>
    <w:rsid w:val="005D514D"/>
    <w:rsid w:val="005D5495"/>
    <w:rsid w:val="005D5802"/>
    <w:rsid w:val="005E0178"/>
    <w:rsid w:val="005E1DD5"/>
    <w:rsid w:val="005E316C"/>
    <w:rsid w:val="005E5711"/>
    <w:rsid w:val="005E73F3"/>
    <w:rsid w:val="005F153A"/>
    <w:rsid w:val="005F2EE2"/>
    <w:rsid w:val="006016D1"/>
    <w:rsid w:val="00602EF3"/>
    <w:rsid w:val="00604307"/>
    <w:rsid w:val="0060487F"/>
    <w:rsid w:val="006067DA"/>
    <w:rsid w:val="00606B1B"/>
    <w:rsid w:val="0061689B"/>
    <w:rsid w:val="00624093"/>
    <w:rsid w:val="00625E0F"/>
    <w:rsid w:val="00633AEB"/>
    <w:rsid w:val="00633F6D"/>
    <w:rsid w:val="006352A8"/>
    <w:rsid w:val="00635866"/>
    <w:rsid w:val="00635B35"/>
    <w:rsid w:val="00635FC7"/>
    <w:rsid w:val="006366C8"/>
    <w:rsid w:val="006374C2"/>
    <w:rsid w:val="006404A7"/>
    <w:rsid w:val="00640637"/>
    <w:rsid w:val="006419F8"/>
    <w:rsid w:val="006451E4"/>
    <w:rsid w:val="00645EF8"/>
    <w:rsid w:val="006472BA"/>
    <w:rsid w:val="006523BB"/>
    <w:rsid w:val="00653860"/>
    <w:rsid w:val="00655906"/>
    <w:rsid w:val="0065667A"/>
    <w:rsid w:val="00657E87"/>
    <w:rsid w:val="006710C9"/>
    <w:rsid w:val="00674BA1"/>
    <w:rsid w:val="00675DD1"/>
    <w:rsid w:val="00675E37"/>
    <w:rsid w:val="00677696"/>
    <w:rsid w:val="0068260E"/>
    <w:rsid w:val="0069246C"/>
    <w:rsid w:val="006941CE"/>
    <w:rsid w:val="00695BEF"/>
    <w:rsid w:val="00696417"/>
    <w:rsid w:val="00697219"/>
    <w:rsid w:val="006977F6"/>
    <w:rsid w:val="00697A13"/>
    <w:rsid w:val="00697C9B"/>
    <w:rsid w:val="006A109C"/>
    <w:rsid w:val="006A31C8"/>
    <w:rsid w:val="006A420D"/>
    <w:rsid w:val="006A4247"/>
    <w:rsid w:val="006A429F"/>
    <w:rsid w:val="006A4D1A"/>
    <w:rsid w:val="006B1874"/>
    <w:rsid w:val="006B7581"/>
    <w:rsid w:val="006B78D8"/>
    <w:rsid w:val="006C0C43"/>
    <w:rsid w:val="006C113F"/>
    <w:rsid w:val="006C47BD"/>
    <w:rsid w:val="006D211A"/>
    <w:rsid w:val="006D3ACC"/>
    <w:rsid w:val="006D61F6"/>
    <w:rsid w:val="006D640E"/>
    <w:rsid w:val="006E09D5"/>
    <w:rsid w:val="006E1FDB"/>
    <w:rsid w:val="006E279A"/>
    <w:rsid w:val="006E313B"/>
    <w:rsid w:val="006E5DFC"/>
    <w:rsid w:val="006E71FE"/>
    <w:rsid w:val="007051F5"/>
    <w:rsid w:val="0070676A"/>
    <w:rsid w:val="00711D97"/>
    <w:rsid w:val="007211F5"/>
    <w:rsid w:val="007271FD"/>
    <w:rsid w:val="00730AE8"/>
    <w:rsid w:val="00736D17"/>
    <w:rsid w:val="0073795D"/>
    <w:rsid w:val="00741493"/>
    <w:rsid w:val="00746E1B"/>
    <w:rsid w:val="0074736D"/>
    <w:rsid w:val="00747BB9"/>
    <w:rsid w:val="00750951"/>
    <w:rsid w:val="00752180"/>
    <w:rsid w:val="00755D3A"/>
    <w:rsid w:val="007572C9"/>
    <w:rsid w:val="0075757C"/>
    <w:rsid w:val="007609C6"/>
    <w:rsid w:val="00760D36"/>
    <w:rsid w:val="00761C28"/>
    <w:rsid w:val="007632B9"/>
    <w:rsid w:val="0077264D"/>
    <w:rsid w:val="00774CA3"/>
    <w:rsid w:val="00776527"/>
    <w:rsid w:val="00777353"/>
    <w:rsid w:val="00784861"/>
    <w:rsid w:val="007949E3"/>
    <w:rsid w:val="007A01BD"/>
    <w:rsid w:val="007A4E4E"/>
    <w:rsid w:val="007A68E8"/>
    <w:rsid w:val="007A7B9B"/>
    <w:rsid w:val="007B47EE"/>
    <w:rsid w:val="007B60D9"/>
    <w:rsid w:val="007C01B3"/>
    <w:rsid w:val="007C740E"/>
    <w:rsid w:val="007D3A47"/>
    <w:rsid w:val="007D6E98"/>
    <w:rsid w:val="007E0D3A"/>
    <w:rsid w:val="007E12CE"/>
    <w:rsid w:val="007E7E61"/>
    <w:rsid w:val="007F3932"/>
    <w:rsid w:val="007F4A5E"/>
    <w:rsid w:val="007F6B36"/>
    <w:rsid w:val="00802A57"/>
    <w:rsid w:val="00814887"/>
    <w:rsid w:val="00814A8E"/>
    <w:rsid w:val="008207EF"/>
    <w:rsid w:val="00821FF6"/>
    <w:rsid w:val="00830E10"/>
    <w:rsid w:val="0083143E"/>
    <w:rsid w:val="00831D41"/>
    <w:rsid w:val="00834FAA"/>
    <w:rsid w:val="0083596D"/>
    <w:rsid w:val="00836086"/>
    <w:rsid w:val="00836B26"/>
    <w:rsid w:val="0084681E"/>
    <w:rsid w:val="00853E06"/>
    <w:rsid w:val="0085489F"/>
    <w:rsid w:val="00855FB6"/>
    <w:rsid w:val="00857578"/>
    <w:rsid w:val="0086041E"/>
    <w:rsid w:val="008605E5"/>
    <w:rsid w:val="00860953"/>
    <w:rsid w:val="008620CA"/>
    <w:rsid w:val="00863FDA"/>
    <w:rsid w:val="0087055B"/>
    <w:rsid w:val="00876086"/>
    <w:rsid w:val="0088462E"/>
    <w:rsid w:val="008877B0"/>
    <w:rsid w:val="008B0974"/>
    <w:rsid w:val="008B309A"/>
    <w:rsid w:val="008B5772"/>
    <w:rsid w:val="008B7C02"/>
    <w:rsid w:val="008C0E88"/>
    <w:rsid w:val="008C1793"/>
    <w:rsid w:val="008D1923"/>
    <w:rsid w:val="008D2A16"/>
    <w:rsid w:val="008D7DD3"/>
    <w:rsid w:val="008E31FF"/>
    <w:rsid w:val="008E401B"/>
    <w:rsid w:val="008E41B4"/>
    <w:rsid w:val="008E54ED"/>
    <w:rsid w:val="008F60FD"/>
    <w:rsid w:val="009003A8"/>
    <w:rsid w:val="00901E8E"/>
    <w:rsid w:val="009020FE"/>
    <w:rsid w:val="00902EFF"/>
    <w:rsid w:val="0090382A"/>
    <w:rsid w:val="00903ADB"/>
    <w:rsid w:val="00917F10"/>
    <w:rsid w:val="00921F14"/>
    <w:rsid w:val="009233F1"/>
    <w:rsid w:val="009248E3"/>
    <w:rsid w:val="00930D23"/>
    <w:rsid w:val="00930E84"/>
    <w:rsid w:val="00931794"/>
    <w:rsid w:val="0094427A"/>
    <w:rsid w:val="00944EA6"/>
    <w:rsid w:val="009552B1"/>
    <w:rsid w:val="00957CD1"/>
    <w:rsid w:val="0096414A"/>
    <w:rsid w:val="00972CA2"/>
    <w:rsid w:val="00973454"/>
    <w:rsid w:val="00974923"/>
    <w:rsid w:val="0098715D"/>
    <w:rsid w:val="00991A9E"/>
    <w:rsid w:val="0099411B"/>
    <w:rsid w:val="009A0CC8"/>
    <w:rsid w:val="009A23E5"/>
    <w:rsid w:val="009A76CB"/>
    <w:rsid w:val="009B35D8"/>
    <w:rsid w:val="009B6FD3"/>
    <w:rsid w:val="009C00F3"/>
    <w:rsid w:val="009C3912"/>
    <w:rsid w:val="009C7B08"/>
    <w:rsid w:val="009D15E0"/>
    <w:rsid w:val="009D2120"/>
    <w:rsid w:val="009D307C"/>
    <w:rsid w:val="009D7138"/>
    <w:rsid w:val="009E14B5"/>
    <w:rsid w:val="009E3131"/>
    <w:rsid w:val="009E3D07"/>
    <w:rsid w:val="009E5300"/>
    <w:rsid w:val="009E5C6B"/>
    <w:rsid w:val="009F30E4"/>
    <w:rsid w:val="009F4437"/>
    <w:rsid w:val="00A00BE4"/>
    <w:rsid w:val="00A0275E"/>
    <w:rsid w:val="00A074EF"/>
    <w:rsid w:val="00A077BC"/>
    <w:rsid w:val="00A10D66"/>
    <w:rsid w:val="00A11757"/>
    <w:rsid w:val="00A15646"/>
    <w:rsid w:val="00A1636E"/>
    <w:rsid w:val="00A202A7"/>
    <w:rsid w:val="00A204CF"/>
    <w:rsid w:val="00A219A9"/>
    <w:rsid w:val="00A2383F"/>
    <w:rsid w:val="00A23E43"/>
    <w:rsid w:val="00A33EFD"/>
    <w:rsid w:val="00A34DA0"/>
    <w:rsid w:val="00A35033"/>
    <w:rsid w:val="00A460B2"/>
    <w:rsid w:val="00A4618B"/>
    <w:rsid w:val="00A46DE0"/>
    <w:rsid w:val="00A475AC"/>
    <w:rsid w:val="00A5222D"/>
    <w:rsid w:val="00A52B44"/>
    <w:rsid w:val="00A52EC2"/>
    <w:rsid w:val="00A5555E"/>
    <w:rsid w:val="00A55FDE"/>
    <w:rsid w:val="00A57446"/>
    <w:rsid w:val="00A62CE1"/>
    <w:rsid w:val="00A75E40"/>
    <w:rsid w:val="00A84BAF"/>
    <w:rsid w:val="00A857C0"/>
    <w:rsid w:val="00A90201"/>
    <w:rsid w:val="00A902A5"/>
    <w:rsid w:val="00A91F5C"/>
    <w:rsid w:val="00A94AB5"/>
    <w:rsid w:val="00A953D4"/>
    <w:rsid w:val="00AA0168"/>
    <w:rsid w:val="00AA315F"/>
    <w:rsid w:val="00AA3BA1"/>
    <w:rsid w:val="00AA559A"/>
    <w:rsid w:val="00AB2AF1"/>
    <w:rsid w:val="00AB3CE2"/>
    <w:rsid w:val="00AB64E8"/>
    <w:rsid w:val="00AC1752"/>
    <w:rsid w:val="00AC4A24"/>
    <w:rsid w:val="00AD239A"/>
    <w:rsid w:val="00AD306C"/>
    <w:rsid w:val="00AD4FBF"/>
    <w:rsid w:val="00AD5913"/>
    <w:rsid w:val="00AE33C2"/>
    <w:rsid w:val="00AE6C8E"/>
    <w:rsid w:val="00AF25EE"/>
    <w:rsid w:val="00B01CAD"/>
    <w:rsid w:val="00B17C49"/>
    <w:rsid w:val="00B17E71"/>
    <w:rsid w:val="00B17FDE"/>
    <w:rsid w:val="00B2098B"/>
    <w:rsid w:val="00B32BCC"/>
    <w:rsid w:val="00B32DDB"/>
    <w:rsid w:val="00B36A65"/>
    <w:rsid w:val="00B372C8"/>
    <w:rsid w:val="00B40A03"/>
    <w:rsid w:val="00B40CFB"/>
    <w:rsid w:val="00B44676"/>
    <w:rsid w:val="00B448FC"/>
    <w:rsid w:val="00B46099"/>
    <w:rsid w:val="00B4643E"/>
    <w:rsid w:val="00B513EB"/>
    <w:rsid w:val="00B551E6"/>
    <w:rsid w:val="00B63AFC"/>
    <w:rsid w:val="00B63BD5"/>
    <w:rsid w:val="00B6608F"/>
    <w:rsid w:val="00B76CB5"/>
    <w:rsid w:val="00B76D1E"/>
    <w:rsid w:val="00B801AF"/>
    <w:rsid w:val="00B80EDA"/>
    <w:rsid w:val="00B81475"/>
    <w:rsid w:val="00B85CB1"/>
    <w:rsid w:val="00B90EFA"/>
    <w:rsid w:val="00B95940"/>
    <w:rsid w:val="00B97BEC"/>
    <w:rsid w:val="00BA0E5F"/>
    <w:rsid w:val="00BA493B"/>
    <w:rsid w:val="00BA4D62"/>
    <w:rsid w:val="00BB0015"/>
    <w:rsid w:val="00BB10A9"/>
    <w:rsid w:val="00BB5FF0"/>
    <w:rsid w:val="00BC2F06"/>
    <w:rsid w:val="00BC3543"/>
    <w:rsid w:val="00BC39BB"/>
    <w:rsid w:val="00BC5568"/>
    <w:rsid w:val="00BC66E8"/>
    <w:rsid w:val="00BD2BDC"/>
    <w:rsid w:val="00BD366B"/>
    <w:rsid w:val="00BD3FB1"/>
    <w:rsid w:val="00BD6D50"/>
    <w:rsid w:val="00BD7706"/>
    <w:rsid w:val="00BE23F8"/>
    <w:rsid w:val="00BF011D"/>
    <w:rsid w:val="00BF0BA2"/>
    <w:rsid w:val="00BF26C4"/>
    <w:rsid w:val="00C01506"/>
    <w:rsid w:val="00C107E7"/>
    <w:rsid w:val="00C148E2"/>
    <w:rsid w:val="00C21F94"/>
    <w:rsid w:val="00C22FC8"/>
    <w:rsid w:val="00C274E0"/>
    <w:rsid w:val="00C3177E"/>
    <w:rsid w:val="00C36AC9"/>
    <w:rsid w:val="00C41EFF"/>
    <w:rsid w:val="00C41FBD"/>
    <w:rsid w:val="00C45E27"/>
    <w:rsid w:val="00C47265"/>
    <w:rsid w:val="00C51E92"/>
    <w:rsid w:val="00C54836"/>
    <w:rsid w:val="00C556F4"/>
    <w:rsid w:val="00C64B75"/>
    <w:rsid w:val="00C6634F"/>
    <w:rsid w:val="00C728E0"/>
    <w:rsid w:val="00C8098B"/>
    <w:rsid w:val="00C80F44"/>
    <w:rsid w:val="00C85E96"/>
    <w:rsid w:val="00C901F9"/>
    <w:rsid w:val="00C90CF4"/>
    <w:rsid w:val="00C91D7C"/>
    <w:rsid w:val="00C92654"/>
    <w:rsid w:val="00C93389"/>
    <w:rsid w:val="00C93C0D"/>
    <w:rsid w:val="00C97E34"/>
    <w:rsid w:val="00CA0463"/>
    <w:rsid w:val="00CA24C7"/>
    <w:rsid w:val="00CA5A12"/>
    <w:rsid w:val="00CB7349"/>
    <w:rsid w:val="00CC14C1"/>
    <w:rsid w:val="00CC1931"/>
    <w:rsid w:val="00CC1CC4"/>
    <w:rsid w:val="00CC2E9C"/>
    <w:rsid w:val="00CC475C"/>
    <w:rsid w:val="00CC6A28"/>
    <w:rsid w:val="00CD288B"/>
    <w:rsid w:val="00CE26E9"/>
    <w:rsid w:val="00CE3173"/>
    <w:rsid w:val="00CE45A3"/>
    <w:rsid w:val="00CE6149"/>
    <w:rsid w:val="00CF26A8"/>
    <w:rsid w:val="00CF3148"/>
    <w:rsid w:val="00CF51EC"/>
    <w:rsid w:val="00D03353"/>
    <w:rsid w:val="00D03693"/>
    <w:rsid w:val="00D040DD"/>
    <w:rsid w:val="00D10241"/>
    <w:rsid w:val="00D10A68"/>
    <w:rsid w:val="00D15A3E"/>
    <w:rsid w:val="00D16F21"/>
    <w:rsid w:val="00D30233"/>
    <w:rsid w:val="00D31387"/>
    <w:rsid w:val="00D32AAF"/>
    <w:rsid w:val="00D347C8"/>
    <w:rsid w:val="00D3681A"/>
    <w:rsid w:val="00D41CE2"/>
    <w:rsid w:val="00D51522"/>
    <w:rsid w:val="00D516DE"/>
    <w:rsid w:val="00D51805"/>
    <w:rsid w:val="00D56ADA"/>
    <w:rsid w:val="00D602CE"/>
    <w:rsid w:val="00D60433"/>
    <w:rsid w:val="00D615CD"/>
    <w:rsid w:val="00D61A47"/>
    <w:rsid w:val="00D67975"/>
    <w:rsid w:val="00D709E7"/>
    <w:rsid w:val="00D719DF"/>
    <w:rsid w:val="00D7363A"/>
    <w:rsid w:val="00D76ECF"/>
    <w:rsid w:val="00D842D3"/>
    <w:rsid w:val="00D849E3"/>
    <w:rsid w:val="00D85D2F"/>
    <w:rsid w:val="00DA2A27"/>
    <w:rsid w:val="00DA3AAF"/>
    <w:rsid w:val="00DA45FF"/>
    <w:rsid w:val="00DA5852"/>
    <w:rsid w:val="00DA5900"/>
    <w:rsid w:val="00DB210A"/>
    <w:rsid w:val="00DB4F3B"/>
    <w:rsid w:val="00DB5AED"/>
    <w:rsid w:val="00DC2E00"/>
    <w:rsid w:val="00DC5B3B"/>
    <w:rsid w:val="00DD0AC7"/>
    <w:rsid w:val="00DD39C0"/>
    <w:rsid w:val="00DE2D8F"/>
    <w:rsid w:val="00DE3724"/>
    <w:rsid w:val="00DE6B5D"/>
    <w:rsid w:val="00DE6F11"/>
    <w:rsid w:val="00DF00E1"/>
    <w:rsid w:val="00DF1554"/>
    <w:rsid w:val="00DF1593"/>
    <w:rsid w:val="00DF4DBA"/>
    <w:rsid w:val="00DF5641"/>
    <w:rsid w:val="00E01C0E"/>
    <w:rsid w:val="00E03893"/>
    <w:rsid w:val="00E04694"/>
    <w:rsid w:val="00E069D1"/>
    <w:rsid w:val="00E17090"/>
    <w:rsid w:val="00E1763E"/>
    <w:rsid w:val="00E22935"/>
    <w:rsid w:val="00E23CFF"/>
    <w:rsid w:val="00E263D4"/>
    <w:rsid w:val="00E2712D"/>
    <w:rsid w:val="00E40102"/>
    <w:rsid w:val="00E42B4D"/>
    <w:rsid w:val="00E438DF"/>
    <w:rsid w:val="00E471F8"/>
    <w:rsid w:val="00E5040E"/>
    <w:rsid w:val="00E55504"/>
    <w:rsid w:val="00E578A9"/>
    <w:rsid w:val="00E63EC2"/>
    <w:rsid w:val="00E644C5"/>
    <w:rsid w:val="00E65D1A"/>
    <w:rsid w:val="00E663CD"/>
    <w:rsid w:val="00E71A58"/>
    <w:rsid w:val="00E75DA1"/>
    <w:rsid w:val="00E81B7C"/>
    <w:rsid w:val="00E8493B"/>
    <w:rsid w:val="00E90C72"/>
    <w:rsid w:val="00E93764"/>
    <w:rsid w:val="00E97C6C"/>
    <w:rsid w:val="00EA0C68"/>
    <w:rsid w:val="00EA29F0"/>
    <w:rsid w:val="00EB3661"/>
    <w:rsid w:val="00EB7DA1"/>
    <w:rsid w:val="00EC6E8A"/>
    <w:rsid w:val="00ED286F"/>
    <w:rsid w:val="00EE1E7F"/>
    <w:rsid w:val="00EE39DC"/>
    <w:rsid w:val="00EE3E78"/>
    <w:rsid w:val="00EE5A6E"/>
    <w:rsid w:val="00EF1AEF"/>
    <w:rsid w:val="00EF1F5A"/>
    <w:rsid w:val="00EF3E4D"/>
    <w:rsid w:val="00EF4D97"/>
    <w:rsid w:val="00EF5416"/>
    <w:rsid w:val="00F014FF"/>
    <w:rsid w:val="00F02F8E"/>
    <w:rsid w:val="00F0328F"/>
    <w:rsid w:val="00F03967"/>
    <w:rsid w:val="00F04811"/>
    <w:rsid w:val="00F0488C"/>
    <w:rsid w:val="00F12246"/>
    <w:rsid w:val="00F127ED"/>
    <w:rsid w:val="00F15BEF"/>
    <w:rsid w:val="00F24FAA"/>
    <w:rsid w:val="00F3364D"/>
    <w:rsid w:val="00F41C6D"/>
    <w:rsid w:val="00F42351"/>
    <w:rsid w:val="00F45E8A"/>
    <w:rsid w:val="00F53404"/>
    <w:rsid w:val="00F5536C"/>
    <w:rsid w:val="00F6371C"/>
    <w:rsid w:val="00F63DDE"/>
    <w:rsid w:val="00F63FB7"/>
    <w:rsid w:val="00F6458A"/>
    <w:rsid w:val="00F67236"/>
    <w:rsid w:val="00F70B9D"/>
    <w:rsid w:val="00F71B42"/>
    <w:rsid w:val="00F725A0"/>
    <w:rsid w:val="00F73A0C"/>
    <w:rsid w:val="00F77FB0"/>
    <w:rsid w:val="00F85872"/>
    <w:rsid w:val="00F93BEC"/>
    <w:rsid w:val="00F954C5"/>
    <w:rsid w:val="00F95636"/>
    <w:rsid w:val="00FA499A"/>
    <w:rsid w:val="00FB007E"/>
    <w:rsid w:val="00FB2302"/>
    <w:rsid w:val="00FC0B39"/>
    <w:rsid w:val="00FC0C8F"/>
    <w:rsid w:val="00FC0E5F"/>
    <w:rsid w:val="00FC12FB"/>
    <w:rsid w:val="00FC1CDE"/>
    <w:rsid w:val="00FC56DE"/>
    <w:rsid w:val="00FD0311"/>
    <w:rsid w:val="00FD0F42"/>
    <w:rsid w:val="00FD497D"/>
    <w:rsid w:val="00FD730E"/>
    <w:rsid w:val="00FD778F"/>
    <w:rsid w:val="00FE04DC"/>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cf4dd,#eaecee,#fcec0a,#fcecdb,#f1daf5"/>
    </o:shapedefaults>
    <o:shapelayout v:ext="edit">
      <o:idmap v:ext="edit" data="1"/>
    </o:shapelayout>
  </w:shapeDefaults>
  <w:decimalSymbol w:val=","/>
  <w:listSeparator w:val=";"/>
  <w14:docId w14:val="7CC58C89"/>
  <w15:docId w15:val="{DE5222CD-3FE1-407A-9B81-7E212EF1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qFormat/>
    <w:rsid w:val="00A1636E"/>
    <w:pPr>
      <w:keepNext/>
      <w:keepLines/>
      <w:spacing w:before="120" w:after="240" w:line="288" w:lineRule="auto"/>
      <w:outlineLvl w:val="1"/>
    </w:pPr>
    <w:rPr>
      <w:rFonts w:ascii="Arial" w:eastAsia="MS Gothic" w:hAnsi="Arial"/>
      <w:b/>
      <w:bCs/>
      <w:color w:val="BC091B"/>
      <w:sz w:val="28"/>
      <w:szCs w:val="26"/>
    </w:rPr>
  </w:style>
  <w:style w:type="paragraph" w:styleId="Nadpis3">
    <w:name w:val="heading 3"/>
    <w:next w:val="Normln"/>
    <w:link w:val="Nadpis3Char"/>
    <w:qFormat/>
    <w:rsid w:val="00EE39DC"/>
    <w:pPr>
      <w:keepNext/>
      <w:keepLines/>
      <w:spacing w:before="240" w:after="120" w:line="288" w:lineRule="auto"/>
      <w:outlineLvl w:val="2"/>
    </w:pPr>
    <w:rPr>
      <w:rFonts w:ascii="Arial" w:eastAsia="MS Gothic" w:hAnsi="Arial"/>
      <w:b/>
      <w:bCs/>
      <w:color w:val="BC091B"/>
      <w:sz w:val="24"/>
      <w:szCs w:val="24"/>
    </w:rPr>
  </w:style>
  <w:style w:type="paragraph" w:styleId="Nadpis4">
    <w:name w:val="heading 4"/>
    <w:next w:val="Normln"/>
    <w:link w:val="Nadpis4Char"/>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qFormat/>
    <w:rsid w:val="00110E3B"/>
    <w:pPr>
      <w:keepNext/>
      <w:spacing w:before="120" w:after="120" w:line="240" w:lineRule="auto"/>
      <w:jc w:val="center"/>
      <w:outlineLvl w:val="4"/>
    </w:pPr>
    <w:rPr>
      <w:b/>
      <w:bCs/>
      <w:sz w:val="16"/>
      <w:szCs w:val="16"/>
    </w:rPr>
  </w:style>
  <w:style w:type="paragraph" w:styleId="Nadpis6">
    <w:name w:val="heading 6"/>
    <w:basedOn w:val="Normln"/>
    <w:next w:val="Normln"/>
    <w:link w:val="Nadpis6Char"/>
    <w:qFormat/>
    <w:rsid w:val="00110E3B"/>
    <w:pPr>
      <w:keepNext/>
      <w:spacing w:before="120" w:after="120" w:line="240" w:lineRule="auto"/>
      <w:jc w:val="both"/>
      <w:outlineLvl w:val="5"/>
    </w:pPr>
    <w:rPr>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character" w:customStyle="1" w:styleId="Nadpis1Char">
    <w:name w:val="Nadpis 1 Char"/>
    <w:link w:val="Nadpis1"/>
    <w:rsid w:val="00BC3543"/>
    <w:rPr>
      <w:rFonts w:ascii="Arial" w:eastAsia="MS Gothic" w:hAnsi="Arial"/>
      <w:b/>
      <w:bCs/>
      <w:color w:val="BC091B"/>
      <w:sz w:val="32"/>
      <w:szCs w:val="28"/>
      <w:lang w:bidi="ar-SA"/>
    </w:rPr>
  </w:style>
  <w:style w:type="character" w:customStyle="1" w:styleId="Nadpis2Char">
    <w:name w:val="Nadpis 2 Char"/>
    <w:link w:val="Nadpis2"/>
    <w:rsid w:val="00A1636E"/>
    <w:rPr>
      <w:rFonts w:ascii="Arial" w:eastAsia="MS Gothic" w:hAnsi="Arial"/>
      <w:b/>
      <w:bCs/>
      <w:color w:val="BC091B"/>
      <w:sz w:val="28"/>
      <w:szCs w:val="26"/>
    </w:rPr>
  </w:style>
  <w:style w:type="character" w:customStyle="1" w:styleId="Nadpis3Char">
    <w:name w:val="Nadpis 3 Char"/>
    <w:link w:val="Nadpis3"/>
    <w:rsid w:val="00EE39DC"/>
    <w:rPr>
      <w:rFonts w:ascii="Arial" w:eastAsia="MS Gothic" w:hAnsi="Arial"/>
      <w:b/>
      <w:bCs/>
      <w:color w:val="BC091B"/>
      <w:sz w:val="24"/>
      <w:szCs w:val="24"/>
    </w:rPr>
  </w:style>
  <w:style w:type="character" w:customStyle="1" w:styleId="Nadpis4Char">
    <w:name w:val="Nadpis 4 Char"/>
    <w:link w:val="Nadpis4"/>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Textpoznpodarou">
    <w:name w:val="footnote text"/>
    <w:basedOn w:val="Normln"/>
    <w:link w:val="TextpoznpodarouChar"/>
    <w:semiHidden/>
    <w:rsid w:val="00542E84"/>
    <w:pPr>
      <w:spacing w:before="120" w:after="120" w:line="240" w:lineRule="auto"/>
      <w:jc w:val="both"/>
    </w:pPr>
    <w:rPr>
      <w:sz w:val="16"/>
      <w:szCs w:val="20"/>
    </w:rPr>
  </w:style>
  <w:style w:type="character" w:customStyle="1" w:styleId="TextpoznpodarouChar">
    <w:name w:val="Text pozn. pod čarou Char"/>
    <w:basedOn w:val="Standardnpsmoodstavce"/>
    <w:link w:val="Textpoznpodarou"/>
    <w:semiHidden/>
    <w:rsid w:val="00542E84"/>
    <w:rPr>
      <w:rFonts w:ascii="Arial" w:eastAsia="Times New Roman" w:hAnsi="Arial"/>
      <w:sz w:val="16"/>
    </w:rPr>
  </w:style>
  <w:style w:type="character" w:styleId="Znakapoznpodarou">
    <w:name w:val="footnote reference"/>
    <w:basedOn w:val="Standardnpsmoodstavce"/>
    <w:semiHidden/>
    <w:rsid w:val="00542E84"/>
    <w:rPr>
      <w:vertAlign w:val="superscript"/>
    </w:rPr>
  </w:style>
  <w:style w:type="paragraph" w:customStyle="1" w:styleId="Poznamkapodcarou">
    <w:name w:val="Poznamka pod carou"/>
    <w:basedOn w:val="Normln"/>
    <w:rsid w:val="00542E84"/>
    <w:pPr>
      <w:spacing w:before="120" w:after="120" w:line="240" w:lineRule="auto"/>
    </w:pPr>
    <w:rPr>
      <w:sz w:val="16"/>
      <w:szCs w:val="20"/>
    </w:rPr>
  </w:style>
  <w:style w:type="character" w:customStyle="1" w:styleId="Nadpis5Char">
    <w:name w:val="Nadpis 5 Char"/>
    <w:basedOn w:val="Standardnpsmoodstavce"/>
    <w:link w:val="Nadpis5"/>
    <w:rsid w:val="00110E3B"/>
    <w:rPr>
      <w:rFonts w:ascii="Arial" w:eastAsia="Times New Roman" w:hAnsi="Arial"/>
      <w:b/>
      <w:bCs/>
      <w:sz w:val="16"/>
      <w:szCs w:val="16"/>
    </w:rPr>
  </w:style>
  <w:style w:type="character" w:customStyle="1" w:styleId="Nadpis6Char">
    <w:name w:val="Nadpis 6 Char"/>
    <w:basedOn w:val="Standardnpsmoodstavce"/>
    <w:link w:val="Nadpis6"/>
    <w:rsid w:val="00110E3B"/>
    <w:rPr>
      <w:rFonts w:ascii="Arial" w:eastAsia="Times New Roman" w:hAnsi="Arial"/>
      <w:b/>
      <w:bCs/>
      <w:sz w:val="16"/>
      <w:szCs w:val="24"/>
    </w:rPr>
  </w:style>
  <w:style w:type="paragraph" w:customStyle="1" w:styleId="Nadpisvlastn1">
    <w:name w:val="Nadpis vlastní 1"/>
    <w:basedOn w:val="Normln"/>
    <w:rsid w:val="00110E3B"/>
    <w:pPr>
      <w:spacing w:before="120" w:after="360" w:line="240" w:lineRule="auto"/>
      <w:jc w:val="both"/>
    </w:pPr>
    <w:rPr>
      <w:b/>
      <w:bCs/>
      <w:sz w:val="36"/>
      <w:szCs w:val="20"/>
    </w:rPr>
  </w:style>
  <w:style w:type="paragraph" w:customStyle="1" w:styleId="Nadpisvlastn2">
    <w:name w:val="Nadpis vlastní 2"/>
    <w:basedOn w:val="Nadpisvlastn1"/>
    <w:rsid w:val="00110E3B"/>
    <w:rPr>
      <w14:shadow w14:blurRad="50800" w14:dist="38100" w14:dir="2700000" w14:sx="100000" w14:sy="100000" w14:kx="0" w14:ky="0" w14:algn="tl">
        <w14:srgbClr w14:val="000000">
          <w14:alpha w14:val="60000"/>
        </w14:srgbClr>
      </w14:shadow>
    </w:rPr>
  </w:style>
  <w:style w:type="paragraph" w:styleId="Zkladntextodsazen">
    <w:name w:val="Body Text Indent"/>
    <w:basedOn w:val="Normln"/>
    <w:link w:val="ZkladntextodsazenChar"/>
    <w:semiHidden/>
    <w:rsid w:val="00110E3B"/>
    <w:pPr>
      <w:spacing w:before="120" w:after="120" w:line="240" w:lineRule="auto"/>
      <w:ind w:firstLine="720"/>
      <w:jc w:val="both"/>
    </w:pPr>
  </w:style>
  <w:style w:type="character" w:customStyle="1" w:styleId="ZkladntextodsazenChar">
    <w:name w:val="Základní text odsazený Char"/>
    <w:basedOn w:val="Standardnpsmoodstavce"/>
    <w:link w:val="Zkladntextodsazen"/>
    <w:semiHidden/>
    <w:rsid w:val="00110E3B"/>
    <w:rPr>
      <w:rFonts w:ascii="Arial" w:eastAsia="Times New Roman" w:hAnsi="Arial"/>
      <w:szCs w:val="24"/>
    </w:rPr>
  </w:style>
  <w:style w:type="paragraph" w:customStyle="1" w:styleId="xl25">
    <w:name w:val="xl2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16"/>
      <w:szCs w:val="16"/>
    </w:rPr>
  </w:style>
  <w:style w:type="paragraph" w:customStyle="1" w:styleId="xl26">
    <w:name w:val="xl2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6"/>
      <w:szCs w:val="16"/>
    </w:rPr>
  </w:style>
  <w:style w:type="paragraph" w:customStyle="1" w:styleId="xl27">
    <w:name w:val="xl2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cs="Arial"/>
      <w:sz w:val="16"/>
      <w:szCs w:val="16"/>
    </w:rPr>
  </w:style>
  <w:style w:type="paragraph" w:customStyle="1" w:styleId="xl28">
    <w:name w:val="xl28"/>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cs="Arial"/>
      <w:sz w:val="16"/>
      <w:szCs w:val="16"/>
    </w:rPr>
  </w:style>
  <w:style w:type="paragraph" w:customStyle="1" w:styleId="xl29">
    <w:name w:val="xl29"/>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0">
    <w:name w:val="xl30"/>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1">
    <w:name w:val="xl31"/>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cs="Arial"/>
      <w:sz w:val="16"/>
      <w:szCs w:val="16"/>
    </w:rPr>
  </w:style>
  <w:style w:type="paragraph" w:customStyle="1" w:styleId="xl32">
    <w:name w:val="xl32"/>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both"/>
    </w:pPr>
    <w:rPr>
      <w:rFonts w:cs="Arial"/>
      <w:sz w:val="16"/>
      <w:szCs w:val="16"/>
    </w:rPr>
  </w:style>
  <w:style w:type="paragraph" w:customStyle="1" w:styleId="xl33">
    <w:name w:val="xl33"/>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4">
    <w:name w:val="xl34"/>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cs="Arial"/>
      <w:sz w:val="16"/>
      <w:szCs w:val="16"/>
    </w:rPr>
  </w:style>
  <w:style w:type="paragraph" w:customStyle="1" w:styleId="xl35">
    <w:name w:val="xl35"/>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cs="Arial"/>
      <w:b/>
      <w:bCs/>
      <w:sz w:val="16"/>
      <w:szCs w:val="16"/>
    </w:rPr>
  </w:style>
  <w:style w:type="paragraph" w:customStyle="1" w:styleId="xl24">
    <w:name w:val="xl24"/>
    <w:basedOn w:val="Normln"/>
    <w:rsid w:val="00110E3B"/>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36">
    <w:name w:val="xl36"/>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7">
    <w:name w:val="xl37"/>
    <w:basedOn w:val="Normln"/>
    <w:rsid w:val="00110E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38">
    <w:name w:val="xl38"/>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39">
    <w:name w:val="xl39"/>
    <w:basedOn w:val="Normln"/>
    <w:rsid w:val="00110E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0">
    <w:name w:val="xl40"/>
    <w:basedOn w:val="Normln"/>
    <w:rsid w:val="00110E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1">
    <w:name w:val="xl41"/>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42">
    <w:name w:val="xl42"/>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3">
    <w:name w:val="xl43"/>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6"/>
      <w:szCs w:val="16"/>
    </w:rPr>
  </w:style>
  <w:style w:type="paragraph" w:customStyle="1" w:styleId="xl44">
    <w:name w:val="xl44"/>
    <w:basedOn w:val="Normln"/>
    <w:rsid w:val="00110E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45">
    <w:name w:val="xl45"/>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6">
    <w:name w:val="xl46"/>
    <w:basedOn w:val="Normln"/>
    <w:rsid w:val="00110E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Unicode MS"/>
      <w:sz w:val="16"/>
      <w:szCs w:val="16"/>
    </w:rPr>
  </w:style>
  <w:style w:type="paragraph" w:customStyle="1" w:styleId="xl47">
    <w:name w:val="xl47"/>
    <w:basedOn w:val="Normln"/>
    <w:rsid w:val="00110E3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48">
    <w:name w:val="xl48"/>
    <w:basedOn w:val="Normln"/>
    <w:rsid w:val="00110E3B"/>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both"/>
    </w:pPr>
    <w:rPr>
      <w:rFonts w:eastAsia="Arial Unicode MS" w:cs="Arial"/>
      <w:b/>
      <w:bCs/>
      <w:color w:val="000000"/>
      <w:sz w:val="16"/>
      <w:szCs w:val="16"/>
    </w:rPr>
  </w:style>
  <w:style w:type="paragraph" w:customStyle="1" w:styleId="xl49">
    <w:name w:val="xl49"/>
    <w:basedOn w:val="Normln"/>
    <w:rsid w:val="00110E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Arial Unicode MS" w:cs="Arial Unicode MS"/>
      <w:sz w:val="16"/>
      <w:szCs w:val="16"/>
    </w:rPr>
  </w:style>
  <w:style w:type="paragraph" w:customStyle="1" w:styleId="xl50">
    <w:name w:val="xl50"/>
    <w:basedOn w:val="Normln"/>
    <w:rsid w:val="00110E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1">
    <w:name w:val="xl51"/>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2">
    <w:name w:val="xl52"/>
    <w:basedOn w:val="Normln"/>
    <w:rsid w:val="00110E3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3">
    <w:name w:val="xl53"/>
    <w:basedOn w:val="Normln"/>
    <w:rsid w:val="00110E3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eastAsia="Arial Unicode MS" w:cs="Arial Unicode MS"/>
      <w:sz w:val="16"/>
      <w:szCs w:val="16"/>
    </w:rPr>
  </w:style>
  <w:style w:type="paragraph" w:customStyle="1" w:styleId="xl54">
    <w:name w:val="xl54"/>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Unicode MS"/>
      <w:sz w:val="16"/>
      <w:szCs w:val="16"/>
    </w:rPr>
  </w:style>
  <w:style w:type="paragraph" w:customStyle="1" w:styleId="xl55">
    <w:name w:val="xl55"/>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eastAsia="Arial Unicode MS" w:cs="Arial Unicode MS"/>
      <w:sz w:val="16"/>
      <w:szCs w:val="16"/>
    </w:rPr>
  </w:style>
  <w:style w:type="paragraph" w:customStyle="1" w:styleId="xl56">
    <w:name w:val="xl56"/>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16"/>
      <w:szCs w:val="16"/>
    </w:rPr>
  </w:style>
  <w:style w:type="paragraph" w:customStyle="1" w:styleId="xl57">
    <w:name w:val="xl57"/>
    <w:basedOn w:val="Normln"/>
    <w:rsid w:val="00110E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b/>
      <w:bCs/>
      <w:sz w:val="16"/>
      <w:szCs w:val="16"/>
    </w:rPr>
  </w:style>
  <w:style w:type="paragraph" w:customStyle="1" w:styleId="xl58">
    <w:name w:val="xl58"/>
    <w:basedOn w:val="Normln"/>
    <w:rsid w:val="00110E3B"/>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Arial Unicode MS" w:cs="Arial Unicode MS"/>
      <w:b/>
      <w:bCs/>
      <w:sz w:val="16"/>
      <w:szCs w:val="16"/>
    </w:rPr>
  </w:style>
  <w:style w:type="paragraph" w:customStyle="1" w:styleId="xl59">
    <w:name w:val="xl59"/>
    <w:basedOn w:val="Normln"/>
    <w:rsid w:val="00110E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both"/>
    </w:pPr>
    <w:rPr>
      <w:rFonts w:eastAsia="Arial Unicode MS" w:cs="Arial"/>
      <w:color w:val="000000"/>
    </w:rPr>
  </w:style>
  <w:style w:type="paragraph" w:customStyle="1" w:styleId="xl60">
    <w:name w:val="xl60"/>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1">
    <w:name w:val="xl61"/>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2">
    <w:name w:val="xl62"/>
    <w:basedOn w:val="Normln"/>
    <w:rsid w:val="00110E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3">
    <w:name w:val="xl63"/>
    <w:basedOn w:val="Normln"/>
    <w:rsid w:val="00110E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4">
    <w:name w:val="xl64"/>
    <w:basedOn w:val="Normln"/>
    <w:rsid w:val="00110E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rPr>
  </w:style>
  <w:style w:type="paragraph" w:customStyle="1" w:styleId="xl65">
    <w:name w:val="xl65"/>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6">
    <w:name w:val="xl66"/>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7">
    <w:name w:val="xl67"/>
    <w:basedOn w:val="Normln"/>
    <w:rsid w:val="00110E3B"/>
    <w:pPr>
      <w:pBdr>
        <w:top w:val="single" w:sz="4" w:space="0" w:color="auto"/>
        <w:left w:val="single" w:sz="4" w:space="0" w:color="auto"/>
        <w:bottom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8">
    <w:name w:val="xl68"/>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eastAsia="Arial Unicode MS" w:cs="Arial"/>
      <w:sz w:val="16"/>
      <w:szCs w:val="16"/>
    </w:rPr>
  </w:style>
  <w:style w:type="paragraph" w:customStyle="1" w:styleId="xl69">
    <w:name w:val="xl69"/>
    <w:basedOn w:val="Normln"/>
    <w:rsid w:val="00110E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both"/>
    </w:pPr>
    <w:rPr>
      <w:rFonts w:eastAsia="Arial Unicode MS" w:cs="Arial"/>
      <w:sz w:val="16"/>
      <w:szCs w:val="16"/>
    </w:rPr>
  </w:style>
  <w:style w:type="paragraph" w:customStyle="1" w:styleId="xl70">
    <w:name w:val="xl70"/>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1">
    <w:name w:val="xl71"/>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2">
    <w:name w:val="xl72"/>
    <w:basedOn w:val="Normln"/>
    <w:rsid w:val="00110E3B"/>
    <w:pPr>
      <w:pBdr>
        <w:top w:val="single" w:sz="4" w:space="0" w:color="auto"/>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3">
    <w:name w:val="xl73"/>
    <w:basedOn w:val="Normln"/>
    <w:rsid w:val="00110E3B"/>
    <w:pPr>
      <w:pBdr>
        <w:left w:val="single" w:sz="8"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4">
    <w:name w:val="xl74"/>
    <w:basedOn w:val="Normln"/>
    <w:rsid w:val="00110E3B"/>
    <w:pPr>
      <w:pBdr>
        <w:left w:val="single" w:sz="8"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5">
    <w:name w:val="xl75"/>
    <w:basedOn w:val="Normln"/>
    <w:rsid w:val="00110E3B"/>
    <w:pPr>
      <w:pBdr>
        <w:top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rPr>
  </w:style>
  <w:style w:type="paragraph" w:customStyle="1" w:styleId="xl76">
    <w:name w:val="xl76"/>
    <w:basedOn w:val="Normln"/>
    <w:rsid w:val="00110E3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7">
    <w:name w:val="xl77"/>
    <w:basedOn w:val="Normln"/>
    <w:rsid w:val="00110E3B"/>
    <w:pPr>
      <w:pBdr>
        <w:left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paragraph" w:customStyle="1" w:styleId="xl78">
    <w:name w:val="xl78"/>
    <w:basedOn w:val="Normln"/>
    <w:rsid w:val="00110E3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Arial"/>
      <w:sz w:val="16"/>
      <w:szCs w:val="16"/>
    </w:rPr>
  </w:style>
  <w:style w:type="character" w:styleId="slostrnky">
    <w:name w:val="page number"/>
    <w:basedOn w:val="Standardnpsmoodstavce"/>
    <w:semiHidden/>
    <w:rsid w:val="00110E3B"/>
  </w:style>
  <w:style w:type="paragraph" w:styleId="Zkladntext">
    <w:name w:val="Body Text"/>
    <w:basedOn w:val="Normln"/>
    <w:link w:val="ZkladntextChar"/>
    <w:semiHidden/>
    <w:rsid w:val="00110E3B"/>
    <w:pPr>
      <w:spacing w:before="120" w:after="120" w:line="240" w:lineRule="auto"/>
      <w:jc w:val="both"/>
    </w:pPr>
  </w:style>
  <w:style w:type="character" w:customStyle="1" w:styleId="ZkladntextChar">
    <w:name w:val="Základní text Char"/>
    <w:basedOn w:val="Standardnpsmoodstavce"/>
    <w:link w:val="Zkladntext"/>
    <w:semiHidden/>
    <w:rsid w:val="00110E3B"/>
    <w:rPr>
      <w:rFonts w:ascii="Arial" w:eastAsia="Times New Roman" w:hAnsi="Arial"/>
      <w:szCs w:val="24"/>
    </w:rPr>
  </w:style>
  <w:style w:type="paragraph" w:styleId="Obsah1">
    <w:name w:val="toc 1"/>
    <w:basedOn w:val="Normln"/>
    <w:next w:val="Normln"/>
    <w:autoRedefine/>
    <w:uiPriority w:val="39"/>
    <w:rsid w:val="00110E3B"/>
    <w:pPr>
      <w:spacing w:before="120" w:after="120" w:line="240" w:lineRule="auto"/>
      <w:jc w:val="both"/>
    </w:pPr>
  </w:style>
  <w:style w:type="paragraph" w:styleId="Obsah2">
    <w:name w:val="toc 2"/>
    <w:basedOn w:val="Normln"/>
    <w:next w:val="Normln"/>
    <w:autoRedefine/>
    <w:uiPriority w:val="39"/>
    <w:rsid w:val="00110E3B"/>
    <w:pPr>
      <w:spacing w:before="120" w:after="120" w:line="240" w:lineRule="auto"/>
      <w:ind w:left="240"/>
      <w:jc w:val="both"/>
    </w:pPr>
  </w:style>
  <w:style w:type="paragraph" w:styleId="Obsah3">
    <w:name w:val="toc 3"/>
    <w:basedOn w:val="Normln"/>
    <w:next w:val="Normln"/>
    <w:autoRedefine/>
    <w:uiPriority w:val="39"/>
    <w:rsid w:val="00110E3B"/>
    <w:pPr>
      <w:spacing w:before="120" w:after="120" w:line="240" w:lineRule="auto"/>
      <w:ind w:left="480"/>
      <w:jc w:val="both"/>
    </w:pPr>
  </w:style>
  <w:style w:type="paragraph" w:styleId="Obsah4">
    <w:name w:val="toc 4"/>
    <w:basedOn w:val="Normln"/>
    <w:next w:val="Normln"/>
    <w:autoRedefine/>
    <w:semiHidden/>
    <w:rsid w:val="00110E3B"/>
    <w:pPr>
      <w:spacing w:before="120" w:after="120" w:line="240" w:lineRule="auto"/>
      <w:ind w:left="720"/>
      <w:jc w:val="both"/>
    </w:pPr>
  </w:style>
  <w:style w:type="paragraph" w:styleId="Obsah5">
    <w:name w:val="toc 5"/>
    <w:basedOn w:val="Normln"/>
    <w:next w:val="Normln"/>
    <w:autoRedefine/>
    <w:semiHidden/>
    <w:rsid w:val="00110E3B"/>
    <w:pPr>
      <w:spacing w:before="120" w:after="120" w:line="240" w:lineRule="auto"/>
      <w:ind w:left="960"/>
      <w:jc w:val="both"/>
    </w:pPr>
  </w:style>
  <w:style w:type="paragraph" w:styleId="Obsah6">
    <w:name w:val="toc 6"/>
    <w:basedOn w:val="Normln"/>
    <w:next w:val="Normln"/>
    <w:autoRedefine/>
    <w:semiHidden/>
    <w:rsid w:val="00110E3B"/>
    <w:pPr>
      <w:spacing w:before="120" w:after="120" w:line="240" w:lineRule="auto"/>
      <w:ind w:left="1200"/>
      <w:jc w:val="both"/>
    </w:pPr>
  </w:style>
  <w:style w:type="paragraph" w:styleId="Obsah7">
    <w:name w:val="toc 7"/>
    <w:basedOn w:val="Normln"/>
    <w:next w:val="Normln"/>
    <w:autoRedefine/>
    <w:semiHidden/>
    <w:rsid w:val="00110E3B"/>
    <w:pPr>
      <w:spacing w:before="120" w:after="120" w:line="240" w:lineRule="auto"/>
      <w:ind w:left="1440"/>
      <w:jc w:val="both"/>
    </w:pPr>
  </w:style>
  <w:style w:type="paragraph" w:styleId="Obsah8">
    <w:name w:val="toc 8"/>
    <w:basedOn w:val="Normln"/>
    <w:next w:val="Normln"/>
    <w:autoRedefine/>
    <w:semiHidden/>
    <w:rsid w:val="00110E3B"/>
    <w:pPr>
      <w:spacing w:before="120" w:after="120" w:line="240" w:lineRule="auto"/>
      <w:ind w:left="1680"/>
      <w:jc w:val="both"/>
    </w:pPr>
  </w:style>
  <w:style w:type="paragraph" w:styleId="Obsah9">
    <w:name w:val="toc 9"/>
    <w:basedOn w:val="Normln"/>
    <w:next w:val="Normln"/>
    <w:autoRedefine/>
    <w:semiHidden/>
    <w:rsid w:val="00110E3B"/>
    <w:pPr>
      <w:spacing w:before="120" w:after="120" w:line="240" w:lineRule="auto"/>
      <w:ind w:left="1920"/>
      <w:jc w:val="both"/>
    </w:pPr>
  </w:style>
  <w:style w:type="character" w:styleId="Sledovanodkaz">
    <w:name w:val="FollowedHyperlink"/>
    <w:basedOn w:val="Standardnpsmoodstavce"/>
    <w:semiHidden/>
    <w:rsid w:val="00110E3B"/>
    <w:rPr>
      <w:color w:val="800080"/>
      <w:u w:val="single"/>
    </w:rPr>
  </w:style>
  <w:style w:type="paragraph" w:customStyle="1" w:styleId="normalnsodrkami">
    <w:name w:val="normalní s odrážkami"/>
    <w:basedOn w:val="Normln"/>
    <w:rsid w:val="00110E3B"/>
    <w:pPr>
      <w:numPr>
        <w:numId w:val="6"/>
      </w:numPr>
      <w:spacing w:before="120" w:after="120" w:line="240" w:lineRule="auto"/>
      <w:jc w:val="both"/>
    </w:pPr>
  </w:style>
  <w:style w:type="paragraph" w:styleId="Zkladntext2">
    <w:name w:val="Body Text 2"/>
    <w:basedOn w:val="Normln"/>
    <w:link w:val="Zkladntext2Char"/>
    <w:semiHidden/>
    <w:rsid w:val="00110E3B"/>
    <w:pPr>
      <w:spacing w:before="120" w:after="120" w:line="240" w:lineRule="auto"/>
      <w:jc w:val="both"/>
    </w:pPr>
    <w:rPr>
      <w:rFonts w:cs="Arial"/>
    </w:rPr>
  </w:style>
  <w:style w:type="character" w:customStyle="1" w:styleId="Zkladntext2Char">
    <w:name w:val="Základní text 2 Char"/>
    <w:basedOn w:val="Standardnpsmoodstavce"/>
    <w:link w:val="Zkladntext2"/>
    <w:semiHidden/>
    <w:rsid w:val="00110E3B"/>
    <w:rPr>
      <w:rFonts w:ascii="Arial" w:eastAsia="Times New Roman" w:hAnsi="Arial" w:cs="Arial"/>
      <w:szCs w:val="24"/>
    </w:rPr>
  </w:style>
  <w:style w:type="paragraph" w:customStyle="1" w:styleId="Default">
    <w:name w:val="Default"/>
    <w:rsid w:val="00110E3B"/>
    <w:pPr>
      <w:autoSpaceDE w:val="0"/>
      <w:autoSpaceDN w:val="0"/>
      <w:adjustRightInd w:val="0"/>
    </w:pPr>
    <w:rPr>
      <w:rFonts w:ascii="Times New Roman" w:eastAsia="Times New Roman" w:hAnsi="Times New Roman"/>
      <w:color w:val="000000"/>
      <w:sz w:val="24"/>
      <w:szCs w:val="24"/>
    </w:rPr>
  </w:style>
  <w:style w:type="paragraph" w:styleId="Zkladntext3">
    <w:name w:val="Body Text 3"/>
    <w:basedOn w:val="Normln"/>
    <w:link w:val="Zkladntext3Char"/>
    <w:semiHidden/>
    <w:rsid w:val="00110E3B"/>
    <w:pPr>
      <w:spacing w:before="120" w:after="120" w:line="240" w:lineRule="auto"/>
      <w:jc w:val="both"/>
    </w:pPr>
    <w:rPr>
      <w:rFonts w:cs="Arial"/>
    </w:rPr>
  </w:style>
  <w:style w:type="character" w:customStyle="1" w:styleId="Zkladntext3Char">
    <w:name w:val="Základní text 3 Char"/>
    <w:basedOn w:val="Standardnpsmoodstavce"/>
    <w:link w:val="Zkladntext3"/>
    <w:semiHidden/>
    <w:rsid w:val="00110E3B"/>
    <w:rPr>
      <w:rFonts w:ascii="Arial" w:eastAsia="Times New Roman" w:hAnsi="Arial" w:cs="Arial"/>
      <w:szCs w:val="24"/>
    </w:rPr>
  </w:style>
  <w:style w:type="paragraph" w:styleId="Textvysvtlivek">
    <w:name w:val="endnote text"/>
    <w:basedOn w:val="Normln"/>
    <w:link w:val="TextvysvtlivekChar"/>
    <w:semiHidden/>
    <w:rsid w:val="00110E3B"/>
    <w:pPr>
      <w:spacing w:before="120" w:after="120" w:line="240" w:lineRule="auto"/>
      <w:jc w:val="both"/>
    </w:pPr>
    <w:rPr>
      <w:szCs w:val="20"/>
    </w:rPr>
  </w:style>
  <w:style w:type="character" w:customStyle="1" w:styleId="TextvysvtlivekChar">
    <w:name w:val="Text vysvětlivek Char"/>
    <w:basedOn w:val="Standardnpsmoodstavce"/>
    <w:link w:val="Textvysvtlivek"/>
    <w:semiHidden/>
    <w:rsid w:val="00110E3B"/>
    <w:rPr>
      <w:rFonts w:ascii="Arial" w:eastAsia="Times New Roman" w:hAnsi="Arial"/>
    </w:rPr>
  </w:style>
  <w:style w:type="character" w:styleId="Odkaznavysvtlivky">
    <w:name w:val="endnote reference"/>
    <w:basedOn w:val="Standardnpsmoodstavce"/>
    <w:semiHidden/>
    <w:rsid w:val="00110E3B"/>
    <w:rPr>
      <w:vertAlign w:val="superscript"/>
    </w:rPr>
  </w:style>
  <w:style w:type="character" w:styleId="Siln">
    <w:name w:val="Strong"/>
    <w:basedOn w:val="Standardnpsmoodstavce"/>
    <w:uiPriority w:val="22"/>
    <w:qFormat/>
    <w:rsid w:val="00110E3B"/>
    <w:rPr>
      <w:b/>
      <w:bCs/>
    </w:rPr>
  </w:style>
  <w:style w:type="character" w:customStyle="1" w:styleId="longtext1">
    <w:name w:val="long_text1"/>
    <w:basedOn w:val="Standardnpsmoodstavce"/>
    <w:rsid w:val="00110E3B"/>
    <w:rPr>
      <w:sz w:val="20"/>
      <w:szCs w:val="20"/>
    </w:rPr>
  </w:style>
  <w:style w:type="paragraph" w:styleId="Normlnweb">
    <w:name w:val="Normal (Web)"/>
    <w:basedOn w:val="Normln"/>
    <w:uiPriority w:val="99"/>
    <w:unhideWhenUsed/>
    <w:rsid w:val="00110E3B"/>
    <w:pPr>
      <w:spacing w:before="100" w:beforeAutospacing="1" w:after="100" w:afterAutospacing="1" w:line="240" w:lineRule="auto"/>
      <w:jc w:val="both"/>
    </w:pPr>
  </w:style>
  <w:style w:type="paragraph" w:customStyle="1" w:styleId="nazevtabulky">
    <w:name w:val="nazev tabulky"/>
    <w:basedOn w:val="Normln"/>
    <w:qFormat/>
    <w:rsid w:val="00110E3B"/>
    <w:pPr>
      <w:spacing w:before="240" w:after="240" w:line="240" w:lineRule="auto"/>
    </w:pPr>
    <w:rPr>
      <w:b/>
      <w:bCs/>
      <w:szCs w:val="17"/>
    </w:rPr>
  </w:style>
  <w:style w:type="paragraph" w:styleId="Odstavecseseznamem">
    <w:name w:val="List Paragraph"/>
    <w:basedOn w:val="Normln"/>
    <w:uiPriority w:val="34"/>
    <w:qFormat/>
    <w:rsid w:val="00110E3B"/>
    <w:pPr>
      <w:spacing w:before="120" w:after="120" w:line="240" w:lineRule="auto"/>
      <w:ind w:left="720"/>
      <w:contextualSpacing/>
      <w:jc w:val="both"/>
    </w:pPr>
  </w:style>
  <w:style w:type="numbering" w:customStyle="1" w:styleId="Bezseznamu1">
    <w:name w:val="Bez seznamu1"/>
    <w:next w:val="Bezseznamu"/>
    <w:uiPriority w:val="99"/>
    <w:semiHidden/>
    <w:unhideWhenUsed/>
    <w:rsid w:val="00DB4F3B"/>
  </w:style>
  <w:style w:type="table" w:styleId="Mkatabulky">
    <w:name w:val="Table Grid"/>
    <w:basedOn w:val="Normlntabulka"/>
    <w:uiPriority w:val="59"/>
    <w:rsid w:val="00DB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lastn">
    <w:name w:val="Text vlastní"/>
    <w:basedOn w:val="Normln"/>
    <w:rsid w:val="00DB4F3B"/>
    <w:pPr>
      <w:spacing w:before="120" w:line="240" w:lineRule="auto"/>
      <w:jc w:val="both"/>
    </w:pPr>
    <w:rPr>
      <w:sz w:val="18"/>
      <w:szCs w:val="20"/>
    </w:rPr>
  </w:style>
  <w:style w:type="character" w:styleId="Odkaznakoment">
    <w:name w:val="annotation reference"/>
    <w:basedOn w:val="Standardnpsmoodstavce"/>
    <w:uiPriority w:val="99"/>
    <w:semiHidden/>
    <w:unhideWhenUsed/>
    <w:rsid w:val="00DB4F3B"/>
    <w:rPr>
      <w:sz w:val="16"/>
      <w:szCs w:val="16"/>
    </w:rPr>
  </w:style>
  <w:style w:type="paragraph" w:styleId="Textkomente">
    <w:name w:val="annotation text"/>
    <w:basedOn w:val="Normln"/>
    <w:link w:val="TextkomenteChar"/>
    <w:uiPriority w:val="99"/>
    <w:semiHidden/>
    <w:unhideWhenUsed/>
    <w:rsid w:val="00DB4F3B"/>
    <w:pPr>
      <w:keepNext/>
      <w:spacing w:line="240" w:lineRule="auto"/>
      <w:jc w:val="both"/>
    </w:pPr>
    <w:rPr>
      <w:szCs w:val="20"/>
    </w:rPr>
  </w:style>
  <w:style w:type="character" w:customStyle="1" w:styleId="TextkomenteChar">
    <w:name w:val="Text komentáře Char"/>
    <w:basedOn w:val="Standardnpsmoodstavce"/>
    <w:link w:val="Textkomente"/>
    <w:uiPriority w:val="99"/>
    <w:semiHidden/>
    <w:rsid w:val="00DB4F3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B4F3B"/>
    <w:rPr>
      <w:b/>
      <w:bCs/>
    </w:rPr>
  </w:style>
  <w:style w:type="character" w:customStyle="1" w:styleId="PedmtkomenteChar">
    <w:name w:val="Předmět komentáře Char"/>
    <w:basedOn w:val="TextkomenteChar"/>
    <w:link w:val="Pedmtkomente"/>
    <w:uiPriority w:val="99"/>
    <w:semiHidden/>
    <w:rsid w:val="00DB4F3B"/>
    <w:rPr>
      <w:rFonts w:ascii="Arial" w:eastAsia="Times New Roman" w:hAnsi="Arial"/>
      <w:b/>
      <w:bCs/>
    </w:rPr>
  </w:style>
  <w:style w:type="table" w:styleId="Stednmka3zvraznn2">
    <w:name w:val="Medium Grid 3 Accent 2"/>
    <w:basedOn w:val="Normlntabulka"/>
    <w:uiPriority w:val="60"/>
    <w:rsid w:val="003519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numbering" w:customStyle="1" w:styleId="Bezseznamu2">
    <w:name w:val="Bez seznamu2"/>
    <w:next w:val="Bezseznamu"/>
    <w:uiPriority w:val="99"/>
    <w:semiHidden/>
    <w:unhideWhenUsed/>
    <w:rsid w:val="00DE3724"/>
  </w:style>
  <w:style w:type="paragraph" w:styleId="Nadpisobsahu">
    <w:name w:val="TOC Heading"/>
    <w:basedOn w:val="Nadpis1"/>
    <w:next w:val="Normln"/>
    <w:uiPriority w:val="39"/>
    <w:semiHidden/>
    <w:unhideWhenUsed/>
    <w:qFormat/>
    <w:rsid w:val="00DE3724"/>
    <w:pPr>
      <w:spacing w:before="480" w:after="0" w:line="276" w:lineRule="auto"/>
      <w:outlineLvl w:val="9"/>
    </w:pPr>
    <w:rPr>
      <w:rFonts w:asciiTheme="majorHAnsi" w:eastAsiaTheme="majorEastAsia" w:hAnsiTheme="majorHAnsi" w:cstheme="majorBidi"/>
      <w:color w:val="365F91" w:themeColor="accent1" w:themeShade="BF"/>
      <w:sz w:val="28"/>
    </w:rPr>
  </w:style>
  <w:style w:type="numbering" w:customStyle="1" w:styleId="Bezseznamu3">
    <w:name w:val="Bez seznamu3"/>
    <w:next w:val="Bezseznamu"/>
    <w:uiPriority w:val="99"/>
    <w:semiHidden/>
    <w:unhideWhenUsed/>
    <w:rsid w:val="00F41C6D"/>
  </w:style>
  <w:style w:type="table" w:customStyle="1" w:styleId="Mkatabulky1">
    <w:name w:val="Mřížka tabulky1"/>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2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670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214E6F"/>
  </w:style>
  <w:style w:type="character" w:styleId="Zdraznn">
    <w:name w:val="Emphasis"/>
    <w:basedOn w:val="Standardnpsmoodstavce"/>
    <w:uiPriority w:val="20"/>
    <w:qFormat/>
    <w:rsid w:val="00214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64866142">
      <w:bodyDiv w:val="1"/>
      <w:marLeft w:val="60"/>
      <w:marRight w:val="60"/>
      <w:marTop w:val="60"/>
      <w:marBottom w:val="15"/>
      <w:divBdr>
        <w:top w:val="none" w:sz="0" w:space="0" w:color="auto"/>
        <w:left w:val="none" w:sz="0" w:space="0" w:color="auto"/>
        <w:bottom w:val="none" w:sz="0" w:space="0" w:color="auto"/>
        <w:right w:val="none" w:sz="0" w:space="0" w:color="auto"/>
      </w:divBdr>
      <w:divsChild>
        <w:div w:id="1891261821">
          <w:marLeft w:val="0"/>
          <w:marRight w:val="0"/>
          <w:marTop w:val="0"/>
          <w:marBottom w:val="0"/>
          <w:divBdr>
            <w:top w:val="none" w:sz="0" w:space="0" w:color="auto"/>
            <w:left w:val="none" w:sz="0" w:space="0" w:color="auto"/>
            <w:bottom w:val="none" w:sz="0" w:space="0" w:color="auto"/>
            <w:right w:val="none" w:sz="0" w:space="0" w:color="auto"/>
          </w:divBdr>
          <w:divsChild>
            <w:div w:id="794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822910">
      <w:bodyDiv w:val="1"/>
      <w:marLeft w:val="0"/>
      <w:marRight w:val="0"/>
      <w:marTop w:val="0"/>
      <w:marBottom w:val="0"/>
      <w:divBdr>
        <w:top w:val="none" w:sz="0" w:space="0" w:color="auto"/>
        <w:left w:val="none" w:sz="0" w:space="0" w:color="auto"/>
        <w:bottom w:val="none" w:sz="0" w:space="0" w:color="auto"/>
        <w:right w:val="none" w:sz="0" w:space="0" w:color="auto"/>
      </w:divBdr>
    </w:div>
    <w:div w:id="889415061">
      <w:bodyDiv w:val="1"/>
      <w:marLeft w:val="0"/>
      <w:marRight w:val="0"/>
      <w:marTop w:val="0"/>
      <w:marBottom w:val="0"/>
      <w:divBdr>
        <w:top w:val="none" w:sz="0" w:space="0" w:color="auto"/>
        <w:left w:val="none" w:sz="0" w:space="0" w:color="auto"/>
        <w:bottom w:val="none" w:sz="0" w:space="0" w:color="auto"/>
        <w:right w:val="none" w:sz="0" w:space="0" w:color="auto"/>
      </w:divBdr>
    </w:div>
    <w:div w:id="915171869">
      <w:bodyDiv w:val="1"/>
      <w:marLeft w:val="0"/>
      <w:marRight w:val="0"/>
      <w:marTop w:val="0"/>
      <w:marBottom w:val="0"/>
      <w:divBdr>
        <w:top w:val="none" w:sz="0" w:space="0" w:color="auto"/>
        <w:left w:val="none" w:sz="0" w:space="0" w:color="auto"/>
        <w:bottom w:val="none" w:sz="0" w:space="0" w:color="auto"/>
        <w:right w:val="none" w:sz="0" w:space="0" w:color="auto"/>
      </w:divBdr>
    </w:div>
    <w:div w:id="1162425717">
      <w:bodyDiv w:val="1"/>
      <w:marLeft w:val="0"/>
      <w:marRight w:val="0"/>
      <w:marTop w:val="0"/>
      <w:marBottom w:val="0"/>
      <w:divBdr>
        <w:top w:val="none" w:sz="0" w:space="0" w:color="auto"/>
        <w:left w:val="none" w:sz="0" w:space="0" w:color="auto"/>
        <w:bottom w:val="none" w:sz="0" w:space="0" w:color="auto"/>
        <w:right w:val="none" w:sz="0" w:space="0" w:color="auto"/>
      </w:divBdr>
    </w:div>
    <w:div w:id="128079852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79514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855724239">
      <w:bodyDiv w:val="1"/>
      <w:marLeft w:val="0"/>
      <w:marRight w:val="0"/>
      <w:marTop w:val="0"/>
      <w:marBottom w:val="0"/>
      <w:divBdr>
        <w:top w:val="none" w:sz="0" w:space="0" w:color="auto"/>
        <w:left w:val="none" w:sz="0" w:space="0" w:color="auto"/>
        <w:bottom w:val="none" w:sz="0" w:space="0" w:color="auto"/>
        <w:right w:val="none" w:sz="0" w:space="0" w:color="auto"/>
      </w:divBdr>
    </w:div>
    <w:div w:id="20510291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NIC~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DC51-5B76-4A13-9F0E-1921455B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410</TotalTime>
  <Pages>9</Pages>
  <Words>3220</Words>
  <Characters>18999</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Kalnická</dc:creator>
  <cp:lastModifiedBy>Mgr. Jitka Wichová</cp:lastModifiedBy>
  <cp:revision>32</cp:revision>
  <cp:lastPrinted>2018-06-06T04:58:00Z</cp:lastPrinted>
  <dcterms:created xsi:type="dcterms:W3CDTF">2019-02-11T15:12:00Z</dcterms:created>
  <dcterms:modified xsi:type="dcterms:W3CDTF">2019-02-12T13:43:00Z</dcterms:modified>
</cp:coreProperties>
</file>