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7524D" w14:textId="77777777" w:rsidR="003C629F" w:rsidRDefault="003C629F" w:rsidP="007A30B2">
      <w:pPr>
        <w:pStyle w:val="Nadpis2"/>
        <w:spacing w:after="100"/>
      </w:pPr>
      <w:bookmarkStart w:id="0" w:name="_Toc23318726"/>
      <w:bookmarkStart w:id="1" w:name="_Toc444112496"/>
      <w:r>
        <w:t>4.2. Nově hlášené případy dočasné pracovní neschopnosti</w:t>
      </w:r>
      <w:bookmarkEnd w:id="0"/>
    </w:p>
    <w:p w14:paraId="3B6D03DD" w14:textId="3D2C74DF" w:rsidR="003C629F" w:rsidRPr="003C629F" w:rsidRDefault="008C667A" w:rsidP="00A210D8">
      <w:pPr>
        <w:jc w:val="both"/>
      </w:pPr>
      <w:r>
        <w:rPr>
          <w:rFonts w:cs="Arial"/>
        </w:rPr>
        <w:t>Vstupním zdrojem a podkladem pro zpracování dat této kapitoly jsou údaje o dočasné pracovní neschopnosti pro nemoc a úraz nahlášené České správě sociálního zabezpečení prostřednictvím formuláře „</w:t>
      </w:r>
      <w:r w:rsidRPr="006D66F2">
        <w:rPr>
          <w:rFonts w:cs="Arial"/>
          <w:i/>
        </w:rPr>
        <w:t>Rozhodnutí o</w:t>
      </w:r>
      <w:r w:rsidR="00FF0024">
        <w:rPr>
          <w:rFonts w:cs="Arial"/>
          <w:i/>
        </w:rPr>
        <w:t> </w:t>
      </w:r>
      <w:r w:rsidRPr="006D66F2">
        <w:rPr>
          <w:rFonts w:cs="Arial"/>
          <w:i/>
        </w:rPr>
        <w:t>dočasné pracovní neschopnosti</w:t>
      </w:r>
      <w:r>
        <w:rPr>
          <w:rFonts w:cs="Arial"/>
        </w:rPr>
        <w:t>“ (tzv. „neschopenka“), k</w:t>
      </w:r>
      <w:r w:rsidR="00FF0024">
        <w:rPr>
          <w:rFonts w:cs="Arial"/>
        </w:rPr>
        <w:t>terý vyplňuje ošetřující lékař.</w:t>
      </w:r>
    </w:p>
    <w:p w14:paraId="603A02FC" w14:textId="77777777" w:rsidR="00EE4B1B" w:rsidRDefault="003C629F" w:rsidP="006701EE">
      <w:pPr>
        <w:pStyle w:val="Nadpis3"/>
        <w:spacing w:after="100"/>
        <w:rPr>
          <w:szCs w:val="20"/>
        </w:rPr>
      </w:pPr>
      <w:bookmarkStart w:id="2" w:name="_Toc23318727"/>
      <w:bookmarkEnd w:id="1"/>
      <w:r>
        <w:t>4.2.1. Počet případů dočasné pracovní neschopnosti</w:t>
      </w:r>
      <w:bookmarkEnd w:id="2"/>
    </w:p>
    <w:p w14:paraId="2C916540" w14:textId="01CBF986" w:rsidR="00B32CA3" w:rsidRPr="00644534" w:rsidRDefault="00B32CA3" w:rsidP="00B32CA3">
      <w:pPr>
        <w:jc w:val="both"/>
        <w:rPr>
          <w:bCs/>
        </w:rPr>
      </w:pPr>
      <w:r w:rsidRPr="00644534">
        <w:rPr>
          <w:bCs/>
        </w:rPr>
        <w:t xml:space="preserve">Četnost výskytu dočasné pracovní neschopnosti odráží ukazatel počet nově hlášených případů pracovní neschopnosti. Tento absolutní ukazatel je rovněž vhodný pro posouzení trendů vývoje pracovní neschopnosti. </w:t>
      </w:r>
      <w:r w:rsidR="00644534" w:rsidRPr="00644534">
        <w:rPr>
          <w:bCs/>
        </w:rPr>
        <w:t>Avšak z pohledu porovnání regionů, jednotlivých odvětví ekonomických činností či velikosti zaměstnavatele má vyšší vypovídací schopnost ukazatel relativní – počet nově hlášených případů pracovní neschopnosti na 100 pojištěnců</w:t>
      </w:r>
      <w:r w:rsidR="00A210D8">
        <w:rPr>
          <w:bCs/>
        </w:rPr>
        <w:t xml:space="preserve"> v dané kategorii, např. ve zpracovatelském průmyslu, v malých podnicích či konkrétním kraji</w:t>
      </w:r>
      <w:r w:rsidR="00644534" w:rsidRPr="00644534">
        <w:rPr>
          <w:bCs/>
        </w:rPr>
        <w:t>.</w:t>
      </w:r>
    </w:p>
    <w:p w14:paraId="60E60AB6" w14:textId="77777777" w:rsidR="00A2036D" w:rsidRDefault="00A2036D" w:rsidP="007508FD">
      <w:pPr>
        <w:pStyle w:val="Box1"/>
        <w:jc w:val="both"/>
        <w:rPr>
          <w:i/>
        </w:rPr>
      </w:pPr>
      <w:r w:rsidRPr="00A2036D">
        <w:rPr>
          <w:b/>
          <w:i/>
        </w:rPr>
        <w:t xml:space="preserve">Počet nově hlášených případů dočasné pracovní neschopnosti </w:t>
      </w:r>
      <w:r w:rsidR="003C629F" w:rsidRPr="00F46EA8">
        <w:rPr>
          <w:i/>
        </w:rPr>
        <w:t xml:space="preserve">– </w:t>
      </w:r>
      <w:r w:rsidR="00C53647">
        <w:rPr>
          <w:i/>
        </w:rPr>
        <w:t>ukazatel zahrnuje</w:t>
      </w:r>
      <w:r w:rsidRPr="00A2036D">
        <w:rPr>
          <w:i/>
        </w:rPr>
        <w:t xml:space="preserve"> nově hlášené případy pracovní neschopnosti ve sledovaném období na základě hlášení o vzniku pracovní neschopnosti nemocensky pojištěných osob.</w:t>
      </w:r>
    </w:p>
    <w:p w14:paraId="7435C660" w14:textId="77777777" w:rsidR="00A2036D" w:rsidRDefault="00A2036D" w:rsidP="007508FD">
      <w:pPr>
        <w:pStyle w:val="Box1"/>
        <w:jc w:val="both"/>
        <w:rPr>
          <w:i/>
        </w:rPr>
      </w:pPr>
    </w:p>
    <w:p w14:paraId="4E083E0C" w14:textId="77777777" w:rsidR="00A2036D" w:rsidRPr="00A2036D" w:rsidRDefault="00A2036D" w:rsidP="007508FD">
      <w:pPr>
        <w:pStyle w:val="Box1"/>
        <w:jc w:val="both"/>
        <w:rPr>
          <w:i/>
        </w:rPr>
      </w:pPr>
      <w:r w:rsidRPr="00A2036D">
        <w:rPr>
          <w:b/>
          <w:i/>
        </w:rPr>
        <w:t xml:space="preserve">Počet případů pracovní neschopnosti na 100 pojištěnců </w:t>
      </w:r>
      <w:r>
        <w:rPr>
          <w:i/>
        </w:rPr>
        <w:t>– u</w:t>
      </w:r>
      <w:r w:rsidRPr="00A2036D">
        <w:rPr>
          <w:i/>
        </w:rPr>
        <w:t>kazatel vyjadřuje počet nově hlášených případů pracovní neschopnosti, které připadají v průměru na 100 nemocensky pojištěných</w:t>
      </w:r>
      <w:r>
        <w:rPr>
          <w:i/>
        </w:rPr>
        <w:t xml:space="preserve"> osob</w:t>
      </w:r>
      <w:r w:rsidRPr="00A2036D">
        <w:rPr>
          <w:i/>
        </w:rPr>
        <w:t xml:space="preserve">. </w:t>
      </w:r>
    </w:p>
    <w:p w14:paraId="2D411EDD" w14:textId="77777777" w:rsidR="00A2036D" w:rsidRPr="00A2036D" w:rsidRDefault="00A2036D" w:rsidP="007508FD">
      <w:pPr>
        <w:pStyle w:val="Box1"/>
        <w:jc w:val="both"/>
        <w:rPr>
          <w:i/>
          <w:u w:val="single"/>
        </w:rPr>
      </w:pPr>
      <w:r w:rsidRPr="00A2036D">
        <w:rPr>
          <w:i/>
          <w:u w:val="single"/>
        </w:rPr>
        <w:t>Způsob výpočtu:</w:t>
      </w:r>
    </w:p>
    <w:p w14:paraId="3649C938" w14:textId="77777777" w:rsidR="003C629F" w:rsidRDefault="00A2036D" w:rsidP="007508FD">
      <w:pPr>
        <w:pStyle w:val="Box1"/>
        <w:jc w:val="both"/>
        <w:rPr>
          <w:i/>
        </w:rPr>
      </w:pPr>
      <w:r w:rsidRPr="00A2036D">
        <w:rPr>
          <w:i/>
        </w:rPr>
        <w:t>Počet případů pracovní neschopnosti na 100 pojištěnců = nově hlášené případy dočasné pracovní neschopnosti x 100 / průměrný počet osob nemocensky pojištěných.</w:t>
      </w:r>
    </w:p>
    <w:p w14:paraId="71B92CB1" w14:textId="72D33EDC" w:rsidR="00A210D8" w:rsidRDefault="00A210D8" w:rsidP="00644534">
      <w:pPr>
        <w:jc w:val="both"/>
        <w:rPr>
          <w:bCs/>
        </w:rPr>
      </w:pPr>
      <w:r>
        <w:rPr>
          <w:bCs/>
        </w:rPr>
        <w:t>Za 1. pol. 2019 bylo nahlášeno 975 tis. případů pracovní neschopnosti, což bylo o 65 tis. (6,3 %) méně než za stejné období v předchozím roce. Jedná se o první pokles v pololetních datech od roku 201</w:t>
      </w:r>
      <w:r w:rsidR="006B4B80">
        <w:rPr>
          <w:bCs/>
        </w:rPr>
        <w:t>5</w:t>
      </w:r>
      <w:r>
        <w:rPr>
          <w:bCs/>
        </w:rPr>
        <w:t>.</w:t>
      </w:r>
      <w:r w:rsidR="0062392E">
        <w:rPr>
          <w:bCs/>
        </w:rPr>
        <w:t xml:space="preserve"> V převážné většině případů se jednalo o neschopnost z důvodu nemoci 872,7 tis., tj. 89,5 % všech hlášení. Meziročně jich ubylo </w:t>
      </w:r>
      <w:r w:rsidR="00B821AC">
        <w:rPr>
          <w:bCs/>
        </w:rPr>
        <w:t xml:space="preserve">rovněž </w:t>
      </w:r>
      <w:r w:rsidR="0062392E">
        <w:rPr>
          <w:bCs/>
        </w:rPr>
        <w:t xml:space="preserve">o 65 tis. (o 7 %). Relativně na stejné úrovni </w:t>
      </w:r>
      <w:r w:rsidR="00602FBF">
        <w:rPr>
          <w:bCs/>
        </w:rPr>
        <w:t xml:space="preserve">okolo 24 tis. </w:t>
      </w:r>
      <w:r w:rsidR="0062392E">
        <w:rPr>
          <w:bCs/>
        </w:rPr>
        <w:t xml:space="preserve">se již </w:t>
      </w:r>
      <w:r w:rsidR="00602FBF">
        <w:rPr>
          <w:bCs/>
        </w:rPr>
        <w:t xml:space="preserve">pět let </w:t>
      </w:r>
      <w:r w:rsidR="0062392E">
        <w:rPr>
          <w:bCs/>
        </w:rPr>
        <w:t xml:space="preserve">po sobě drží počty </w:t>
      </w:r>
      <w:r w:rsidR="00602FBF">
        <w:rPr>
          <w:bCs/>
        </w:rPr>
        <w:t xml:space="preserve">pracovních úrazů. Za 1. pol. 2019 se jich událo 23,2 tis. a způsobily 2 % všech pracovních neschopností. Ve stejném období došlo k 79 tis. </w:t>
      </w:r>
      <w:r w:rsidR="00922112">
        <w:rPr>
          <w:bCs/>
        </w:rPr>
        <w:t>ostatních</w:t>
      </w:r>
      <w:r w:rsidR="00B821AC">
        <w:rPr>
          <w:bCs/>
        </w:rPr>
        <w:t xml:space="preserve"> – mimopracovní</w:t>
      </w:r>
      <w:r w:rsidR="00922112">
        <w:rPr>
          <w:bCs/>
        </w:rPr>
        <w:t>ch</w:t>
      </w:r>
      <w:r w:rsidR="00602FBF">
        <w:rPr>
          <w:bCs/>
        </w:rPr>
        <w:t xml:space="preserve"> úrazů, což představuje 8 % neschopenek. Jejich pololetní počet od roku 2017 víceméně stagnuje.</w:t>
      </w:r>
    </w:p>
    <w:p w14:paraId="6EADB7EE" w14:textId="00B5E8E0" w:rsidR="00602FBF" w:rsidRDefault="00602FBF" w:rsidP="00644534">
      <w:pPr>
        <w:jc w:val="both"/>
        <w:rPr>
          <w:bCs/>
        </w:rPr>
      </w:pPr>
      <w:r>
        <w:rPr>
          <w:bCs/>
        </w:rPr>
        <w:t xml:space="preserve">Častěji nastupovaly na pracovní neschopnost tradičně </w:t>
      </w:r>
      <w:r w:rsidRPr="00602FBF">
        <w:rPr>
          <w:b/>
          <w:bCs/>
        </w:rPr>
        <w:t>ženy</w:t>
      </w:r>
      <w:r>
        <w:rPr>
          <w:bCs/>
        </w:rPr>
        <w:t xml:space="preserve"> – 521 tis., tj. 53 % za 1. pol. 2019, přestože podíl žen na celkovém počtu </w:t>
      </w:r>
      <w:r w:rsidR="00922112">
        <w:rPr>
          <w:bCs/>
        </w:rPr>
        <w:t xml:space="preserve">pojištěných osob činil 49,6 %. </w:t>
      </w:r>
      <w:r>
        <w:rPr>
          <w:bCs/>
        </w:rPr>
        <w:t>Muži šli na neschopenku v 453,9 tis. případ</w:t>
      </w:r>
      <w:r w:rsidR="003364AA">
        <w:rPr>
          <w:bCs/>
        </w:rPr>
        <w:t>ech</w:t>
      </w:r>
      <w:r>
        <w:rPr>
          <w:bCs/>
        </w:rPr>
        <w:t xml:space="preserve"> a</w:t>
      </w:r>
      <w:r w:rsidR="005A0510">
        <w:rPr>
          <w:bCs/>
        </w:rPr>
        <w:t> </w:t>
      </w:r>
      <w:r>
        <w:rPr>
          <w:bCs/>
        </w:rPr>
        <w:t xml:space="preserve">zaujímali tak 47 % všech pracovních neschopností. Ženy vykazovaly o </w:t>
      </w:r>
      <w:r w:rsidR="003364AA">
        <w:rPr>
          <w:bCs/>
        </w:rPr>
        <w:t>93</w:t>
      </w:r>
      <w:r>
        <w:rPr>
          <w:bCs/>
        </w:rPr>
        <w:t xml:space="preserve"> tis. případů dočasné pracovní neschopnost </w:t>
      </w:r>
      <w:r w:rsidRPr="00602FBF">
        <w:rPr>
          <w:b/>
          <w:bCs/>
        </w:rPr>
        <w:t>pro</w:t>
      </w:r>
      <w:r>
        <w:rPr>
          <w:bCs/>
        </w:rPr>
        <w:t xml:space="preserve"> </w:t>
      </w:r>
      <w:r w:rsidRPr="00602FBF">
        <w:rPr>
          <w:b/>
          <w:bCs/>
        </w:rPr>
        <w:t>nemoc</w:t>
      </w:r>
      <w:r>
        <w:rPr>
          <w:b/>
          <w:bCs/>
        </w:rPr>
        <w:t xml:space="preserve"> </w:t>
      </w:r>
      <w:r w:rsidRPr="00602FBF">
        <w:rPr>
          <w:bCs/>
        </w:rPr>
        <w:t>v</w:t>
      </w:r>
      <w:r>
        <w:rPr>
          <w:bCs/>
        </w:rPr>
        <w:t>íce než muži. Vyšší podíl žen na pracovní neschopnosti pro nemoc může souviset s mateřskou úlohou žen, u nichž mohou být důvodem pracovní neschopnosti také komplikace v těhotenství, potraty apod.</w:t>
      </w:r>
      <w:r w:rsidR="00913D94">
        <w:rPr>
          <w:bCs/>
        </w:rPr>
        <w:t xml:space="preserve"> </w:t>
      </w:r>
    </w:p>
    <w:p w14:paraId="30044E5F" w14:textId="2069F6ED" w:rsidR="00913D94" w:rsidRDefault="00913D94" w:rsidP="00644534">
      <w:pPr>
        <w:jc w:val="both"/>
        <w:rPr>
          <w:bCs/>
        </w:rPr>
      </w:pPr>
      <w:r>
        <w:rPr>
          <w:bCs/>
        </w:rPr>
        <w:t xml:space="preserve">Z celkového počtu nově hlášených případů </w:t>
      </w:r>
      <w:r w:rsidRPr="00913D94">
        <w:rPr>
          <w:b/>
          <w:bCs/>
        </w:rPr>
        <w:t>pro pracovní úrazy</w:t>
      </w:r>
      <w:r>
        <w:rPr>
          <w:bCs/>
        </w:rPr>
        <w:t xml:space="preserve"> připadalo v 1. pol. 2019 na ženy pouze 33 % úrazů, což je dáno i odlišnou strukturou zaměstnanosti žen a mužů. Odvětví, kde převládají muži a vyskytují se zvýšená rizika pracovního úrazu, jsou např. Těžba a dobývání, Zpracovatelský průmysl, Stavebnictví, Doprava a skladování</w:t>
      </w:r>
      <w:r w:rsidR="003364AA">
        <w:rPr>
          <w:bCs/>
        </w:rPr>
        <w:t>,</w:t>
      </w:r>
      <w:r>
        <w:rPr>
          <w:bCs/>
        </w:rPr>
        <w:t xml:space="preserve"> </w:t>
      </w:r>
      <w:r w:rsidR="003364AA" w:rsidRPr="003364AA">
        <w:rPr>
          <w:bCs/>
        </w:rPr>
        <w:t>Zásobování vodou; činnosti související s odpady a sanacemi</w:t>
      </w:r>
      <w:r w:rsidR="003364AA">
        <w:rPr>
          <w:bCs/>
        </w:rPr>
        <w:t xml:space="preserve"> </w:t>
      </w:r>
      <w:r>
        <w:rPr>
          <w:bCs/>
        </w:rPr>
        <w:t xml:space="preserve">či Zemědělství, lesnictví, rybářství. Naopak odvětví, kde převažují v zaměstnání ženy a rizika pracovních úrazů bývají méně častá, jsou </w:t>
      </w:r>
      <w:r w:rsidR="00203029">
        <w:rPr>
          <w:bCs/>
        </w:rPr>
        <w:t xml:space="preserve">např. </w:t>
      </w:r>
      <w:r>
        <w:rPr>
          <w:bCs/>
        </w:rPr>
        <w:t>Peněžnictví a</w:t>
      </w:r>
      <w:r w:rsidR="00203029">
        <w:rPr>
          <w:bCs/>
        </w:rPr>
        <w:t xml:space="preserve"> pojišťovnictví, Veřejná správa, Vzdělávání a Zdravotní a sociální péče.</w:t>
      </w:r>
    </w:p>
    <w:p w14:paraId="4BF2C2A6" w14:textId="41D564A8" w:rsidR="009F76B9" w:rsidRDefault="00E35A83" w:rsidP="00644534">
      <w:pPr>
        <w:jc w:val="both"/>
        <w:rPr>
          <w:bCs/>
        </w:rPr>
      </w:pPr>
      <w:r>
        <w:rPr>
          <w:bCs/>
        </w:rPr>
        <w:t>Zatímco u počtu pracovních neschopností celkem a u neschopností z důvodu nemoc</w:t>
      </w:r>
      <w:r w:rsidR="00922112">
        <w:rPr>
          <w:bCs/>
        </w:rPr>
        <w:t>i</w:t>
      </w:r>
      <w:r>
        <w:rPr>
          <w:bCs/>
        </w:rPr>
        <w:t xml:space="preserve"> zůstávají podíly podle pohlaví dlouhodobě relativně konstantní, u pracovních neschopností zapříčiněných úrazem podíl u žen v čase roste.</w:t>
      </w:r>
      <w:r w:rsidR="009F76B9">
        <w:rPr>
          <w:bCs/>
        </w:rPr>
        <w:t xml:space="preserve"> Toto je zřejmé zejména u jiných než pracovních úrazů, kdy za 1. pol. 2011 nahlásily ženy 13 tis. případů, ale za 1. pol. 2019 to bylo 30,5 tis. Velký nárůst je patrný i u mužů, počet nově hlášených případů pracovní neschopnosti z důvodu </w:t>
      </w:r>
      <w:r w:rsidR="009F76B9" w:rsidRPr="009F76B9">
        <w:rPr>
          <w:b/>
          <w:bCs/>
        </w:rPr>
        <w:t>nepracovních (ostatních) úrazů</w:t>
      </w:r>
      <w:r w:rsidR="009F76B9">
        <w:rPr>
          <w:bCs/>
        </w:rPr>
        <w:t xml:space="preserve"> činil za 1. pol. 2011 </w:t>
      </w:r>
      <w:r w:rsidR="00A61EC3">
        <w:rPr>
          <w:bCs/>
        </w:rPr>
        <w:t>25,7</w:t>
      </w:r>
      <w:r w:rsidR="009F76B9">
        <w:rPr>
          <w:bCs/>
        </w:rPr>
        <w:t xml:space="preserve"> tis., v současné době se blíží </w:t>
      </w:r>
      <w:r w:rsidR="00A61EC3">
        <w:rPr>
          <w:bCs/>
        </w:rPr>
        <w:t>49</w:t>
      </w:r>
      <w:r w:rsidR="009F76B9">
        <w:rPr>
          <w:bCs/>
        </w:rPr>
        <w:t xml:space="preserve"> tis. </w:t>
      </w:r>
    </w:p>
    <w:p w14:paraId="5BCE2DD2" w14:textId="156E46B7" w:rsidR="009F76B9" w:rsidRDefault="009F76B9" w:rsidP="00644534">
      <w:pPr>
        <w:jc w:val="both"/>
        <w:rPr>
          <w:bCs/>
        </w:rPr>
      </w:pPr>
      <w:r>
        <w:rPr>
          <w:bCs/>
        </w:rPr>
        <w:lastRenderedPageBreak/>
        <w:t>V období mezi 1. pol. 2008 a 1. pol. 2019 významně poklesl podíl pracovních úrazů na celkové úrazovosti. Zatímco v roce 2008 činil podíl 40 %, dnes je to necelých 23 %.</w:t>
      </w:r>
    </w:p>
    <w:p w14:paraId="40864E47" w14:textId="37A42535" w:rsidR="0021605D" w:rsidRPr="0021605D" w:rsidRDefault="00D70250" w:rsidP="0064109D">
      <w:pPr>
        <w:spacing w:after="120"/>
        <w:jc w:val="both"/>
        <w:rPr>
          <w:b/>
        </w:rPr>
      </w:pPr>
      <w:r>
        <w:rPr>
          <w:b/>
        </w:rPr>
        <w:t xml:space="preserve">Tab. 2.1: </w:t>
      </w:r>
      <w:r w:rsidRPr="00D70250">
        <w:rPr>
          <w:b/>
        </w:rPr>
        <w:t>Nově hlášené případy dočasné pracovní neschopnosti podle příčin</w:t>
      </w:r>
      <w:r w:rsidR="00BE4A84">
        <w:rPr>
          <w:b/>
        </w:rPr>
        <w:t>y</w:t>
      </w:r>
      <w:r w:rsidRPr="00D70250">
        <w:rPr>
          <w:b/>
        </w:rPr>
        <w:t xml:space="preserve"> a pohlaví </w:t>
      </w:r>
      <w:r w:rsidR="00105FD2">
        <w:rPr>
          <w:b/>
        </w:rPr>
        <w:br/>
      </w:r>
      <w:r w:rsidRPr="00D70250">
        <w:rPr>
          <w:b/>
        </w:rPr>
        <w:t>v</w:t>
      </w:r>
      <w:r w:rsidR="00105FD2">
        <w:rPr>
          <w:b/>
        </w:rPr>
        <w:t xml:space="preserve"> </w:t>
      </w:r>
      <w:r w:rsidR="009F76B9">
        <w:rPr>
          <w:b/>
        </w:rPr>
        <w:t>1. pol. 2008 – 1. pol. 2019</w:t>
      </w:r>
    </w:p>
    <w:tbl>
      <w:tblPr>
        <w:tblW w:w="9594" w:type="dxa"/>
        <w:tblCellMar>
          <w:left w:w="70" w:type="dxa"/>
          <w:right w:w="70" w:type="dxa"/>
        </w:tblCellMar>
        <w:tblLook w:val="04A0" w:firstRow="1" w:lastRow="0" w:firstColumn="1" w:lastColumn="0" w:noHBand="0" w:noVBand="1"/>
      </w:tblPr>
      <w:tblGrid>
        <w:gridCol w:w="1001"/>
        <w:gridCol w:w="847"/>
        <w:gridCol w:w="649"/>
        <w:gridCol w:w="650"/>
        <w:gridCol w:w="847"/>
        <w:gridCol w:w="649"/>
        <w:gridCol w:w="650"/>
        <w:gridCol w:w="847"/>
        <w:gridCol w:w="649"/>
        <w:gridCol w:w="650"/>
        <w:gridCol w:w="847"/>
        <w:gridCol w:w="649"/>
        <w:gridCol w:w="650"/>
        <w:gridCol w:w="9"/>
      </w:tblGrid>
      <w:tr w:rsidR="002D687B" w:rsidRPr="002D687B" w14:paraId="2081385F" w14:textId="77777777" w:rsidTr="00F711D4">
        <w:trPr>
          <w:trHeight w:val="280"/>
        </w:trPr>
        <w:tc>
          <w:tcPr>
            <w:tcW w:w="1005" w:type="dxa"/>
            <w:vMerge w:val="restart"/>
            <w:tcBorders>
              <w:top w:val="single" w:sz="4" w:space="0" w:color="auto"/>
              <w:left w:val="nil"/>
              <w:bottom w:val="single" w:sz="8" w:space="0" w:color="000000"/>
              <w:right w:val="single" w:sz="4" w:space="0" w:color="auto"/>
            </w:tcBorders>
            <w:shd w:val="clear" w:color="000000" w:fill="F5DADD"/>
            <w:vAlign w:val="center"/>
            <w:hideMark/>
          </w:tcPr>
          <w:p w14:paraId="5AFF876D" w14:textId="77777777" w:rsidR="002D687B" w:rsidRPr="002D687B" w:rsidRDefault="002D687B" w:rsidP="002D687B">
            <w:pPr>
              <w:spacing w:after="0" w:line="240" w:lineRule="auto"/>
              <w:jc w:val="center"/>
              <w:rPr>
                <w:rFonts w:cs="Arial"/>
                <w:sz w:val="16"/>
                <w:szCs w:val="16"/>
              </w:rPr>
            </w:pPr>
            <w:r w:rsidRPr="002D687B">
              <w:rPr>
                <w:rFonts w:cs="Arial"/>
                <w:sz w:val="16"/>
                <w:szCs w:val="16"/>
              </w:rPr>
              <w:t>Rok</w:t>
            </w:r>
          </w:p>
        </w:tc>
        <w:tc>
          <w:tcPr>
            <w:tcW w:w="8589" w:type="dxa"/>
            <w:gridSpan w:val="13"/>
            <w:tcBorders>
              <w:top w:val="single" w:sz="4" w:space="0" w:color="auto"/>
              <w:left w:val="nil"/>
              <w:bottom w:val="single" w:sz="4" w:space="0" w:color="auto"/>
              <w:right w:val="nil"/>
            </w:tcBorders>
            <w:shd w:val="clear" w:color="000000" w:fill="F2DBDB"/>
            <w:vAlign w:val="center"/>
            <w:hideMark/>
          </w:tcPr>
          <w:p w14:paraId="17FB5890" w14:textId="77777777" w:rsidR="002D687B" w:rsidRPr="002D687B" w:rsidRDefault="002D687B" w:rsidP="002D687B">
            <w:pPr>
              <w:spacing w:after="0" w:line="240" w:lineRule="auto"/>
              <w:jc w:val="center"/>
              <w:rPr>
                <w:rFonts w:cs="Arial"/>
                <w:sz w:val="16"/>
                <w:szCs w:val="16"/>
              </w:rPr>
            </w:pPr>
            <w:r w:rsidRPr="002D687B">
              <w:rPr>
                <w:rFonts w:cs="Arial"/>
                <w:sz w:val="16"/>
                <w:szCs w:val="16"/>
              </w:rPr>
              <w:t>Počet nově hlášených případů pracovní neschopnosti (v tis.)</w:t>
            </w:r>
          </w:p>
        </w:tc>
      </w:tr>
      <w:tr w:rsidR="00D70250" w:rsidRPr="002D687B" w14:paraId="7E47C714" w14:textId="77777777" w:rsidTr="00F711D4">
        <w:trPr>
          <w:gridAfter w:val="1"/>
          <w:wAfter w:w="5" w:type="dxa"/>
          <w:trHeight w:val="449"/>
        </w:trPr>
        <w:tc>
          <w:tcPr>
            <w:tcW w:w="1005" w:type="dxa"/>
            <w:vMerge/>
            <w:tcBorders>
              <w:top w:val="single" w:sz="4" w:space="0" w:color="auto"/>
              <w:left w:val="nil"/>
              <w:bottom w:val="single" w:sz="8" w:space="0" w:color="000000"/>
              <w:right w:val="single" w:sz="4" w:space="0" w:color="auto"/>
            </w:tcBorders>
            <w:vAlign w:val="center"/>
            <w:hideMark/>
          </w:tcPr>
          <w:p w14:paraId="185C66DC" w14:textId="77777777" w:rsidR="00D70250" w:rsidRPr="002D687B" w:rsidRDefault="00D70250" w:rsidP="002D687B">
            <w:pPr>
              <w:spacing w:after="0" w:line="240" w:lineRule="auto"/>
              <w:rPr>
                <w:rFonts w:cs="Arial"/>
                <w:sz w:val="16"/>
                <w:szCs w:val="16"/>
              </w:rPr>
            </w:pPr>
          </w:p>
        </w:tc>
        <w:tc>
          <w:tcPr>
            <w:tcW w:w="847" w:type="dxa"/>
            <w:vMerge w:val="restart"/>
            <w:tcBorders>
              <w:top w:val="nil"/>
              <w:left w:val="single" w:sz="4" w:space="0" w:color="auto"/>
              <w:bottom w:val="single" w:sz="8" w:space="0" w:color="000000"/>
              <w:right w:val="single" w:sz="4" w:space="0" w:color="auto"/>
            </w:tcBorders>
            <w:shd w:val="clear" w:color="000000" w:fill="F2DBDB"/>
            <w:vAlign w:val="center"/>
            <w:hideMark/>
          </w:tcPr>
          <w:p w14:paraId="2BE2D14D" w14:textId="77777777" w:rsidR="00D70250" w:rsidRPr="002D687B" w:rsidRDefault="00D70250" w:rsidP="002D687B">
            <w:pPr>
              <w:spacing w:after="0" w:line="240" w:lineRule="auto"/>
              <w:jc w:val="center"/>
              <w:rPr>
                <w:rFonts w:cs="Arial"/>
                <w:sz w:val="16"/>
                <w:szCs w:val="16"/>
              </w:rPr>
            </w:pPr>
            <w:r w:rsidRPr="002D687B">
              <w:rPr>
                <w:rFonts w:cs="Arial"/>
                <w:sz w:val="16"/>
                <w:szCs w:val="16"/>
              </w:rPr>
              <w:t>Celkem</w:t>
            </w:r>
          </w:p>
        </w:tc>
        <w:tc>
          <w:tcPr>
            <w:tcW w:w="1299" w:type="dxa"/>
            <w:gridSpan w:val="2"/>
            <w:tcBorders>
              <w:top w:val="single" w:sz="4" w:space="0" w:color="auto"/>
              <w:left w:val="nil"/>
              <w:bottom w:val="single" w:sz="4" w:space="0" w:color="auto"/>
              <w:right w:val="single" w:sz="4" w:space="0" w:color="auto"/>
            </w:tcBorders>
            <w:shd w:val="clear" w:color="000000" w:fill="F2DBDB"/>
            <w:vAlign w:val="center"/>
            <w:hideMark/>
          </w:tcPr>
          <w:p w14:paraId="37844679" w14:textId="77777777" w:rsidR="00D70250" w:rsidRPr="002D687B" w:rsidRDefault="00D70250" w:rsidP="002D687B">
            <w:pPr>
              <w:spacing w:after="0" w:line="240" w:lineRule="auto"/>
              <w:jc w:val="center"/>
              <w:rPr>
                <w:rFonts w:cs="Arial"/>
                <w:sz w:val="16"/>
                <w:szCs w:val="16"/>
              </w:rPr>
            </w:pPr>
            <w:r w:rsidRPr="002D687B">
              <w:rPr>
                <w:rFonts w:cs="Arial"/>
                <w:sz w:val="16"/>
                <w:szCs w:val="16"/>
              </w:rPr>
              <w:t>podle pohlaví</w:t>
            </w:r>
          </w:p>
        </w:tc>
        <w:tc>
          <w:tcPr>
            <w:tcW w:w="847" w:type="dxa"/>
            <w:vMerge w:val="restart"/>
            <w:tcBorders>
              <w:top w:val="nil"/>
              <w:left w:val="single" w:sz="4" w:space="0" w:color="auto"/>
              <w:right w:val="single" w:sz="4" w:space="0" w:color="auto"/>
            </w:tcBorders>
            <w:shd w:val="clear" w:color="000000" w:fill="F2DBDB"/>
            <w:vAlign w:val="center"/>
            <w:hideMark/>
          </w:tcPr>
          <w:p w14:paraId="68905F14" w14:textId="6EB20DAE" w:rsidR="00D70250" w:rsidRPr="002D687B" w:rsidRDefault="00D70250" w:rsidP="002D687B">
            <w:pPr>
              <w:spacing w:after="0" w:line="240" w:lineRule="auto"/>
              <w:jc w:val="center"/>
              <w:rPr>
                <w:rFonts w:cs="Arial"/>
                <w:sz w:val="16"/>
                <w:szCs w:val="16"/>
              </w:rPr>
            </w:pPr>
            <w:r w:rsidRPr="002D687B">
              <w:rPr>
                <w:rFonts w:cs="Arial"/>
                <w:sz w:val="16"/>
                <w:szCs w:val="16"/>
              </w:rPr>
              <w:t>Celkem pro nemoc</w:t>
            </w:r>
          </w:p>
        </w:tc>
        <w:tc>
          <w:tcPr>
            <w:tcW w:w="1299" w:type="dxa"/>
            <w:gridSpan w:val="2"/>
            <w:tcBorders>
              <w:top w:val="single" w:sz="4" w:space="0" w:color="auto"/>
              <w:left w:val="nil"/>
              <w:bottom w:val="single" w:sz="4" w:space="0" w:color="auto"/>
              <w:right w:val="single" w:sz="4" w:space="0" w:color="auto"/>
            </w:tcBorders>
            <w:shd w:val="clear" w:color="000000" w:fill="F2DBDB"/>
            <w:vAlign w:val="center"/>
            <w:hideMark/>
          </w:tcPr>
          <w:p w14:paraId="059C7B47" w14:textId="77777777" w:rsidR="00D70250" w:rsidRPr="002D687B" w:rsidRDefault="00D70250" w:rsidP="002D687B">
            <w:pPr>
              <w:spacing w:after="0" w:line="240" w:lineRule="auto"/>
              <w:jc w:val="center"/>
              <w:rPr>
                <w:rFonts w:cs="Arial"/>
                <w:sz w:val="16"/>
                <w:szCs w:val="16"/>
              </w:rPr>
            </w:pPr>
            <w:r w:rsidRPr="002D687B">
              <w:rPr>
                <w:rFonts w:cs="Arial"/>
                <w:sz w:val="16"/>
                <w:szCs w:val="16"/>
              </w:rPr>
              <w:t>podle pohlaví</w:t>
            </w:r>
          </w:p>
        </w:tc>
        <w:tc>
          <w:tcPr>
            <w:tcW w:w="847" w:type="dxa"/>
            <w:vMerge w:val="restart"/>
            <w:tcBorders>
              <w:top w:val="nil"/>
              <w:left w:val="single" w:sz="4" w:space="0" w:color="auto"/>
              <w:right w:val="single" w:sz="4" w:space="0" w:color="auto"/>
            </w:tcBorders>
            <w:shd w:val="clear" w:color="000000" w:fill="F2DBDB"/>
            <w:vAlign w:val="center"/>
            <w:hideMark/>
          </w:tcPr>
          <w:p w14:paraId="5F3213AE" w14:textId="77777777" w:rsidR="00D70250" w:rsidRPr="002D687B" w:rsidRDefault="00D70250" w:rsidP="002D687B">
            <w:pPr>
              <w:spacing w:after="0" w:line="240" w:lineRule="auto"/>
              <w:jc w:val="center"/>
              <w:rPr>
                <w:rFonts w:cs="Arial"/>
                <w:sz w:val="16"/>
                <w:szCs w:val="16"/>
              </w:rPr>
            </w:pPr>
            <w:r w:rsidRPr="002D687B">
              <w:rPr>
                <w:rFonts w:cs="Arial"/>
                <w:sz w:val="16"/>
                <w:szCs w:val="16"/>
              </w:rPr>
              <w:t>Celkem pro pracovní úrazy</w:t>
            </w:r>
          </w:p>
        </w:tc>
        <w:tc>
          <w:tcPr>
            <w:tcW w:w="1299" w:type="dxa"/>
            <w:gridSpan w:val="2"/>
            <w:tcBorders>
              <w:top w:val="single" w:sz="4" w:space="0" w:color="auto"/>
              <w:left w:val="nil"/>
              <w:bottom w:val="single" w:sz="4" w:space="0" w:color="auto"/>
              <w:right w:val="single" w:sz="4" w:space="0" w:color="auto"/>
            </w:tcBorders>
            <w:shd w:val="clear" w:color="000000" w:fill="F2DBDB"/>
            <w:vAlign w:val="center"/>
            <w:hideMark/>
          </w:tcPr>
          <w:p w14:paraId="1F29DF97" w14:textId="77777777" w:rsidR="00D70250" w:rsidRPr="002D687B" w:rsidRDefault="00D70250" w:rsidP="002D687B">
            <w:pPr>
              <w:spacing w:after="0" w:line="240" w:lineRule="auto"/>
              <w:jc w:val="center"/>
              <w:rPr>
                <w:rFonts w:cs="Arial"/>
                <w:sz w:val="16"/>
                <w:szCs w:val="16"/>
              </w:rPr>
            </w:pPr>
            <w:r w:rsidRPr="002D687B">
              <w:rPr>
                <w:rFonts w:cs="Arial"/>
                <w:sz w:val="16"/>
                <w:szCs w:val="16"/>
              </w:rPr>
              <w:t>podle pohlaví</w:t>
            </w:r>
          </w:p>
        </w:tc>
        <w:tc>
          <w:tcPr>
            <w:tcW w:w="847" w:type="dxa"/>
            <w:vMerge w:val="restart"/>
            <w:tcBorders>
              <w:top w:val="nil"/>
              <w:left w:val="single" w:sz="4" w:space="0" w:color="auto"/>
              <w:right w:val="single" w:sz="4" w:space="0" w:color="auto"/>
            </w:tcBorders>
            <w:shd w:val="clear" w:color="000000" w:fill="F2DBDB"/>
            <w:vAlign w:val="center"/>
            <w:hideMark/>
          </w:tcPr>
          <w:p w14:paraId="2473747B" w14:textId="77777777" w:rsidR="00D70250" w:rsidRPr="002D687B" w:rsidRDefault="00D70250" w:rsidP="002D687B">
            <w:pPr>
              <w:spacing w:after="0" w:line="240" w:lineRule="auto"/>
              <w:jc w:val="center"/>
              <w:rPr>
                <w:rFonts w:cs="Arial"/>
                <w:sz w:val="16"/>
                <w:szCs w:val="16"/>
              </w:rPr>
            </w:pPr>
            <w:r w:rsidRPr="002D687B">
              <w:rPr>
                <w:rFonts w:cs="Arial"/>
                <w:sz w:val="16"/>
                <w:szCs w:val="16"/>
              </w:rPr>
              <w:t>Celkem pro ostatní úrazy</w:t>
            </w:r>
          </w:p>
        </w:tc>
        <w:tc>
          <w:tcPr>
            <w:tcW w:w="1299" w:type="dxa"/>
            <w:gridSpan w:val="2"/>
            <w:tcBorders>
              <w:top w:val="single" w:sz="4" w:space="0" w:color="auto"/>
              <w:left w:val="nil"/>
              <w:bottom w:val="single" w:sz="4" w:space="0" w:color="auto"/>
            </w:tcBorders>
            <w:shd w:val="clear" w:color="000000" w:fill="F2DBDB"/>
            <w:vAlign w:val="center"/>
            <w:hideMark/>
          </w:tcPr>
          <w:p w14:paraId="7C48573D" w14:textId="77777777" w:rsidR="00D70250" w:rsidRPr="002D687B" w:rsidRDefault="00D70250" w:rsidP="002D687B">
            <w:pPr>
              <w:spacing w:after="0" w:line="240" w:lineRule="auto"/>
              <w:jc w:val="center"/>
              <w:rPr>
                <w:rFonts w:cs="Arial"/>
                <w:sz w:val="16"/>
                <w:szCs w:val="16"/>
              </w:rPr>
            </w:pPr>
            <w:r w:rsidRPr="002D687B">
              <w:rPr>
                <w:rFonts w:cs="Arial"/>
                <w:sz w:val="16"/>
                <w:szCs w:val="16"/>
              </w:rPr>
              <w:t>podle pohlaví</w:t>
            </w:r>
          </w:p>
        </w:tc>
      </w:tr>
      <w:tr w:rsidR="00D70250" w:rsidRPr="002D687B" w14:paraId="071F2F08" w14:textId="77777777" w:rsidTr="00F711D4">
        <w:trPr>
          <w:gridAfter w:val="1"/>
          <w:wAfter w:w="9" w:type="dxa"/>
          <w:trHeight w:val="491"/>
        </w:trPr>
        <w:tc>
          <w:tcPr>
            <w:tcW w:w="1005" w:type="dxa"/>
            <w:vMerge/>
            <w:tcBorders>
              <w:top w:val="single" w:sz="4" w:space="0" w:color="auto"/>
              <w:left w:val="nil"/>
              <w:bottom w:val="single" w:sz="4" w:space="0" w:color="auto"/>
              <w:right w:val="single" w:sz="4" w:space="0" w:color="auto"/>
            </w:tcBorders>
            <w:vAlign w:val="center"/>
            <w:hideMark/>
          </w:tcPr>
          <w:p w14:paraId="22AD374A" w14:textId="77777777" w:rsidR="00D70250" w:rsidRPr="002D687B" w:rsidRDefault="00D70250" w:rsidP="002D687B">
            <w:pPr>
              <w:spacing w:after="0" w:line="240" w:lineRule="auto"/>
              <w:rPr>
                <w:rFonts w:cs="Arial"/>
                <w:sz w:val="16"/>
                <w:szCs w:val="16"/>
              </w:rPr>
            </w:pPr>
          </w:p>
        </w:tc>
        <w:tc>
          <w:tcPr>
            <w:tcW w:w="847" w:type="dxa"/>
            <w:vMerge/>
            <w:tcBorders>
              <w:top w:val="nil"/>
              <w:left w:val="single" w:sz="4" w:space="0" w:color="auto"/>
              <w:bottom w:val="single" w:sz="4" w:space="0" w:color="auto"/>
              <w:right w:val="single" w:sz="4" w:space="0" w:color="auto"/>
            </w:tcBorders>
            <w:vAlign w:val="center"/>
            <w:hideMark/>
          </w:tcPr>
          <w:p w14:paraId="6A2ED072" w14:textId="77777777" w:rsidR="00D70250" w:rsidRPr="002D687B" w:rsidRDefault="00D70250" w:rsidP="002D687B">
            <w:pPr>
              <w:spacing w:after="0" w:line="240" w:lineRule="auto"/>
              <w:rPr>
                <w:rFonts w:cs="Arial"/>
                <w:sz w:val="16"/>
                <w:szCs w:val="16"/>
              </w:rPr>
            </w:pPr>
          </w:p>
        </w:tc>
        <w:tc>
          <w:tcPr>
            <w:tcW w:w="649" w:type="dxa"/>
            <w:tcBorders>
              <w:top w:val="nil"/>
              <w:left w:val="nil"/>
              <w:bottom w:val="single" w:sz="4" w:space="0" w:color="auto"/>
              <w:right w:val="single" w:sz="4" w:space="0" w:color="auto"/>
            </w:tcBorders>
            <w:shd w:val="clear" w:color="000000" w:fill="F2DBDB"/>
            <w:vAlign w:val="center"/>
            <w:hideMark/>
          </w:tcPr>
          <w:p w14:paraId="20FF98F5" w14:textId="77777777" w:rsidR="00D70250" w:rsidRPr="002D687B" w:rsidRDefault="00D70250" w:rsidP="002D687B">
            <w:pPr>
              <w:spacing w:after="0" w:line="240" w:lineRule="auto"/>
              <w:jc w:val="center"/>
              <w:rPr>
                <w:rFonts w:cs="Arial"/>
                <w:sz w:val="16"/>
                <w:szCs w:val="16"/>
              </w:rPr>
            </w:pPr>
            <w:r w:rsidRPr="002D687B">
              <w:rPr>
                <w:rFonts w:cs="Arial"/>
                <w:sz w:val="16"/>
                <w:szCs w:val="16"/>
              </w:rPr>
              <w:t>muži</w:t>
            </w:r>
          </w:p>
        </w:tc>
        <w:tc>
          <w:tcPr>
            <w:tcW w:w="649" w:type="dxa"/>
            <w:tcBorders>
              <w:top w:val="nil"/>
              <w:left w:val="nil"/>
              <w:bottom w:val="single" w:sz="4" w:space="0" w:color="auto"/>
              <w:right w:val="single" w:sz="4" w:space="0" w:color="auto"/>
            </w:tcBorders>
            <w:shd w:val="clear" w:color="000000" w:fill="F2DBDB"/>
            <w:vAlign w:val="center"/>
            <w:hideMark/>
          </w:tcPr>
          <w:p w14:paraId="089BA5EE" w14:textId="77777777" w:rsidR="00D70250" w:rsidRPr="002D687B" w:rsidRDefault="00D70250" w:rsidP="002D687B">
            <w:pPr>
              <w:spacing w:after="0" w:line="240" w:lineRule="auto"/>
              <w:jc w:val="center"/>
              <w:rPr>
                <w:rFonts w:cs="Arial"/>
                <w:sz w:val="16"/>
                <w:szCs w:val="16"/>
              </w:rPr>
            </w:pPr>
            <w:r w:rsidRPr="002D687B">
              <w:rPr>
                <w:rFonts w:cs="Arial"/>
                <w:sz w:val="16"/>
                <w:szCs w:val="16"/>
              </w:rPr>
              <w:t>ženy</w:t>
            </w:r>
          </w:p>
        </w:tc>
        <w:tc>
          <w:tcPr>
            <w:tcW w:w="847" w:type="dxa"/>
            <w:vMerge/>
            <w:tcBorders>
              <w:left w:val="single" w:sz="4" w:space="0" w:color="auto"/>
              <w:bottom w:val="single" w:sz="4" w:space="0" w:color="auto"/>
              <w:right w:val="single" w:sz="4" w:space="0" w:color="auto"/>
            </w:tcBorders>
            <w:vAlign w:val="center"/>
            <w:hideMark/>
          </w:tcPr>
          <w:p w14:paraId="56395468" w14:textId="77777777" w:rsidR="00D70250" w:rsidRPr="002D687B" w:rsidRDefault="00D70250" w:rsidP="002D687B">
            <w:pPr>
              <w:spacing w:after="0" w:line="240" w:lineRule="auto"/>
              <w:rPr>
                <w:rFonts w:cs="Arial"/>
                <w:sz w:val="16"/>
                <w:szCs w:val="16"/>
              </w:rPr>
            </w:pPr>
          </w:p>
        </w:tc>
        <w:tc>
          <w:tcPr>
            <w:tcW w:w="649" w:type="dxa"/>
            <w:tcBorders>
              <w:top w:val="nil"/>
              <w:left w:val="nil"/>
              <w:bottom w:val="single" w:sz="4" w:space="0" w:color="auto"/>
              <w:right w:val="single" w:sz="4" w:space="0" w:color="auto"/>
            </w:tcBorders>
            <w:shd w:val="clear" w:color="000000" w:fill="F2DBDB"/>
            <w:vAlign w:val="center"/>
            <w:hideMark/>
          </w:tcPr>
          <w:p w14:paraId="7067F56A" w14:textId="77777777" w:rsidR="00D70250" w:rsidRPr="002D687B" w:rsidRDefault="00D70250" w:rsidP="002D687B">
            <w:pPr>
              <w:spacing w:after="0" w:line="240" w:lineRule="auto"/>
              <w:jc w:val="center"/>
              <w:rPr>
                <w:rFonts w:cs="Arial"/>
                <w:sz w:val="16"/>
                <w:szCs w:val="16"/>
              </w:rPr>
            </w:pPr>
            <w:r w:rsidRPr="002D687B">
              <w:rPr>
                <w:rFonts w:cs="Arial"/>
                <w:sz w:val="16"/>
                <w:szCs w:val="16"/>
              </w:rPr>
              <w:t>muži</w:t>
            </w:r>
          </w:p>
        </w:tc>
        <w:tc>
          <w:tcPr>
            <w:tcW w:w="649" w:type="dxa"/>
            <w:tcBorders>
              <w:top w:val="nil"/>
              <w:left w:val="nil"/>
              <w:bottom w:val="single" w:sz="4" w:space="0" w:color="auto"/>
              <w:right w:val="single" w:sz="4" w:space="0" w:color="auto"/>
            </w:tcBorders>
            <w:shd w:val="clear" w:color="000000" w:fill="F2DBDB"/>
            <w:vAlign w:val="center"/>
            <w:hideMark/>
          </w:tcPr>
          <w:p w14:paraId="5F3EE954" w14:textId="77777777" w:rsidR="00D70250" w:rsidRPr="002D687B" w:rsidRDefault="00D70250" w:rsidP="002D687B">
            <w:pPr>
              <w:spacing w:after="0" w:line="240" w:lineRule="auto"/>
              <w:jc w:val="center"/>
              <w:rPr>
                <w:rFonts w:cs="Arial"/>
                <w:sz w:val="16"/>
                <w:szCs w:val="16"/>
              </w:rPr>
            </w:pPr>
            <w:r w:rsidRPr="002D687B">
              <w:rPr>
                <w:rFonts w:cs="Arial"/>
                <w:sz w:val="16"/>
                <w:szCs w:val="16"/>
              </w:rPr>
              <w:t>ženy</w:t>
            </w:r>
          </w:p>
        </w:tc>
        <w:tc>
          <w:tcPr>
            <w:tcW w:w="847" w:type="dxa"/>
            <w:vMerge/>
            <w:tcBorders>
              <w:left w:val="single" w:sz="4" w:space="0" w:color="auto"/>
              <w:bottom w:val="single" w:sz="4" w:space="0" w:color="auto"/>
              <w:right w:val="single" w:sz="4" w:space="0" w:color="auto"/>
            </w:tcBorders>
            <w:vAlign w:val="center"/>
            <w:hideMark/>
          </w:tcPr>
          <w:p w14:paraId="0B8A253E" w14:textId="77777777" w:rsidR="00D70250" w:rsidRPr="002D687B" w:rsidRDefault="00D70250" w:rsidP="002D687B">
            <w:pPr>
              <w:spacing w:after="0" w:line="240" w:lineRule="auto"/>
              <w:rPr>
                <w:rFonts w:cs="Arial"/>
                <w:sz w:val="16"/>
                <w:szCs w:val="16"/>
              </w:rPr>
            </w:pPr>
          </w:p>
        </w:tc>
        <w:tc>
          <w:tcPr>
            <w:tcW w:w="649" w:type="dxa"/>
            <w:tcBorders>
              <w:top w:val="nil"/>
              <w:left w:val="nil"/>
              <w:bottom w:val="single" w:sz="4" w:space="0" w:color="auto"/>
              <w:right w:val="single" w:sz="4" w:space="0" w:color="auto"/>
            </w:tcBorders>
            <w:shd w:val="clear" w:color="000000" w:fill="F2DBDB"/>
            <w:vAlign w:val="center"/>
            <w:hideMark/>
          </w:tcPr>
          <w:p w14:paraId="4DC37A50" w14:textId="77777777" w:rsidR="00D70250" w:rsidRPr="002D687B" w:rsidRDefault="00D70250" w:rsidP="002D687B">
            <w:pPr>
              <w:spacing w:after="0" w:line="240" w:lineRule="auto"/>
              <w:jc w:val="center"/>
              <w:rPr>
                <w:rFonts w:cs="Arial"/>
                <w:sz w:val="16"/>
                <w:szCs w:val="16"/>
              </w:rPr>
            </w:pPr>
            <w:r w:rsidRPr="002D687B">
              <w:rPr>
                <w:rFonts w:cs="Arial"/>
                <w:sz w:val="16"/>
                <w:szCs w:val="16"/>
              </w:rPr>
              <w:t>muži</w:t>
            </w:r>
          </w:p>
        </w:tc>
        <w:tc>
          <w:tcPr>
            <w:tcW w:w="649" w:type="dxa"/>
            <w:tcBorders>
              <w:top w:val="nil"/>
              <w:left w:val="nil"/>
              <w:bottom w:val="single" w:sz="4" w:space="0" w:color="auto"/>
              <w:right w:val="nil"/>
            </w:tcBorders>
            <w:shd w:val="clear" w:color="000000" w:fill="F2DBDB"/>
            <w:vAlign w:val="center"/>
            <w:hideMark/>
          </w:tcPr>
          <w:p w14:paraId="5F383124" w14:textId="77777777" w:rsidR="00D70250" w:rsidRPr="002D687B" w:rsidRDefault="00D70250" w:rsidP="002D687B">
            <w:pPr>
              <w:spacing w:after="0" w:line="240" w:lineRule="auto"/>
              <w:jc w:val="center"/>
              <w:rPr>
                <w:rFonts w:cs="Arial"/>
                <w:sz w:val="16"/>
                <w:szCs w:val="16"/>
              </w:rPr>
            </w:pPr>
            <w:r w:rsidRPr="002D687B">
              <w:rPr>
                <w:rFonts w:cs="Arial"/>
                <w:sz w:val="16"/>
                <w:szCs w:val="16"/>
              </w:rPr>
              <w:t>ženy</w:t>
            </w:r>
          </w:p>
        </w:tc>
        <w:tc>
          <w:tcPr>
            <w:tcW w:w="847" w:type="dxa"/>
            <w:vMerge/>
            <w:tcBorders>
              <w:left w:val="single" w:sz="4" w:space="0" w:color="auto"/>
              <w:bottom w:val="single" w:sz="4" w:space="0" w:color="auto"/>
              <w:right w:val="single" w:sz="4" w:space="0" w:color="auto"/>
            </w:tcBorders>
            <w:vAlign w:val="center"/>
            <w:hideMark/>
          </w:tcPr>
          <w:p w14:paraId="09C2295E" w14:textId="77777777" w:rsidR="00D70250" w:rsidRPr="002D687B" w:rsidRDefault="00D70250" w:rsidP="002D687B">
            <w:pPr>
              <w:spacing w:after="0" w:line="240" w:lineRule="auto"/>
              <w:rPr>
                <w:rFonts w:cs="Arial"/>
                <w:sz w:val="16"/>
                <w:szCs w:val="16"/>
              </w:rPr>
            </w:pPr>
          </w:p>
        </w:tc>
        <w:tc>
          <w:tcPr>
            <w:tcW w:w="649" w:type="dxa"/>
            <w:tcBorders>
              <w:top w:val="nil"/>
              <w:left w:val="nil"/>
              <w:bottom w:val="single" w:sz="4" w:space="0" w:color="auto"/>
              <w:right w:val="single" w:sz="4" w:space="0" w:color="auto"/>
            </w:tcBorders>
            <w:shd w:val="clear" w:color="000000" w:fill="F2DBDB"/>
            <w:vAlign w:val="center"/>
            <w:hideMark/>
          </w:tcPr>
          <w:p w14:paraId="78B9B537" w14:textId="77777777" w:rsidR="00D70250" w:rsidRPr="002D687B" w:rsidRDefault="00D70250" w:rsidP="002D687B">
            <w:pPr>
              <w:spacing w:after="0" w:line="240" w:lineRule="auto"/>
              <w:jc w:val="center"/>
              <w:rPr>
                <w:rFonts w:cs="Arial"/>
                <w:sz w:val="16"/>
                <w:szCs w:val="16"/>
              </w:rPr>
            </w:pPr>
            <w:r w:rsidRPr="002D687B">
              <w:rPr>
                <w:rFonts w:cs="Arial"/>
                <w:sz w:val="16"/>
                <w:szCs w:val="16"/>
              </w:rPr>
              <w:t>muži</w:t>
            </w:r>
          </w:p>
        </w:tc>
        <w:tc>
          <w:tcPr>
            <w:tcW w:w="649" w:type="dxa"/>
            <w:tcBorders>
              <w:top w:val="nil"/>
              <w:left w:val="nil"/>
              <w:bottom w:val="single" w:sz="4" w:space="0" w:color="auto"/>
              <w:right w:val="nil"/>
            </w:tcBorders>
            <w:shd w:val="clear" w:color="000000" w:fill="F2DBDB"/>
            <w:vAlign w:val="center"/>
            <w:hideMark/>
          </w:tcPr>
          <w:p w14:paraId="0769F66C" w14:textId="77777777" w:rsidR="00D70250" w:rsidRPr="002D687B" w:rsidRDefault="00D70250" w:rsidP="002D687B">
            <w:pPr>
              <w:spacing w:after="0" w:line="240" w:lineRule="auto"/>
              <w:jc w:val="center"/>
              <w:rPr>
                <w:rFonts w:cs="Arial"/>
                <w:sz w:val="16"/>
                <w:szCs w:val="16"/>
              </w:rPr>
            </w:pPr>
            <w:r w:rsidRPr="002D687B">
              <w:rPr>
                <w:rFonts w:cs="Arial"/>
                <w:sz w:val="16"/>
                <w:szCs w:val="16"/>
              </w:rPr>
              <w:t>ženy</w:t>
            </w:r>
          </w:p>
        </w:tc>
      </w:tr>
      <w:tr w:rsidR="00D70250" w:rsidRPr="002D687B" w14:paraId="42DF6F49" w14:textId="77777777" w:rsidTr="00F711D4">
        <w:trPr>
          <w:gridAfter w:val="1"/>
          <w:wAfter w:w="9" w:type="dxa"/>
          <w:trHeight w:val="280"/>
        </w:trPr>
        <w:tc>
          <w:tcPr>
            <w:tcW w:w="1005" w:type="dxa"/>
            <w:tcBorders>
              <w:top w:val="single" w:sz="4" w:space="0" w:color="auto"/>
              <w:left w:val="nil"/>
              <w:bottom w:val="nil"/>
              <w:right w:val="single" w:sz="4" w:space="0" w:color="auto"/>
            </w:tcBorders>
            <w:shd w:val="clear" w:color="auto" w:fill="auto"/>
            <w:vAlign w:val="center"/>
            <w:hideMark/>
          </w:tcPr>
          <w:p w14:paraId="525BF64F"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2008</w:t>
            </w:r>
          </w:p>
        </w:tc>
        <w:tc>
          <w:tcPr>
            <w:tcW w:w="847" w:type="dxa"/>
            <w:tcBorders>
              <w:top w:val="single" w:sz="4" w:space="0" w:color="auto"/>
              <w:left w:val="nil"/>
              <w:bottom w:val="nil"/>
              <w:right w:val="nil"/>
            </w:tcBorders>
            <w:shd w:val="clear" w:color="auto" w:fill="auto"/>
            <w:vAlign w:val="center"/>
            <w:hideMark/>
          </w:tcPr>
          <w:p w14:paraId="2D051B94" w14:textId="77777777" w:rsidR="002D687B" w:rsidRPr="002D687B" w:rsidRDefault="002D687B" w:rsidP="002D687B">
            <w:pPr>
              <w:spacing w:after="0" w:line="240" w:lineRule="auto"/>
              <w:jc w:val="right"/>
              <w:rPr>
                <w:rFonts w:cs="Arial"/>
                <w:sz w:val="16"/>
                <w:szCs w:val="16"/>
              </w:rPr>
            </w:pPr>
            <w:r w:rsidRPr="002D687B">
              <w:rPr>
                <w:rFonts w:cs="Arial"/>
                <w:sz w:val="16"/>
                <w:szCs w:val="16"/>
              </w:rPr>
              <w:t>1 125,6</w:t>
            </w:r>
          </w:p>
        </w:tc>
        <w:tc>
          <w:tcPr>
            <w:tcW w:w="649" w:type="dxa"/>
            <w:tcBorders>
              <w:top w:val="single" w:sz="4" w:space="0" w:color="auto"/>
              <w:left w:val="nil"/>
              <w:bottom w:val="nil"/>
              <w:right w:val="nil"/>
            </w:tcBorders>
            <w:shd w:val="clear" w:color="auto" w:fill="auto"/>
            <w:vAlign w:val="center"/>
            <w:hideMark/>
          </w:tcPr>
          <w:p w14:paraId="37FFBF4E" w14:textId="77777777" w:rsidR="002D687B" w:rsidRPr="002D687B" w:rsidRDefault="002D687B" w:rsidP="002D687B">
            <w:pPr>
              <w:spacing w:after="0" w:line="240" w:lineRule="auto"/>
              <w:jc w:val="right"/>
              <w:rPr>
                <w:rFonts w:cs="Arial"/>
                <w:sz w:val="16"/>
                <w:szCs w:val="16"/>
              </w:rPr>
            </w:pPr>
            <w:r w:rsidRPr="002D687B">
              <w:rPr>
                <w:rFonts w:cs="Arial"/>
                <w:sz w:val="16"/>
                <w:szCs w:val="16"/>
              </w:rPr>
              <w:t>546,7</w:t>
            </w:r>
          </w:p>
        </w:tc>
        <w:tc>
          <w:tcPr>
            <w:tcW w:w="649" w:type="dxa"/>
            <w:tcBorders>
              <w:top w:val="single" w:sz="4" w:space="0" w:color="auto"/>
              <w:left w:val="nil"/>
              <w:bottom w:val="nil"/>
              <w:right w:val="single" w:sz="4" w:space="0" w:color="auto"/>
            </w:tcBorders>
            <w:shd w:val="clear" w:color="auto" w:fill="auto"/>
            <w:vAlign w:val="center"/>
            <w:hideMark/>
          </w:tcPr>
          <w:p w14:paraId="695AD233" w14:textId="77777777" w:rsidR="002D687B" w:rsidRPr="002D687B" w:rsidRDefault="002D687B" w:rsidP="002D687B">
            <w:pPr>
              <w:spacing w:after="0" w:line="240" w:lineRule="auto"/>
              <w:jc w:val="right"/>
              <w:rPr>
                <w:rFonts w:cs="Arial"/>
                <w:sz w:val="16"/>
                <w:szCs w:val="16"/>
              </w:rPr>
            </w:pPr>
            <w:r w:rsidRPr="002D687B">
              <w:rPr>
                <w:rFonts w:cs="Arial"/>
                <w:sz w:val="16"/>
                <w:szCs w:val="16"/>
              </w:rPr>
              <w:t>578,9</w:t>
            </w:r>
          </w:p>
        </w:tc>
        <w:tc>
          <w:tcPr>
            <w:tcW w:w="847" w:type="dxa"/>
            <w:tcBorders>
              <w:top w:val="single" w:sz="4" w:space="0" w:color="auto"/>
              <w:left w:val="nil"/>
              <w:bottom w:val="nil"/>
              <w:right w:val="nil"/>
            </w:tcBorders>
            <w:shd w:val="clear" w:color="auto" w:fill="auto"/>
            <w:vAlign w:val="center"/>
            <w:hideMark/>
          </w:tcPr>
          <w:p w14:paraId="5C3ED793" w14:textId="77777777" w:rsidR="002D687B" w:rsidRPr="002D687B" w:rsidRDefault="002D687B" w:rsidP="002D687B">
            <w:pPr>
              <w:spacing w:after="0" w:line="240" w:lineRule="auto"/>
              <w:jc w:val="right"/>
              <w:rPr>
                <w:rFonts w:cs="Arial"/>
                <w:sz w:val="16"/>
                <w:szCs w:val="16"/>
              </w:rPr>
            </w:pPr>
            <w:r w:rsidRPr="002D687B">
              <w:rPr>
                <w:rFonts w:cs="Arial"/>
                <w:sz w:val="16"/>
                <w:szCs w:val="16"/>
              </w:rPr>
              <w:t>1 038,4</w:t>
            </w:r>
          </w:p>
        </w:tc>
        <w:tc>
          <w:tcPr>
            <w:tcW w:w="649" w:type="dxa"/>
            <w:tcBorders>
              <w:top w:val="single" w:sz="4" w:space="0" w:color="auto"/>
              <w:left w:val="nil"/>
              <w:bottom w:val="nil"/>
              <w:right w:val="nil"/>
            </w:tcBorders>
            <w:shd w:val="clear" w:color="auto" w:fill="auto"/>
            <w:vAlign w:val="center"/>
            <w:hideMark/>
          </w:tcPr>
          <w:p w14:paraId="71E11590" w14:textId="77777777" w:rsidR="002D687B" w:rsidRPr="002D687B" w:rsidRDefault="002D687B" w:rsidP="002D687B">
            <w:pPr>
              <w:spacing w:after="0" w:line="240" w:lineRule="auto"/>
              <w:jc w:val="right"/>
              <w:rPr>
                <w:rFonts w:cs="Arial"/>
                <w:sz w:val="16"/>
                <w:szCs w:val="16"/>
              </w:rPr>
            </w:pPr>
            <w:r w:rsidRPr="002D687B">
              <w:rPr>
                <w:rFonts w:cs="Arial"/>
                <w:sz w:val="16"/>
                <w:szCs w:val="16"/>
              </w:rPr>
              <w:t>484,7</w:t>
            </w:r>
          </w:p>
        </w:tc>
        <w:tc>
          <w:tcPr>
            <w:tcW w:w="649" w:type="dxa"/>
            <w:tcBorders>
              <w:top w:val="single" w:sz="4" w:space="0" w:color="auto"/>
              <w:left w:val="nil"/>
              <w:bottom w:val="nil"/>
              <w:right w:val="single" w:sz="4" w:space="0" w:color="auto"/>
            </w:tcBorders>
            <w:shd w:val="clear" w:color="auto" w:fill="auto"/>
            <w:vAlign w:val="center"/>
            <w:hideMark/>
          </w:tcPr>
          <w:p w14:paraId="63053C7B" w14:textId="77777777" w:rsidR="002D687B" w:rsidRPr="002D687B" w:rsidRDefault="002D687B" w:rsidP="002D687B">
            <w:pPr>
              <w:spacing w:after="0" w:line="240" w:lineRule="auto"/>
              <w:jc w:val="right"/>
              <w:rPr>
                <w:rFonts w:cs="Arial"/>
                <w:sz w:val="16"/>
                <w:szCs w:val="16"/>
              </w:rPr>
            </w:pPr>
            <w:r w:rsidRPr="002D687B">
              <w:rPr>
                <w:rFonts w:cs="Arial"/>
                <w:sz w:val="16"/>
                <w:szCs w:val="16"/>
              </w:rPr>
              <w:t>553,7</w:t>
            </w:r>
          </w:p>
        </w:tc>
        <w:tc>
          <w:tcPr>
            <w:tcW w:w="847" w:type="dxa"/>
            <w:tcBorders>
              <w:top w:val="single" w:sz="4" w:space="0" w:color="auto"/>
              <w:left w:val="nil"/>
              <w:bottom w:val="nil"/>
              <w:right w:val="nil"/>
            </w:tcBorders>
            <w:shd w:val="clear" w:color="auto" w:fill="auto"/>
            <w:vAlign w:val="center"/>
            <w:hideMark/>
          </w:tcPr>
          <w:p w14:paraId="5AEE2E99" w14:textId="77777777" w:rsidR="002D687B" w:rsidRPr="002D687B" w:rsidRDefault="002D687B" w:rsidP="002D687B">
            <w:pPr>
              <w:spacing w:after="0" w:line="240" w:lineRule="auto"/>
              <w:jc w:val="right"/>
              <w:rPr>
                <w:rFonts w:cs="Arial"/>
                <w:sz w:val="16"/>
                <w:szCs w:val="16"/>
              </w:rPr>
            </w:pPr>
            <w:r w:rsidRPr="002D687B">
              <w:rPr>
                <w:rFonts w:cs="Arial"/>
                <w:sz w:val="16"/>
                <w:szCs w:val="16"/>
              </w:rPr>
              <w:t>35,1</w:t>
            </w:r>
          </w:p>
        </w:tc>
        <w:tc>
          <w:tcPr>
            <w:tcW w:w="649" w:type="dxa"/>
            <w:tcBorders>
              <w:top w:val="single" w:sz="4" w:space="0" w:color="auto"/>
              <w:left w:val="nil"/>
              <w:bottom w:val="nil"/>
              <w:right w:val="nil"/>
            </w:tcBorders>
            <w:shd w:val="clear" w:color="auto" w:fill="auto"/>
            <w:vAlign w:val="center"/>
            <w:hideMark/>
          </w:tcPr>
          <w:p w14:paraId="7E7E7D58" w14:textId="77777777" w:rsidR="002D687B" w:rsidRPr="002D687B" w:rsidRDefault="002D687B" w:rsidP="002D687B">
            <w:pPr>
              <w:spacing w:after="0" w:line="240" w:lineRule="auto"/>
              <w:jc w:val="right"/>
              <w:rPr>
                <w:rFonts w:cs="Arial"/>
                <w:sz w:val="16"/>
                <w:szCs w:val="16"/>
              </w:rPr>
            </w:pPr>
            <w:r w:rsidRPr="002D687B">
              <w:rPr>
                <w:rFonts w:cs="Arial"/>
                <w:sz w:val="16"/>
                <w:szCs w:val="16"/>
              </w:rPr>
              <w:t>25,7</w:t>
            </w:r>
          </w:p>
        </w:tc>
        <w:tc>
          <w:tcPr>
            <w:tcW w:w="649" w:type="dxa"/>
            <w:tcBorders>
              <w:top w:val="single" w:sz="4" w:space="0" w:color="auto"/>
              <w:left w:val="nil"/>
              <w:bottom w:val="nil"/>
              <w:right w:val="single" w:sz="4" w:space="0" w:color="auto"/>
            </w:tcBorders>
            <w:shd w:val="clear" w:color="auto" w:fill="auto"/>
            <w:vAlign w:val="center"/>
            <w:hideMark/>
          </w:tcPr>
          <w:p w14:paraId="559B8A09" w14:textId="77777777" w:rsidR="002D687B" w:rsidRPr="002D687B" w:rsidRDefault="002D687B" w:rsidP="002D687B">
            <w:pPr>
              <w:spacing w:after="0" w:line="240" w:lineRule="auto"/>
              <w:jc w:val="right"/>
              <w:rPr>
                <w:rFonts w:cs="Arial"/>
                <w:sz w:val="16"/>
                <w:szCs w:val="16"/>
              </w:rPr>
            </w:pPr>
            <w:r w:rsidRPr="002D687B">
              <w:rPr>
                <w:rFonts w:cs="Arial"/>
                <w:sz w:val="16"/>
                <w:szCs w:val="16"/>
              </w:rPr>
              <w:t>9,4</w:t>
            </w:r>
          </w:p>
        </w:tc>
        <w:tc>
          <w:tcPr>
            <w:tcW w:w="847" w:type="dxa"/>
            <w:tcBorders>
              <w:top w:val="single" w:sz="4" w:space="0" w:color="auto"/>
              <w:left w:val="nil"/>
              <w:bottom w:val="nil"/>
              <w:right w:val="nil"/>
            </w:tcBorders>
            <w:shd w:val="clear" w:color="auto" w:fill="auto"/>
            <w:vAlign w:val="center"/>
            <w:hideMark/>
          </w:tcPr>
          <w:p w14:paraId="4B0B58DB" w14:textId="77777777" w:rsidR="002D687B" w:rsidRPr="002D687B" w:rsidRDefault="002D687B" w:rsidP="002D687B">
            <w:pPr>
              <w:spacing w:after="0" w:line="240" w:lineRule="auto"/>
              <w:jc w:val="right"/>
              <w:rPr>
                <w:rFonts w:cs="Arial"/>
                <w:sz w:val="16"/>
                <w:szCs w:val="16"/>
              </w:rPr>
            </w:pPr>
            <w:r w:rsidRPr="002D687B">
              <w:rPr>
                <w:rFonts w:cs="Arial"/>
                <w:sz w:val="16"/>
                <w:szCs w:val="16"/>
              </w:rPr>
              <w:t>52,0</w:t>
            </w:r>
          </w:p>
        </w:tc>
        <w:tc>
          <w:tcPr>
            <w:tcW w:w="649" w:type="dxa"/>
            <w:tcBorders>
              <w:top w:val="single" w:sz="4" w:space="0" w:color="auto"/>
              <w:left w:val="nil"/>
              <w:bottom w:val="nil"/>
              <w:right w:val="nil"/>
            </w:tcBorders>
            <w:shd w:val="clear" w:color="auto" w:fill="auto"/>
            <w:vAlign w:val="center"/>
            <w:hideMark/>
          </w:tcPr>
          <w:p w14:paraId="0D5C9E61" w14:textId="77777777" w:rsidR="002D687B" w:rsidRPr="002D687B" w:rsidRDefault="002D687B" w:rsidP="002D687B">
            <w:pPr>
              <w:spacing w:after="0" w:line="240" w:lineRule="auto"/>
              <w:jc w:val="right"/>
              <w:rPr>
                <w:rFonts w:cs="Arial"/>
                <w:sz w:val="16"/>
                <w:szCs w:val="16"/>
              </w:rPr>
            </w:pPr>
            <w:r w:rsidRPr="002D687B">
              <w:rPr>
                <w:rFonts w:cs="Arial"/>
                <w:sz w:val="16"/>
                <w:szCs w:val="16"/>
              </w:rPr>
              <w:t>36,3</w:t>
            </w:r>
          </w:p>
        </w:tc>
        <w:tc>
          <w:tcPr>
            <w:tcW w:w="649" w:type="dxa"/>
            <w:tcBorders>
              <w:top w:val="single" w:sz="4" w:space="0" w:color="auto"/>
              <w:left w:val="nil"/>
              <w:bottom w:val="nil"/>
              <w:right w:val="nil"/>
            </w:tcBorders>
            <w:shd w:val="clear" w:color="auto" w:fill="auto"/>
            <w:vAlign w:val="center"/>
            <w:hideMark/>
          </w:tcPr>
          <w:p w14:paraId="3534BA64" w14:textId="77777777" w:rsidR="002D687B" w:rsidRPr="002D687B" w:rsidRDefault="002D687B" w:rsidP="002D687B">
            <w:pPr>
              <w:spacing w:after="0" w:line="240" w:lineRule="auto"/>
              <w:jc w:val="right"/>
              <w:rPr>
                <w:rFonts w:cs="Arial"/>
                <w:sz w:val="16"/>
                <w:szCs w:val="16"/>
              </w:rPr>
            </w:pPr>
            <w:r w:rsidRPr="002D687B">
              <w:rPr>
                <w:rFonts w:cs="Arial"/>
                <w:sz w:val="16"/>
                <w:szCs w:val="16"/>
              </w:rPr>
              <w:t>15,8</w:t>
            </w:r>
          </w:p>
        </w:tc>
      </w:tr>
      <w:tr w:rsidR="00D70250" w:rsidRPr="002D687B" w14:paraId="4AC8D639" w14:textId="77777777" w:rsidTr="00F711D4">
        <w:trPr>
          <w:gridAfter w:val="1"/>
          <w:wAfter w:w="9" w:type="dxa"/>
          <w:trHeight w:val="280"/>
        </w:trPr>
        <w:tc>
          <w:tcPr>
            <w:tcW w:w="1005" w:type="dxa"/>
            <w:tcBorders>
              <w:top w:val="nil"/>
              <w:left w:val="nil"/>
              <w:bottom w:val="nil"/>
              <w:right w:val="single" w:sz="4" w:space="0" w:color="auto"/>
            </w:tcBorders>
            <w:shd w:val="clear" w:color="auto" w:fill="auto"/>
            <w:vAlign w:val="center"/>
            <w:hideMark/>
          </w:tcPr>
          <w:p w14:paraId="10BD1F03"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2009</w:t>
            </w:r>
          </w:p>
        </w:tc>
        <w:tc>
          <w:tcPr>
            <w:tcW w:w="847" w:type="dxa"/>
            <w:tcBorders>
              <w:top w:val="nil"/>
              <w:left w:val="nil"/>
              <w:bottom w:val="nil"/>
              <w:right w:val="nil"/>
            </w:tcBorders>
            <w:shd w:val="clear" w:color="auto" w:fill="auto"/>
            <w:vAlign w:val="center"/>
            <w:hideMark/>
          </w:tcPr>
          <w:p w14:paraId="425B6140" w14:textId="77777777" w:rsidR="002D687B" w:rsidRPr="002D687B" w:rsidRDefault="002D687B" w:rsidP="002D687B">
            <w:pPr>
              <w:spacing w:after="0" w:line="240" w:lineRule="auto"/>
              <w:jc w:val="right"/>
              <w:rPr>
                <w:rFonts w:cs="Arial"/>
                <w:sz w:val="16"/>
                <w:szCs w:val="16"/>
              </w:rPr>
            </w:pPr>
            <w:r w:rsidRPr="002D687B">
              <w:rPr>
                <w:rFonts w:cs="Arial"/>
                <w:sz w:val="16"/>
                <w:szCs w:val="16"/>
              </w:rPr>
              <w:t>767,7</w:t>
            </w:r>
          </w:p>
        </w:tc>
        <w:tc>
          <w:tcPr>
            <w:tcW w:w="649" w:type="dxa"/>
            <w:tcBorders>
              <w:top w:val="nil"/>
              <w:left w:val="nil"/>
              <w:bottom w:val="nil"/>
              <w:right w:val="nil"/>
            </w:tcBorders>
            <w:shd w:val="clear" w:color="auto" w:fill="auto"/>
            <w:vAlign w:val="center"/>
            <w:hideMark/>
          </w:tcPr>
          <w:p w14:paraId="46AE9FB4" w14:textId="77777777" w:rsidR="002D687B" w:rsidRPr="002D687B" w:rsidRDefault="002D687B" w:rsidP="002D687B">
            <w:pPr>
              <w:spacing w:after="0" w:line="240" w:lineRule="auto"/>
              <w:jc w:val="right"/>
              <w:rPr>
                <w:rFonts w:cs="Arial"/>
                <w:sz w:val="16"/>
                <w:szCs w:val="16"/>
              </w:rPr>
            </w:pPr>
            <w:r w:rsidRPr="002D687B">
              <w:rPr>
                <w:rFonts w:cs="Arial"/>
                <w:sz w:val="16"/>
                <w:szCs w:val="16"/>
              </w:rPr>
              <w:t>364,9</w:t>
            </w:r>
          </w:p>
        </w:tc>
        <w:tc>
          <w:tcPr>
            <w:tcW w:w="649" w:type="dxa"/>
            <w:tcBorders>
              <w:top w:val="nil"/>
              <w:left w:val="nil"/>
              <w:bottom w:val="nil"/>
              <w:right w:val="single" w:sz="4" w:space="0" w:color="auto"/>
            </w:tcBorders>
            <w:shd w:val="clear" w:color="auto" w:fill="auto"/>
            <w:vAlign w:val="center"/>
            <w:hideMark/>
          </w:tcPr>
          <w:p w14:paraId="343192DC" w14:textId="77777777" w:rsidR="002D687B" w:rsidRPr="002D687B" w:rsidRDefault="002D687B" w:rsidP="002D687B">
            <w:pPr>
              <w:spacing w:after="0" w:line="240" w:lineRule="auto"/>
              <w:jc w:val="right"/>
              <w:rPr>
                <w:rFonts w:cs="Arial"/>
                <w:sz w:val="16"/>
                <w:szCs w:val="16"/>
              </w:rPr>
            </w:pPr>
            <w:r w:rsidRPr="002D687B">
              <w:rPr>
                <w:rFonts w:cs="Arial"/>
                <w:sz w:val="16"/>
                <w:szCs w:val="16"/>
              </w:rPr>
              <w:t>402,9</w:t>
            </w:r>
          </w:p>
        </w:tc>
        <w:tc>
          <w:tcPr>
            <w:tcW w:w="847" w:type="dxa"/>
            <w:tcBorders>
              <w:top w:val="nil"/>
              <w:left w:val="nil"/>
              <w:bottom w:val="nil"/>
              <w:right w:val="nil"/>
            </w:tcBorders>
            <w:shd w:val="clear" w:color="auto" w:fill="auto"/>
            <w:vAlign w:val="center"/>
            <w:hideMark/>
          </w:tcPr>
          <w:p w14:paraId="6CDBCCEC" w14:textId="77777777" w:rsidR="002D687B" w:rsidRPr="002D687B" w:rsidRDefault="002D687B" w:rsidP="002D687B">
            <w:pPr>
              <w:spacing w:after="0" w:line="240" w:lineRule="auto"/>
              <w:jc w:val="right"/>
              <w:rPr>
                <w:rFonts w:cs="Arial"/>
                <w:sz w:val="16"/>
                <w:szCs w:val="16"/>
              </w:rPr>
            </w:pPr>
            <w:r w:rsidRPr="002D687B">
              <w:rPr>
                <w:rFonts w:cs="Arial"/>
                <w:sz w:val="16"/>
                <w:szCs w:val="16"/>
              </w:rPr>
              <w:t>697,3</w:t>
            </w:r>
          </w:p>
        </w:tc>
        <w:tc>
          <w:tcPr>
            <w:tcW w:w="649" w:type="dxa"/>
            <w:tcBorders>
              <w:top w:val="nil"/>
              <w:left w:val="nil"/>
              <w:bottom w:val="nil"/>
              <w:right w:val="nil"/>
            </w:tcBorders>
            <w:shd w:val="clear" w:color="auto" w:fill="auto"/>
            <w:vAlign w:val="center"/>
            <w:hideMark/>
          </w:tcPr>
          <w:p w14:paraId="4751731E" w14:textId="77777777" w:rsidR="002D687B" w:rsidRPr="002D687B" w:rsidRDefault="002D687B" w:rsidP="002D687B">
            <w:pPr>
              <w:spacing w:after="0" w:line="240" w:lineRule="auto"/>
              <w:jc w:val="right"/>
              <w:rPr>
                <w:rFonts w:cs="Arial"/>
                <w:sz w:val="16"/>
                <w:szCs w:val="16"/>
              </w:rPr>
            </w:pPr>
            <w:r w:rsidRPr="002D687B">
              <w:rPr>
                <w:rFonts w:cs="Arial"/>
                <w:sz w:val="16"/>
                <w:szCs w:val="16"/>
              </w:rPr>
              <w:t>316,2</w:t>
            </w:r>
          </w:p>
        </w:tc>
        <w:tc>
          <w:tcPr>
            <w:tcW w:w="649" w:type="dxa"/>
            <w:tcBorders>
              <w:top w:val="nil"/>
              <w:left w:val="nil"/>
              <w:bottom w:val="nil"/>
              <w:right w:val="single" w:sz="4" w:space="0" w:color="auto"/>
            </w:tcBorders>
            <w:shd w:val="clear" w:color="auto" w:fill="auto"/>
            <w:vAlign w:val="center"/>
            <w:hideMark/>
          </w:tcPr>
          <w:p w14:paraId="1ABA29A1" w14:textId="77777777" w:rsidR="002D687B" w:rsidRPr="002D687B" w:rsidRDefault="002D687B" w:rsidP="002D687B">
            <w:pPr>
              <w:spacing w:after="0" w:line="240" w:lineRule="auto"/>
              <w:jc w:val="right"/>
              <w:rPr>
                <w:rFonts w:cs="Arial"/>
                <w:sz w:val="16"/>
                <w:szCs w:val="16"/>
              </w:rPr>
            </w:pPr>
            <w:r w:rsidRPr="002D687B">
              <w:rPr>
                <w:rFonts w:cs="Arial"/>
                <w:sz w:val="16"/>
                <w:szCs w:val="16"/>
              </w:rPr>
              <w:t>381,1</w:t>
            </w:r>
          </w:p>
        </w:tc>
        <w:tc>
          <w:tcPr>
            <w:tcW w:w="847" w:type="dxa"/>
            <w:tcBorders>
              <w:top w:val="nil"/>
              <w:left w:val="nil"/>
              <w:bottom w:val="nil"/>
              <w:right w:val="nil"/>
            </w:tcBorders>
            <w:shd w:val="clear" w:color="auto" w:fill="auto"/>
            <w:vAlign w:val="center"/>
            <w:hideMark/>
          </w:tcPr>
          <w:p w14:paraId="72DBD642" w14:textId="77777777" w:rsidR="002D687B" w:rsidRPr="002D687B" w:rsidRDefault="002D687B" w:rsidP="002D687B">
            <w:pPr>
              <w:spacing w:after="0" w:line="240" w:lineRule="auto"/>
              <w:jc w:val="right"/>
              <w:rPr>
                <w:rFonts w:cs="Arial"/>
                <w:sz w:val="16"/>
                <w:szCs w:val="16"/>
              </w:rPr>
            </w:pPr>
            <w:r w:rsidRPr="002D687B">
              <w:rPr>
                <w:rFonts w:cs="Arial"/>
                <w:sz w:val="16"/>
                <w:szCs w:val="16"/>
              </w:rPr>
              <w:t>26,0</w:t>
            </w:r>
          </w:p>
        </w:tc>
        <w:tc>
          <w:tcPr>
            <w:tcW w:w="649" w:type="dxa"/>
            <w:tcBorders>
              <w:top w:val="nil"/>
              <w:left w:val="nil"/>
              <w:bottom w:val="nil"/>
              <w:right w:val="nil"/>
            </w:tcBorders>
            <w:shd w:val="clear" w:color="auto" w:fill="auto"/>
            <w:vAlign w:val="center"/>
            <w:hideMark/>
          </w:tcPr>
          <w:p w14:paraId="76B79AD5" w14:textId="77777777" w:rsidR="002D687B" w:rsidRPr="002D687B" w:rsidRDefault="002D687B" w:rsidP="002D687B">
            <w:pPr>
              <w:spacing w:after="0" w:line="240" w:lineRule="auto"/>
              <w:jc w:val="right"/>
              <w:rPr>
                <w:rFonts w:cs="Arial"/>
                <w:sz w:val="16"/>
                <w:szCs w:val="16"/>
              </w:rPr>
            </w:pPr>
            <w:r w:rsidRPr="002D687B">
              <w:rPr>
                <w:rFonts w:cs="Arial"/>
                <w:sz w:val="16"/>
                <w:szCs w:val="16"/>
              </w:rPr>
              <w:t>18,6</w:t>
            </w:r>
          </w:p>
        </w:tc>
        <w:tc>
          <w:tcPr>
            <w:tcW w:w="649" w:type="dxa"/>
            <w:tcBorders>
              <w:top w:val="nil"/>
              <w:left w:val="nil"/>
              <w:bottom w:val="nil"/>
              <w:right w:val="single" w:sz="4" w:space="0" w:color="auto"/>
            </w:tcBorders>
            <w:shd w:val="clear" w:color="auto" w:fill="auto"/>
            <w:vAlign w:val="center"/>
            <w:hideMark/>
          </w:tcPr>
          <w:p w14:paraId="7CBBDD21" w14:textId="77777777" w:rsidR="002D687B" w:rsidRPr="002D687B" w:rsidRDefault="002D687B" w:rsidP="002D687B">
            <w:pPr>
              <w:spacing w:after="0" w:line="240" w:lineRule="auto"/>
              <w:jc w:val="right"/>
              <w:rPr>
                <w:rFonts w:cs="Arial"/>
                <w:sz w:val="16"/>
                <w:szCs w:val="16"/>
              </w:rPr>
            </w:pPr>
            <w:r w:rsidRPr="002D687B">
              <w:rPr>
                <w:rFonts w:cs="Arial"/>
                <w:sz w:val="16"/>
                <w:szCs w:val="16"/>
              </w:rPr>
              <w:t>7,4</w:t>
            </w:r>
          </w:p>
        </w:tc>
        <w:tc>
          <w:tcPr>
            <w:tcW w:w="847" w:type="dxa"/>
            <w:tcBorders>
              <w:top w:val="nil"/>
              <w:left w:val="nil"/>
              <w:bottom w:val="nil"/>
              <w:right w:val="nil"/>
            </w:tcBorders>
            <w:shd w:val="clear" w:color="auto" w:fill="auto"/>
            <w:vAlign w:val="center"/>
            <w:hideMark/>
          </w:tcPr>
          <w:p w14:paraId="4E1F2FA7" w14:textId="77777777" w:rsidR="002D687B" w:rsidRPr="002D687B" w:rsidRDefault="002D687B" w:rsidP="002D687B">
            <w:pPr>
              <w:spacing w:after="0" w:line="240" w:lineRule="auto"/>
              <w:jc w:val="right"/>
              <w:rPr>
                <w:rFonts w:cs="Arial"/>
                <w:sz w:val="16"/>
                <w:szCs w:val="16"/>
              </w:rPr>
            </w:pPr>
            <w:r w:rsidRPr="002D687B">
              <w:rPr>
                <w:rFonts w:cs="Arial"/>
                <w:sz w:val="16"/>
                <w:szCs w:val="16"/>
              </w:rPr>
              <w:t>44,4</w:t>
            </w:r>
          </w:p>
        </w:tc>
        <w:tc>
          <w:tcPr>
            <w:tcW w:w="649" w:type="dxa"/>
            <w:tcBorders>
              <w:top w:val="nil"/>
              <w:left w:val="nil"/>
              <w:bottom w:val="nil"/>
              <w:right w:val="nil"/>
            </w:tcBorders>
            <w:shd w:val="clear" w:color="auto" w:fill="auto"/>
            <w:vAlign w:val="center"/>
            <w:hideMark/>
          </w:tcPr>
          <w:p w14:paraId="1D73EC77" w14:textId="77777777" w:rsidR="002D687B" w:rsidRPr="002D687B" w:rsidRDefault="002D687B" w:rsidP="002D687B">
            <w:pPr>
              <w:spacing w:after="0" w:line="240" w:lineRule="auto"/>
              <w:jc w:val="right"/>
              <w:rPr>
                <w:rFonts w:cs="Arial"/>
                <w:sz w:val="16"/>
                <w:szCs w:val="16"/>
              </w:rPr>
            </w:pPr>
            <w:r w:rsidRPr="002D687B">
              <w:rPr>
                <w:rFonts w:cs="Arial"/>
                <w:sz w:val="16"/>
                <w:szCs w:val="16"/>
              </w:rPr>
              <w:t>30,0</w:t>
            </w:r>
          </w:p>
        </w:tc>
        <w:tc>
          <w:tcPr>
            <w:tcW w:w="649" w:type="dxa"/>
            <w:tcBorders>
              <w:top w:val="nil"/>
              <w:left w:val="nil"/>
              <w:bottom w:val="nil"/>
              <w:right w:val="nil"/>
            </w:tcBorders>
            <w:shd w:val="clear" w:color="auto" w:fill="auto"/>
            <w:vAlign w:val="center"/>
            <w:hideMark/>
          </w:tcPr>
          <w:p w14:paraId="0343600F" w14:textId="77777777" w:rsidR="002D687B" w:rsidRPr="002D687B" w:rsidRDefault="002D687B" w:rsidP="002D687B">
            <w:pPr>
              <w:spacing w:after="0" w:line="240" w:lineRule="auto"/>
              <w:jc w:val="right"/>
              <w:rPr>
                <w:rFonts w:cs="Arial"/>
                <w:sz w:val="16"/>
                <w:szCs w:val="16"/>
              </w:rPr>
            </w:pPr>
            <w:r w:rsidRPr="002D687B">
              <w:rPr>
                <w:rFonts w:cs="Arial"/>
                <w:sz w:val="16"/>
                <w:szCs w:val="16"/>
              </w:rPr>
              <w:t>14,3</w:t>
            </w:r>
          </w:p>
        </w:tc>
      </w:tr>
      <w:tr w:rsidR="00D70250" w:rsidRPr="002D687B" w14:paraId="1A3DD36F" w14:textId="77777777" w:rsidTr="00F711D4">
        <w:trPr>
          <w:gridAfter w:val="1"/>
          <w:wAfter w:w="9" w:type="dxa"/>
          <w:trHeight w:val="280"/>
        </w:trPr>
        <w:tc>
          <w:tcPr>
            <w:tcW w:w="1005" w:type="dxa"/>
            <w:tcBorders>
              <w:top w:val="nil"/>
              <w:left w:val="nil"/>
              <w:bottom w:val="nil"/>
              <w:right w:val="single" w:sz="4" w:space="0" w:color="auto"/>
            </w:tcBorders>
            <w:shd w:val="clear" w:color="auto" w:fill="auto"/>
            <w:vAlign w:val="center"/>
            <w:hideMark/>
          </w:tcPr>
          <w:p w14:paraId="15CF1A16"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2010</w:t>
            </w:r>
          </w:p>
        </w:tc>
        <w:tc>
          <w:tcPr>
            <w:tcW w:w="847" w:type="dxa"/>
            <w:tcBorders>
              <w:top w:val="nil"/>
              <w:left w:val="nil"/>
              <w:bottom w:val="nil"/>
              <w:right w:val="nil"/>
            </w:tcBorders>
            <w:shd w:val="clear" w:color="auto" w:fill="auto"/>
            <w:vAlign w:val="center"/>
            <w:hideMark/>
          </w:tcPr>
          <w:p w14:paraId="45286C26" w14:textId="77777777" w:rsidR="002D687B" w:rsidRPr="002D687B" w:rsidRDefault="002D687B" w:rsidP="002D687B">
            <w:pPr>
              <w:spacing w:after="0" w:line="240" w:lineRule="auto"/>
              <w:jc w:val="right"/>
              <w:rPr>
                <w:rFonts w:cs="Arial"/>
                <w:sz w:val="16"/>
                <w:szCs w:val="16"/>
              </w:rPr>
            </w:pPr>
            <w:r w:rsidRPr="002D687B">
              <w:rPr>
                <w:rFonts w:cs="Arial"/>
                <w:sz w:val="16"/>
                <w:szCs w:val="16"/>
              </w:rPr>
              <w:t>702,8</w:t>
            </w:r>
          </w:p>
        </w:tc>
        <w:tc>
          <w:tcPr>
            <w:tcW w:w="649" w:type="dxa"/>
            <w:tcBorders>
              <w:top w:val="nil"/>
              <w:left w:val="nil"/>
              <w:bottom w:val="nil"/>
              <w:right w:val="nil"/>
            </w:tcBorders>
            <w:shd w:val="clear" w:color="auto" w:fill="auto"/>
            <w:vAlign w:val="center"/>
            <w:hideMark/>
          </w:tcPr>
          <w:p w14:paraId="3AC9C373" w14:textId="77777777" w:rsidR="002D687B" w:rsidRPr="002D687B" w:rsidRDefault="002D687B" w:rsidP="002D687B">
            <w:pPr>
              <w:spacing w:after="0" w:line="240" w:lineRule="auto"/>
              <w:jc w:val="right"/>
              <w:rPr>
                <w:rFonts w:cs="Arial"/>
                <w:sz w:val="16"/>
                <w:szCs w:val="16"/>
              </w:rPr>
            </w:pPr>
            <w:r w:rsidRPr="002D687B">
              <w:rPr>
                <w:rFonts w:cs="Arial"/>
                <w:sz w:val="16"/>
                <w:szCs w:val="16"/>
              </w:rPr>
              <w:t>334,2</w:t>
            </w:r>
          </w:p>
        </w:tc>
        <w:tc>
          <w:tcPr>
            <w:tcW w:w="649" w:type="dxa"/>
            <w:tcBorders>
              <w:top w:val="nil"/>
              <w:left w:val="nil"/>
              <w:bottom w:val="nil"/>
              <w:right w:val="single" w:sz="4" w:space="0" w:color="auto"/>
            </w:tcBorders>
            <w:shd w:val="clear" w:color="auto" w:fill="auto"/>
            <w:vAlign w:val="center"/>
            <w:hideMark/>
          </w:tcPr>
          <w:p w14:paraId="695BDDDA" w14:textId="77777777" w:rsidR="002D687B" w:rsidRPr="002D687B" w:rsidRDefault="002D687B" w:rsidP="002D687B">
            <w:pPr>
              <w:spacing w:after="0" w:line="240" w:lineRule="auto"/>
              <w:jc w:val="right"/>
              <w:rPr>
                <w:rFonts w:cs="Arial"/>
                <w:sz w:val="16"/>
                <w:szCs w:val="16"/>
              </w:rPr>
            </w:pPr>
            <w:r w:rsidRPr="002D687B">
              <w:rPr>
                <w:rFonts w:cs="Arial"/>
                <w:sz w:val="16"/>
                <w:szCs w:val="16"/>
              </w:rPr>
              <w:t>368,6</w:t>
            </w:r>
          </w:p>
        </w:tc>
        <w:tc>
          <w:tcPr>
            <w:tcW w:w="847" w:type="dxa"/>
            <w:tcBorders>
              <w:top w:val="nil"/>
              <w:left w:val="nil"/>
              <w:bottom w:val="nil"/>
              <w:right w:val="nil"/>
            </w:tcBorders>
            <w:shd w:val="clear" w:color="auto" w:fill="auto"/>
            <w:vAlign w:val="center"/>
            <w:hideMark/>
          </w:tcPr>
          <w:p w14:paraId="045AF48D" w14:textId="77777777" w:rsidR="002D687B" w:rsidRPr="002D687B" w:rsidRDefault="002D687B" w:rsidP="002D687B">
            <w:pPr>
              <w:spacing w:after="0" w:line="240" w:lineRule="auto"/>
              <w:jc w:val="right"/>
              <w:rPr>
                <w:rFonts w:cs="Arial"/>
                <w:sz w:val="16"/>
                <w:szCs w:val="16"/>
              </w:rPr>
            </w:pPr>
            <w:r w:rsidRPr="002D687B">
              <w:rPr>
                <w:rFonts w:cs="Arial"/>
                <w:sz w:val="16"/>
                <w:szCs w:val="16"/>
              </w:rPr>
              <w:t>633,1</w:t>
            </w:r>
          </w:p>
        </w:tc>
        <w:tc>
          <w:tcPr>
            <w:tcW w:w="649" w:type="dxa"/>
            <w:tcBorders>
              <w:top w:val="nil"/>
              <w:left w:val="nil"/>
              <w:bottom w:val="nil"/>
              <w:right w:val="nil"/>
            </w:tcBorders>
            <w:shd w:val="clear" w:color="auto" w:fill="auto"/>
            <w:vAlign w:val="center"/>
            <w:hideMark/>
          </w:tcPr>
          <w:p w14:paraId="30647E78" w14:textId="77777777" w:rsidR="002D687B" w:rsidRPr="002D687B" w:rsidRDefault="002D687B" w:rsidP="002D687B">
            <w:pPr>
              <w:spacing w:after="0" w:line="240" w:lineRule="auto"/>
              <w:jc w:val="right"/>
              <w:rPr>
                <w:rFonts w:cs="Arial"/>
                <w:sz w:val="16"/>
                <w:szCs w:val="16"/>
              </w:rPr>
            </w:pPr>
            <w:r w:rsidRPr="002D687B">
              <w:rPr>
                <w:rFonts w:cs="Arial"/>
                <w:sz w:val="16"/>
                <w:szCs w:val="16"/>
              </w:rPr>
              <w:t>286,9</w:t>
            </w:r>
          </w:p>
        </w:tc>
        <w:tc>
          <w:tcPr>
            <w:tcW w:w="649" w:type="dxa"/>
            <w:tcBorders>
              <w:top w:val="nil"/>
              <w:left w:val="nil"/>
              <w:bottom w:val="nil"/>
              <w:right w:val="single" w:sz="4" w:space="0" w:color="auto"/>
            </w:tcBorders>
            <w:shd w:val="clear" w:color="auto" w:fill="auto"/>
            <w:vAlign w:val="center"/>
            <w:hideMark/>
          </w:tcPr>
          <w:p w14:paraId="1A5492BE" w14:textId="77777777" w:rsidR="002D687B" w:rsidRPr="002D687B" w:rsidRDefault="002D687B" w:rsidP="002D687B">
            <w:pPr>
              <w:spacing w:after="0" w:line="240" w:lineRule="auto"/>
              <w:jc w:val="right"/>
              <w:rPr>
                <w:rFonts w:cs="Arial"/>
                <w:sz w:val="16"/>
                <w:szCs w:val="16"/>
              </w:rPr>
            </w:pPr>
            <w:r w:rsidRPr="002D687B">
              <w:rPr>
                <w:rFonts w:cs="Arial"/>
                <w:sz w:val="16"/>
                <w:szCs w:val="16"/>
              </w:rPr>
              <w:t>346,1</w:t>
            </w:r>
          </w:p>
        </w:tc>
        <w:tc>
          <w:tcPr>
            <w:tcW w:w="847" w:type="dxa"/>
            <w:tcBorders>
              <w:top w:val="nil"/>
              <w:left w:val="nil"/>
              <w:bottom w:val="nil"/>
              <w:right w:val="nil"/>
            </w:tcBorders>
            <w:shd w:val="clear" w:color="auto" w:fill="auto"/>
            <w:vAlign w:val="center"/>
            <w:hideMark/>
          </w:tcPr>
          <w:p w14:paraId="398E5200" w14:textId="77777777" w:rsidR="002D687B" w:rsidRPr="002D687B" w:rsidRDefault="002D687B" w:rsidP="002D687B">
            <w:pPr>
              <w:spacing w:after="0" w:line="240" w:lineRule="auto"/>
              <w:jc w:val="right"/>
              <w:rPr>
                <w:rFonts w:cs="Arial"/>
                <w:sz w:val="16"/>
                <w:szCs w:val="16"/>
              </w:rPr>
            </w:pPr>
            <w:r w:rsidRPr="002D687B">
              <w:rPr>
                <w:rFonts w:cs="Arial"/>
                <w:sz w:val="16"/>
                <w:szCs w:val="16"/>
              </w:rPr>
              <w:t>26,3</w:t>
            </w:r>
          </w:p>
        </w:tc>
        <w:tc>
          <w:tcPr>
            <w:tcW w:w="649" w:type="dxa"/>
            <w:tcBorders>
              <w:top w:val="nil"/>
              <w:left w:val="nil"/>
              <w:bottom w:val="nil"/>
              <w:right w:val="nil"/>
            </w:tcBorders>
            <w:shd w:val="clear" w:color="auto" w:fill="auto"/>
            <w:vAlign w:val="center"/>
            <w:hideMark/>
          </w:tcPr>
          <w:p w14:paraId="23EC8EB6" w14:textId="77777777" w:rsidR="002D687B" w:rsidRPr="002D687B" w:rsidRDefault="002D687B" w:rsidP="002D687B">
            <w:pPr>
              <w:spacing w:after="0" w:line="240" w:lineRule="auto"/>
              <w:jc w:val="right"/>
              <w:rPr>
                <w:rFonts w:cs="Arial"/>
                <w:sz w:val="16"/>
                <w:szCs w:val="16"/>
              </w:rPr>
            </w:pPr>
            <w:r w:rsidRPr="002D687B">
              <w:rPr>
                <w:rFonts w:cs="Arial"/>
                <w:sz w:val="16"/>
                <w:szCs w:val="16"/>
              </w:rPr>
              <w:t>18,5</w:t>
            </w:r>
          </w:p>
        </w:tc>
        <w:tc>
          <w:tcPr>
            <w:tcW w:w="649" w:type="dxa"/>
            <w:tcBorders>
              <w:top w:val="nil"/>
              <w:left w:val="nil"/>
              <w:bottom w:val="nil"/>
              <w:right w:val="single" w:sz="4" w:space="0" w:color="auto"/>
            </w:tcBorders>
            <w:shd w:val="clear" w:color="auto" w:fill="auto"/>
            <w:vAlign w:val="center"/>
            <w:hideMark/>
          </w:tcPr>
          <w:p w14:paraId="452BA53F" w14:textId="77777777" w:rsidR="002D687B" w:rsidRPr="002D687B" w:rsidRDefault="002D687B" w:rsidP="002D687B">
            <w:pPr>
              <w:spacing w:after="0" w:line="240" w:lineRule="auto"/>
              <w:jc w:val="right"/>
              <w:rPr>
                <w:rFonts w:cs="Arial"/>
                <w:sz w:val="16"/>
                <w:szCs w:val="16"/>
              </w:rPr>
            </w:pPr>
            <w:r w:rsidRPr="002D687B">
              <w:rPr>
                <w:rFonts w:cs="Arial"/>
                <w:sz w:val="16"/>
                <w:szCs w:val="16"/>
              </w:rPr>
              <w:t>7,7</w:t>
            </w:r>
          </w:p>
        </w:tc>
        <w:tc>
          <w:tcPr>
            <w:tcW w:w="847" w:type="dxa"/>
            <w:tcBorders>
              <w:top w:val="nil"/>
              <w:left w:val="nil"/>
              <w:bottom w:val="nil"/>
              <w:right w:val="nil"/>
            </w:tcBorders>
            <w:shd w:val="clear" w:color="auto" w:fill="auto"/>
            <w:vAlign w:val="center"/>
            <w:hideMark/>
          </w:tcPr>
          <w:p w14:paraId="366F4684" w14:textId="77777777" w:rsidR="002D687B" w:rsidRPr="002D687B" w:rsidRDefault="002D687B" w:rsidP="002D687B">
            <w:pPr>
              <w:spacing w:after="0" w:line="240" w:lineRule="auto"/>
              <w:jc w:val="right"/>
              <w:rPr>
                <w:rFonts w:cs="Arial"/>
                <w:sz w:val="16"/>
                <w:szCs w:val="16"/>
              </w:rPr>
            </w:pPr>
            <w:r w:rsidRPr="002D687B">
              <w:rPr>
                <w:rFonts w:cs="Arial"/>
                <w:sz w:val="16"/>
                <w:szCs w:val="16"/>
              </w:rPr>
              <w:t>43,5</w:t>
            </w:r>
          </w:p>
        </w:tc>
        <w:tc>
          <w:tcPr>
            <w:tcW w:w="649" w:type="dxa"/>
            <w:tcBorders>
              <w:top w:val="nil"/>
              <w:left w:val="nil"/>
              <w:bottom w:val="nil"/>
              <w:right w:val="nil"/>
            </w:tcBorders>
            <w:shd w:val="clear" w:color="auto" w:fill="auto"/>
            <w:vAlign w:val="center"/>
            <w:hideMark/>
          </w:tcPr>
          <w:p w14:paraId="65F10D9E" w14:textId="77777777" w:rsidR="002D687B" w:rsidRPr="002D687B" w:rsidRDefault="002D687B" w:rsidP="002D687B">
            <w:pPr>
              <w:spacing w:after="0" w:line="240" w:lineRule="auto"/>
              <w:jc w:val="right"/>
              <w:rPr>
                <w:rFonts w:cs="Arial"/>
                <w:sz w:val="16"/>
                <w:szCs w:val="16"/>
              </w:rPr>
            </w:pPr>
            <w:r w:rsidRPr="002D687B">
              <w:rPr>
                <w:rFonts w:cs="Arial"/>
                <w:sz w:val="16"/>
                <w:szCs w:val="16"/>
              </w:rPr>
              <w:t>28,8</w:t>
            </w:r>
          </w:p>
        </w:tc>
        <w:tc>
          <w:tcPr>
            <w:tcW w:w="649" w:type="dxa"/>
            <w:tcBorders>
              <w:top w:val="nil"/>
              <w:left w:val="nil"/>
              <w:bottom w:val="nil"/>
              <w:right w:val="nil"/>
            </w:tcBorders>
            <w:shd w:val="clear" w:color="auto" w:fill="auto"/>
            <w:vAlign w:val="center"/>
            <w:hideMark/>
          </w:tcPr>
          <w:p w14:paraId="6BA4542B" w14:textId="77777777" w:rsidR="002D687B" w:rsidRPr="002D687B" w:rsidRDefault="002D687B" w:rsidP="002D687B">
            <w:pPr>
              <w:spacing w:after="0" w:line="240" w:lineRule="auto"/>
              <w:jc w:val="right"/>
              <w:rPr>
                <w:rFonts w:cs="Arial"/>
                <w:sz w:val="16"/>
                <w:szCs w:val="16"/>
              </w:rPr>
            </w:pPr>
            <w:r w:rsidRPr="002D687B">
              <w:rPr>
                <w:rFonts w:cs="Arial"/>
                <w:sz w:val="16"/>
                <w:szCs w:val="16"/>
              </w:rPr>
              <w:t>14,7</w:t>
            </w:r>
          </w:p>
        </w:tc>
      </w:tr>
      <w:tr w:rsidR="00D70250" w:rsidRPr="002D687B" w14:paraId="4723EDDA" w14:textId="77777777" w:rsidTr="00F711D4">
        <w:trPr>
          <w:gridAfter w:val="1"/>
          <w:wAfter w:w="9" w:type="dxa"/>
          <w:trHeight w:val="280"/>
        </w:trPr>
        <w:tc>
          <w:tcPr>
            <w:tcW w:w="1005" w:type="dxa"/>
            <w:tcBorders>
              <w:top w:val="nil"/>
              <w:left w:val="nil"/>
              <w:bottom w:val="nil"/>
              <w:right w:val="single" w:sz="4" w:space="0" w:color="auto"/>
            </w:tcBorders>
            <w:shd w:val="clear" w:color="auto" w:fill="auto"/>
            <w:vAlign w:val="center"/>
            <w:hideMark/>
          </w:tcPr>
          <w:p w14:paraId="50E50CAF"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2011</w:t>
            </w:r>
          </w:p>
        </w:tc>
        <w:tc>
          <w:tcPr>
            <w:tcW w:w="847" w:type="dxa"/>
            <w:tcBorders>
              <w:top w:val="nil"/>
              <w:left w:val="nil"/>
              <w:bottom w:val="nil"/>
              <w:right w:val="nil"/>
            </w:tcBorders>
            <w:shd w:val="clear" w:color="auto" w:fill="auto"/>
            <w:vAlign w:val="center"/>
            <w:hideMark/>
          </w:tcPr>
          <w:p w14:paraId="7E247AB9" w14:textId="77777777" w:rsidR="002D687B" w:rsidRPr="002D687B" w:rsidRDefault="002D687B" w:rsidP="002D687B">
            <w:pPr>
              <w:spacing w:after="0" w:line="240" w:lineRule="auto"/>
              <w:jc w:val="right"/>
              <w:rPr>
                <w:rFonts w:cs="Arial"/>
                <w:sz w:val="16"/>
                <w:szCs w:val="16"/>
              </w:rPr>
            </w:pPr>
            <w:r w:rsidRPr="002D687B">
              <w:rPr>
                <w:rFonts w:cs="Arial"/>
                <w:sz w:val="16"/>
                <w:szCs w:val="16"/>
              </w:rPr>
              <w:t>710,5</w:t>
            </w:r>
          </w:p>
        </w:tc>
        <w:tc>
          <w:tcPr>
            <w:tcW w:w="649" w:type="dxa"/>
            <w:tcBorders>
              <w:top w:val="nil"/>
              <w:left w:val="nil"/>
              <w:bottom w:val="nil"/>
              <w:right w:val="nil"/>
            </w:tcBorders>
            <w:shd w:val="clear" w:color="auto" w:fill="auto"/>
            <w:vAlign w:val="center"/>
            <w:hideMark/>
          </w:tcPr>
          <w:p w14:paraId="588513A6" w14:textId="77777777" w:rsidR="002D687B" w:rsidRPr="002D687B" w:rsidRDefault="002D687B" w:rsidP="002D687B">
            <w:pPr>
              <w:spacing w:after="0" w:line="240" w:lineRule="auto"/>
              <w:jc w:val="right"/>
              <w:rPr>
                <w:rFonts w:cs="Arial"/>
                <w:sz w:val="16"/>
                <w:szCs w:val="16"/>
              </w:rPr>
            </w:pPr>
            <w:r w:rsidRPr="002D687B">
              <w:rPr>
                <w:rFonts w:cs="Arial"/>
                <w:sz w:val="16"/>
                <w:szCs w:val="16"/>
              </w:rPr>
              <w:t>332,5</w:t>
            </w:r>
          </w:p>
        </w:tc>
        <w:tc>
          <w:tcPr>
            <w:tcW w:w="649" w:type="dxa"/>
            <w:tcBorders>
              <w:top w:val="nil"/>
              <w:left w:val="nil"/>
              <w:bottom w:val="nil"/>
              <w:right w:val="single" w:sz="4" w:space="0" w:color="auto"/>
            </w:tcBorders>
            <w:shd w:val="clear" w:color="auto" w:fill="auto"/>
            <w:vAlign w:val="center"/>
            <w:hideMark/>
          </w:tcPr>
          <w:p w14:paraId="044FBEAB" w14:textId="77777777" w:rsidR="002D687B" w:rsidRPr="002D687B" w:rsidRDefault="002D687B" w:rsidP="002D687B">
            <w:pPr>
              <w:spacing w:after="0" w:line="240" w:lineRule="auto"/>
              <w:jc w:val="right"/>
              <w:rPr>
                <w:rFonts w:cs="Arial"/>
                <w:sz w:val="16"/>
                <w:szCs w:val="16"/>
              </w:rPr>
            </w:pPr>
            <w:r w:rsidRPr="002D687B">
              <w:rPr>
                <w:rFonts w:cs="Arial"/>
                <w:sz w:val="16"/>
                <w:szCs w:val="16"/>
              </w:rPr>
              <w:t>378,0</w:t>
            </w:r>
          </w:p>
        </w:tc>
        <w:tc>
          <w:tcPr>
            <w:tcW w:w="847" w:type="dxa"/>
            <w:tcBorders>
              <w:top w:val="nil"/>
              <w:left w:val="nil"/>
              <w:bottom w:val="nil"/>
              <w:right w:val="nil"/>
            </w:tcBorders>
            <w:shd w:val="clear" w:color="auto" w:fill="auto"/>
            <w:vAlign w:val="center"/>
            <w:hideMark/>
          </w:tcPr>
          <w:p w14:paraId="0252672A" w14:textId="77777777" w:rsidR="002D687B" w:rsidRPr="002D687B" w:rsidRDefault="002D687B" w:rsidP="002D687B">
            <w:pPr>
              <w:spacing w:after="0" w:line="240" w:lineRule="auto"/>
              <w:jc w:val="right"/>
              <w:rPr>
                <w:rFonts w:cs="Arial"/>
                <w:sz w:val="16"/>
                <w:szCs w:val="16"/>
              </w:rPr>
            </w:pPr>
            <w:r w:rsidRPr="002D687B">
              <w:rPr>
                <w:rFonts w:cs="Arial"/>
                <w:sz w:val="16"/>
                <w:szCs w:val="16"/>
              </w:rPr>
              <w:t>647,6</w:t>
            </w:r>
          </w:p>
        </w:tc>
        <w:tc>
          <w:tcPr>
            <w:tcW w:w="649" w:type="dxa"/>
            <w:tcBorders>
              <w:top w:val="nil"/>
              <w:left w:val="nil"/>
              <w:bottom w:val="nil"/>
              <w:right w:val="nil"/>
            </w:tcBorders>
            <w:shd w:val="clear" w:color="auto" w:fill="auto"/>
            <w:vAlign w:val="center"/>
            <w:hideMark/>
          </w:tcPr>
          <w:p w14:paraId="2E4C5CD9" w14:textId="77777777" w:rsidR="002D687B" w:rsidRPr="002D687B" w:rsidRDefault="002D687B" w:rsidP="002D687B">
            <w:pPr>
              <w:spacing w:after="0" w:line="240" w:lineRule="auto"/>
              <w:jc w:val="right"/>
              <w:rPr>
                <w:rFonts w:cs="Arial"/>
                <w:sz w:val="16"/>
                <w:szCs w:val="16"/>
              </w:rPr>
            </w:pPr>
            <w:r w:rsidRPr="002D687B">
              <w:rPr>
                <w:rFonts w:cs="Arial"/>
                <w:sz w:val="16"/>
                <w:szCs w:val="16"/>
              </w:rPr>
              <w:t>289,6</w:t>
            </w:r>
          </w:p>
        </w:tc>
        <w:tc>
          <w:tcPr>
            <w:tcW w:w="649" w:type="dxa"/>
            <w:tcBorders>
              <w:top w:val="nil"/>
              <w:left w:val="nil"/>
              <w:bottom w:val="nil"/>
              <w:right w:val="single" w:sz="4" w:space="0" w:color="auto"/>
            </w:tcBorders>
            <w:shd w:val="clear" w:color="auto" w:fill="auto"/>
            <w:vAlign w:val="center"/>
            <w:hideMark/>
          </w:tcPr>
          <w:p w14:paraId="4292B937" w14:textId="77777777" w:rsidR="002D687B" w:rsidRPr="002D687B" w:rsidRDefault="002D687B" w:rsidP="002D687B">
            <w:pPr>
              <w:spacing w:after="0" w:line="240" w:lineRule="auto"/>
              <w:jc w:val="right"/>
              <w:rPr>
                <w:rFonts w:cs="Arial"/>
                <w:sz w:val="16"/>
                <w:szCs w:val="16"/>
              </w:rPr>
            </w:pPr>
            <w:r w:rsidRPr="002D687B">
              <w:rPr>
                <w:rFonts w:cs="Arial"/>
                <w:sz w:val="16"/>
                <w:szCs w:val="16"/>
              </w:rPr>
              <w:t>358,0</w:t>
            </w:r>
          </w:p>
        </w:tc>
        <w:tc>
          <w:tcPr>
            <w:tcW w:w="847" w:type="dxa"/>
            <w:tcBorders>
              <w:top w:val="nil"/>
              <w:left w:val="nil"/>
              <w:bottom w:val="nil"/>
              <w:right w:val="nil"/>
            </w:tcBorders>
            <w:shd w:val="clear" w:color="auto" w:fill="auto"/>
            <w:vAlign w:val="center"/>
            <w:hideMark/>
          </w:tcPr>
          <w:p w14:paraId="11D84F4C" w14:textId="77777777" w:rsidR="002D687B" w:rsidRPr="002D687B" w:rsidRDefault="002D687B" w:rsidP="002D687B">
            <w:pPr>
              <w:spacing w:after="0" w:line="240" w:lineRule="auto"/>
              <w:jc w:val="right"/>
              <w:rPr>
                <w:rFonts w:cs="Arial"/>
                <w:sz w:val="16"/>
                <w:szCs w:val="16"/>
              </w:rPr>
            </w:pPr>
            <w:r w:rsidRPr="002D687B">
              <w:rPr>
                <w:rFonts w:cs="Arial"/>
                <w:sz w:val="16"/>
                <w:szCs w:val="16"/>
              </w:rPr>
              <w:t>24,3</w:t>
            </w:r>
          </w:p>
        </w:tc>
        <w:tc>
          <w:tcPr>
            <w:tcW w:w="649" w:type="dxa"/>
            <w:tcBorders>
              <w:top w:val="nil"/>
              <w:left w:val="nil"/>
              <w:bottom w:val="nil"/>
              <w:right w:val="nil"/>
            </w:tcBorders>
            <w:shd w:val="clear" w:color="auto" w:fill="auto"/>
            <w:vAlign w:val="center"/>
            <w:hideMark/>
          </w:tcPr>
          <w:p w14:paraId="3266C1B2" w14:textId="77777777" w:rsidR="002D687B" w:rsidRPr="002D687B" w:rsidRDefault="002D687B" w:rsidP="002D687B">
            <w:pPr>
              <w:spacing w:after="0" w:line="240" w:lineRule="auto"/>
              <w:jc w:val="right"/>
              <w:rPr>
                <w:rFonts w:cs="Arial"/>
                <w:sz w:val="16"/>
                <w:szCs w:val="16"/>
              </w:rPr>
            </w:pPr>
            <w:r w:rsidRPr="002D687B">
              <w:rPr>
                <w:rFonts w:cs="Arial"/>
                <w:sz w:val="16"/>
                <w:szCs w:val="16"/>
              </w:rPr>
              <w:t>17,2</w:t>
            </w:r>
          </w:p>
        </w:tc>
        <w:tc>
          <w:tcPr>
            <w:tcW w:w="649" w:type="dxa"/>
            <w:tcBorders>
              <w:top w:val="nil"/>
              <w:left w:val="nil"/>
              <w:bottom w:val="nil"/>
              <w:right w:val="single" w:sz="4" w:space="0" w:color="auto"/>
            </w:tcBorders>
            <w:shd w:val="clear" w:color="auto" w:fill="auto"/>
            <w:vAlign w:val="center"/>
            <w:hideMark/>
          </w:tcPr>
          <w:p w14:paraId="2B218E26" w14:textId="77777777" w:rsidR="002D687B" w:rsidRPr="002D687B" w:rsidRDefault="002D687B" w:rsidP="002D687B">
            <w:pPr>
              <w:spacing w:after="0" w:line="240" w:lineRule="auto"/>
              <w:jc w:val="right"/>
              <w:rPr>
                <w:rFonts w:cs="Arial"/>
                <w:sz w:val="16"/>
                <w:szCs w:val="16"/>
              </w:rPr>
            </w:pPr>
            <w:r w:rsidRPr="002D687B">
              <w:rPr>
                <w:rFonts w:cs="Arial"/>
                <w:sz w:val="16"/>
                <w:szCs w:val="16"/>
              </w:rPr>
              <w:t>7,1</w:t>
            </w:r>
          </w:p>
        </w:tc>
        <w:tc>
          <w:tcPr>
            <w:tcW w:w="847" w:type="dxa"/>
            <w:tcBorders>
              <w:top w:val="nil"/>
              <w:left w:val="nil"/>
              <w:bottom w:val="nil"/>
              <w:right w:val="nil"/>
            </w:tcBorders>
            <w:shd w:val="clear" w:color="auto" w:fill="auto"/>
            <w:vAlign w:val="center"/>
            <w:hideMark/>
          </w:tcPr>
          <w:p w14:paraId="41572265" w14:textId="77777777" w:rsidR="002D687B" w:rsidRPr="002D687B" w:rsidRDefault="002D687B" w:rsidP="002D687B">
            <w:pPr>
              <w:spacing w:after="0" w:line="240" w:lineRule="auto"/>
              <w:jc w:val="right"/>
              <w:rPr>
                <w:rFonts w:cs="Arial"/>
                <w:sz w:val="16"/>
                <w:szCs w:val="16"/>
              </w:rPr>
            </w:pPr>
            <w:r w:rsidRPr="002D687B">
              <w:rPr>
                <w:rFonts w:cs="Arial"/>
                <w:sz w:val="16"/>
                <w:szCs w:val="16"/>
              </w:rPr>
              <w:t>38,5</w:t>
            </w:r>
          </w:p>
        </w:tc>
        <w:tc>
          <w:tcPr>
            <w:tcW w:w="649" w:type="dxa"/>
            <w:tcBorders>
              <w:top w:val="nil"/>
              <w:left w:val="nil"/>
              <w:bottom w:val="nil"/>
              <w:right w:val="nil"/>
            </w:tcBorders>
            <w:shd w:val="clear" w:color="auto" w:fill="auto"/>
            <w:vAlign w:val="center"/>
            <w:hideMark/>
          </w:tcPr>
          <w:p w14:paraId="46CF4752" w14:textId="77777777" w:rsidR="002D687B" w:rsidRPr="002D687B" w:rsidRDefault="002D687B" w:rsidP="002D687B">
            <w:pPr>
              <w:spacing w:after="0" w:line="240" w:lineRule="auto"/>
              <w:jc w:val="right"/>
              <w:rPr>
                <w:rFonts w:cs="Arial"/>
                <w:sz w:val="16"/>
                <w:szCs w:val="16"/>
              </w:rPr>
            </w:pPr>
            <w:r w:rsidRPr="002D687B">
              <w:rPr>
                <w:rFonts w:cs="Arial"/>
                <w:sz w:val="16"/>
                <w:szCs w:val="16"/>
              </w:rPr>
              <w:t>25,7</w:t>
            </w:r>
          </w:p>
        </w:tc>
        <w:tc>
          <w:tcPr>
            <w:tcW w:w="649" w:type="dxa"/>
            <w:tcBorders>
              <w:top w:val="nil"/>
              <w:left w:val="nil"/>
              <w:bottom w:val="nil"/>
              <w:right w:val="nil"/>
            </w:tcBorders>
            <w:shd w:val="clear" w:color="auto" w:fill="auto"/>
            <w:vAlign w:val="center"/>
            <w:hideMark/>
          </w:tcPr>
          <w:p w14:paraId="18EFEB55" w14:textId="77777777" w:rsidR="002D687B" w:rsidRPr="002D687B" w:rsidRDefault="002D687B" w:rsidP="002D687B">
            <w:pPr>
              <w:spacing w:after="0" w:line="240" w:lineRule="auto"/>
              <w:jc w:val="right"/>
              <w:rPr>
                <w:rFonts w:cs="Arial"/>
                <w:sz w:val="16"/>
                <w:szCs w:val="16"/>
              </w:rPr>
            </w:pPr>
            <w:r w:rsidRPr="002D687B">
              <w:rPr>
                <w:rFonts w:cs="Arial"/>
                <w:sz w:val="16"/>
                <w:szCs w:val="16"/>
              </w:rPr>
              <w:t>12,8</w:t>
            </w:r>
          </w:p>
        </w:tc>
      </w:tr>
      <w:tr w:rsidR="00D70250" w:rsidRPr="002D687B" w14:paraId="69EC2260" w14:textId="77777777" w:rsidTr="00F711D4">
        <w:trPr>
          <w:gridAfter w:val="1"/>
          <w:wAfter w:w="9" w:type="dxa"/>
          <w:trHeight w:val="280"/>
        </w:trPr>
        <w:tc>
          <w:tcPr>
            <w:tcW w:w="1005" w:type="dxa"/>
            <w:tcBorders>
              <w:top w:val="nil"/>
              <w:left w:val="nil"/>
              <w:bottom w:val="nil"/>
              <w:right w:val="single" w:sz="4" w:space="0" w:color="auto"/>
            </w:tcBorders>
            <w:shd w:val="clear" w:color="auto" w:fill="auto"/>
            <w:vAlign w:val="center"/>
            <w:hideMark/>
          </w:tcPr>
          <w:p w14:paraId="48689318"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2012</w:t>
            </w:r>
          </w:p>
        </w:tc>
        <w:tc>
          <w:tcPr>
            <w:tcW w:w="847" w:type="dxa"/>
            <w:tcBorders>
              <w:top w:val="nil"/>
              <w:left w:val="nil"/>
              <w:bottom w:val="nil"/>
              <w:right w:val="nil"/>
            </w:tcBorders>
            <w:shd w:val="clear" w:color="auto" w:fill="auto"/>
            <w:vAlign w:val="center"/>
            <w:hideMark/>
          </w:tcPr>
          <w:p w14:paraId="6EDFE3D2" w14:textId="77777777" w:rsidR="002D687B" w:rsidRPr="002D687B" w:rsidRDefault="002D687B" w:rsidP="002D687B">
            <w:pPr>
              <w:spacing w:after="0" w:line="240" w:lineRule="auto"/>
              <w:jc w:val="right"/>
              <w:rPr>
                <w:rFonts w:cs="Arial"/>
                <w:sz w:val="16"/>
                <w:szCs w:val="16"/>
              </w:rPr>
            </w:pPr>
            <w:r w:rsidRPr="002D687B">
              <w:rPr>
                <w:rFonts w:cs="Arial"/>
                <w:sz w:val="16"/>
                <w:szCs w:val="16"/>
              </w:rPr>
              <w:t>607,4</w:t>
            </w:r>
          </w:p>
        </w:tc>
        <w:tc>
          <w:tcPr>
            <w:tcW w:w="649" w:type="dxa"/>
            <w:tcBorders>
              <w:top w:val="nil"/>
              <w:left w:val="nil"/>
              <w:bottom w:val="nil"/>
              <w:right w:val="nil"/>
            </w:tcBorders>
            <w:shd w:val="clear" w:color="auto" w:fill="auto"/>
            <w:vAlign w:val="center"/>
            <w:hideMark/>
          </w:tcPr>
          <w:p w14:paraId="1E33E2E8" w14:textId="77777777" w:rsidR="002D687B" w:rsidRPr="002D687B" w:rsidRDefault="002D687B" w:rsidP="002D687B">
            <w:pPr>
              <w:spacing w:after="0" w:line="240" w:lineRule="auto"/>
              <w:jc w:val="right"/>
              <w:rPr>
                <w:rFonts w:cs="Arial"/>
                <w:sz w:val="16"/>
                <w:szCs w:val="16"/>
              </w:rPr>
            </w:pPr>
            <w:r w:rsidRPr="002D687B">
              <w:rPr>
                <w:rFonts w:cs="Arial"/>
                <w:sz w:val="16"/>
                <w:szCs w:val="16"/>
              </w:rPr>
              <w:t>289,6</w:t>
            </w:r>
          </w:p>
        </w:tc>
        <w:tc>
          <w:tcPr>
            <w:tcW w:w="649" w:type="dxa"/>
            <w:tcBorders>
              <w:top w:val="nil"/>
              <w:left w:val="nil"/>
              <w:bottom w:val="nil"/>
              <w:right w:val="single" w:sz="4" w:space="0" w:color="auto"/>
            </w:tcBorders>
            <w:shd w:val="clear" w:color="auto" w:fill="auto"/>
            <w:vAlign w:val="center"/>
            <w:hideMark/>
          </w:tcPr>
          <w:p w14:paraId="47949C3F" w14:textId="77777777" w:rsidR="002D687B" w:rsidRPr="002D687B" w:rsidRDefault="002D687B" w:rsidP="002D687B">
            <w:pPr>
              <w:spacing w:after="0" w:line="240" w:lineRule="auto"/>
              <w:jc w:val="right"/>
              <w:rPr>
                <w:rFonts w:cs="Arial"/>
                <w:sz w:val="16"/>
                <w:szCs w:val="16"/>
              </w:rPr>
            </w:pPr>
            <w:r w:rsidRPr="002D687B">
              <w:rPr>
                <w:rFonts w:cs="Arial"/>
                <w:sz w:val="16"/>
                <w:szCs w:val="16"/>
              </w:rPr>
              <w:t>317,8</w:t>
            </w:r>
          </w:p>
        </w:tc>
        <w:tc>
          <w:tcPr>
            <w:tcW w:w="847" w:type="dxa"/>
            <w:tcBorders>
              <w:top w:val="nil"/>
              <w:left w:val="nil"/>
              <w:bottom w:val="nil"/>
              <w:right w:val="nil"/>
            </w:tcBorders>
            <w:shd w:val="clear" w:color="auto" w:fill="auto"/>
            <w:vAlign w:val="center"/>
            <w:hideMark/>
          </w:tcPr>
          <w:p w14:paraId="2B3AFF0B" w14:textId="77777777" w:rsidR="002D687B" w:rsidRPr="002D687B" w:rsidRDefault="002D687B" w:rsidP="002D687B">
            <w:pPr>
              <w:spacing w:after="0" w:line="240" w:lineRule="auto"/>
              <w:jc w:val="right"/>
              <w:rPr>
                <w:rFonts w:cs="Arial"/>
                <w:sz w:val="16"/>
                <w:szCs w:val="16"/>
              </w:rPr>
            </w:pPr>
            <w:r w:rsidRPr="002D687B">
              <w:rPr>
                <w:rFonts w:cs="Arial"/>
                <w:sz w:val="16"/>
                <w:szCs w:val="16"/>
              </w:rPr>
              <w:t>532,1</w:t>
            </w:r>
          </w:p>
        </w:tc>
        <w:tc>
          <w:tcPr>
            <w:tcW w:w="649" w:type="dxa"/>
            <w:tcBorders>
              <w:top w:val="nil"/>
              <w:left w:val="nil"/>
              <w:bottom w:val="nil"/>
              <w:right w:val="nil"/>
            </w:tcBorders>
            <w:shd w:val="clear" w:color="auto" w:fill="auto"/>
            <w:vAlign w:val="center"/>
            <w:hideMark/>
          </w:tcPr>
          <w:p w14:paraId="115720E4" w14:textId="77777777" w:rsidR="002D687B" w:rsidRPr="002D687B" w:rsidRDefault="002D687B" w:rsidP="002D687B">
            <w:pPr>
              <w:spacing w:after="0" w:line="240" w:lineRule="auto"/>
              <w:jc w:val="right"/>
              <w:rPr>
                <w:rFonts w:cs="Arial"/>
                <w:sz w:val="16"/>
                <w:szCs w:val="16"/>
              </w:rPr>
            </w:pPr>
            <w:r w:rsidRPr="002D687B">
              <w:rPr>
                <w:rFonts w:cs="Arial"/>
                <w:sz w:val="16"/>
                <w:szCs w:val="16"/>
              </w:rPr>
              <w:t>239,3</w:t>
            </w:r>
          </w:p>
        </w:tc>
        <w:tc>
          <w:tcPr>
            <w:tcW w:w="649" w:type="dxa"/>
            <w:tcBorders>
              <w:top w:val="nil"/>
              <w:left w:val="nil"/>
              <w:bottom w:val="nil"/>
              <w:right w:val="single" w:sz="4" w:space="0" w:color="auto"/>
            </w:tcBorders>
            <w:shd w:val="clear" w:color="auto" w:fill="auto"/>
            <w:vAlign w:val="center"/>
            <w:hideMark/>
          </w:tcPr>
          <w:p w14:paraId="569580C7" w14:textId="77777777" w:rsidR="002D687B" w:rsidRPr="002D687B" w:rsidRDefault="002D687B" w:rsidP="002D687B">
            <w:pPr>
              <w:spacing w:after="0" w:line="240" w:lineRule="auto"/>
              <w:jc w:val="right"/>
              <w:rPr>
                <w:rFonts w:cs="Arial"/>
                <w:sz w:val="16"/>
                <w:szCs w:val="16"/>
              </w:rPr>
            </w:pPr>
            <w:r w:rsidRPr="002D687B">
              <w:rPr>
                <w:rFonts w:cs="Arial"/>
                <w:sz w:val="16"/>
                <w:szCs w:val="16"/>
              </w:rPr>
              <w:t>292,8</w:t>
            </w:r>
          </w:p>
        </w:tc>
        <w:tc>
          <w:tcPr>
            <w:tcW w:w="847" w:type="dxa"/>
            <w:tcBorders>
              <w:top w:val="nil"/>
              <w:left w:val="nil"/>
              <w:bottom w:val="nil"/>
              <w:right w:val="nil"/>
            </w:tcBorders>
            <w:shd w:val="clear" w:color="auto" w:fill="auto"/>
            <w:vAlign w:val="center"/>
            <w:hideMark/>
          </w:tcPr>
          <w:p w14:paraId="407A23BE" w14:textId="77777777" w:rsidR="002D687B" w:rsidRPr="002D687B" w:rsidRDefault="002D687B" w:rsidP="002D687B">
            <w:pPr>
              <w:spacing w:after="0" w:line="240" w:lineRule="auto"/>
              <w:jc w:val="right"/>
              <w:rPr>
                <w:rFonts w:cs="Arial"/>
                <w:sz w:val="16"/>
                <w:szCs w:val="16"/>
              </w:rPr>
            </w:pPr>
            <w:r w:rsidRPr="002D687B">
              <w:rPr>
                <w:rFonts w:cs="Arial"/>
                <w:sz w:val="16"/>
                <w:szCs w:val="16"/>
              </w:rPr>
              <w:t>21,8</w:t>
            </w:r>
          </w:p>
        </w:tc>
        <w:tc>
          <w:tcPr>
            <w:tcW w:w="649" w:type="dxa"/>
            <w:tcBorders>
              <w:top w:val="nil"/>
              <w:left w:val="nil"/>
              <w:bottom w:val="nil"/>
              <w:right w:val="nil"/>
            </w:tcBorders>
            <w:shd w:val="clear" w:color="auto" w:fill="auto"/>
            <w:vAlign w:val="center"/>
            <w:hideMark/>
          </w:tcPr>
          <w:p w14:paraId="28B9F482" w14:textId="77777777" w:rsidR="002D687B" w:rsidRPr="002D687B" w:rsidRDefault="002D687B" w:rsidP="002D687B">
            <w:pPr>
              <w:spacing w:after="0" w:line="240" w:lineRule="auto"/>
              <w:jc w:val="right"/>
              <w:rPr>
                <w:rFonts w:cs="Arial"/>
                <w:sz w:val="16"/>
                <w:szCs w:val="16"/>
              </w:rPr>
            </w:pPr>
            <w:r w:rsidRPr="002D687B">
              <w:rPr>
                <w:rFonts w:cs="Arial"/>
                <w:sz w:val="16"/>
                <w:szCs w:val="16"/>
              </w:rPr>
              <w:t>15,5</w:t>
            </w:r>
          </w:p>
        </w:tc>
        <w:tc>
          <w:tcPr>
            <w:tcW w:w="649" w:type="dxa"/>
            <w:tcBorders>
              <w:top w:val="nil"/>
              <w:left w:val="nil"/>
              <w:bottom w:val="nil"/>
              <w:right w:val="single" w:sz="4" w:space="0" w:color="auto"/>
            </w:tcBorders>
            <w:shd w:val="clear" w:color="auto" w:fill="auto"/>
            <w:vAlign w:val="center"/>
            <w:hideMark/>
          </w:tcPr>
          <w:p w14:paraId="00E5F9D2" w14:textId="77777777" w:rsidR="002D687B" w:rsidRPr="002D687B" w:rsidRDefault="002D687B" w:rsidP="002D687B">
            <w:pPr>
              <w:spacing w:after="0" w:line="240" w:lineRule="auto"/>
              <w:jc w:val="right"/>
              <w:rPr>
                <w:rFonts w:cs="Arial"/>
                <w:sz w:val="16"/>
                <w:szCs w:val="16"/>
              </w:rPr>
            </w:pPr>
            <w:r w:rsidRPr="002D687B">
              <w:rPr>
                <w:rFonts w:cs="Arial"/>
                <w:sz w:val="16"/>
                <w:szCs w:val="16"/>
              </w:rPr>
              <w:t>6,3</w:t>
            </w:r>
          </w:p>
        </w:tc>
        <w:tc>
          <w:tcPr>
            <w:tcW w:w="847" w:type="dxa"/>
            <w:tcBorders>
              <w:top w:val="nil"/>
              <w:left w:val="nil"/>
              <w:bottom w:val="nil"/>
              <w:right w:val="nil"/>
            </w:tcBorders>
            <w:shd w:val="clear" w:color="auto" w:fill="auto"/>
            <w:vAlign w:val="center"/>
            <w:hideMark/>
          </w:tcPr>
          <w:p w14:paraId="11AD918F" w14:textId="77777777" w:rsidR="002D687B" w:rsidRPr="002D687B" w:rsidRDefault="002D687B" w:rsidP="002D687B">
            <w:pPr>
              <w:spacing w:after="0" w:line="240" w:lineRule="auto"/>
              <w:jc w:val="right"/>
              <w:rPr>
                <w:rFonts w:cs="Arial"/>
                <w:sz w:val="16"/>
                <w:szCs w:val="16"/>
              </w:rPr>
            </w:pPr>
            <w:r w:rsidRPr="002D687B">
              <w:rPr>
                <w:rFonts w:cs="Arial"/>
                <w:sz w:val="16"/>
                <w:szCs w:val="16"/>
              </w:rPr>
              <w:t>53,4</w:t>
            </w:r>
          </w:p>
        </w:tc>
        <w:tc>
          <w:tcPr>
            <w:tcW w:w="649" w:type="dxa"/>
            <w:tcBorders>
              <w:top w:val="nil"/>
              <w:left w:val="nil"/>
              <w:bottom w:val="nil"/>
              <w:right w:val="nil"/>
            </w:tcBorders>
            <w:shd w:val="clear" w:color="auto" w:fill="auto"/>
            <w:vAlign w:val="center"/>
            <w:hideMark/>
          </w:tcPr>
          <w:p w14:paraId="4AB5CB21" w14:textId="77777777" w:rsidR="002D687B" w:rsidRPr="002D687B" w:rsidRDefault="002D687B" w:rsidP="002D687B">
            <w:pPr>
              <w:spacing w:after="0" w:line="240" w:lineRule="auto"/>
              <w:jc w:val="right"/>
              <w:rPr>
                <w:rFonts w:cs="Arial"/>
                <w:sz w:val="16"/>
                <w:szCs w:val="16"/>
              </w:rPr>
            </w:pPr>
            <w:r w:rsidRPr="002D687B">
              <w:rPr>
                <w:rFonts w:cs="Arial"/>
                <w:sz w:val="16"/>
                <w:szCs w:val="16"/>
              </w:rPr>
              <w:t>34,8</w:t>
            </w:r>
          </w:p>
        </w:tc>
        <w:tc>
          <w:tcPr>
            <w:tcW w:w="649" w:type="dxa"/>
            <w:tcBorders>
              <w:top w:val="nil"/>
              <w:left w:val="nil"/>
              <w:bottom w:val="nil"/>
              <w:right w:val="nil"/>
            </w:tcBorders>
            <w:shd w:val="clear" w:color="auto" w:fill="auto"/>
            <w:vAlign w:val="center"/>
            <w:hideMark/>
          </w:tcPr>
          <w:p w14:paraId="3B3E8E76" w14:textId="77777777" w:rsidR="002D687B" w:rsidRPr="002D687B" w:rsidRDefault="002D687B" w:rsidP="002D687B">
            <w:pPr>
              <w:spacing w:after="0" w:line="240" w:lineRule="auto"/>
              <w:jc w:val="right"/>
              <w:rPr>
                <w:rFonts w:cs="Arial"/>
                <w:sz w:val="16"/>
                <w:szCs w:val="16"/>
              </w:rPr>
            </w:pPr>
            <w:r w:rsidRPr="002D687B">
              <w:rPr>
                <w:rFonts w:cs="Arial"/>
                <w:sz w:val="16"/>
                <w:szCs w:val="16"/>
              </w:rPr>
              <w:t>18,6</w:t>
            </w:r>
          </w:p>
        </w:tc>
      </w:tr>
      <w:tr w:rsidR="00D70250" w:rsidRPr="002D687B" w14:paraId="57653176" w14:textId="77777777" w:rsidTr="00F711D4">
        <w:trPr>
          <w:gridAfter w:val="1"/>
          <w:wAfter w:w="9" w:type="dxa"/>
          <w:trHeight w:val="280"/>
        </w:trPr>
        <w:tc>
          <w:tcPr>
            <w:tcW w:w="1005" w:type="dxa"/>
            <w:tcBorders>
              <w:top w:val="nil"/>
              <w:left w:val="nil"/>
              <w:bottom w:val="nil"/>
              <w:right w:val="single" w:sz="4" w:space="0" w:color="auto"/>
            </w:tcBorders>
            <w:shd w:val="clear" w:color="auto" w:fill="auto"/>
            <w:vAlign w:val="center"/>
            <w:hideMark/>
          </w:tcPr>
          <w:p w14:paraId="22EFB117"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2013</w:t>
            </w:r>
          </w:p>
        </w:tc>
        <w:tc>
          <w:tcPr>
            <w:tcW w:w="847" w:type="dxa"/>
            <w:tcBorders>
              <w:top w:val="nil"/>
              <w:left w:val="nil"/>
              <w:bottom w:val="nil"/>
              <w:right w:val="nil"/>
            </w:tcBorders>
            <w:shd w:val="clear" w:color="auto" w:fill="auto"/>
            <w:vAlign w:val="center"/>
            <w:hideMark/>
          </w:tcPr>
          <w:p w14:paraId="60698EA1" w14:textId="77777777" w:rsidR="002D687B" w:rsidRPr="002D687B" w:rsidRDefault="002D687B" w:rsidP="002D687B">
            <w:pPr>
              <w:spacing w:after="0" w:line="240" w:lineRule="auto"/>
              <w:jc w:val="right"/>
              <w:rPr>
                <w:rFonts w:cs="Arial"/>
                <w:sz w:val="16"/>
                <w:szCs w:val="16"/>
              </w:rPr>
            </w:pPr>
            <w:r w:rsidRPr="002D687B">
              <w:rPr>
                <w:rFonts w:cs="Arial"/>
                <w:sz w:val="16"/>
                <w:szCs w:val="16"/>
              </w:rPr>
              <w:t>754,6</w:t>
            </w:r>
          </w:p>
        </w:tc>
        <w:tc>
          <w:tcPr>
            <w:tcW w:w="649" w:type="dxa"/>
            <w:tcBorders>
              <w:top w:val="nil"/>
              <w:left w:val="nil"/>
              <w:bottom w:val="nil"/>
              <w:right w:val="nil"/>
            </w:tcBorders>
            <w:shd w:val="clear" w:color="auto" w:fill="auto"/>
            <w:vAlign w:val="center"/>
            <w:hideMark/>
          </w:tcPr>
          <w:p w14:paraId="4C919712" w14:textId="77777777" w:rsidR="002D687B" w:rsidRPr="002D687B" w:rsidRDefault="002D687B" w:rsidP="002D687B">
            <w:pPr>
              <w:spacing w:after="0" w:line="240" w:lineRule="auto"/>
              <w:jc w:val="right"/>
              <w:rPr>
                <w:rFonts w:cs="Arial"/>
                <w:sz w:val="16"/>
                <w:szCs w:val="16"/>
              </w:rPr>
            </w:pPr>
            <w:r w:rsidRPr="002D687B">
              <w:rPr>
                <w:rFonts w:cs="Arial"/>
                <w:sz w:val="16"/>
                <w:szCs w:val="16"/>
              </w:rPr>
              <w:t>354,7</w:t>
            </w:r>
          </w:p>
        </w:tc>
        <w:tc>
          <w:tcPr>
            <w:tcW w:w="649" w:type="dxa"/>
            <w:tcBorders>
              <w:top w:val="nil"/>
              <w:left w:val="nil"/>
              <w:bottom w:val="nil"/>
              <w:right w:val="single" w:sz="4" w:space="0" w:color="auto"/>
            </w:tcBorders>
            <w:shd w:val="clear" w:color="auto" w:fill="auto"/>
            <w:vAlign w:val="center"/>
            <w:hideMark/>
          </w:tcPr>
          <w:p w14:paraId="085D6C8D" w14:textId="77777777" w:rsidR="002D687B" w:rsidRPr="002D687B" w:rsidRDefault="002D687B" w:rsidP="002D687B">
            <w:pPr>
              <w:spacing w:after="0" w:line="240" w:lineRule="auto"/>
              <w:jc w:val="right"/>
              <w:rPr>
                <w:rFonts w:cs="Arial"/>
                <w:sz w:val="16"/>
                <w:szCs w:val="16"/>
              </w:rPr>
            </w:pPr>
            <w:r w:rsidRPr="002D687B">
              <w:rPr>
                <w:rFonts w:cs="Arial"/>
                <w:sz w:val="16"/>
                <w:szCs w:val="16"/>
              </w:rPr>
              <w:t>399,9</w:t>
            </w:r>
          </w:p>
        </w:tc>
        <w:tc>
          <w:tcPr>
            <w:tcW w:w="847" w:type="dxa"/>
            <w:tcBorders>
              <w:top w:val="nil"/>
              <w:left w:val="nil"/>
              <w:bottom w:val="nil"/>
              <w:right w:val="nil"/>
            </w:tcBorders>
            <w:shd w:val="clear" w:color="auto" w:fill="auto"/>
            <w:vAlign w:val="center"/>
            <w:hideMark/>
          </w:tcPr>
          <w:p w14:paraId="031A1CFE" w14:textId="77777777" w:rsidR="002D687B" w:rsidRPr="002D687B" w:rsidRDefault="002D687B" w:rsidP="002D687B">
            <w:pPr>
              <w:spacing w:after="0" w:line="240" w:lineRule="auto"/>
              <w:jc w:val="right"/>
              <w:rPr>
                <w:rFonts w:cs="Arial"/>
                <w:sz w:val="16"/>
                <w:szCs w:val="16"/>
              </w:rPr>
            </w:pPr>
            <w:r w:rsidRPr="002D687B">
              <w:rPr>
                <w:rFonts w:cs="Arial"/>
                <w:sz w:val="16"/>
                <w:szCs w:val="16"/>
              </w:rPr>
              <w:t>672,2</w:t>
            </w:r>
          </w:p>
        </w:tc>
        <w:tc>
          <w:tcPr>
            <w:tcW w:w="649" w:type="dxa"/>
            <w:tcBorders>
              <w:top w:val="nil"/>
              <w:left w:val="nil"/>
              <w:bottom w:val="nil"/>
              <w:right w:val="nil"/>
            </w:tcBorders>
            <w:shd w:val="clear" w:color="auto" w:fill="auto"/>
            <w:vAlign w:val="center"/>
            <w:hideMark/>
          </w:tcPr>
          <w:p w14:paraId="1BD6DF7E" w14:textId="77777777" w:rsidR="002D687B" w:rsidRPr="002D687B" w:rsidRDefault="002D687B" w:rsidP="002D687B">
            <w:pPr>
              <w:spacing w:after="0" w:line="240" w:lineRule="auto"/>
              <w:jc w:val="right"/>
              <w:rPr>
                <w:rFonts w:cs="Arial"/>
                <w:sz w:val="16"/>
                <w:szCs w:val="16"/>
              </w:rPr>
            </w:pPr>
            <w:r w:rsidRPr="002D687B">
              <w:rPr>
                <w:rFonts w:cs="Arial"/>
                <w:sz w:val="16"/>
                <w:szCs w:val="16"/>
              </w:rPr>
              <w:t>300,7</w:t>
            </w:r>
          </w:p>
        </w:tc>
        <w:tc>
          <w:tcPr>
            <w:tcW w:w="649" w:type="dxa"/>
            <w:tcBorders>
              <w:top w:val="nil"/>
              <w:left w:val="nil"/>
              <w:bottom w:val="nil"/>
              <w:right w:val="single" w:sz="4" w:space="0" w:color="auto"/>
            </w:tcBorders>
            <w:shd w:val="clear" w:color="auto" w:fill="auto"/>
            <w:vAlign w:val="center"/>
            <w:hideMark/>
          </w:tcPr>
          <w:p w14:paraId="1D48A67E" w14:textId="77777777" w:rsidR="002D687B" w:rsidRPr="002D687B" w:rsidRDefault="002D687B" w:rsidP="002D687B">
            <w:pPr>
              <w:spacing w:after="0" w:line="240" w:lineRule="auto"/>
              <w:jc w:val="right"/>
              <w:rPr>
                <w:rFonts w:cs="Arial"/>
                <w:sz w:val="16"/>
                <w:szCs w:val="16"/>
              </w:rPr>
            </w:pPr>
            <w:r w:rsidRPr="002D687B">
              <w:rPr>
                <w:rFonts w:cs="Arial"/>
                <w:sz w:val="16"/>
                <w:szCs w:val="16"/>
              </w:rPr>
              <w:t>371,5</w:t>
            </w:r>
          </w:p>
        </w:tc>
        <w:tc>
          <w:tcPr>
            <w:tcW w:w="847" w:type="dxa"/>
            <w:tcBorders>
              <w:top w:val="nil"/>
              <w:left w:val="nil"/>
              <w:bottom w:val="nil"/>
              <w:right w:val="nil"/>
            </w:tcBorders>
            <w:shd w:val="clear" w:color="auto" w:fill="auto"/>
            <w:vAlign w:val="center"/>
            <w:hideMark/>
          </w:tcPr>
          <w:p w14:paraId="0727DF5B" w14:textId="77777777" w:rsidR="002D687B" w:rsidRPr="002D687B" w:rsidRDefault="002D687B" w:rsidP="002D687B">
            <w:pPr>
              <w:spacing w:after="0" w:line="240" w:lineRule="auto"/>
              <w:jc w:val="right"/>
              <w:rPr>
                <w:rFonts w:cs="Arial"/>
                <w:sz w:val="16"/>
                <w:szCs w:val="16"/>
              </w:rPr>
            </w:pPr>
            <w:r w:rsidRPr="002D687B">
              <w:rPr>
                <w:rFonts w:cs="Arial"/>
                <w:sz w:val="16"/>
                <w:szCs w:val="16"/>
              </w:rPr>
              <w:t>21,9</w:t>
            </w:r>
          </w:p>
        </w:tc>
        <w:tc>
          <w:tcPr>
            <w:tcW w:w="649" w:type="dxa"/>
            <w:tcBorders>
              <w:top w:val="nil"/>
              <w:left w:val="nil"/>
              <w:bottom w:val="nil"/>
              <w:right w:val="nil"/>
            </w:tcBorders>
            <w:shd w:val="clear" w:color="auto" w:fill="auto"/>
            <w:vAlign w:val="center"/>
            <w:hideMark/>
          </w:tcPr>
          <w:p w14:paraId="1FB066A6" w14:textId="77777777" w:rsidR="002D687B" w:rsidRPr="002D687B" w:rsidRDefault="002D687B" w:rsidP="002D687B">
            <w:pPr>
              <w:spacing w:after="0" w:line="240" w:lineRule="auto"/>
              <w:jc w:val="right"/>
              <w:rPr>
                <w:rFonts w:cs="Arial"/>
                <w:sz w:val="16"/>
                <w:szCs w:val="16"/>
              </w:rPr>
            </w:pPr>
            <w:r w:rsidRPr="002D687B">
              <w:rPr>
                <w:rFonts w:cs="Arial"/>
                <w:sz w:val="16"/>
                <w:szCs w:val="16"/>
              </w:rPr>
              <w:t>15,3</w:t>
            </w:r>
          </w:p>
        </w:tc>
        <w:tc>
          <w:tcPr>
            <w:tcW w:w="649" w:type="dxa"/>
            <w:tcBorders>
              <w:top w:val="nil"/>
              <w:left w:val="nil"/>
              <w:bottom w:val="nil"/>
              <w:right w:val="single" w:sz="4" w:space="0" w:color="auto"/>
            </w:tcBorders>
            <w:shd w:val="clear" w:color="auto" w:fill="auto"/>
            <w:vAlign w:val="center"/>
            <w:hideMark/>
          </w:tcPr>
          <w:p w14:paraId="4D5EB7CF" w14:textId="77777777" w:rsidR="002D687B" w:rsidRPr="002D687B" w:rsidRDefault="002D687B" w:rsidP="002D687B">
            <w:pPr>
              <w:spacing w:after="0" w:line="240" w:lineRule="auto"/>
              <w:jc w:val="right"/>
              <w:rPr>
                <w:rFonts w:cs="Arial"/>
                <w:sz w:val="16"/>
                <w:szCs w:val="16"/>
              </w:rPr>
            </w:pPr>
            <w:r w:rsidRPr="002D687B">
              <w:rPr>
                <w:rFonts w:cs="Arial"/>
                <w:sz w:val="16"/>
                <w:szCs w:val="16"/>
              </w:rPr>
              <w:t>6,6</w:t>
            </w:r>
          </w:p>
        </w:tc>
        <w:tc>
          <w:tcPr>
            <w:tcW w:w="847" w:type="dxa"/>
            <w:tcBorders>
              <w:top w:val="nil"/>
              <w:left w:val="nil"/>
              <w:bottom w:val="nil"/>
              <w:right w:val="nil"/>
            </w:tcBorders>
            <w:shd w:val="clear" w:color="auto" w:fill="auto"/>
            <w:vAlign w:val="center"/>
            <w:hideMark/>
          </w:tcPr>
          <w:p w14:paraId="45BE614E" w14:textId="77777777" w:rsidR="002D687B" w:rsidRPr="002D687B" w:rsidRDefault="002D687B" w:rsidP="002D687B">
            <w:pPr>
              <w:spacing w:after="0" w:line="240" w:lineRule="auto"/>
              <w:jc w:val="right"/>
              <w:rPr>
                <w:rFonts w:cs="Arial"/>
                <w:sz w:val="16"/>
                <w:szCs w:val="16"/>
              </w:rPr>
            </w:pPr>
            <w:r w:rsidRPr="002D687B">
              <w:rPr>
                <w:rFonts w:cs="Arial"/>
                <w:sz w:val="16"/>
                <w:szCs w:val="16"/>
              </w:rPr>
              <w:t>60,5</w:t>
            </w:r>
          </w:p>
        </w:tc>
        <w:tc>
          <w:tcPr>
            <w:tcW w:w="649" w:type="dxa"/>
            <w:tcBorders>
              <w:top w:val="nil"/>
              <w:left w:val="nil"/>
              <w:bottom w:val="nil"/>
              <w:right w:val="nil"/>
            </w:tcBorders>
            <w:shd w:val="clear" w:color="auto" w:fill="auto"/>
            <w:vAlign w:val="center"/>
            <w:hideMark/>
          </w:tcPr>
          <w:p w14:paraId="33A7D6C3" w14:textId="77777777" w:rsidR="002D687B" w:rsidRPr="002D687B" w:rsidRDefault="002D687B" w:rsidP="002D687B">
            <w:pPr>
              <w:spacing w:after="0" w:line="240" w:lineRule="auto"/>
              <w:jc w:val="right"/>
              <w:rPr>
                <w:rFonts w:cs="Arial"/>
                <w:sz w:val="16"/>
                <w:szCs w:val="16"/>
              </w:rPr>
            </w:pPr>
            <w:r w:rsidRPr="002D687B">
              <w:rPr>
                <w:rFonts w:cs="Arial"/>
                <w:sz w:val="16"/>
                <w:szCs w:val="16"/>
              </w:rPr>
              <w:t>38,8</w:t>
            </w:r>
          </w:p>
        </w:tc>
        <w:tc>
          <w:tcPr>
            <w:tcW w:w="649" w:type="dxa"/>
            <w:tcBorders>
              <w:top w:val="nil"/>
              <w:left w:val="nil"/>
              <w:bottom w:val="nil"/>
              <w:right w:val="nil"/>
            </w:tcBorders>
            <w:shd w:val="clear" w:color="auto" w:fill="auto"/>
            <w:vAlign w:val="center"/>
            <w:hideMark/>
          </w:tcPr>
          <w:p w14:paraId="48E6C01F" w14:textId="77777777" w:rsidR="002D687B" w:rsidRPr="002D687B" w:rsidRDefault="002D687B" w:rsidP="002D687B">
            <w:pPr>
              <w:spacing w:after="0" w:line="240" w:lineRule="auto"/>
              <w:jc w:val="right"/>
              <w:rPr>
                <w:rFonts w:cs="Arial"/>
                <w:sz w:val="16"/>
                <w:szCs w:val="16"/>
              </w:rPr>
            </w:pPr>
            <w:r w:rsidRPr="002D687B">
              <w:rPr>
                <w:rFonts w:cs="Arial"/>
                <w:sz w:val="16"/>
                <w:szCs w:val="16"/>
              </w:rPr>
              <w:t>21,7</w:t>
            </w:r>
          </w:p>
        </w:tc>
      </w:tr>
      <w:tr w:rsidR="00D70250" w:rsidRPr="002D687B" w14:paraId="63126610" w14:textId="77777777" w:rsidTr="00F711D4">
        <w:trPr>
          <w:gridAfter w:val="1"/>
          <w:wAfter w:w="9" w:type="dxa"/>
          <w:trHeight w:val="280"/>
        </w:trPr>
        <w:tc>
          <w:tcPr>
            <w:tcW w:w="1005" w:type="dxa"/>
            <w:tcBorders>
              <w:top w:val="nil"/>
              <w:left w:val="nil"/>
              <w:bottom w:val="nil"/>
              <w:right w:val="single" w:sz="4" w:space="0" w:color="auto"/>
            </w:tcBorders>
            <w:shd w:val="clear" w:color="auto" w:fill="auto"/>
            <w:vAlign w:val="center"/>
            <w:hideMark/>
          </w:tcPr>
          <w:p w14:paraId="602771A7"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2014</w:t>
            </w:r>
          </w:p>
        </w:tc>
        <w:tc>
          <w:tcPr>
            <w:tcW w:w="847" w:type="dxa"/>
            <w:tcBorders>
              <w:top w:val="nil"/>
              <w:left w:val="nil"/>
              <w:bottom w:val="nil"/>
              <w:right w:val="nil"/>
            </w:tcBorders>
            <w:shd w:val="clear" w:color="auto" w:fill="auto"/>
            <w:vAlign w:val="center"/>
            <w:hideMark/>
          </w:tcPr>
          <w:p w14:paraId="6440022F" w14:textId="77777777" w:rsidR="002D687B" w:rsidRPr="002D687B" w:rsidRDefault="002D687B" w:rsidP="002D687B">
            <w:pPr>
              <w:spacing w:after="0" w:line="240" w:lineRule="auto"/>
              <w:jc w:val="right"/>
              <w:rPr>
                <w:rFonts w:cs="Arial"/>
                <w:sz w:val="16"/>
                <w:szCs w:val="16"/>
              </w:rPr>
            </w:pPr>
            <w:r w:rsidRPr="002D687B">
              <w:rPr>
                <w:rFonts w:cs="Arial"/>
                <w:sz w:val="16"/>
                <w:szCs w:val="16"/>
              </w:rPr>
              <w:t>664,1</w:t>
            </w:r>
          </w:p>
        </w:tc>
        <w:tc>
          <w:tcPr>
            <w:tcW w:w="649" w:type="dxa"/>
            <w:tcBorders>
              <w:top w:val="nil"/>
              <w:left w:val="nil"/>
              <w:bottom w:val="nil"/>
              <w:right w:val="nil"/>
            </w:tcBorders>
            <w:shd w:val="clear" w:color="auto" w:fill="auto"/>
            <w:vAlign w:val="center"/>
            <w:hideMark/>
          </w:tcPr>
          <w:p w14:paraId="06A0C235" w14:textId="77777777" w:rsidR="002D687B" w:rsidRPr="002D687B" w:rsidRDefault="002D687B" w:rsidP="002D687B">
            <w:pPr>
              <w:spacing w:after="0" w:line="240" w:lineRule="auto"/>
              <w:jc w:val="right"/>
              <w:rPr>
                <w:rFonts w:cs="Arial"/>
                <w:sz w:val="16"/>
                <w:szCs w:val="16"/>
              </w:rPr>
            </w:pPr>
            <w:r w:rsidRPr="002D687B">
              <w:rPr>
                <w:rFonts w:cs="Arial"/>
                <w:sz w:val="16"/>
                <w:szCs w:val="16"/>
              </w:rPr>
              <w:t>313,5</w:t>
            </w:r>
          </w:p>
        </w:tc>
        <w:tc>
          <w:tcPr>
            <w:tcW w:w="649" w:type="dxa"/>
            <w:tcBorders>
              <w:top w:val="nil"/>
              <w:left w:val="nil"/>
              <w:bottom w:val="nil"/>
              <w:right w:val="single" w:sz="4" w:space="0" w:color="auto"/>
            </w:tcBorders>
            <w:shd w:val="clear" w:color="auto" w:fill="auto"/>
            <w:vAlign w:val="center"/>
            <w:hideMark/>
          </w:tcPr>
          <w:p w14:paraId="60472BC4" w14:textId="77777777" w:rsidR="002D687B" w:rsidRPr="002D687B" w:rsidRDefault="002D687B" w:rsidP="002D687B">
            <w:pPr>
              <w:spacing w:after="0" w:line="240" w:lineRule="auto"/>
              <w:jc w:val="right"/>
              <w:rPr>
                <w:rFonts w:cs="Arial"/>
                <w:sz w:val="16"/>
                <w:szCs w:val="16"/>
              </w:rPr>
            </w:pPr>
            <w:r w:rsidRPr="002D687B">
              <w:rPr>
                <w:rFonts w:cs="Arial"/>
                <w:sz w:val="16"/>
                <w:szCs w:val="16"/>
              </w:rPr>
              <w:t>350,6</w:t>
            </w:r>
          </w:p>
        </w:tc>
        <w:tc>
          <w:tcPr>
            <w:tcW w:w="847" w:type="dxa"/>
            <w:tcBorders>
              <w:top w:val="nil"/>
              <w:left w:val="nil"/>
              <w:bottom w:val="nil"/>
              <w:right w:val="nil"/>
            </w:tcBorders>
            <w:shd w:val="clear" w:color="auto" w:fill="auto"/>
            <w:vAlign w:val="center"/>
            <w:hideMark/>
          </w:tcPr>
          <w:p w14:paraId="2566E71B" w14:textId="77777777" w:rsidR="002D687B" w:rsidRPr="002D687B" w:rsidRDefault="002D687B" w:rsidP="002D687B">
            <w:pPr>
              <w:spacing w:after="0" w:line="240" w:lineRule="auto"/>
              <w:jc w:val="right"/>
              <w:rPr>
                <w:rFonts w:cs="Arial"/>
                <w:sz w:val="16"/>
                <w:szCs w:val="16"/>
              </w:rPr>
            </w:pPr>
            <w:r w:rsidRPr="002D687B">
              <w:rPr>
                <w:rFonts w:cs="Arial"/>
                <w:sz w:val="16"/>
                <w:szCs w:val="16"/>
              </w:rPr>
              <w:t>579,3</w:t>
            </w:r>
          </w:p>
        </w:tc>
        <w:tc>
          <w:tcPr>
            <w:tcW w:w="649" w:type="dxa"/>
            <w:tcBorders>
              <w:top w:val="nil"/>
              <w:left w:val="nil"/>
              <w:bottom w:val="nil"/>
              <w:right w:val="nil"/>
            </w:tcBorders>
            <w:shd w:val="clear" w:color="auto" w:fill="auto"/>
            <w:vAlign w:val="center"/>
            <w:hideMark/>
          </w:tcPr>
          <w:p w14:paraId="77BCB5AC" w14:textId="77777777" w:rsidR="002D687B" w:rsidRPr="002D687B" w:rsidRDefault="002D687B" w:rsidP="002D687B">
            <w:pPr>
              <w:spacing w:after="0" w:line="240" w:lineRule="auto"/>
              <w:jc w:val="right"/>
              <w:rPr>
                <w:rFonts w:cs="Arial"/>
                <w:sz w:val="16"/>
                <w:szCs w:val="16"/>
              </w:rPr>
            </w:pPr>
            <w:r w:rsidRPr="002D687B">
              <w:rPr>
                <w:rFonts w:cs="Arial"/>
                <w:sz w:val="16"/>
                <w:szCs w:val="16"/>
              </w:rPr>
              <w:t>256,8</w:t>
            </w:r>
          </w:p>
        </w:tc>
        <w:tc>
          <w:tcPr>
            <w:tcW w:w="649" w:type="dxa"/>
            <w:tcBorders>
              <w:top w:val="nil"/>
              <w:left w:val="nil"/>
              <w:bottom w:val="nil"/>
              <w:right w:val="single" w:sz="4" w:space="0" w:color="auto"/>
            </w:tcBorders>
            <w:shd w:val="clear" w:color="auto" w:fill="auto"/>
            <w:vAlign w:val="center"/>
            <w:hideMark/>
          </w:tcPr>
          <w:p w14:paraId="1D927089" w14:textId="77777777" w:rsidR="002D687B" w:rsidRPr="002D687B" w:rsidRDefault="002D687B" w:rsidP="002D687B">
            <w:pPr>
              <w:spacing w:after="0" w:line="240" w:lineRule="auto"/>
              <w:jc w:val="right"/>
              <w:rPr>
                <w:rFonts w:cs="Arial"/>
                <w:sz w:val="16"/>
                <w:szCs w:val="16"/>
              </w:rPr>
            </w:pPr>
            <w:r w:rsidRPr="002D687B">
              <w:rPr>
                <w:rFonts w:cs="Arial"/>
                <w:sz w:val="16"/>
                <w:szCs w:val="16"/>
              </w:rPr>
              <w:t>322,4</w:t>
            </w:r>
          </w:p>
        </w:tc>
        <w:tc>
          <w:tcPr>
            <w:tcW w:w="847" w:type="dxa"/>
            <w:tcBorders>
              <w:top w:val="nil"/>
              <w:left w:val="nil"/>
              <w:bottom w:val="nil"/>
              <w:right w:val="nil"/>
            </w:tcBorders>
            <w:shd w:val="clear" w:color="auto" w:fill="auto"/>
            <w:vAlign w:val="center"/>
            <w:hideMark/>
          </w:tcPr>
          <w:p w14:paraId="15F404B9" w14:textId="77777777" w:rsidR="002D687B" w:rsidRPr="002D687B" w:rsidRDefault="002D687B" w:rsidP="002D687B">
            <w:pPr>
              <w:spacing w:after="0" w:line="240" w:lineRule="auto"/>
              <w:jc w:val="right"/>
              <w:rPr>
                <w:rFonts w:cs="Arial"/>
                <w:sz w:val="16"/>
                <w:szCs w:val="16"/>
              </w:rPr>
            </w:pPr>
            <w:r w:rsidRPr="002D687B">
              <w:rPr>
                <w:rFonts w:cs="Arial"/>
                <w:sz w:val="16"/>
                <w:szCs w:val="16"/>
              </w:rPr>
              <w:t>22,2</w:t>
            </w:r>
          </w:p>
        </w:tc>
        <w:tc>
          <w:tcPr>
            <w:tcW w:w="649" w:type="dxa"/>
            <w:tcBorders>
              <w:top w:val="nil"/>
              <w:left w:val="nil"/>
              <w:bottom w:val="nil"/>
              <w:right w:val="nil"/>
            </w:tcBorders>
            <w:shd w:val="clear" w:color="auto" w:fill="auto"/>
            <w:vAlign w:val="center"/>
            <w:hideMark/>
          </w:tcPr>
          <w:p w14:paraId="4D65F596" w14:textId="77777777" w:rsidR="002D687B" w:rsidRPr="002D687B" w:rsidRDefault="002D687B" w:rsidP="002D687B">
            <w:pPr>
              <w:spacing w:after="0" w:line="240" w:lineRule="auto"/>
              <w:jc w:val="right"/>
              <w:rPr>
                <w:rFonts w:cs="Arial"/>
                <w:sz w:val="16"/>
                <w:szCs w:val="16"/>
              </w:rPr>
            </w:pPr>
            <w:r w:rsidRPr="002D687B">
              <w:rPr>
                <w:rFonts w:cs="Arial"/>
                <w:sz w:val="16"/>
                <w:szCs w:val="16"/>
              </w:rPr>
              <w:t>15,6</w:t>
            </w:r>
          </w:p>
        </w:tc>
        <w:tc>
          <w:tcPr>
            <w:tcW w:w="649" w:type="dxa"/>
            <w:tcBorders>
              <w:top w:val="nil"/>
              <w:left w:val="nil"/>
              <w:bottom w:val="nil"/>
              <w:right w:val="single" w:sz="4" w:space="0" w:color="auto"/>
            </w:tcBorders>
            <w:shd w:val="clear" w:color="auto" w:fill="auto"/>
            <w:vAlign w:val="center"/>
            <w:hideMark/>
          </w:tcPr>
          <w:p w14:paraId="5B8B672A" w14:textId="77777777" w:rsidR="002D687B" w:rsidRPr="002D687B" w:rsidRDefault="002D687B" w:rsidP="002D687B">
            <w:pPr>
              <w:spacing w:after="0" w:line="240" w:lineRule="auto"/>
              <w:jc w:val="right"/>
              <w:rPr>
                <w:rFonts w:cs="Arial"/>
                <w:sz w:val="16"/>
                <w:szCs w:val="16"/>
              </w:rPr>
            </w:pPr>
            <w:r w:rsidRPr="002D687B">
              <w:rPr>
                <w:rFonts w:cs="Arial"/>
                <w:sz w:val="16"/>
                <w:szCs w:val="16"/>
              </w:rPr>
              <w:t>6,6</w:t>
            </w:r>
          </w:p>
        </w:tc>
        <w:tc>
          <w:tcPr>
            <w:tcW w:w="847" w:type="dxa"/>
            <w:tcBorders>
              <w:top w:val="nil"/>
              <w:left w:val="nil"/>
              <w:bottom w:val="nil"/>
              <w:right w:val="nil"/>
            </w:tcBorders>
            <w:shd w:val="clear" w:color="auto" w:fill="auto"/>
            <w:vAlign w:val="center"/>
            <w:hideMark/>
          </w:tcPr>
          <w:p w14:paraId="0E0190C6" w14:textId="77777777" w:rsidR="002D687B" w:rsidRPr="002D687B" w:rsidRDefault="002D687B" w:rsidP="002D687B">
            <w:pPr>
              <w:spacing w:after="0" w:line="240" w:lineRule="auto"/>
              <w:jc w:val="right"/>
              <w:rPr>
                <w:rFonts w:cs="Arial"/>
                <w:sz w:val="16"/>
                <w:szCs w:val="16"/>
              </w:rPr>
            </w:pPr>
            <w:r w:rsidRPr="002D687B">
              <w:rPr>
                <w:rFonts w:cs="Arial"/>
                <w:sz w:val="16"/>
                <w:szCs w:val="16"/>
              </w:rPr>
              <w:t>62,6</w:t>
            </w:r>
          </w:p>
        </w:tc>
        <w:tc>
          <w:tcPr>
            <w:tcW w:w="649" w:type="dxa"/>
            <w:tcBorders>
              <w:top w:val="nil"/>
              <w:left w:val="nil"/>
              <w:bottom w:val="nil"/>
              <w:right w:val="nil"/>
            </w:tcBorders>
            <w:shd w:val="clear" w:color="auto" w:fill="auto"/>
            <w:vAlign w:val="center"/>
            <w:hideMark/>
          </w:tcPr>
          <w:p w14:paraId="6D1BBF96" w14:textId="77777777" w:rsidR="002D687B" w:rsidRPr="002D687B" w:rsidRDefault="002D687B" w:rsidP="002D687B">
            <w:pPr>
              <w:spacing w:after="0" w:line="240" w:lineRule="auto"/>
              <w:jc w:val="right"/>
              <w:rPr>
                <w:rFonts w:cs="Arial"/>
                <w:sz w:val="16"/>
                <w:szCs w:val="16"/>
              </w:rPr>
            </w:pPr>
            <w:r w:rsidRPr="002D687B">
              <w:rPr>
                <w:rFonts w:cs="Arial"/>
                <w:sz w:val="16"/>
                <w:szCs w:val="16"/>
              </w:rPr>
              <w:t>41,1</w:t>
            </w:r>
          </w:p>
        </w:tc>
        <w:tc>
          <w:tcPr>
            <w:tcW w:w="649" w:type="dxa"/>
            <w:tcBorders>
              <w:top w:val="nil"/>
              <w:left w:val="nil"/>
              <w:bottom w:val="nil"/>
              <w:right w:val="nil"/>
            </w:tcBorders>
            <w:shd w:val="clear" w:color="auto" w:fill="auto"/>
            <w:vAlign w:val="center"/>
            <w:hideMark/>
          </w:tcPr>
          <w:p w14:paraId="5C91DE84" w14:textId="77777777" w:rsidR="002D687B" w:rsidRPr="002D687B" w:rsidRDefault="002D687B" w:rsidP="002D687B">
            <w:pPr>
              <w:spacing w:after="0" w:line="240" w:lineRule="auto"/>
              <w:jc w:val="right"/>
              <w:rPr>
                <w:rFonts w:cs="Arial"/>
                <w:sz w:val="16"/>
                <w:szCs w:val="16"/>
              </w:rPr>
            </w:pPr>
            <w:r w:rsidRPr="002D687B">
              <w:rPr>
                <w:rFonts w:cs="Arial"/>
                <w:sz w:val="16"/>
                <w:szCs w:val="16"/>
              </w:rPr>
              <w:t>21,6</w:t>
            </w:r>
          </w:p>
        </w:tc>
      </w:tr>
      <w:tr w:rsidR="00D70250" w:rsidRPr="002D687B" w14:paraId="54AE0C07" w14:textId="77777777" w:rsidTr="00F711D4">
        <w:trPr>
          <w:gridAfter w:val="1"/>
          <w:wAfter w:w="9" w:type="dxa"/>
          <w:trHeight w:val="280"/>
        </w:trPr>
        <w:tc>
          <w:tcPr>
            <w:tcW w:w="1005" w:type="dxa"/>
            <w:tcBorders>
              <w:top w:val="nil"/>
              <w:left w:val="nil"/>
              <w:bottom w:val="nil"/>
              <w:right w:val="single" w:sz="4" w:space="0" w:color="auto"/>
            </w:tcBorders>
            <w:shd w:val="clear" w:color="auto" w:fill="auto"/>
            <w:vAlign w:val="center"/>
            <w:hideMark/>
          </w:tcPr>
          <w:p w14:paraId="53E2542B"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2015</w:t>
            </w:r>
          </w:p>
        </w:tc>
        <w:tc>
          <w:tcPr>
            <w:tcW w:w="847" w:type="dxa"/>
            <w:tcBorders>
              <w:top w:val="nil"/>
              <w:left w:val="nil"/>
              <w:bottom w:val="nil"/>
              <w:right w:val="nil"/>
            </w:tcBorders>
            <w:shd w:val="clear" w:color="auto" w:fill="auto"/>
            <w:vAlign w:val="center"/>
            <w:hideMark/>
          </w:tcPr>
          <w:p w14:paraId="2CC3E617" w14:textId="77777777" w:rsidR="002D687B" w:rsidRPr="002D687B" w:rsidRDefault="002D687B" w:rsidP="002D687B">
            <w:pPr>
              <w:spacing w:after="0" w:line="240" w:lineRule="auto"/>
              <w:jc w:val="right"/>
              <w:rPr>
                <w:rFonts w:cs="Arial"/>
                <w:sz w:val="16"/>
                <w:szCs w:val="16"/>
              </w:rPr>
            </w:pPr>
            <w:r w:rsidRPr="002D687B">
              <w:rPr>
                <w:rFonts w:cs="Arial"/>
                <w:sz w:val="16"/>
                <w:szCs w:val="16"/>
              </w:rPr>
              <w:t>873,9</w:t>
            </w:r>
          </w:p>
        </w:tc>
        <w:tc>
          <w:tcPr>
            <w:tcW w:w="649" w:type="dxa"/>
            <w:tcBorders>
              <w:top w:val="nil"/>
              <w:left w:val="nil"/>
              <w:bottom w:val="nil"/>
              <w:right w:val="nil"/>
            </w:tcBorders>
            <w:shd w:val="clear" w:color="auto" w:fill="auto"/>
            <w:vAlign w:val="center"/>
            <w:hideMark/>
          </w:tcPr>
          <w:p w14:paraId="725ECC7B" w14:textId="77777777" w:rsidR="002D687B" w:rsidRPr="002D687B" w:rsidRDefault="002D687B" w:rsidP="002D687B">
            <w:pPr>
              <w:spacing w:after="0" w:line="240" w:lineRule="auto"/>
              <w:jc w:val="right"/>
              <w:rPr>
                <w:rFonts w:cs="Arial"/>
                <w:sz w:val="16"/>
                <w:szCs w:val="16"/>
              </w:rPr>
            </w:pPr>
            <w:r w:rsidRPr="002D687B">
              <w:rPr>
                <w:rFonts w:cs="Arial"/>
                <w:sz w:val="16"/>
                <w:szCs w:val="16"/>
              </w:rPr>
              <w:t>412,5</w:t>
            </w:r>
          </w:p>
        </w:tc>
        <w:tc>
          <w:tcPr>
            <w:tcW w:w="649" w:type="dxa"/>
            <w:tcBorders>
              <w:top w:val="nil"/>
              <w:left w:val="nil"/>
              <w:bottom w:val="nil"/>
              <w:right w:val="single" w:sz="4" w:space="0" w:color="auto"/>
            </w:tcBorders>
            <w:shd w:val="clear" w:color="auto" w:fill="auto"/>
            <w:vAlign w:val="center"/>
            <w:hideMark/>
          </w:tcPr>
          <w:p w14:paraId="39D77981" w14:textId="77777777" w:rsidR="002D687B" w:rsidRPr="002D687B" w:rsidRDefault="002D687B" w:rsidP="002D687B">
            <w:pPr>
              <w:spacing w:after="0" w:line="240" w:lineRule="auto"/>
              <w:jc w:val="right"/>
              <w:rPr>
                <w:rFonts w:cs="Arial"/>
                <w:sz w:val="16"/>
                <w:szCs w:val="16"/>
              </w:rPr>
            </w:pPr>
            <w:r w:rsidRPr="002D687B">
              <w:rPr>
                <w:rFonts w:cs="Arial"/>
                <w:sz w:val="16"/>
                <w:szCs w:val="16"/>
              </w:rPr>
              <w:t>461,4</w:t>
            </w:r>
          </w:p>
        </w:tc>
        <w:tc>
          <w:tcPr>
            <w:tcW w:w="847" w:type="dxa"/>
            <w:tcBorders>
              <w:top w:val="nil"/>
              <w:left w:val="nil"/>
              <w:bottom w:val="nil"/>
              <w:right w:val="nil"/>
            </w:tcBorders>
            <w:shd w:val="clear" w:color="auto" w:fill="auto"/>
            <w:vAlign w:val="center"/>
            <w:hideMark/>
          </w:tcPr>
          <w:p w14:paraId="1A5D1638" w14:textId="77777777" w:rsidR="002D687B" w:rsidRPr="002D687B" w:rsidRDefault="002D687B" w:rsidP="002D687B">
            <w:pPr>
              <w:spacing w:after="0" w:line="240" w:lineRule="auto"/>
              <w:jc w:val="right"/>
              <w:rPr>
                <w:rFonts w:cs="Arial"/>
                <w:sz w:val="16"/>
                <w:szCs w:val="16"/>
              </w:rPr>
            </w:pPr>
            <w:r w:rsidRPr="002D687B">
              <w:rPr>
                <w:rFonts w:cs="Arial"/>
                <w:sz w:val="16"/>
                <w:szCs w:val="16"/>
              </w:rPr>
              <w:t>783,8</w:t>
            </w:r>
          </w:p>
        </w:tc>
        <w:tc>
          <w:tcPr>
            <w:tcW w:w="649" w:type="dxa"/>
            <w:tcBorders>
              <w:top w:val="nil"/>
              <w:left w:val="nil"/>
              <w:bottom w:val="nil"/>
              <w:right w:val="nil"/>
            </w:tcBorders>
            <w:shd w:val="clear" w:color="auto" w:fill="auto"/>
            <w:vAlign w:val="center"/>
            <w:hideMark/>
          </w:tcPr>
          <w:p w14:paraId="002A1958" w14:textId="77777777" w:rsidR="002D687B" w:rsidRPr="002D687B" w:rsidRDefault="002D687B" w:rsidP="002D687B">
            <w:pPr>
              <w:spacing w:after="0" w:line="240" w:lineRule="auto"/>
              <w:jc w:val="right"/>
              <w:rPr>
                <w:rFonts w:cs="Arial"/>
                <w:sz w:val="16"/>
                <w:szCs w:val="16"/>
              </w:rPr>
            </w:pPr>
            <w:r w:rsidRPr="002D687B">
              <w:rPr>
                <w:rFonts w:cs="Arial"/>
                <w:sz w:val="16"/>
                <w:szCs w:val="16"/>
              </w:rPr>
              <w:t>353,4</w:t>
            </w:r>
          </w:p>
        </w:tc>
        <w:tc>
          <w:tcPr>
            <w:tcW w:w="649" w:type="dxa"/>
            <w:tcBorders>
              <w:top w:val="nil"/>
              <w:left w:val="nil"/>
              <w:bottom w:val="nil"/>
              <w:right w:val="single" w:sz="4" w:space="0" w:color="auto"/>
            </w:tcBorders>
            <w:shd w:val="clear" w:color="auto" w:fill="auto"/>
            <w:vAlign w:val="center"/>
            <w:hideMark/>
          </w:tcPr>
          <w:p w14:paraId="6A1B04E1" w14:textId="77777777" w:rsidR="002D687B" w:rsidRPr="002D687B" w:rsidRDefault="002D687B" w:rsidP="002D687B">
            <w:pPr>
              <w:spacing w:after="0" w:line="240" w:lineRule="auto"/>
              <w:jc w:val="right"/>
              <w:rPr>
                <w:rFonts w:cs="Arial"/>
                <w:sz w:val="16"/>
                <w:szCs w:val="16"/>
              </w:rPr>
            </w:pPr>
            <w:r w:rsidRPr="002D687B">
              <w:rPr>
                <w:rFonts w:cs="Arial"/>
                <w:sz w:val="16"/>
                <w:szCs w:val="16"/>
              </w:rPr>
              <w:t>430,4</w:t>
            </w:r>
          </w:p>
        </w:tc>
        <w:tc>
          <w:tcPr>
            <w:tcW w:w="847" w:type="dxa"/>
            <w:tcBorders>
              <w:top w:val="nil"/>
              <w:left w:val="nil"/>
              <w:bottom w:val="nil"/>
              <w:right w:val="nil"/>
            </w:tcBorders>
            <w:shd w:val="clear" w:color="auto" w:fill="auto"/>
            <w:vAlign w:val="center"/>
            <w:hideMark/>
          </w:tcPr>
          <w:p w14:paraId="2997299F" w14:textId="77777777" w:rsidR="002D687B" w:rsidRPr="002D687B" w:rsidRDefault="002D687B" w:rsidP="002D687B">
            <w:pPr>
              <w:spacing w:after="0" w:line="240" w:lineRule="auto"/>
              <w:jc w:val="right"/>
              <w:rPr>
                <w:rFonts w:cs="Arial"/>
                <w:sz w:val="16"/>
                <w:szCs w:val="16"/>
              </w:rPr>
            </w:pPr>
            <w:r w:rsidRPr="002D687B">
              <w:rPr>
                <w:rFonts w:cs="Arial"/>
                <w:sz w:val="16"/>
                <w:szCs w:val="16"/>
              </w:rPr>
              <w:t>23,5</w:t>
            </w:r>
          </w:p>
        </w:tc>
        <w:tc>
          <w:tcPr>
            <w:tcW w:w="649" w:type="dxa"/>
            <w:tcBorders>
              <w:top w:val="nil"/>
              <w:left w:val="nil"/>
              <w:bottom w:val="nil"/>
              <w:right w:val="nil"/>
            </w:tcBorders>
            <w:shd w:val="clear" w:color="auto" w:fill="auto"/>
            <w:vAlign w:val="center"/>
            <w:hideMark/>
          </w:tcPr>
          <w:p w14:paraId="2724809F" w14:textId="77777777" w:rsidR="002D687B" w:rsidRPr="002D687B" w:rsidRDefault="002D687B" w:rsidP="002D687B">
            <w:pPr>
              <w:spacing w:after="0" w:line="240" w:lineRule="auto"/>
              <w:jc w:val="right"/>
              <w:rPr>
                <w:rFonts w:cs="Arial"/>
                <w:sz w:val="16"/>
                <w:szCs w:val="16"/>
              </w:rPr>
            </w:pPr>
            <w:r w:rsidRPr="002D687B">
              <w:rPr>
                <w:rFonts w:cs="Arial"/>
                <w:sz w:val="16"/>
                <w:szCs w:val="16"/>
              </w:rPr>
              <w:t>16,1</w:t>
            </w:r>
          </w:p>
        </w:tc>
        <w:tc>
          <w:tcPr>
            <w:tcW w:w="649" w:type="dxa"/>
            <w:tcBorders>
              <w:top w:val="nil"/>
              <w:left w:val="nil"/>
              <w:bottom w:val="nil"/>
              <w:right w:val="single" w:sz="4" w:space="0" w:color="auto"/>
            </w:tcBorders>
            <w:shd w:val="clear" w:color="auto" w:fill="auto"/>
            <w:vAlign w:val="center"/>
            <w:hideMark/>
          </w:tcPr>
          <w:p w14:paraId="3E670EA8" w14:textId="77777777" w:rsidR="002D687B" w:rsidRPr="002D687B" w:rsidRDefault="002D687B" w:rsidP="002D687B">
            <w:pPr>
              <w:spacing w:after="0" w:line="240" w:lineRule="auto"/>
              <w:jc w:val="right"/>
              <w:rPr>
                <w:rFonts w:cs="Arial"/>
                <w:sz w:val="16"/>
                <w:szCs w:val="16"/>
              </w:rPr>
            </w:pPr>
            <w:r w:rsidRPr="002D687B">
              <w:rPr>
                <w:rFonts w:cs="Arial"/>
                <w:sz w:val="16"/>
                <w:szCs w:val="16"/>
              </w:rPr>
              <w:t>7,3</w:t>
            </w:r>
          </w:p>
        </w:tc>
        <w:tc>
          <w:tcPr>
            <w:tcW w:w="847" w:type="dxa"/>
            <w:tcBorders>
              <w:top w:val="nil"/>
              <w:left w:val="nil"/>
              <w:bottom w:val="nil"/>
              <w:right w:val="nil"/>
            </w:tcBorders>
            <w:shd w:val="clear" w:color="auto" w:fill="auto"/>
            <w:vAlign w:val="center"/>
            <w:hideMark/>
          </w:tcPr>
          <w:p w14:paraId="12AA1408" w14:textId="77777777" w:rsidR="002D687B" w:rsidRPr="002D687B" w:rsidRDefault="002D687B" w:rsidP="002D687B">
            <w:pPr>
              <w:spacing w:after="0" w:line="240" w:lineRule="auto"/>
              <w:jc w:val="right"/>
              <w:rPr>
                <w:rFonts w:cs="Arial"/>
                <w:sz w:val="16"/>
                <w:szCs w:val="16"/>
              </w:rPr>
            </w:pPr>
            <w:r w:rsidRPr="002D687B">
              <w:rPr>
                <w:rFonts w:cs="Arial"/>
                <w:sz w:val="16"/>
                <w:szCs w:val="16"/>
              </w:rPr>
              <w:t>66,6</w:t>
            </w:r>
          </w:p>
        </w:tc>
        <w:tc>
          <w:tcPr>
            <w:tcW w:w="649" w:type="dxa"/>
            <w:tcBorders>
              <w:top w:val="nil"/>
              <w:left w:val="nil"/>
              <w:bottom w:val="nil"/>
              <w:right w:val="nil"/>
            </w:tcBorders>
            <w:shd w:val="clear" w:color="auto" w:fill="auto"/>
            <w:vAlign w:val="center"/>
            <w:hideMark/>
          </w:tcPr>
          <w:p w14:paraId="21CF37F2" w14:textId="77777777" w:rsidR="002D687B" w:rsidRPr="002D687B" w:rsidRDefault="002D687B" w:rsidP="002D687B">
            <w:pPr>
              <w:spacing w:after="0" w:line="240" w:lineRule="auto"/>
              <w:jc w:val="right"/>
              <w:rPr>
                <w:rFonts w:cs="Arial"/>
                <w:sz w:val="16"/>
                <w:szCs w:val="16"/>
              </w:rPr>
            </w:pPr>
            <w:r w:rsidRPr="002D687B">
              <w:rPr>
                <w:rFonts w:cs="Arial"/>
                <w:sz w:val="16"/>
                <w:szCs w:val="16"/>
              </w:rPr>
              <w:t>42,9</w:t>
            </w:r>
          </w:p>
        </w:tc>
        <w:tc>
          <w:tcPr>
            <w:tcW w:w="649" w:type="dxa"/>
            <w:tcBorders>
              <w:top w:val="nil"/>
              <w:left w:val="nil"/>
              <w:bottom w:val="nil"/>
              <w:right w:val="nil"/>
            </w:tcBorders>
            <w:shd w:val="clear" w:color="auto" w:fill="auto"/>
            <w:vAlign w:val="center"/>
            <w:hideMark/>
          </w:tcPr>
          <w:p w14:paraId="25A20BDE" w14:textId="77777777" w:rsidR="002D687B" w:rsidRPr="002D687B" w:rsidRDefault="002D687B" w:rsidP="002D687B">
            <w:pPr>
              <w:spacing w:after="0" w:line="240" w:lineRule="auto"/>
              <w:jc w:val="right"/>
              <w:rPr>
                <w:rFonts w:cs="Arial"/>
                <w:sz w:val="16"/>
                <w:szCs w:val="16"/>
              </w:rPr>
            </w:pPr>
            <w:r w:rsidRPr="002D687B">
              <w:rPr>
                <w:rFonts w:cs="Arial"/>
                <w:sz w:val="16"/>
                <w:szCs w:val="16"/>
              </w:rPr>
              <w:t>23,7</w:t>
            </w:r>
          </w:p>
        </w:tc>
      </w:tr>
      <w:tr w:rsidR="00D70250" w:rsidRPr="002D687B" w14:paraId="2077D498" w14:textId="77777777" w:rsidTr="00F711D4">
        <w:trPr>
          <w:gridAfter w:val="1"/>
          <w:wAfter w:w="9" w:type="dxa"/>
          <w:trHeight w:val="280"/>
        </w:trPr>
        <w:tc>
          <w:tcPr>
            <w:tcW w:w="1005" w:type="dxa"/>
            <w:tcBorders>
              <w:top w:val="nil"/>
              <w:left w:val="nil"/>
              <w:bottom w:val="nil"/>
              <w:right w:val="single" w:sz="4" w:space="0" w:color="auto"/>
            </w:tcBorders>
            <w:shd w:val="clear" w:color="auto" w:fill="auto"/>
            <w:vAlign w:val="center"/>
            <w:hideMark/>
          </w:tcPr>
          <w:p w14:paraId="34105437"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2016</w:t>
            </w:r>
          </w:p>
        </w:tc>
        <w:tc>
          <w:tcPr>
            <w:tcW w:w="847" w:type="dxa"/>
            <w:tcBorders>
              <w:top w:val="nil"/>
              <w:left w:val="nil"/>
              <w:bottom w:val="nil"/>
              <w:right w:val="nil"/>
            </w:tcBorders>
            <w:shd w:val="clear" w:color="auto" w:fill="auto"/>
            <w:vAlign w:val="center"/>
            <w:hideMark/>
          </w:tcPr>
          <w:p w14:paraId="717B9C7E" w14:textId="77777777" w:rsidR="002D687B" w:rsidRPr="002D687B" w:rsidRDefault="002D687B" w:rsidP="002D687B">
            <w:pPr>
              <w:spacing w:after="0" w:line="240" w:lineRule="auto"/>
              <w:jc w:val="right"/>
              <w:rPr>
                <w:rFonts w:cs="Arial"/>
                <w:sz w:val="16"/>
                <w:szCs w:val="16"/>
              </w:rPr>
            </w:pPr>
            <w:r w:rsidRPr="002D687B">
              <w:rPr>
                <w:rFonts w:cs="Arial"/>
                <w:sz w:val="16"/>
                <w:szCs w:val="16"/>
              </w:rPr>
              <w:t>876,5</w:t>
            </w:r>
          </w:p>
        </w:tc>
        <w:tc>
          <w:tcPr>
            <w:tcW w:w="649" w:type="dxa"/>
            <w:tcBorders>
              <w:top w:val="nil"/>
              <w:left w:val="nil"/>
              <w:bottom w:val="nil"/>
              <w:right w:val="nil"/>
            </w:tcBorders>
            <w:shd w:val="clear" w:color="auto" w:fill="auto"/>
            <w:vAlign w:val="center"/>
            <w:hideMark/>
          </w:tcPr>
          <w:p w14:paraId="2E2F77CC" w14:textId="77777777" w:rsidR="002D687B" w:rsidRPr="002D687B" w:rsidRDefault="002D687B" w:rsidP="002D687B">
            <w:pPr>
              <w:spacing w:after="0" w:line="240" w:lineRule="auto"/>
              <w:jc w:val="right"/>
              <w:rPr>
                <w:rFonts w:cs="Arial"/>
                <w:sz w:val="16"/>
                <w:szCs w:val="16"/>
              </w:rPr>
            </w:pPr>
            <w:r w:rsidRPr="002D687B">
              <w:rPr>
                <w:rFonts w:cs="Arial"/>
                <w:sz w:val="16"/>
                <w:szCs w:val="16"/>
              </w:rPr>
              <w:t>414,3</w:t>
            </w:r>
          </w:p>
        </w:tc>
        <w:tc>
          <w:tcPr>
            <w:tcW w:w="649" w:type="dxa"/>
            <w:tcBorders>
              <w:top w:val="nil"/>
              <w:left w:val="nil"/>
              <w:bottom w:val="nil"/>
              <w:right w:val="single" w:sz="4" w:space="0" w:color="auto"/>
            </w:tcBorders>
            <w:shd w:val="clear" w:color="auto" w:fill="auto"/>
            <w:vAlign w:val="center"/>
            <w:hideMark/>
          </w:tcPr>
          <w:p w14:paraId="6E13A7D8" w14:textId="77777777" w:rsidR="002D687B" w:rsidRPr="002D687B" w:rsidRDefault="002D687B" w:rsidP="002D687B">
            <w:pPr>
              <w:spacing w:after="0" w:line="240" w:lineRule="auto"/>
              <w:jc w:val="right"/>
              <w:rPr>
                <w:rFonts w:cs="Arial"/>
                <w:sz w:val="16"/>
                <w:szCs w:val="16"/>
              </w:rPr>
            </w:pPr>
            <w:r w:rsidRPr="002D687B">
              <w:rPr>
                <w:rFonts w:cs="Arial"/>
                <w:sz w:val="16"/>
                <w:szCs w:val="16"/>
              </w:rPr>
              <w:t>462,1</w:t>
            </w:r>
          </w:p>
        </w:tc>
        <w:tc>
          <w:tcPr>
            <w:tcW w:w="847" w:type="dxa"/>
            <w:tcBorders>
              <w:top w:val="nil"/>
              <w:left w:val="nil"/>
              <w:bottom w:val="nil"/>
              <w:right w:val="nil"/>
            </w:tcBorders>
            <w:shd w:val="clear" w:color="auto" w:fill="auto"/>
            <w:vAlign w:val="center"/>
            <w:hideMark/>
          </w:tcPr>
          <w:p w14:paraId="031B0867" w14:textId="77777777" w:rsidR="002D687B" w:rsidRPr="002D687B" w:rsidRDefault="002D687B" w:rsidP="002D687B">
            <w:pPr>
              <w:spacing w:after="0" w:line="240" w:lineRule="auto"/>
              <w:jc w:val="right"/>
              <w:rPr>
                <w:rFonts w:cs="Arial"/>
                <w:sz w:val="16"/>
                <w:szCs w:val="16"/>
              </w:rPr>
            </w:pPr>
            <w:r w:rsidRPr="002D687B">
              <w:rPr>
                <w:rFonts w:cs="Arial"/>
                <w:sz w:val="16"/>
                <w:szCs w:val="16"/>
              </w:rPr>
              <w:t>777,1</w:t>
            </w:r>
          </w:p>
        </w:tc>
        <w:tc>
          <w:tcPr>
            <w:tcW w:w="649" w:type="dxa"/>
            <w:tcBorders>
              <w:top w:val="nil"/>
              <w:left w:val="nil"/>
              <w:bottom w:val="nil"/>
              <w:right w:val="nil"/>
            </w:tcBorders>
            <w:shd w:val="clear" w:color="auto" w:fill="auto"/>
            <w:vAlign w:val="center"/>
            <w:hideMark/>
          </w:tcPr>
          <w:p w14:paraId="3F1DFF81" w14:textId="77777777" w:rsidR="002D687B" w:rsidRPr="002D687B" w:rsidRDefault="002D687B" w:rsidP="002D687B">
            <w:pPr>
              <w:spacing w:after="0" w:line="240" w:lineRule="auto"/>
              <w:jc w:val="right"/>
              <w:rPr>
                <w:rFonts w:cs="Arial"/>
                <w:sz w:val="16"/>
                <w:szCs w:val="16"/>
              </w:rPr>
            </w:pPr>
            <w:r w:rsidRPr="002D687B">
              <w:rPr>
                <w:rFonts w:cs="Arial"/>
                <w:sz w:val="16"/>
                <w:szCs w:val="16"/>
              </w:rPr>
              <w:t>349,5</w:t>
            </w:r>
          </w:p>
        </w:tc>
        <w:tc>
          <w:tcPr>
            <w:tcW w:w="649" w:type="dxa"/>
            <w:tcBorders>
              <w:top w:val="nil"/>
              <w:left w:val="nil"/>
              <w:bottom w:val="nil"/>
              <w:right w:val="single" w:sz="4" w:space="0" w:color="auto"/>
            </w:tcBorders>
            <w:shd w:val="clear" w:color="auto" w:fill="auto"/>
            <w:vAlign w:val="center"/>
            <w:hideMark/>
          </w:tcPr>
          <w:p w14:paraId="7CDFD885" w14:textId="77777777" w:rsidR="002D687B" w:rsidRPr="002D687B" w:rsidRDefault="002D687B" w:rsidP="002D687B">
            <w:pPr>
              <w:spacing w:after="0" w:line="240" w:lineRule="auto"/>
              <w:jc w:val="right"/>
              <w:rPr>
                <w:rFonts w:cs="Arial"/>
                <w:sz w:val="16"/>
                <w:szCs w:val="16"/>
              </w:rPr>
            </w:pPr>
            <w:r w:rsidRPr="002D687B">
              <w:rPr>
                <w:rFonts w:cs="Arial"/>
                <w:sz w:val="16"/>
                <w:szCs w:val="16"/>
              </w:rPr>
              <w:t>427,5</w:t>
            </w:r>
          </w:p>
        </w:tc>
        <w:tc>
          <w:tcPr>
            <w:tcW w:w="847" w:type="dxa"/>
            <w:tcBorders>
              <w:top w:val="nil"/>
              <w:left w:val="nil"/>
              <w:bottom w:val="nil"/>
              <w:right w:val="nil"/>
            </w:tcBorders>
            <w:shd w:val="clear" w:color="auto" w:fill="auto"/>
            <w:vAlign w:val="center"/>
            <w:hideMark/>
          </w:tcPr>
          <w:p w14:paraId="3282634C" w14:textId="77777777" w:rsidR="002D687B" w:rsidRPr="002D687B" w:rsidRDefault="002D687B" w:rsidP="002D687B">
            <w:pPr>
              <w:spacing w:after="0" w:line="240" w:lineRule="auto"/>
              <w:jc w:val="right"/>
              <w:rPr>
                <w:rFonts w:cs="Arial"/>
                <w:sz w:val="16"/>
                <w:szCs w:val="16"/>
              </w:rPr>
            </w:pPr>
            <w:r w:rsidRPr="002D687B">
              <w:rPr>
                <w:rFonts w:cs="Arial"/>
                <w:sz w:val="16"/>
                <w:szCs w:val="16"/>
              </w:rPr>
              <w:t>24,9</w:t>
            </w:r>
          </w:p>
        </w:tc>
        <w:tc>
          <w:tcPr>
            <w:tcW w:w="649" w:type="dxa"/>
            <w:tcBorders>
              <w:top w:val="nil"/>
              <w:left w:val="nil"/>
              <w:bottom w:val="nil"/>
              <w:right w:val="nil"/>
            </w:tcBorders>
            <w:shd w:val="clear" w:color="auto" w:fill="auto"/>
            <w:vAlign w:val="center"/>
            <w:hideMark/>
          </w:tcPr>
          <w:p w14:paraId="4F28338C" w14:textId="77777777" w:rsidR="002D687B" w:rsidRPr="002D687B" w:rsidRDefault="002D687B" w:rsidP="002D687B">
            <w:pPr>
              <w:spacing w:after="0" w:line="240" w:lineRule="auto"/>
              <w:jc w:val="right"/>
              <w:rPr>
                <w:rFonts w:cs="Arial"/>
                <w:sz w:val="16"/>
                <w:szCs w:val="16"/>
              </w:rPr>
            </w:pPr>
            <w:r w:rsidRPr="002D687B">
              <w:rPr>
                <w:rFonts w:cs="Arial"/>
                <w:sz w:val="16"/>
                <w:szCs w:val="16"/>
              </w:rPr>
              <w:t>17,1</w:t>
            </w:r>
          </w:p>
        </w:tc>
        <w:tc>
          <w:tcPr>
            <w:tcW w:w="649" w:type="dxa"/>
            <w:tcBorders>
              <w:top w:val="nil"/>
              <w:left w:val="nil"/>
              <w:bottom w:val="nil"/>
              <w:right w:val="single" w:sz="4" w:space="0" w:color="auto"/>
            </w:tcBorders>
            <w:shd w:val="clear" w:color="auto" w:fill="auto"/>
            <w:vAlign w:val="center"/>
            <w:hideMark/>
          </w:tcPr>
          <w:p w14:paraId="544E7300" w14:textId="77777777" w:rsidR="002D687B" w:rsidRPr="002D687B" w:rsidRDefault="002D687B" w:rsidP="002D687B">
            <w:pPr>
              <w:spacing w:after="0" w:line="240" w:lineRule="auto"/>
              <w:jc w:val="right"/>
              <w:rPr>
                <w:rFonts w:cs="Arial"/>
                <w:sz w:val="16"/>
                <w:szCs w:val="16"/>
              </w:rPr>
            </w:pPr>
            <w:r w:rsidRPr="002D687B">
              <w:rPr>
                <w:rFonts w:cs="Arial"/>
                <w:sz w:val="16"/>
                <w:szCs w:val="16"/>
              </w:rPr>
              <w:t>7,8</w:t>
            </w:r>
          </w:p>
        </w:tc>
        <w:tc>
          <w:tcPr>
            <w:tcW w:w="847" w:type="dxa"/>
            <w:tcBorders>
              <w:top w:val="nil"/>
              <w:left w:val="nil"/>
              <w:bottom w:val="nil"/>
              <w:right w:val="nil"/>
            </w:tcBorders>
            <w:shd w:val="clear" w:color="auto" w:fill="auto"/>
            <w:vAlign w:val="center"/>
            <w:hideMark/>
          </w:tcPr>
          <w:p w14:paraId="609EAB7A" w14:textId="77777777" w:rsidR="002D687B" w:rsidRPr="002D687B" w:rsidRDefault="002D687B" w:rsidP="002D687B">
            <w:pPr>
              <w:spacing w:after="0" w:line="240" w:lineRule="auto"/>
              <w:jc w:val="right"/>
              <w:rPr>
                <w:rFonts w:cs="Arial"/>
                <w:sz w:val="16"/>
                <w:szCs w:val="16"/>
              </w:rPr>
            </w:pPr>
            <w:r w:rsidRPr="002D687B">
              <w:rPr>
                <w:rFonts w:cs="Arial"/>
                <w:sz w:val="16"/>
                <w:szCs w:val="16"/>
              </w:rPr>
              <w:t>74,5</w:t>
            </w:r>
          </w:p>
        </w:tc>
        <w:tc>
          <w:tcPr>
            <w:tcW w:w="649" w:type="dxa"/>
            <w:tcBorders>
              <w:top w:val="nil"/>
              <w:left w:val="nil"/>
              <w:bottom w:val="nil"/>
              <w:right w:val="nil"/>
            </w:tcBorders>
            <w:shd w:val="clear" w:color="auto" w:fill="auto"/>
            <w:vAlign w:val="center"/>
            <w:hideMark/>
          </w:tcPr>
          <w:p w14:paraId="4225576A" w14:textId="77777777" w:rsidR="002D687B" w:rsidRPr="002D687B" w:rsidRDefault="002D687B" w:rsidP="002D687B">
            <w:pPr>
              <w:spacing w:after="0" w:line="240" w:lineRule="auto"/>
              <w:jc w:val="right"/>
              <w:rPr>
                <w:rFonts w:cs="Arial"/>
                <w:sz w:val="16"/>
                <w:szCs w:val="16"/>
              </w:rPr>
            </w:pPr>
            <w:r w:rsidRPr="002D687B">
              <w:rPr>
                <w:rFonts w:cs="Arial"/>
                <w:sz w:val="16"/>
                <w:szCs w:val="16"/>
              </w:rPr>
              <w:t>47,7</w:t>
            </w:r>
          </w:p>
        </w:tc>
        <w:tc>
          <w:tcPr>
            <w:tcW w:w="649" w:type="dxa"/>
            <w:tcBorders>
              <w:top w:val="nil"/>
              <w:left w:val="nil"/>
              <w:bottom w:val="nil"/>
              <w:right w:val="nil"/>
            </w:tcBorders>
            <w:shd w:val="clear" w:color="auto" w:fill="auto"/>
            <w:vAlign w:val="center"/>
            <w:hideMark/>
          </w:tcPr>
          <w:p w14:paraId="2D974D28" w14:textId="77777777" w:rsidR="002D687B" w:rsidRPr="002D687B" w:rsidRDefault="002D687B" w:rsidP="002D687B">
            <w:pPr>
              <w:spacing w:after="0" w:line="240" w:lineRule="auto"/>
              <w:jc w:val="right"/>
              <w:rPr>
                <w:rFonts w:cs="Arial"/>
                <w:sz w:val="16"/>
                <w:szCs w:val="16"/>
              </w:rPr>
            </w:pPr>
            <w:r w:rsidRPr="002D687B">
              <w:rPr>
                <w:rFonts w:cs="Arial"/>
                <w:sz w:val="16"/>
                <w:szCs w:val="16"/>
              </w:rPr>
              <w:t>26,8</w:t>
            </w:r>
          </w:p>
        </w:tc>
      </w:tr>
      <w:tr w:rsidR="00D70250" w:rsidRPr="002D687B" w14:paraId="4DD6D613" w14:textId="77777777" w:rsidTr="00F711D4">
        <w:trPr>
          <w:gridAfter w:val="1"/>
          <w:wAfter w:w="9" w:type="dxa"/>
          <w:trHeight w:val="280"/>
        </w:trPr>
        <w:tc>
          <w:tcPr>
            <w:tcW w:w="1005" w:type="dxa"/>
            <w:tcBorders>
              <w:top w:val="nil"/>
              <w:left w:val="nil"/>
              <w:bottom w:val="nil"/>
              <w:right w:val="single" w:sz="4" w:space="0" w:color="auto"/>
            </w:tcBorders>
            <w:shd w:val="clear" w:color="auto" w:fill="auto"/>
            <w:vAlign w:val="center"/>
            <w:hideMark/>
          </w:tcPr>
          <w:p w14:paraId="302395A0"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2017</w:t>
            </w:r>
          </w:p>
        </w:tc>
        <w:tc>
          <w:tcPr>
            <w:tcW w:w="847" w:type="dxa"/>
            <w:tcBorders>
              <w:top w:val="nil"/>
              <w:left w:val="nil"/>
              <w:bottom w:val="nil"/>
              <w:right w:val="nil"/>
            </w:tcBorders>
            <w:shd w:val="clear" w:color="auto" w:fill="auto"/>
            <w:vAlign w:val="center"/>
            <w:hideMark/>
          </w:tcPr>
          <w:p w14:paraId="602FDCC3" w14:textId="77777777" w:rsidR="002D687B" w:rsidRPr="002D687B" w:rsidRDefault="002D687B" w:rsidP="002D687B">
            <w:pPr>
              <w:spacing w:after="0" w:line="240" w:lineRule="auto"/>
              <w:jc w:val="right"/>
              <w:rPr>
                <w:rFonts w:cs="Arial"/>
                <w:sz w:val="16"/>
                <w:szCs w:val="16"/>
              </w:rPr>
            </w:pPr>
            <w:r w:rsidRPr="002D687B">
              <w:rPr>
                <w:rFonts w:cs="Arial"/>
                <w:sz w:val="16"/>
                <w:szCs w:val="16"/>
              </w:rPr>
              <w:t>944,7</w:t>
            </w:r>
          </w:p>
        </w:tc>
        <w:tc>
          <w:tcPr>
            <w:tcW w:w="649" w:type="dxa"/>
            <w:tcBorders>
              <w:top w:val="nil"/>
              <w:left w:val="nil"/>
              <w:bottom w:val="nil"/>
              <w:right w:val="nil"/>
            </w:tcBorders>
            <w:shd w:val="clear" w:color="auto" w:fill="auto"/>
            <w:vAlign w:val="center"/>
            <w:hideMark/>
          </w:tcPr>
          <w:p w14:paraId="2735032D" w14:textId="77777777" w:rsidR="002D687B" w:rsidRPr="002D687B" w:rsidRDefault="002D687B" w:rsidP="002D687B">
            <w:pPr>
              <w:spacing w:after="0" w:line="240" w:lineRule="auto"/>
              <w:jc w:val="right"/>
              <w:rPr>
                <w:rFonts w:cs="Arial"/>
                <w:sz w:val="16"/>
                <w:szCs w:val="16"/>
              </w:rPr>
            </w:pPr>
            <w:r w:rsidRPr="002D687B">
              <w:rPr>
                <w:rFonts w:cs="Arial"/>
                <w:sz w:val="16"/>
                <w:szCs w:val="16"/>
              </w:rPr>
              <w:t>444,1</w:t>
            </w:r>
          </w:p>
        </w:tc>
        <w:tc>
          <w:tcPr>
            <w:tcW w:w="649" w:type="dxa"/>
            <w:tcBorders>
              <w:top w:val="nil"/>
              <w:left w:val="nil"/>
              <w:bottom w:val="nil"/>
              <w:right w:val="single" w:sz="4" w:space="0" w:color="auto"/>
            </w:tcBorders>
            <w:shd w:val="clear" w:color="auto" w:fill="auto"/>
            <w:vAlign w:val="center"/>
            <w:hideMark/>
          </w:tcPr>
          <w:p w14:paraId="37C7A320" w14:textId="77777777" w:rsidR="002D687B" w:rsidRPr="002D687B" w:rsidRDefault="002D687B" w:rsidP="002D687B">
            <w:pPr>
              <w:spacing w:after="0" w:line="240" w:lineRule="auto"/>
              <w:jc w:val="right"/>
              <w:rPr>
                <w:rFonts w:cs="Arial"/>
                <w:sz w:val="16"/>
                <w:szCs w:val="16"/>
              </w:rPr>
            </w:pPr>
            <w:r w:rsidRPr="002D687B">
              <w:rPr>
                <w:rFonts w:cs="Arial"/>
                <w:sz w:val="16"/>
                <w:szCs w:val="16"/>
              </w:rPr>
              <w:t>500,6</w:t>
            </w:r>
          </w:p>
        </w:tc>
        <w:tc>
          <w:tcPr>
            <w:tcW w:w="847" w:type="dxa"/>
            <w:tcBorders>
              <w:top w:val="nil"/>
              <w:left w:val="nil"/>
              <w:bottom w:val="nil"/>
              <w:right w:val="nil"/>
            </w:tcBorders>
            <w:shd w:val="clear" w:color="auto" w:fill="auto"/>
            <w:vAlign w:val="center"/>
            <w:hideMark/>
          </w:tcPr>
          <w:p w14:paraId="00C9CAEF" w14:textId="77777777" w:rsidR="002D687B" w:rsidRPr="002D687B" w:rsidRDefault="002D687B" w:rsidP="002D687B">
            <w:pPr>
              <w:spacing w:after="0" w:line="240" w:lineRule="auto"/>
              <w:jc w:val="right"/>
              <w:rPr>
                <w:rFonts w:cs="Arial"/>
                <w:sz w:val="16"/>
                <w:szCs w:val="16"/>
              </w:rPr>
            </w:pPr>
            <w:r w:rsidRPr="002D687B">
              <w:rPr>
                <w:rFonts w:cs="Arial"/>
                <w:sz w:val="16"/>
                <w:szCs w:val="16"/>
              </w:rPr>
              <w:t>841,6</w:t>
            </w:r>
          </w:p>
        </w:tc>
        <w:tc>
          <w:tcPr>
            <w:tcW w:w="649" w:type="dxa"/>
            <w:tcBorders>
              <w:top w:val="nil"/>
              <w:left w:val="nil"/>
              <w:bottom w:val="nil"/>
              <w:right w:val="nil"/>
            </w:tcBorders>
            <w:shd w:val="clear" w:color="auto" w:fill="auto"/>
            <w:vAlign w:val="center"/>
            <w:hideMark/>
          </w:tcPr>
          <w:p w14:paraId="587AF12A" w14:textId="77777777" w:rsidR="002D687B" w:rsidRPr="002D687B" w:rsidRDefault="002D687B" w:rsidP="002D687B">
            <w:pPr>
              <w:spacing w:after="0" w:line="240" w:lineRule="auto"/>
              <w:jc w:val="right"/>
              <w:rPr>
                <w:rFonts w:cs="Arial"/>
                <w:sz w:val="16"/>
                <w:szCs w:val="16"/>
              </w:rPr>
            </w:pPr>
            <w:r w:rsidRPr="002D687B">
              <w:rPr>
                <w:rFonts w:cs="Arial"/>
                <w:sz w:val="16"/>
                <w:szCs w:val="16"/>
              </w:rPr>
              <w:t>378,5</w:t>
            </w:r>
          </w:p>
        </w:tc>
        <w:tc>
          <w:tcPr>
            <w:tcW w:w="649" w:type="dxa"/>
            <w:tcBorders>
              <w:top w:val="nil"/>
              <w:left w:val="nil"/>
              <w:bottom w:val="nil"/>
              <w:right w:val="single" w:sz="4" w:space="0" w:color="auto"/>
            </w:tcBorders>
            <w:shd w:val="clear" w:color="auto" w:fill="auto"/>
            <w:vAlign w:val="center"/>
            <w:hideMark/>
          </w:tcPr>
          <w:p w14:paraId="7F82B6E4" w14:textId="77777777" w:rsidR="002D687B" w:rsidRPr="002D687B" w:rsidRDefault="002D687B" w:rsidP="002D687B">
            <w:pPr>
              <w:spacing w:after="0" w:line="240" w:lineRule="auto"/>
              <w:jc w:val="right"/>
              <w:rPr>
                <w:rFonts w:cs="Arial"/>
                <w:sz w:val="16"/>
                <w:szCs w:val="16"/>
              </w:rPr>
            </w:pPr>
            <w:r w:rsidRPr="002D687B">
              <w:rPr>
                <w:rFonts w:cs="Arial"/>
                <w:sz w:val="16"/>
                <w:szCs w:val="16"/>
              </w:rPr>
              <w:t>463,1</w:t>
            </w:r>
          </w:p>
        </w:tc>
        <w:tc>
          <w:tcPr>
            <w:tcW w:w="847" w:type="dxa"/>
            <w:tcBorders>
              <w:top w:val="nil"/>
              <w:left w:val="nil"/>
              <w:bottom w:val="nil"/>
              <w:right w:val="nil"/>
            </w:tcBorders>
            <w:shd w:val="clear" w:color="auto" w:fill="auto"/>
            <w:vAlign w:val="center"/>
            <w:hideMark/>
          </w:tcPr>
          <w:p w14:paraId="54AF3DF1" w14:textId="77777777" w:rsidR="002D687B" w:rsidRPr="002D687B" w:rsidRDefault="002D687B" w:rsidP="002D687B">
            <w:pPr>
              <w:spacing w:after="0" w:line="240" w:lineRule="auto"/>
              <w:jc w:val="right"/>
              <w:rPr>
                <w:rFonts w:cs="Arial"/>
                <w:sz w:val="16"/>
                <w:szCs w:val="16"/>
              </w:rPr>
            </w:pPr>
            <w:r w:rsidRPr="002D687B">
              <w:rPr>
                <w:rFonts w:cs="Arial"/>
                <w:sz w:val="16"/>
                <w:szCs w:val="16"/>
              </w:rPr>
              <w:t>24,7</w:t>
            </w:r>
          </w:p>
        </w:tc>
        <w:tc>
          <w:tcPr>
            <w:tcW w:w="649" w:type="dxa"/>
            <w:tcBorders>
              <w:top w:val="nil"/>
              <w:left w:val="nil"/>
              <w:bottom w:val="nil"/>
              <w:right w:val="nil"/>
            </w:tcBorders>
            <w:shd w:val="clear" w:color="auto" w:fill="auto"/>
            <w:vAlign w:val="center"/>
            <w:hideMark/>
          </w:tcPr>
          <w:p w14:paraId="61E81CCB" w14:textId="77777777" w:rsidR="002D687B" w:rsidRPr="002D687B" w:rsidRDefault="002D687B" w:rsidP="002D687B">
            <w:pPr>
              <w:spacing w:after="0" w:line="240" w:lineRule="auto"/>
              <w:jc w:val="right"/>
              <w:rPr>
                <w:rFonts w:cs="Arial"/>
                <w:sz w:val="16"/>
                <w:szCs w:val="16"/>
              </w:rPr>
            </w:pPr>
            <w:r w:rsidRPr="002D687B">
              <w:rPr>
                <w:rFonts w:cs="Arial"/>
                <w:sz w:val="16"/>
                <w:szCs w:val="16"/>
              </w:rPr>
              <w:t>16,9</w:t>
            </w:r>
          </w:p>
        </w:tc>
        <w:tc>
          <w:tcPr>
            <w:tcW w:w="649" w:type="dxa"/>
            <w:tcBorders>
              <w:top w:val="nil"/>
              <w:left w:val="nil"/>
              <w:bottom w:val="nil"/>
              <w:right w:val="single" w:sz="4" w:space="0" w:color="auto"/>
            </w:tcBorders>
            <w:shd w:val="clear" w:color="auto" w:fill="auto"/>
            <w:vAlign w:val="center"/>
            <w:hideMark/>
          </w:tcPr>
          <w:p w14:paraId="20A57436" w14:textId="77777777" w:rsidR="002D687B" w:rsidRPr="002D687B" w:rsidRDefault="002D687B" w:rsidP="002D687B">
            <w:pPr>
              <w:spacing w:after="0" w:line="240" w:lineRule="auto"/>
              <w:jc w:val="right"/>
              <w:rPr>
                <w:rFonts w:cs="Arial"/>
                <w:sz w:val="16"/>
                <w:szCs w:val="16"/>
              </w:rPr>
            </w:pPr>
            <w:r w:rsidRPr="002D687B">
              <w:rPr>
                <w:rFonts w:cs="Arial"/>
                <w:sz w:val="16"/>
                <w:szCs w:val="16"/>
              </w:rPr>
              <w:t>7,8</w:t>
            </w:r>
          </w:p>
        </w:tc>
        <w:tc>
          <w:tcPr>
            <w:tcW w:w="847" w:type="dxa"/>
            <w:tcBorders>
              <w:top w:val="nil"/>
              <w:left w:val="nil"/>
              <w:bottom w:val="nil"/>
              <w:right w:val="nil"/>
            </w:tcBorders>
            <w:shd w:val="clear" w:color="auto" w:fill="auto"/>
            <w:vAlign w:val="center"/>
            <w:hideMark/>
          </w:tcPr>
          <w:p w14:paraId="0667F4A4" w14:textId="77777777" w:rsidR="002D687B" w:rsidRPr="002D687B" w:rsidRDefault="002D687B" w:rsidP="002D687B">
            <w:pPr>
              <w:spacing w:after="0" w:line="240" w:lineRule="auto"/>
              <w:jc w:val="right"/>
              <w:rPr>
                <w:rFonts w:cs="Arial"/>
                <w:sz w:val="16"/>
                <w:szCs w:val="16"/>
              </w:rPr>
            </w:pPr>
            <w:r w:rsidRPr="002D687B">
              <w:rPr>
                <w:rFonts w:cs="Arial"/>
                <w:sz w:val="16"/>
                <w:szCs w:val="16"/>
              </w:rPr>
              <w:t>78,4</w:t>
            </w:r>
          </w:p>
        </w:tc>
        <w:tc>
          <w:tcPr>
            <w:tcW w:w="649" w:type="dxa"/>
            <w:tcBorders>
              <w:top w:val="nil"/>
              <w:left w:val="nil"/>
              <w:bottom w:val="nil"/>
              <w:right w:val="nil"/>
            </w:tcBorders>
            <w:shd w:val="clear" w:color="auto" w:fill="auto"/>
            <w:vAlign w:val="center"/>
            <w:hideMark/>
          </w:tcPr>
          <w:p w14:paraId="5D20F3D2" w14:textId="77777777" w:rsidR="002D687B" w:rsidRPr="002D687B" w:rsidRDefault="002D687B" w:rsidP="002D687B">
            <w:pPr>
              <w:spacing w:after="0" w:line="240" w:lineRule="auto"/>
              <w:jc w:val="right"/>
              <w:rPr>
                <w:rFonts w:cs="Arial"/>
                <w:sz w:val="16"/>
                <w:szCs w:val="16"/>
              </w:rPr>
            </w:pPr>
            <w:r w:rsidRPr="002D687B">
              <w:rPr>
                <w:rFonts w:cs="Arial"/>
                <w:sz w:val="16"/>
                <w:szCs w:val="16"/>
              </w:rPr>
              <w:t>48,7</w:t>
            </w:r>
          </w:p>
        </w:tc>
        <w:tc>
          <w:tcPr>
            <w:tcW w:w="649" w:type="dxa"/>
            <w:tcBorders>
              <w:top w:val="nil"/>
              <w:left w:val="nil"/>
              <w:bottom w:val="nil"/>
              <w:right w:val="nil"/>
            </w:tcBorders>
            <w:shd w:val="clear" w:color="auto" w:fill="auto"/>
            <w:vAlign w:val="center"/>
            <w:hideMark/>
          </w:tcPr>
          <w:p w14:paraId="54369AA0" w14:textId="77777777" w:rsidR="002D687B" w:rsidRPr="002D687B" w:rsidRDefault="002D687B" w:rsidP="002D687B">
            <w:pPr>
              <w:spacing w:after="0" w:line="240" w:lineRule="auto"/>
              <w:jc w:val="right"/>
              <w:rPr>
                <w:rFonts w:cs="Arial"/>
                <w:sz w:val="16"/>
                <w:szCs w:val="16"/>
              </w:rPr>
            </w:pPr>
            <w:r w:rsidRPr="002D687B">
              <w:rPr>
                <w:rFonts w:cs="Arial"/>
                <w:sz w:val="16"/>
                <w:szCs w:val="16"/>
              </w:rPr>
              <w:t>29,7</w:t>
            </w:r>
          </w:p>
        </w:tc>
      </w:tr>
      <w:tr w:rsidR="00D70250" w:rsidRPr="002D687B" w14:paraId="028B1C6C" w14:textId="77777777" w:rsidTr="00F711D4">
        <w:trPr>
          <w:gridAfter w:val="1"/>
          <w:wAfter w:w="9" w:type="dxa"/>
          <w:trHeight w:val="280"/>
        </w:trPr>
        <w:tc>
          <w:tcPr>
            <w:tcW w:w="1005" w:type="dxa"/>
            <w:tcBorders>
              <w:top w:val="nil"/>
              <w:left w:val="nil"/>
              <w:bottom w:val="nil"/>
              <w:right w:val="single" w:sz="4" w:space="0" w:color="auto"/>
            </w:tcBorders>
            <w:shd w:val="clear" w:color="auto" w:fill="auto"/>
            <w:vAlign w:val="center"/>
            <w:hideMark/>
          </w:tcPr>
          <w:p w14:paraId="45DF6A99"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2018</w:t>
            </w:r>
          </w:p>
        </w:tc>
        <w:tc>
          <w:tcPr>
            <w:tcW w:w="847" w:type="dxa"/>
            <w:tcBorders>
              <w:top w:val="nil"/>
              <w:left w:val="nil"/>
              <w:bottom w:val="nil"/>
              <w:right w:val="nil"/>
            </w:tcBorders>
            <w:shd w:val="clear" w:color="auto" w:fill="auto"/>
            <w:vAlign w:val="center"/>
            <w:hideMark/>
          </w:tcPr>
          <w:p w14:paraId="2709454D" w14:textId="77777777" w:rsidR="002D687B" w:rsidRPr="002D687B" w:rsidRDefault="002D687B" w:rsidP="002D687B">
            <w:pPr>
              <w:spacing w:after="0" w:line="240" w:lineRule="auto"/>
              <w:jc w:val="right"/>
              <w:rPr>
                <w:rFonts w:cs="Arial"/>
                <w:sz w:val="16"/>
                <w:szCs w:val="16"/>
              </w:rPr>
            </w:pPr>
            <w:r w:rsidRPr="002D687B">
              <w:rPr>
                <w:rFonts w:cs="Arial"/>
                <w:sz w:val="16"/>
                <w:szCs w:val="16"/>
              </w:rPr>
              <w:t>1 040,2</w:t>
            </w:r>
          </w:p>
        </w:tc>
        <w:tc>
          <w:tcPr>
            <w:tcW w:w="649" w:type="dxa"/>
            <w:tcBorders>
              <w:top w:val="nil"/>
              <w:left w:val="nil"/>
              <w:bottom w:val="nil"/>
              <w:right w:val="nil"/>
            </w:tcBorders>
            <w:shd w:val="clear" w:color="auto" w:fill="auto"/>
            <w:vAlign w:val="center"/>
            <w:hideMark/>
          </w:tcPr>
          <w:p w14:paraId="29B46D05" w14:textId="77777777" w:rsidR="002D687B" w:rsidRPr="002D687B" w:rsidRDefault="002D687B" w:rsidP="002D687B">
            <w:pPr>
              <w:spacing w:after="0" w:line="240" w:lineRule="auto"/>
              <w:jc w:val="right"/>
              <w:rPr>
                <w:rFonts w:cs="Arial"/>
                <w:sz w:val="16"/>
                <w:szCs w:val="16"/>
              </w:rPr>
            </w:pPr>
            <w:r w:rsidRPr="002D687B">
              <w:rPr>
                <w:rFonts w:cs="Arial"/>
                <w:sz w:val="16"/>
                <w:szCs w:val="16"/>
              </w:rPr>
              <w:t>484,2</w:t>
            </w:r>
          </w:p>
        </w:tc>
        <w:tc>
          <w:tcPr>
            <w:tcW w:w="649" w:type="dxa"/>
            <w:tcBorders>
              <w:top w:val="nil"/>
              <w:left w:val="nil"/>
              <w:bottom w:val="nil"/>
              <w:right w:val="single" w:sz="4" w:space="0" w:color="auto"/>
            </w:tcBorders>
            <w:shd w:val="clear" w:color="auto" w:fill="auto"/>
            <w:vAlign w:val="center"/>
            <w:hideMark/>
          </w:tcPr>
          <w:p w14:paraId="09C72EB0" w14:textId="77777777" w:rsidR="002D687B" w:rsidRPr="002D687B" w:rsidRDefault="002D687B" w:rsidP="002D687B">
            <w:pPr>
              <w:spacing w:after="0" w:line="240" w:lineRule="auto"/>
              <w:jc w:val="right"/>
              <w:rPr>
                <w:rFonts w:cs="Arial"/>
                <w:sz w:val="16"/>
                <w:szCs w:val="16"/>
              </w:rPr>
            </w:pPr>
            <w:r w:rsidRPr="002D687B">
              <w:rPr>
                <w:rFonts w:cs="Arial"/>
                <w:sz w:val="16"/>
                <w:szCs w:val="16"/>
              </w:rPr>
              <w:t>556,1</w:t>
            </w:r>
          </w:p>
        </w:tc>
        <w:tc>
          <w:tcPr>
            <w:tcW w:w="847" w:type="dxa"/>
            <w:tcBorders>
              <w:top w:val="nil"/>
              <w:left w:val="nil"/>
              <w:bottom w:val="nil"/>
              <w:right w:val="nil"/>
            </w:tcBorders>
            <w:shd w:val="clear" w:color="auto" w:fill="auto"/>
            <w:vAlign w:val="center"/>
            <w:hideMark/>
          </w:tcPr>
          <w:p w14:paraId="3956CF8F" w14:textId="77777777" w:rsidR="002D687B" w:rsidRPr="002D687B" w:rsidRDefault="002D687B" w:rsidP="002D687B">
            <w:pPr>
              <w:spacing w:after="0" w:line="240" w:lineRule="auto"/>
              <w:jc w:val="right"/>
              <w:rPr>
                <w:rFonts w:cs="Arial"/>
                <w:sz w:val="16"/>
                <w:szCs w:val="16"/>
              </w:rPr>
            </w:pPr>
            <w:r w:rsidRPr="002D687B">
              <w:rPr>
                <w:rFonts w:cs="Arial"/>
                <w:sz w:val="16"/>
                <w:szCs w:val="16"/>
              </w:rPr>
              <w:t>937,8</w:t>
            </w:r>
          </w:p>
        </w:tc>
        <w:tc>
          <w:tcPr>
            <w:tcW w:w="649" w:type="dxa"/>
            <w:tcBorders>
              <w:top w:val="nil"/>
              <w:left w:val="nil"/>
              <w:bottom w:val="nil"/>
              <w:right w:val="nil"/>
            </w:tcBorders>
            <w:shd w:val="clear" w:color="auto" w:fill="auto"/>
            <w:vAlign w:val="center"/>
            <w:hideMark/>
          </w:tcPr>
          <w:p w14:paraId="52656E93" w14:textId="77777777" w:rsidR="002D687B" w:rsidRPr="002D687B" w:rsidRDefault="002D687B" w:rsidP="002D687B">
            <w:pPr>
              <w:spacing w:after="0" w:line="240" w:lineRule="auto"/>
              <w:jc w:val="right"/>
              <w:rPr>
                <w:rFonts w:cs="Arial"/>
                <w:sz w:val="16"/>
                <w:szCs w:val="16"/>
              </w:rPr>
            </w:pPr>
            <w:r w:rsidRPr="002D687B">
              <w:rPr>
                <w:rFonts w:cs="Arial"/>
                <w:sz w:val="16"/>
                <w:szCs w:val="16"/>
              </w:rPr>
              <w:t>419,5</w:t>
            </w:r>
          </w:p>
        </w:tc>
        <w:tc>
          <w:tcPr>
            <w:tcW w:w="649" w:type="dxa"/>
            <w:tcBorders>
              <w:top w:val="nil"/>
              <w:left w:val="nil"/>
              <w:bottom w:val="nil"/>
              <w:right w:val="single" w:sz="4" w:space="0" w:color="auto"/>
            </w:tcBorders>
            <w:shd w:val="clear" w:color="auto" w:fill="auto"/>
            <w:vAlign w:val="center"/>
            <w:hideMark/>
          </w:tcPr>
          <w:p w14:paraId="184FDE23" w14:textId="77777777" w:rsidR="002D687B" w:rsidRPr="002D687B" w:rsidRDefault="002D687B" w:rsidP="002D687B">
            <w:pPr>
              <w:spacing w:after="0" w:line="240" w:lineRule="auto"/>
              <w:jc w:val="right"/>
              <w:rPr>
                <w:rFonts w:cs="Arial"/>
                <w:sz w:val="16"/>
                <w:szCs w:val="16"/>
              </w:rPr>
            </w:pPr>
            <w:r w:rsidRPr="002D687B">
              <w:rPr>
                <w:rFonts w:cs="Arial"/>
                <w:sz w:val="16"/>
                <w:szCs w:val="16"/>
              </w:rPr>
              <w:t>518,3</w:t>
            </w:r>
          </w:p>
        </w:tc>
        <w:tc>
          <w:tcPr>
            <w:tcW w:w="847" w:type="dxa"/>
            <w:tcBorders>
              <w:top w:val="nil"/>
              <w:left w:val="nil"/>
              <w:bottom w:val="nil"/>
              <w:right w:val="nil"/>
            </w:tcBorders>
            <w:shd w:val="clear" w:color="auto" w:fill="auto"/>
            <w:vAlign w:val="center"/>
            <w:hideMark/>
          </w:tcPr>
          <w:p w14:paraId="4B09AB4C" w14:textId="77777777" w:rsidR="002D687B" w:rsidRPr="002D687B" w:rsidRDefault="002D687B" w:rsidP="002D687B">
            <w:pPr>
              <w:spacing w:after="0" w:line="240" w:lineRule="auto"/>
              <w:jc w:val="right"/>
              <w:rPr>
                <w:rFonts w:cs="Arial"/>
                <w:sz w:val="16"/>
                <w:szCs w:val="16"/>
              </w:rPr>
            </w:pPr>
            <w:r w:rsidRPr="002D687B">
              <w:rPr>
                <w:rFonts w:cs="Arial"/>
                <w:sz w:val="16"/>
                <w:szCs w:val="16"/>
              </w:rPr>
              <w:t>24,1</w:t>
            </w:r>
          </w:p>
        </w:tc>
        <w:tc>
          <w:tcPr>
            <w:tcW w:w="649" w:type="dxa"/>
            <w:tcBorders>
              <w:top w:val="nil"/>
              <w:left w:val="nil"/>
              <w:bottom w:val="nil"/>
              <w:right w:val="nil"/>
            </w:tcBorders>
            <w:shd w:val="clear" w:color="auto" w:fill="auto"/>
            <w:vAlign w:val="center"/>
            <w:hideMark/>
          </w:tcPr>
          <w:p w14:paraId="4CFD607E" w14:textId="77777777" w:rsidR="002D687B" w:rsidRPr="002D687B" w:rsidRDefault="002D687B" w:rsidP="002D687B">
            <w:pPr>
              <w:spacing w:after="0" w:line="240" w:lineRule="auto"/>
              <w:jc w:val="right"/>
              <w:rPr>
                <w:rFonts w:cs="Arial"/>
                <w:sz w:val="16"/>
                <w:szCs w:val="16"/>
              </w:rPr>
            </w:pPr>
            <w:r w:rsidRPr="002D687B">
              <w:rPr>
                <w:rFonts w:cs="Arial"/>
                <w:sz w:val="16"/>
                <w:szCs w:val="16"/>
              </w:rPr>
              <w:t>16,2</w:t>
            </w:r>
          </w:p>
        </w:tc>
        <w:tc>
          <w:tcPr>
            <w:tcW w:w="649" w:type="dxa"/>
            <w:tcBorders>
              <w:top w:val="nil"/>
              <w:left w:val="nil"/>
              <w:bottom w:val="nil"/>
              <w:right w:val="single" w:sz="4" w:space="0" w:color="auto"/>
            </w:tcBorders>
            <w:shd w:val="clear" w:color="auto" w:fill="auto"/>
            <w:vAlign w:val="center"/>
            <w:hideMark/>
          </w:tcPr>
          <w:p w14:paraId="2F6BB278" w14:textId="77777777" w:rsidR="002D687B" w:rsidRPr="002D687B" w:rsidRDefault="002D687B" w:rsidP="002D687B">
            <w:pPr>
              <w:spacing w:after="0" w:line="240" w:lineRule="auto"/>
              <w:jc w:val="right"/>
              <w:rPr>
                <w:rFonts w:cs="Arial"/>
                <w:sz w:val="16"/>
                <w:szCs w:val="16"/>
              </w:rPr>
            </w:pPr>
            <w:r w:rsidRPr="002D687B">
              <w:rPr>
                <w:rFonts w:cs="Arial"/>
                <w:sz w:val="16"/>
                <w:szCs w:val="16"/>
              </w:rPr>
              <w:t>7,9</w:t>
            </w:r>
          </w:p>
        </w:tc>
        <w:tc>
          <w:tcPr>
            <w:tcW w:w="847" w:type="dxa"/>
            <w:tcBorders>
              <w:top w:val="nil"/>
              <w:left w:val="nil"/>
              <w:bottom w:val="nil"/>
              <w:right w:val="nil"/>
            </w:tcBorders>
            <w:shd w:val="clear" w:color="auto" w:fill="auto"/>
            <w:vAlign w:val="center"/>
            <w:hideMark/>
          </w:tcPr>
          <w:p w14:paraId="51AA6043" w14:textId="77777777" w:rsidR="002D687B" w:rsidRPr="002D687B" w:rsidRDefault="002D687B" w:rsidP="002D687B">
            <w:pPr>
              <w:spacing w:after="0" w:line="240" w:lineRule="auto"/>
              <w:jc w:val="right"/>
              <w:rPr>
                <w:rFonts w:cs="Arial"/>
                <w:sz w:val="16"/>
                <w:szCs w:val="16"/>
              </w:rPr>
            </w:pPr>
            <w:r w:rsidRPr="002D687B">
              <w:rPr>
                <w:rFonts w:cs="Arial"/>
                <w:sz w:val="16"/>
                <w:szCs w:val="16"/>
              </w:rPr>
              <w:t>78,4</w:t>
            </w:r>
          </w:p>
        </w:tc>
        <w:tc>
          <w:tcPr>
            <w:tcW w:w="649" w:type="dxa"/>
            <w:tcBorders>
              <w:top w:val="nil"/>
              <w:left w:val="nil"/>
              <w:bottom w:val="nil"/>
              <w:right w:val="nil"/>
            </w:tcBorders>
            <w:shd w:val="clear" w:color="auto" w:fill="auto"/>
            <w:vAlign w:val="center"/>
            <w:hideMark/>
          </w:tcPr>
          <w:p w14:paraId="103BCCCD" w14:textId="77777777" w:rsidR="002D687B" w:rsidRPr="002D687B" w:rsidRDefault="002D687B" w:rsidP="002D687B">
            <w:pPr>
              <w:spacing w:after="0" w:line="240" w:lineRule="auto"/>
              <w:jc w:val="right"/>
              <w:rPr>
                <w:rFonts w:cs="Arial"/>
                <w:sz w:val="16"/>
                <w:szCs w:val="16"/>
              </w:rPr>
            </w:pPr>
            <w:r w:rsidRPr="002D687B">
              <w:rPr>
                <w:rFonts w:cs="Arial"/>
                <w:sz w:val="16"/>
                <w:szCs w:val="16"/>
              </w:rPr>
              <w:t>48,5</w:t>
            </w:r>
          </w:p>
        </w:tc>
        <w:tc>
          <w:tcPr>
            <w:tcW w:w="649" w:type="dxa"/>
            <w:tcBorders>
              <w:top w:val="nil"/>
              <w:left w:val="nil"/>
              <w:bottom w:val="nil"/>
              <w:right w:val="nil"/>
            </w:tcBorders>
            <w:shd w:val="clear" w:color="auto" w:fill="auto"/>
            <w:vAlign w:val="center"/>
            <w:hideMark/>
          </w:tcPr>
          <w:p w14:paraId="612C7B82" w14:textId="77777777" w:rsidR="002D687B" w:rsidRPr="002D687B" w:rsidRDefault="002D687B" w:rsidP="002D687B">
            <w:pPr>
              <w:spacing w:after="0" w:line="240" w:lineRule="auto"/>
              <w:jc w:val="right"/>
              <w:rPr>
                <w:rFonts w:cs="Arial"/>
                <w:sz w:val="16"/>
                <w:szCs w:val="16"/>
              </w:rPr>
            </w:pPr>
            <w:r w:rsidRPr="002D687B">
              <w:rPr>
                <w:rFonts w:cs="Arial"/>
                <w:sz w:val="16"/>
                <w:szCs w:val="16"/>
              </w:rPr>
              <w:t>29,9</w:t>
            </w:r>
          </w:p>
        </w:tc>
      </w:tr>
      <w:tr w:rsidR="00D70250" w:rsidRPr="002D687B" w14:paraId="0ABF3B8F" w14:textId="77777777" w:rsidTr="00F711D4">
        <w:trPr>
          <w:gridAfter w:val="1"/>
          <w:wAfter w:w="9" w:type="dxa"/>
          <w:trHeight w:val="280"/>
        </w:trPr>
        <w:tc>
          <w:tcPr>
            <w:tcW w:w="1005" w:type="dxa"/>
            <w:tcBorders>
              <w:top w:val="nil"/>
              <w:left w:val="nil"/>
              <w:bottom w:val="nil"/>
              <w:right w:val="single" w:sz="4" w:space="0" w:color="auto"/>
            </w:tcBorders>
            <w:shd w:val="clear" w:color="auto" w:fill="auto"/>
            <w:vAlign w:val="center"/>
            <w:hideMark/>
          </w:tcPr>
          <w:p w14:paraId="2DCE07D1"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2019</w:t>
            </w:r>
          </w:p>
        </w:tc>
        <w:tc>
          <w:tcPr>
            <w:tcW w:w="847" w:type="dxa"/>
            <w:tcBorders>
              <w:top w:val="nil"/>
              <w:left w:val="nil"/>
              <w:bottom w:val="nil"/>
              <w:right w:val="nil"/>
            </w:tcBorders>
            <w:shd w:val="clear" w:color="auto" w:fill="auto"/>
            <w:noWrap/>
            <w:vAlign w:val="center"/>
            <w:hideMark/>
          </w:tcPr>
          <w:p w14:paraId="540EB9B0"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975,0</w:t>
            </w:r>
          </w:p>
        </w:tc>
        <w:tc>
          <w:tcPr>
            <w:tcW w:w="649" w:type="dxa"/>
            <w:tcBorders>
              <w:top w:val="nil"/>
              <w:left w:val="nil"/>
              <w:bottom w:val="nil"/>
              <w:right w:val="nil"/>
            </w:tcBorders>
            <w:shd w:val="clear" w:color="auto" w:fill="auto"/>
            <w:noWrap/>
            <w:vAlign w:val="center"/>
            <w:hideMark/>
          </w:tcPr>
          <w:p w14:paraId="53F680D5"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453,9</w:t>
            </w:r>
          </w:p>
        </w:tc>
        <w:tc>
          <w:tcPr>
            <w:tcW w:w="649" w:type="dxa"/>
            <w:tcBorders>
              <w:top w:val="nil"/>
              <w:left w:val="nil"/>
              <w:bottom w:val="nil"/>
              <w:right w:val="single" w:sz="4" w:space="0" w:color="auto"/>
            </w:tcBorders>
            <w:shd w:val="clear" w:color="auto" w:fill="auto"/>
            <w:noWrap/>
            <w:vAlign w:val="center"/>
            <w:hideMark/>
          </w:tcPr>
          <w:p w14:paraId="32B95ACC"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521,0</w:t>
            </w:r>
          </w:p>
        </w:tc>
        <w:tc>
          <w:tcPr>
            <w:tcW w:w="847" w:type="dxa"/>
            <w:tcBorders>
              <w:top w:val="nil"/>
              <w:left w:val="nil"/>
              <w:bottom w:val="nil"/>
              <w:right w:val="nil"/>
            </w:tcBorders>
            <w:shd w:val="clear" w:color="auto" w:fill="auto"/>
            <w:noWrap/>
            <w:vAlign w:val="center"/>
            <w:hideMark/>
          </w:tcPr>
          <w:p w14:paraId="0BDD21C6"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872,7</w:t>
            </w:r>
          </w:p>
        </w:tc>
        <w:tc>
          <w:tcPr>
            <w:tcW w:w="649" w:type="dxa"/>
            <w:tcBorders>
              <w:top w:val="nil"/>
              <w:left w:val="nil"/>
              <w:bottom w:val="nil"/>
              <w:right w:val="nil"/>
            </w:tcBorders>
            <w:shd w:val="clear" w:color="auto" w:fill="auto"/>
            <w:noWrap/>
            <w:vAlign w:val="center"/>
            <w:hideMark/>
          </w:tcPr>
          <w:p w14:paraId="3D655E5B"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389,8</w:t>
            </w:r>
          </w:p>
        </w:tc>
        <w:tc>
          <w:tcPr>
            <w:tcW w:w="649" w:type="dxa"/>
            <w:tcBorders>
              <w:top w:val="nil"/>
              <w:left w:val="nil"/>
              <w:bottom w:val="nil"/>
              <w:right w:val="single" w:sz="4" w:space="0" w:color="auto"/>
            </w:tcBorders>
            <w:shd w:val="clear" w:color="auto" w:fill="auto"/>
            <w:noWrap/>
            <w:vAlign w:val="center"/>
            <w:hideMark/>
          </w:tcPr>
          <w:p w14:paraId="74E19016"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483,0</w:t>
            </w:r>
          </w:p>
        </w:tc>
        <w:tc>
          <w:tcPr>
            <w:tcW w:w="847" w:type="dxa"/>
            <w:tcBorders>
              <w:top w:val="nil"/>
              <w:left w:val="nil"/>
              <w:bottom w:val="nil"/>
              <w:right w:val="nil"/>
            </w:tcBorders>
            <w:shd w:val="clear" w:color="auto" w:fill="auto"/>
            <w:noWrap/>
            <w:vAlign w:val="center"/>
            <w:hideMark/>
          </w:tcPr>
          <w:p w14:paraId="0C61A3B1"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23,2</w:t>
            </w:r>
          </w:p>
        </w:tc>
        <w:tc>
          <w:tcPr>
            <w:tcW w:w="649" w:type="dxa"/>
            <w:tcBorders>
              <w:top w:val="nil"/>
              <w:left w:val="nil"/>
              <w:bottom w:val="nil"/>
              <w:right w:val="nil"/>
            </w:tcBorders>
            <w:shd w:val="clear" w:color="auto" w:fill="auto"/>
            <w:noWrap/>
            <w:vAlign w:val="center"/>
            <w:hideMark/>
          </w:tcPr>
          <w:p w14:paraId="18D16EFB"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15,6</w:t>
            </w:r>
          </w:p>
        </w:tc>
        <w:tc>
          <w:tcPr>
            <w:tcW w:w="649" w:type="dxa"/>
            <w:tcBorders>
              <w:top w:val="nil"/>
              <w:left w:val="nil"/>
              <w:bottom w:val="nil"/>
              <w:right w:val="single" w:sz="4" w:space="0" w:color="auto"/>
            </w:tcBorders>
            <w:shd w:val="clear" w:color="auto" w:fill="auto"/>
            <w:noWrap/>
            <w:vAlign w:val="center"/>
            <w:hideMark/>
          </w:tcPr>
          <w:p w14:paraId="359B5712"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7,6</w:t>
            </w:r>
          </w:p>
        </w:tc>
        <w:tc>
          <w:tcPr>
            <w:tcW w:w="847" w:type="dxa"/>
            <w:tcBorders>
              <w:top w:val="nil"/>
              <w:left w:val="nil"/>
              <w:bottom w:val="nil"/>
              <w:right w:val="nil"/>
            </w:tcBorders>
            <w:shd w:val="clear" w:color="auto" w:fill="auto"/>
            <w:noWrap/>
            <w:vAlign w:val="center"/>
            <w:hideMark/>
          </w:tcPr>
          <w:p w14:paraId="236816BF"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79,0</w:t>
            </w:r>
          </w:p>
        </w:tc>
        <w:tc>
          <w:tcPr>
            <w:tcW w:w="649" w:type="dxa"/>
            <w:tcBorders>
              <w:top w:val="nil"/>
              <w:left w:val="nil"/>
              <w:bottom w:val="nil"/>
              <w:right w:val="nil"/>
            </w:tcBorders>
            <w:shd w:val="clear" w:color="auto" w:fill="auto"/>
            <w:noWrap/>
            <w:vAlign w:val="center"/>
            <w:hideMark/>
          </w:tcPr>
          <w:p w14:paraId="6B3D629E"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48,6</w:t>
            </w:r>
          </w:p>
        </w:tc>
        <w:tc>
          <w:tcPr>
            <w:tcW w:w="649" w:type="dxa"/>
            <w:tcBorders>
              <w:top w:val="nil"/>
              <w:left w:val="nil"/>
              <w:bottom w:val="nil"/>
              <w:right w:val="nil"/>
            </w:tcBorders>
            <w:shd w:val="clear" w:color="auto" w:fill="auto"/>
            <w:noWrap/>
            <w:vAlign w:val="center"/>
            <w:hideMark/>
          </w:tcPr>
          <w:p w14:paraId="2CFD414F"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30,5</w:t>
            </w:r>
          </w:p>
        </w:tc>
      </w:tr>
    </w:tbl>
    <w:p w14:paraId="14CD6EE6" w14:textId="77777777" w:rsidR="00A61EC3" w:rsidRDefault="0021605D" w:rsidP="00A61EC3">
      <w:pPr>
        <w:spacing w:before="120"/>
        <w:jc w:val="both"/>
        <w:rPr>
          <w:rFonts w:cs="Arial"/>
          <w:sz w:val="16"/>
          <w:szCs w:val="16"/>
        </w:rPr>
      </w:pPr>
      <w:r>
        <w:rPr>
          <w:rFonts w:cs="Arial"/>
          <w:sz w:val="16"/>
          <w:szCs w:val="16"/>
        </w:rPr>
        <w:t>Zdroj: ČSÚ</w:t>
      </w:r>
    </w:p>
    <w:p w14:paraId="3AE6F1A9" w14:textId="6420348E" w:rsidR="00157C82" w:rsidRDefault="00C1393C" w:rsidP="00A61EC3">
      <w:pPr>
        <w:spacing w:before="120"/>
        <w:jc w:val="both"/>
        <w:rPr>
          <w:rFonts w:cs="Arial"/>
        </w:rPr>
      </w:pPr>
      <w:r>
        <w:rPr>
          <w:rFonts w:cs="Arial"/>
        </w:rPr>
        <w:t xml:space="preserve">Meziroční </w:t>
      </w:r>
      <w:r w:rsidR="006012AD">
        <w:rPr>
          <w:rFonts w:cs="Arial"/>
        </w:rPr>
        <w:t>pokles</w:t>
      </w:r>
      <w:r>
        <w:rPr>
          <w:rFonts w:cs="Arial"/>
        </w:rPr>
        <w:t xml:space="preserve"> pracovní neschopnosti </w:t>
      </w:r>
      <w:r w:rsidRPr="006012AD">
        <w:rPr>
          <w:rFonts w:cs="Arial"/>
          <w:b/>
        </w:rPr>
        <w:t>žen</w:t>
      </w:r>
      <w:r>
        <w:rPr>
          <w:rFonts w:cs="Arial"/>
        </w:rPr>
        <w:t xml:space="preserve"> byl </w:t>
      </w:r>
      <w:r w:rsidR="006012AD">
        <w:rPr>
          <w:rFonts w:cs="Arial"/>
        </w:rPr>
        <w:t>nepatrně větší</w:t>
      </w:r>
      <w:r>
        <w:rPr>
          <w:rFonts w:cs="Arial"/>
        </w:rPr>
        <w:t xml:space="preserve"> než u mužů. </w:t>
      </w:r>
      <w:r w:rsidR="00157C82" w:rsidRPr="003E6827">
        <w:rPr>
          <w:rFonts w:cs="Arial"/>
        </w:rPr>
        <w:t xml:space="preserve">Absolutní počet nově hlášených případů pracovní neschopnosti žen se meziročně </w:t>
      </w:r>
      <w:r w:rsidR="006012AD">
        <w:rPr>
          <w:rFonts w:cs="Arial"/>
        </w:rPr>
        <w:t>snížil</w:t>
      </w:r>
      <w:r w:rsidR="00157C82" w:rsidRPr="003E6827">
        <w:rPr>
          <w:rFonts w:cs="Arial"/>
        </w:rPr>
        <w:t xml:space="preserve"> z</w:t>
      </w:r>
      <w:r w:rsidR="006012AD">
        <w:rPr>
          <w:rFonts w:cs="Arial"/>
        </w:rPr>
        <w:t> 556,1</w:t>
      </w:r>
      <w:r w:rsidR="00157C82" w:rsidRPr="003E6827">
        <w:rPr>
          <w:rFonts w:cs="Arial"/>
        </w:rPr>
        <w:t xml:space="preserve"> tis. případů (muži </w:t>
      </w:r>
      <w:r w:rsidR="007E6BAD">
        <w:rPr>
          <w:rFonts w:cs="Arial"/>
        </w:rPr>
        <w:t>4</w:t>
      </w:r>
      <w:r w:rsidR="006012AD">
        <w:rPr>
          <w:rFonts w:cs="Arial"/>
        </w:rPr>
        <w:t>8</w:t>
      </w:r>
      <w:r w:rsidR="007E6BAD">
        <w:rPr>
          <w:rFonts w:cs="Arial"/>
        </w:rPr>
        <w:t>4,</w:t>
      </w:r>
      <w:r w:rsidR="006012AD">
        <w:rPr>
          <w:rFonts w:cs="Arial"/>
        </w:rPr>
        <w:t>2</w:t>
      </w:r>
      <w:r w:rsidR="00157C82" w:rsidRPr="003E6827">
        <w:rPr>
          <w:rFonts w:cs="Arial"/>
        </w:rPr>
        <w:t xml:space="preserve"> tis. případů) v</w:t>
      </w:r>
      <w:r w:rsidR="007E6BAD">
        <w:rPr>
          <w:rFonts w:cs="Arial"/>
        </w:rPr>
        <w:t> 1.</w:t>
      </w:r>
      <w:r w:rsidR="005A0510">
        <w:rPr>
          <w:rFonts w:cs="Arial"/>
        </w:rPr>
        <w:t> </w:t>
      </w:r>
      <w:r w:rsidR="00321281">
        <w:rPr>
          <w:rFonts w:cs="Arial"/>
        </w:rPr>
        <w:t>p</w:t>
      </w:r>
      <w:r w:rsidR="006012AD">
        <w:rPr>
          <w:rFonts w:cs="Arial"/>
        </w:rPr>
        <w:t>ol.</w:t>
      </w:r>
      <w:r w:rsidR="005A0510">
        <w:rPr>
          <w:rFonts w:cs="Arial"/>
        </w:rPr>
        <w:t> </w:t>
      </w:r>
      <w:r w:rsidR="006012AD">
        <w:rPr>
          <w:rFonts w:cs="Arial"/>
        </w:rPr>
        <w:t>2018</w:t>
      </w:r>
      <w:r w:rsidR="007E6BAD">
        <w:rPr>
          <w:rFonts w:cs="Arial"/>
        </w:rPr>
        <w:t xml:space="preserve"> </w:t>
      </w:r>
      <w:r w:rsidR="00157C82" w:rsidRPr="003E6827">
        <w:rPr>
          <w:rFonts w:cs="Arial"/>
        </w:rPr>
        <w:t xml:space="preserve">na </w:t>
      </w:r>
      <w:r w:rsidR="007E6BAD">
        <w:rPr>
          <w:rFonts w:cs="Arial"/>
        </w:rPr>
        <w:t>5</w:t>
      </w:r>
      <w:r w:rsidR="006012AD">
        <w:rPr>
          <w:rFonts w:cs="Arial"/>
        </w:rPr>
        <w:t>21</w:t>
      </w:r>
      <w:r w:rsidR="007E6BAD">
        <w:rPr>
          <w:rFonts w:cs="Arial"/>
        </w:rPr>
        <w:t xml:space="preserve"> </w:t>
      </w:r>
      <w:r w:rsidR="00157C82" w:rsidRPr="003E6827">
        <w:rPr>
          <w:rFonts w:cs="Arial"/>
        </w:rPr>
        <w:t xml:space="preserve">tis. případů (muži </w:t>
      </w:r>
      <w:r w:rsidR="006012AD">
        <w:rPr>
          <w:rFonts w:cs="Arial"/>
        </w:rPr>
        <w:t>453,9</w:t>
      </w:r>
      <w:r w:rsidR="00DF08CD">
        <w:rPr>
          <w:rFonts w:cs="Arial"/>
        </w:rPr>
        <w:t xml:space="preserve"> </w:t>
      </w:r>
      <w:r w:rsidR="00157C82" w:rsidRPr="003E6827">
        <w:rPr>
          <w:rFonts w:cs="Arial"/>
        </w:rPr>
        <w:t>tis. případů) v</w:t>
      </w:r>
      <w:r w:rsidR="00A61EC3">
        <w:rPr>
          <w:rFonts w:cs="Arial"/>
        </w:rPr>
        <w:t> 1. pol. 2019</w:t>
      </w:r>
      <w:r w:rsidR="006012AD">
        <w:rPr>
          <w:rFonts w:cs="Arial"/>
        </w:rPr>
        <w:t>,</w:t>
      </w:r>
      <w:r>
        <w:rPr>
          <w:rFonts w:cs="Arial"/>
        </w:rPr>
        <w:t xml:space="preserve"> </w:t>
      </w:r>
      <w:r w:rsidR="00157C82" w:rsidRPr="003E6827">
        <w:rPr>
          <w:rFonts w:cs="Arial"/>
        </w:rPr>
        <w:t xml:space="preserve">tj. </w:t>
      </w:r>
      <w:r w:rsidR="006012AD">
        <w:rPr>
          <w:rFonts w:cs="Arial"/>
        </w:rPr>
        <w:t>klesl</w:t>
      </w:r>
      <w:r w:rsidR="00157C82" w:rsidRPr="003E6827">
        <w:rPr>
          <w:rFonts w:cs="Arial"/>
        </w:rPr>
        <w:t xml:space="preserve"> o </w:t>
      </w:r>
      <w:r w:rsidR="006012AD">
        <w:rPr>
          <w:rFonts w:cs="Arial"/>
        </w:rPr>
        <w:t>6,3</w:t>
      </w:r>
      <w:r w:rsidR="00157C82" w:rsidRPr="003E6827">
        <w:rPr>
          <w:rFonts w:cs="Arial"/>
        </w:rPr>
        <w:t xml:space="preserve"> </w:t>
      </w:r>
      <w:r w:rsidR="00157C82" w:rsidRPr="003E6827">
        <w:rPr>
          <w:rFonts w:cs="Arial"/>
          <w:lang w:val="en-US"/>
        </w:rPr>
        <w:t xml:space="preserve">% </w:t>
      </w:r>
      <w:r>
        <w:rPr>
          <w:rFonts w:cs="Arial"/>
        </w:rPr>
        <w:t>(</w:t>
      </w:r>
      <w:r w:rsidR="00157C82" w:rsidRPr="003E6827">
        <w:rPr>
          <w:rFonts w:cs="Arial"/>
        </w:rPr>
        <w:t>o</w:t>
      </w:r>
      <w:r w:rsidR="00157C82">
        <w:rPr>
          <w:rFonts w:cs="Arial"/>
        </w:rPr>
        <w:t> </w:t>
      </w:r>
      <w:r w:rsidR="006012AD">
        <w:rPr>
          <w:rFonts w:cs="Arial"/>
        </w:rPr>
        <w:t>6,2</w:t>
      </w:r>
      <w:r w:rsidR="00157C82" w:rsidRPr="003E6827">
        <w:rPr>
          <w:rFonts w:cs="Arial"/>
        </w:rPr>
        <w:t xml:space="preserve"> </w:t>
      </w:r>
      <w:r w:rsidR="00157C82" w:rsidRPr="003E6827">
        <w:rPr>
          <w:rFonts w:cs="Arial"/>
          <w:lang w:val="en-US"/>
        </w:rPr>
        <w:t>%</w:t>
      </w:r>
      <w:r w:rsidR="00157C82" w:rsidRPr="003E6827">
        <w:rPr>
          <w:rFonts w:cs="Arial"/>
        </w:rPr>
        <w:t xml:space="preserve"> u mužů). Z hlediska příčin </w:t>
      </w:r>
      <w:r w:rsidR="006012AD">
        <w:rPr>
          <w:rFonts w:cs="Arial"/>
        </w:rPr>
        <w:t xml:space="preserve">se 483 tis. případů (92,7 %) </w:t>
      </w:r>
      <w:r w:rsidR="00157C82" w:rsidRPr="003E6827">
        <w:rPr>
          <w:rFonts w:cs="Arial"/>
        </w:rPr>
        <w:t xml:space="preserve">nově hlášených případů dočasné pracovní neschopnosti žen týkalo </w:t>
      </w:r>
      <w:r>
        <w:rPr>
          <w:rFonts w:cs="Arial"/>
        </w:rPr>
        <w:t xml:space="preserve">nemoci, </w:t>
      </w:r>
      <w:r w:rsidR="006012AD">
        <w:rPr>
          <w:rFonts w:cs="Arial"/>
        </w:rPr>
        <w:t>7,6</w:t>
      </w:r>
      <w:r w:rsidR="00157C82" w:rsidRPr="003E6827">
        <w:rPr>
          <w:rFonts w:cs="Arial"/>
        </w:rPr>
        <w:t xml:space="preserve"> tis. případů </w:t>
      </w:r>
      <w:r w:rsidR="000D0984" w:rsidRPr="003E6827">
        <w:rPr>
          <w:rFonts w:cs="Arial"/>
        </w:rPr>
        <w:t>(</w:t>
      </w:r>
      <w:r w:rsidR="00AE2563">
        <w:rPr>
          <w:rFonts w:cs="Arial"/>
        </w:rPr>
        <w:t>1,</w:t>
      </w:r>
      <w:r w:rsidR="006012AD">
        <w:rPr>
          <w:rFonts w:cs="Arial"/>
        </w:rPr>
        <w:t>5</w:t>
      </w:r>
      <w:r w:rsidR="000D0984" w:rsidRPr="003E6827">
        <w:rPr>
          <w:rFonts w:cs="Arial"/>
        </w:rPr>
        <w:t xml:space="preserve"> %) </w:t>
      </w:r>
      <w:r w:rsidR="00157C82" w:rsidRPr="003E6827">
        <w:rPr>
          <w:rFonts w:cs="Arial"/>
        </w:rPr>
        <w:t>pracovní</w:t>
      </w:r>
      <w:r w:rsidR="0026326E">
        <w:rPr>
          <w:rFonts w:cs="Arial"/>
        </w:rPr>
        <w:t>ch</w:t>
      </w:r>
      <w:r w:rsidR="00157C82" w:rsidRPr="003E6827">
        <w:rPr>
          <w:rFonts w:cs="Arial"/>
        </w:rPr>
        <w:t xml:space="preserve"> úraz</w:t>
      </w:r>
      <w:r w:rsidR="0026326E">
        <w:rPr>
          <w:rFonts w:cs="Arial"/>
        </w:rPr>
        <w:t>ů</w:t>
      </w:r>
      <w:r w:rsidR="00157C82" w:rsidRPr="003E6827">
        <w:rPr>
          <w:rFonts w:cs="Arial"/>
        </w:rPr>
        <w:t xml:space="preserve"> a </w:t>
      </w:r>
      <w:r w:rsidR="006012AD">
        <w:rPr>
          <w:rFonts w:cs="Arial"/>
        </w:rPr>
        <w:t>30,5</w:t>
      </w:r>
      <w:r w:rsidR="000D0984">
        <w:rPr>
          <w:rFonts w:cs="Arial"/>
        </w:rPr>
        <w:t xml:space="preserve"> tis. </w:t>
      </w:r>
      <w:r w:rsidR="00157C82" w:rsidRPr="003E6827">
        <w:rPr>
          <w:rFonts w:cs="Arial"/>
        </w:rPr>
        <w:t>případů</w:t>
      </w:r>
      <w:r w:rsidR="000D0984">
        <w:rPr>
          <w:rFonts w:cs="Arial"/>
        </w:rPr>
        <w:t xml:space="preserve"> (</w:t>
      </w:r>
      <w:r w:rsidR="00AE2563">
        <w:rPr>
          <w:rFonts w:cs="Arial"/>
        </w:rPr>
        <w:t>5,</w:t>
      </w:r>
      <w:r w:rsidR="006012AD">
        <w:rPr>
          <w:rFonts w:cs="Arial"/>
        </w:rPr>
        <w:t>8</w:t>
      </w:r>
      <w:r w:rsidR="000D0984" w:rsidRPr="003E6827">
        <w:rPr>
          <w:rFonts w:cs="Arial"/>
        </w:rPr>
        <w:t xml:space="preserve"> %) </w:t>
      </w:r>
      <w:r w:rsidR="00157C82" w:rsidRPr="003E6827">
        <w:rPr>
          <w:rFonts w:cs="Arial"/>
        </w:rPr>
        <w:t xml:space="preserve">ostatních úrazů. </w:t>
      </w:r>
      <w:r w:rsidR="00157C82" w:rsidRPr="003C0597">
        <w:rPr>
          <w:rFonts w:cs="Arial"/>
          <w:b/>
        </w:rPr>
        <w:t>Muži</w:t>
      </w:r>
      <w:r w:rsidR="00157C82" w:rsidRPr="003E6827">
        <w:rPr>
          <w:rFonts w:cs="Arial"/>
        </w:rPr>
        <w:t xml:space="preserve"> čerpali pracovní neschopnost z důvodu nemoci v</w:t>
      </w:r>
      <w:r w:rsidR="00A61EC3">
        <w:rPr>
          <w:rFonts w:cs="Arial"/>
        </w:rPr>
        <w:t> 390</w:t>
      </w:r>
      <w:r w:rsidR="00157C82" w:rsidRPr="003E6827">
        <w:rPr>
          <w:rFonts w:cs="Arial"/>
        </w:rPr>
        <w:t xml:space="preserve"> tis. případech</w:t>
      </w:r>
      <w:r w:rsidR="000D0984">
        <w:rPr>
          <w:rFonts w:cs="Arial"/>
        </w:rPr>
        <w:t xml:space="preserve"> </w:t>
      </w:r>
      <w:r w:rsidR="000D0984" w:rsidRPr="003E6827">
        <w:rPr>
          <w:rFonts w:cs="Arial"/>
        </w:rPr>
        <w:t>(</w:t>
      </w:r>
      <w:r w:rsidR="006012AD">
        <w:rPr>
          <w:rFonts w:cs="Arial"/>
        </w:rPr>
        <w:t>85,9</w:t>
      </w:r>
      <w:r w:rsidR="000D0984" w:rsidRPr="003E6827">
        <w:rPr>
          <w:rFonts w:cs="Arial"/>
        </w:rPr>
        <w:t xml:space="preserve"> %)</w:t>
      </w:r>
      <w:r w:rsidR="00157C82" w:rsidRPr="003E6827">
        <w:rPr>
          <w:rFonts w:cs="Arial"/>
        </w:rPr>
        <w:t>, z důvodu</w:t>
      </w:r>
      <w:r w:rsidR="00157C82" w:rsidRPr="00821C6F">
        <w:rPr>
          <w:rFonts w:cs="Arial"/>
        </w:rPr>
        <w:t xml:space="preserve"> pracovního úrazu v</w:t>
      </w:r>
      <w:r w:rsidR="006012AD">
        <w:rPr>
          <w:rFonts w:cs="Arial"/>
        </w:rPr>
        <w:t> 15,6</w:t>
      </w:r>
      <w:r w:rsidR="00157C82" w:rsidRPr="00821C6F">
        <w:rPr>
          <w:rFonts w:cs="Arial"/>
        </w:rPr>
        <w:t xml:space="preserve"> tis. případech </w:t>
      </w:r>
      <w:r w:rsidR="000D0984" w:rsidRPr="00821C6F">
        <w:rPr>
          <w:rFonts w:cs="Arial"/>
        </w:rPr>
        <w:t>(</w:t>
      </w:r>
      <w:r w:rsidR="00C065FE">
        <w:rPr>
          <w:rFonts w:cs="Arial"/>
        </w:rPr>
        <w:t>3,</w:t>
      </w:r>
      <w:r w:rsidR="006012AD">
        <w:rPr>
          <w:rFonts w:cs="Arial"/>
        </w:rPr>
        <w:t>4</w:t>
      </w:r>
      <w:r w:rsidR="000D0984" w:rsidRPr="00821C6F">
        <w:rPr>
          <w:rFonts w:cs="Arial"/>
        </w:rPr>
        <w:t xml:space="preserve"> %) </w:t>
      </w:r>
      <w:r w:rsidR="00157C82" w:rsidRPr="00821C6F">
        <w:rPr>
          <w:rFonts w:cs="Arial"/>
        </w:rPr>
        <w:t>a z důvodu ostatních úrazů v</w:t>
      </w:r>
      <w:r w:rsidR="001B5429">
        <w:rPr>
          <w:rFonts w:cs="Arial"/>
        </w:rPr>
        <w:t> 48,</w:t>
      </w:r>
      <w:r w:rsidR="006012AD">
        <w:rPr>
          <w:rFonts w:cs="Arial"/>
        </w:rPr>
        <w:t xml:space="preserve">6 </w:t>
      </w:r>
      <w:r w:rsidR="00157C82" w:rsidRPr="00821C6F">
        <w:rPr>
          <w:rFonts w:cs="Arial"/>
        </w:rPr>
        <w:t>tis. případech</w:t>
      </w:r>
      <w:r w:rsidR="000D0984">
        <w:rPr>
          <w:rFonts w:cs="Arial"/>
        </w:rPr>
        <w:t xml:space="preserve"> </w:t>
      </w:r>
      <w:r w:rsidR="000D0984" w:rsidRPr="00821C6F">
        <w:rPr>
          <w:rFonts w:cs="Arial"/>
        </w:rPr>
        <w:t>(</w:t>
      </w:r>
      <w:r w:rsidR="00C065FE">
        <w:rPr>
          <w:rFonts w:cs="Arial"/>
        </w:rPr>
        <w:t>10</w:t>
      </w:r>
      <w:r w:rsidR="006012AD">
        <w:rPr>
          <w:rFonts w:cs="Arial"/>
        </w:rPr>
        <w:t>,7</w:t>
      </w:r>
      <w:r w:rsidR="000D0984" w:rsidRPr="00821C6F">
        <w:rPr>
          <w:rFonts w:cs="Arial"/>
        </w:rPr>
        <w:t xml:space="preserve"> %)</w:t>
      </w:r>
      <w:r w:rsidR="00157C82">
        <w:rPr>
          <w:rFonts w:cs="Arial"/>
          <w:lang w:val="en-US"/>
        </w:rPr>
        <w:t>.</w:t>
      </w:r>
    </w:p>
    <w:p w14:paraId="12C5D6AE" w14:textId="7D000761" w:rsidR="00AB4EBB" w:rsidRDefault="006012AD" w:rsidP="00E25EE7">
      <w:pPr>
        <w:jc w:val="both"/>
        <w:rPr>
          <w:noProof/>
        </w:rPr>
      </w:pPr>
      <w:r>
        <w:rPr>
          <w:noProof/>
        </w:rPr>
        <w:t>Za posledních pět let  počet nově hlášených případů pracovní neschopnosti výrazně vzrostl – o 311 tis. případů (o 47 %) z 664,1 tis. případů za 1. pol. 2014 na 975 tis.</w:t>
      </w:r>
      <w:r w:rsidR="003C0597">
        <w:rPr>
          <w:noProof/>
        </w:rPr>
        <w:t xml:space="preserve"> za 1. pol. 2019. Oproti 1. pol. 2012, kdy bylo nechopenek od roku 2008 nejméně, došlo k nárůstu o 60,5 %. Na tomto nárůstu se podílely především výše</w:t>
      </w:r>
      <w:r w:rsidR="00F711D4">
        <w:rPr>
          <w:noProof/>
        </w:rPr>
        <w:t xml:space="preserve"> </w:t>
      </w:r>
      <w:r w:rsidR="003C0597">
        <w:rPr>
          <w:noProof/>
        </w:rPr>
        <w:t xml:space="preserve">zmíněné případy z důvodu nemoci. Zvýšení bylo výraznější v případě žen – mezi </w:t>
      </w:r>
      <w:r w:rsidR="0026326E">
        <w:rPr>
          <w:noProof/>
        </w:rPr>
        <w:t>1. pol. let</w:t>
      </w:r>
      <w:r w:rsidR="003C0597">
        <w:rPr>
          <w:noProof/>
        </w:rPr>
        <w:t xml:space="preserve"> 201</w:t>
      </w:r>
      <w:r w:rsidR="004E7C23">
        <w:rPr>
          <w:noProof/>
        </w:rPr>
        <w:t>2</w:t>
      </w:r>
      <w:r w:rsidR="003C0597">
        <w:rPr>
          <w:noProof/>
        </w:rPr>
        <w:t xml:space="preserve"> a 2019 vzrostl počet nově hlášených případů pracovní neschopnosti </w:t>
      </w:r>
      <w:r w:rsidR="00657DC4">
        <w:rPr>
          <w:noProof/>
        </w:rPr>
        <w:t xml:space="preserve">za 1. pololetí </w:t>
      </w:r>
      <w:r w:rsidR="003C0597">
        <w:rPr>
          <w:noProof/>
        </w:rPr>
        <w:t xml:space="preserve">u mužů o </w:t>
      </w:r>
      <w:r w:rsidR="004E7C23">
        <w:rPr>
          <w:noProof/>
        </w:rPr>
        <w:t>57</w:t>
      </w:r>
      <w:r w:rsidR="003C0597">
        <w:rPr>
          <w:noProof/>
        </w:rPr>
        <w:t xml:space="preserve"> %, u žen o </w:t>
      </w:r>
      <w:r w:rsidR="004E7C23">
        <w:rPr>
          <w:noProof/>
        </w:rPr>
        <w:t>64</w:t>
      </w:r>
      <w:r w:rsidR="003C0597">
        <w:rPr>
          <w:noProof/>
        </w:rPr>
        <w:t>%.</w:t>
      </w:r>
    </w:p>
    <w:p w14:paraId="387749CD" w14:textId="3E200E8C" w:rsidR="006701EE" w:rsidRPr="00AB4EBB" w:rsidRDefault="00AB4EBB" w:rsidP="0064109D">
      <w:pPr>
        <w:spacing w:after="120"/>
        <w:jc w:val="both"/>
        <w:rPr>
          <w:b/>
        </w:rPr>
      </w:pPr>
      <w:r w:rsidRPr="00AB4EBB">
        <w:rPr>
          <w:b/>
          <w:noProof/>
        </w:rPr>
        <w:t xml:space="preserve">Graf 2.1: Nově hlášené případy dočasné pracovní neschopnosti podle </w:t>
      </w:r>
      <w:r>
        <w:rPr>
          <w:b/>
          <w:noProof/>
        </w:rPr>
        <w:t xml:space="preserve">pohlaví a </w:t>
      </w:r>
      <w:r w:rsidRPr="00AB4EBB">
        <w:rPr>
          <w:b/>
          <w:noProof/>
        </w:rPr>
        <w:t>příčin</w:t>
      </w:r>
      <w:r w:rsidR="00BE4A84">
        <w:rPr>
          <w:b/>
          <w:noProof/>
        </w:rPr>
        <w:t>y</w:t>
      </w:r>
      <w:r w:rsidRPr="00AB4EBB">
        <w:rPr>
          <w:b/>
          <w:noProof/>
        </w:rPr>
        <w:t xml:space="preserve"> v 1. pol. 2019</w:t>
      </w:r>
    </w:p>
    <w:p w14:paraId="43443671" w14:textId="4FE6848B" w:rsidR="00643042" w:rsidRDefault="00F711D4" w:rsidP="00F711D4">
      <w:pPr>
        <w:tabs>
          <w:tab w:val="left" w:pos="7170"/>
        </w:tabs>
        <w:jc w:val="both"/>
        <w:rPr>
          <w:rFonts w:cs="Arial"/>
          <w:sz w:val="16"/>
          <w:szCs w:val="16"/>
        </w:rPr>
      </w:pPr>
      <w:r>
        <w:rPr>
          <w:noProof/>
        </w:rPr>
        <mc:AlternateContent>
          <mc:Choice Requires="wpg">
            <w:drawing>
              <wp:anchor distT="0" distB="0" distL="114300" distR="114300" simplePos="0" relativeHeight="251650559" behindDoc="1" locked="0" layoutInCell="1" allowOverlap="1" wp14:anchorId="5F9CB027" wp14:editId="551C54B4">
                <wp:simplePos x="0" y="0"/>
                <wp:positionH relativeFrom="margin">
                  <wp:posOffset>-5715</wp:posOffset>
                </wp:positionH>
                <wp:positionV relativeFrom="paragraph">
                  <wp:posOffset>72390</wp:posOffset>
                </wp:positionV>
                <wp:extent cx="6181725" cy="2124075"/>
                <wp:effectExtent l="0" t="0" r="0" b="0"/>
                <wp:wrapNone/>
                <wp:docPr id="47" name="Skupina 2"/>
                <wp:cNvGraphicFramePr/>
                <a:graphic xmlns:a="http://schemas.openxmlformats.org/drawingml/2006/main">
                  <a:graphicData uri="http://schemas.microsoft.com/office/word/2010/wordprocessingGroup">
                    <wpg:wgp>
                      <wpg:cNvGrpSpPr/>
                      <wpg:grpSpPr>
                        <a:xfrm>
                          <a:off x="0" y="0"/>
                          <a:ext cx="6181725" cy="2124075"/>
                          <a:chOff x="0" y="0"/>
                          <a:chExt cx="6343650" cy="2847975"/>
                        </a:xfrm>
                      </wpg:grpSpPr>
                      <wpg:graphicFrame>
                        <wpg:cNvPr id="50" name="Graf 50"/>
                        <wpg:cNvFrPr>
                          <a:graphicFrameLocks/>
                        </wpg:cNvFrPr>
                        <wpg:xfrm>
                          <a:off x="0" y="0"/>
                          <a:ext cx="3640174" cy="2838120"/>
                        </wpg:xfrm>
                        <a:graphic>
                          <a:graphicData uri="http://schemas.openxmlformats.org/drawingml/2006/chart">
                            <c:chart xmlns:c="http://schemas.openxmlformats.org/drawingml/2006/chart" xmlns:r="http://schemas.openxmlformats.org/officeDocument/2006/relationships" r:id="rId8"/>
                          </a:graphicData>
                        </a:graphic>
                      </wpg:graphicFrame>
                      <wpg:graphicFrame>
                        <wpg:cNvPr id="55" name="Graf 55"/>
                        <wpg:cNvFrPr>
                          <a:graphicFrameLocks/>
                        </wpg:cNvFrPr>
                        <wpg:xfrm>
                          <a:off x="2688245" y="9855"/>
                          <a:ext cx="3655405" cy="2838120"/>
                        </wpg:xfrm>
                        <a:graphic>
                          <a:graphicData uri="http://schemas.openxmlformats.org/drawingml/2006/chart">
                            <c:chart xmlns:c="http://schemas.openxmlformats.org/drawingml/2006/chart" xmlns:r="http://schemas.openxmlformats.org/officeDocument/2006/relationships" r:id="rId9"/>
                          </a:graphicData>
                        </a:graphic>
                      </wpg:graphicFrame>
                    </wpg:wgp>
                  </a:graphicData>
                </a:graphic>
                <wp14:sizeRelH relativeFrom="margin">
                  <wp14:pctWidth>0</wp14:pctWidth>
                </wp14:sizeRelH>
                <wp14:sizeRelV relativeFrom="margin">
                  <wp14:pctHeight>0</wp14:pctHeight>
                </wp14:sizeRelV>
              </wp:anchor>
            </w:drawing>
          </mc:Choice>
          <mc:Fallback>
            <w:pict>
              <v:group w14:anchorId="4956A509" id="Skupina 2" o:spid="_x0000_s1026" style="position:absolute;margin-left:-.45pt;margin-top:5.7pt;width:486.75pt;height:167.25pt;z-index:-251665921;mso-position-horizontal-relative:margin;mso-width-relative:margin;mso-height-relative:margin" coordsize="63436,28479"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">
                <v:shape id="Graf 50" o:spid="_x0000_s1027" type="#_x0000_t75" style="position:absolute;width:36408;height:283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">
                  <v:imagedata r:id="rId10" o:title=""/>
                  <o:lock v:ext="edit" aspectratio="f"/>
                </v:shape>
                <v:shape id="Graf 55" o:spid="_x0000_s1028" type="#_x0000_t75" style="position:absolute;left:26899;top:81;width:36533;height:283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">
                  <v:imagedata r:id="rId11" o:title=""/>
                  <o:lock v:ext="edit" aspectratio="f"/>
                </v:shape>
                <w10:wrap anchorx="margin"/>
              </v:group>
            </w:pict>
          </mc:Fallback>
        </mc:AlternateContent>
      </w:r>
      <w:r>
        <w:rPr>
          <w:rFonts w:cs="Arial"/>
          <w:sz w:val="16"/>
          <w:szCs w:val="16"/>
        </w:rPr>
        <w:tab/>
      </w:r>
    </w:p>
    <w:p w14:paraId="2E0A18E1" w14:textId="77777777" w:rsidR="00643042" w:rsidRDefault="00643042" w:rsidP="005D6703">
      <w:pPr>
        <w:jc w:val="both"/>
        <w:rPr>
          <w:rFonts w:cs="Arial"/>
          <w:sz w:val="16"/>
          <w:szCs w:val="16"/>
        </w:rPr>
      </w:pPr>
    </w:p>
    <w:p w14:paraId="49698690" w14:textId="77777777" w:rsidR="00643042" w:rsidRDefault="00643042" w:rsidP="005D6703">
      <w:pPr>
        <w:jc w:val="both"/>
        <w:rPr>
          <w:rFonts w:cs="Arial"/>
          <w:sz w:val="16"/>
          <w:szCs w:val="16"/>
        </w:rPr>
      </w:pPr>
    </w:p>
    <w:p w14:paraId="24BF6529" w14:textId="04808F39" w:rsidR="00643042" w:rsidRDefault="00F711D4" w:rsidP="005D6703">
      <w:pPr>
        <w:jc w:val="both"/>
        <w:rPr>
          <w:rFonts w:cs="Arial"/>
          <w:sz w:val="16"/>
          <w:szCs w:val="16"/>
        </w:rPr>
      </w:pPr>
      <w:r>
        <w:rPr>
          <w:b/>
          <w:noProof/>
        </w:rPr>
        <mc:AlternateContent>
          <mc:Choice Requires="wps">
            <w:drawing>
              <wp:anchor distT="0" distB="0" distL="114300" distR="114300" simplePos="0" relativeHeight="251664896" behindDoc="0" locked="0" layoutInCell="1" allowOverlap="1" wp14:anchorId="455110AC" wp14:editId="4A7D6852">
                <wp:simplePos x="0" y="0"/>
                <wp:positionH relativeFrom="column">
                  <wp:posOffset>4451985</wp:posOffset>
                </wp:positionH>
                <wp:positionV relativeFrom="paragraph">
                  <wp:posOffset>146685</wp:posOffset>
                </wp:positionV>
                <wp:extent cx="533400" cy="447675"/>
                <wp:effectExtent l="0" t="0" r="0" b="9525"/>
                <wp:wrapNone/>
                <wp:docPr id="38" name="Textové pole 38"/>
                <wp:cNvGraphicFramePr/>
                <a:graphic xmlns:a="http://schemas.openxmlformats.org/drawingml/2006/main">
                  <a:graphicData uri="http://schemas.microsoft.com/office/word/2010/wordprocessingShape">
                    <wps:wsp>
                      <wps:cNvSpPr txBox="1"/>
                      <wps:spPr>
                        <a:xfrm>
                          <a:off x="0" y="0"/>
                          <a:ext cx="533400" cy="447675"/>
                        </a:xfrm>
                        <a:prstGeom prst="rect">
                          <a:avLst/>
                        </a:prstGeom>
                        <a:solidFill>
                          <a:schemeClr val="lt1"/>
                        </a:solidFill>
                        <a:ln w="6350">
                          <a:noFill/>
                        </a:ln>
                      </wps:spPr>
                      <wps:txbx>
                        <w:txbxContent>
                          <w:p w14:paraId="33DC9DD9" w14:textId="08C511B3" w:rsidR="00C81EB1" w:rsidRPr="00AB4EBB" w:rsidRDefault="00C81EB1">
                            <w:pPr>
                              <w:rPr>
                                <w:b/>
                              </w:rPr>
                            </w:pPr>
                            <w:r w:rsidRPr="00AB4EBB">
                              <w:rPr>
                                <w:b/>
                              </w:rPr>
                              <w:t>521</w:t>
                            </w:r>
                            <w:r>
                              <w:rPr>
                                <w:b/>
                              </w:rPr>
                              <w:t>,0</w:t>
                            </w:r>
                            <w:r w:rsidRPr="00AB4EBB">
                              <w:rPr>
                                <w:b/>
                              </w:rPr>
                              <w:t xml:space="preserve"> 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110AC" id="_x0000_t202" coordsize="21600,21600" o:spt="202" path="m,l,21600r21600,l21600,xe">
                <v:stroke joinstyle="miter"/>
                <v:path gradientshapeok="t" o:connecttype="rect"/>
              </v:shapetype>
              <v:shape id="Textové pole 38" o:spid="_x0000_s1026" type="#_x0000_t202" style="position:absolute;left:0;text-align:left;margin-left:350.55pt;margin-top:11.55pt;width:42pt;height:3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" fillcolor="white [3201]" stroked="f" strokeweight=".5pt">
                <v:textbox>
                  <w:txbxContent>
                    <w:p w14:paraId="33DC9DD9" w14:textId="08C511B3" w:rsidR="00C81EB1" w:rsidRPr="00AB4EBB" w:rsidRDefault="00C81EB1">
                      <w:pPr>
                        <w:rPr>
                          <w:b/>
                        </w:rPr>
                      </w:pPr>
                      <w:r w:rsidRPr="00AB4EBB">
                        <w:rPr>
                          <w:b/>
                        </w:rPr>
                        <w:t>521</w:t>
                      </w:r>
                      <w:r>
                        <w:rPr>
                          <w:b/>
                        </w:rPr>
                        <w:t>,0</w:t>
                      </w:r>
                      <w:r w:rsidRPr="00AB4EBB">
                        <w:rPr>
                          <w:b/>
                        </w:rPr>
                        <w:t xml:space="preserve"> tis.</w:t>
                      </w:r>
                    </w:p>
                  </w:txbxContent>
                </v:textbox>
              </v:shape>
            </w:pict>
          </mc:Fallback>
        </mc:AlternateContent>
      </w:r>
      <w:r>
        <w:rPr>
          <w:b/>
          <w:noProof/>
        </w:rPr>
        <mc:AlternateContent>
          <mc:Choice Requires="wps">
            <w:drawing>
              <wp:anchor distT="0" distB="0" distL="114300" distR="114300" simplePos="0" relativeHeight="251666944" behindDoc="0" locked="0" layoutInCell="1" allowOverlap="1" wp14:anchorId="477B5CF3" wp14:editId="00BE844D">
                <wp:simplePos x="0" y="0"/>
                <wp:positionH relativeFrom="column">
                  <wp:posOffset>1365885</wp:posOffset>
                </wp:positionH>
                <wp:positionV relativeFrom="paragraph">
                  <wp:posOffset>156210</wp:posOffset>
                </wp:positionV>
                <wp:extent cx="509433" cy="438150"/>
                <wp:effectExtent l="0" t="0" r="5080" b="0"/>
                <wp:wrapNone/>
                <wp:docPr id="56" name="Textové pole 56"/>
                <wp:cNvGraphicFramePr/>
                <a:graphic xmlns:a="http://schemas.openxmlformats.org/drawingml/2006/main">
                  <a:graphicData uri="http://schemas.microsoft.com/office/word/2010/wordprocessingShape">
                    <wps:wsp>
                      <wps:cNvSpPr txBox="1"/>
                      <wps:spPr>
                        <a:xfrm>
                          <a:off x="0" y="0"/>
                          <a:ext cx="509433" cy="438150"/>
                        </a:xfrm>
                        <a:prstGeom prst="rect">
                          <a:avLst/>
                        </a:prstGeom>
                        <a:solidFill>
                          <a:schemeClr val="lt1"/>
                        </a:solidFill>
                        <a:ln w="6350">
                          <a:noFill/>
                        </a:ln>
                      </wps:spPr>
                      <wps:txbx>
                        <w:txbxContent>
                          <w:p w14:paraId="25257C47" w14:textId="6472E7D5" w:rsidR="00C81EB1" w:rsidRPr="00AB4EBB" w:rsidRDefault="00C81EB1" w:rsidP="00643042">
                            <w:pPr>
                              <w:rPr>
                                <w:b/>
                              </w:rPr>
                            </w:pPr>
                            <w:r>
                              <w:rPr>
                                <w:b/>
                              </w:rPr>
                              <w:t>453,9</w:t>
                            </w:r>
                            <w:r w:rsidRPr="00AB4EBB">
                              <w:rPr>
                                <w:b/>
                              </w:rPr>
                              <w:t xml:space="preserve"> 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B5CF3" id="Textové pole 56" o:spid="_x0000_s1027" type="#_x0000_t202" style="position:absolute;left:0;text-align:left;margin-left:107.55pt;margin-top:12.3pt;width:40.1pt;height: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" fillcolor="white [3201]" stroked="f" strokeweight=".5pt">
                <v:textbox>
                  <w:txbxContent>
                    <w:p w14:paraId="25257C47" w14:textId="6472E7D5" w:rsidR="00C81EB1" w:rsidRPr="00AB4EBB" w:rsidRDefault="00C81EB1" w:rsidP="00643042">
                      <w:pPr>
                        <w:rPr>
                          <w:b/>
                        </w:rPr>
                      </w:pPr>
                      <w:r>
                        <w:rPr>
                          <w:b/>
                        </w:rPr>
                        <w:t>453,9</w:t>
                      </w:r>
                      <w:r w:rsidRPr="00AB4EBB">
                        <w:rPr>
                          <w:b/>
                        </w:rPr>
                        <w:t xml:space="preserve"> tis.</w:t>
                      </w:r>
                    </w:p>
                  </w:txbxContent>
                </v:textbox>
              </v:shape>
            </w:pict>
          </mc:Fallback>
        </mc:AlternateContent>
      </w:r>
    </w:p>
    <w:p w14:paraId="629A314C" w14:textId="29AD9D84" w:rsidR="00643042" w:rsidRDefault="00643042" w:rsidP="005D6703">
      <w:pPr>
        <w:jc w:val="both"/>
        <w:rPr>
          <w:rFonts w:cs="Arial"/>
          <w:sz w:val="16"/>
          <w:szCs w:val="16"/>
        </w:rPr>
      </w:pPr>
    </w:p>
    <w:p w14:paraId="6C481E5E" w14:textId="10600EB4" w:rsidR="00643042" w:rsidRDefault="00643042" w:rsidP="005D6703">
      <w:pPr>
        <w:jc w:val="both"/>
        <w:rPr>
          <w:rFonts w:cs="Arial"/>
          <w:sz w:val="16"/>
          <w:szCs w:val="16"/>
        </w:rPr>
      </w:pPr>
    </w:p>
    <w:p w14:paraId="5590D5DC" w14:textId="77777777" w:rsidR="00643042" w:rsidRDefault="00643042" w:rsidP="005D6703">
      <w:pPr>
        <w:jc w:val="both"/>
        <w:rPr>
          <w:rFonts w:cs="Arial"/>
          <w:sz w:val="16"/>
          <w:szCs w:val="16"/>
        </w:rPr>
      </w:pPr>
    </w:p>
    <w:p w14:paraId="4FF8004B" w14:textId="48E081F6" w:rsidR="005D6703" w:rsidRDefault="005D6703" w:rsidP="003366E8">
      <w:pPr>
        <w:jc w:val="both"/>
        <w:rPr>
          <w:rFonts w:cs="Arial"/>
          <w:sz w:val="16"/>
          <w:szCs w:val="16"/>
        </w:rPr>
      </w:pPr>
      <w:r>
        <w:rPr>
          <w:rFonts w:cs="Arial"/>
          <w:sz w:val="16"/>
          <w:szCs w:val="16"/>
        </w:rPr>
        <w:lastRenderedPageBreak/>
        <w:t>Zdroj: ČSÚ</w:t>
      </w:r>
    </w:p>
    <w:p w14:paraId="3ED701F6" w14:textId="51EEDA88" w:rsidR="00907B59" w:rsidRDefault="00907B59" w:rsidP="00907B59">
      <w:pPr>
        <w:jc w:val="both"/>
        <w:rPr>
          <w:noProof/>
        </w:rPr>
      </w:pPr>
      <w:r>
        <w:rPr>
          <w:noProof/>
        </w:rPr>
        <w:t>Při srovnání současného stavu počtu nově hlášených případů s 1. pol. 2008 je zde patrný pokles pracovní neschopno</w:t>
      </w:r>
      <w:r w:rsidR="009975B3">
        <w:rPr>
          <w:noProof/>
        </w:rPr>
        <w:t xml:space="preserve">sti o 151 tis. případů (13 %). </w:t>
      </w:r>
      <w:r>
        <w:rPr>
          <w:noProof/>
        </w:rPr>
        <w:t>To potvrzuje i relativní ukazatel. Zatímco v 1. pol. 2008 připadalo na 100 pojištěnců téměř 25 případů pracovní neschopnosti, mezi roky 2009–2016 počet nepřekročil hranici 20 případů na 100 pojištěnců. V 1. pol. 2019 připadalo na 100 pojištěnců 20,6 hlášení pracovní neschopnosti.</w:t>
      </w:r>
      <w:r w:rsidR="009975B3">
        <w:rPr>
          <w:noProof/>
        </w:rPr>
        <w:t xml:space="preserve"> </w:t>
      </w:r>
      <w:r>
        <w:rPr>
          <w:noProof/>
        </w:rPr>
        <w:t xml:space="preserve">To je o 1,5 </w:t>
      </w:r>
      <w:r w:rsidR="00F25CD1">
        <w:rPr>
          <w:noProof/>
        </w:rPr>
        <w:t>případů</w:t>
      </w:r>
      <w:r>
        <w:rPr>
          <w:noProof/>
        </w:rPr>
        <w:t xml:space="preserve"> méně než za stejné období předchozího roku a o 7 více než v 1. pol. 2012. To byl vzhledem ke 100 pojištěncům zaznamenán vůbec nejnižší poměr neschopenek, a sice 13,6 případů. </w:t>
      </w:r>
    </w:p>
    <w:p w14:paraId="182DF6F9" w14:textId="0346BCCF" w:rsidR="00907B59" w:rsidRDefault="00AB4EBB" w:rsidP="0064109D">
      <w:pPr>
        <w:spacing w:after="120"/>
        <w:jc w:val="both"/>
        <w:rPr>
          <w:b/>
        </w:rPr>
      </w:pPr>
      <w:r w:rsidRPr="00AB4EBB">
        <w:rPr>
          <w:b/>
        </w:rPr>
        <w:t>Graf 2.2</w:t>
      </w:r>
      <w:r>
        <w:rPr>
          <w:b/>
        </w:rPr>
        <w:t>:</w:t>
      </w:r>
      <w:r w:rsidRPr="00AB4EBB">
        <w:rPr>
          <w:b/>
        </w:rPr>
        <w:t xml:space="preserve"> Nově hlášené případy dočasné pracovní n</w:t>
      </w:r>
      <w:r w:rsidR="00105FD2">
        <w:rPr>
          <w:b/>
        </w:rPr>
        <w:t>eschopnosti na 100 pojištěnců v </w:t>
      </w:r>
      <w:r w:rsidRPr="00AB4EBB">
        <w:rPr>
          <w:b/>
        </w:rPr>
        <w:t xml:space="preserve">1. pol. </w:t>
      </w:r>
      <w:r w:rsidR="0069663C">
        <w:rPr>
          <w:b/>
        </w:rPr>
        <w:br/>
      </w:r>
      <w:r w:rsidRPr="00AB4EBB">
        <w:rPr>
          <w:b/>
        </w:rPr>
        <w:t>2008 –</w:t>
      </w:r>
      <w:r w:rsidR="00105FD2">
        <w:rPr>
          <w:b/>
        </w:rPr>
        <w:t> 1</w:t>
      </w:r>
      <w:r w:rsidRPr="00AB4EBB">
        <w:rPr>
          <w:b/>
        </w:rPr>
        <w:t>.</w:t>
      </w:r>
      <w:r w:rsidR="00105FD2">
        <w:rPr>
          <w:b/>
        </w:rPr>
        <w:t> </w:t>
      </w:r>
      <w:r w:rsidRPr="00AB4EBB">
        <w:rPr>
          <w:b/>
        </w:rPr>
        <w:t>pol. 2019</w:t>
      </w:r>
    </w:p>
    <w:p w14:paraId="176A4C80" w14:textId="400F7839" w:rsidR="00DB4336" w:rsidRPr="00E91FAA" w:rsidRDefault="00AB4EBB" w:rsidP="00EB091A">
      <w:pPr>
        <w:rPr>
          <w:b/>
        </w:rPr>
      </w:pPr>
      <w:r>
        <w:rPr>
          <w:noProof/>
        </w:rPr>
        <w:drawing>
          <wp:inline distT="0" distB="0" distL="0" distR="0" wp14:anchorId="1751E008" wp14:editId="10D1C394">
            <wp:extent cx="6153150" cy="3352800"/>
            <wp:effectExtent l="0" t="0" r="0" b="0"/>
            <wp:docPr id="41" name="Graf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D36FB">
        <w:rPr>
          <w:rFonts w:cs="Arial"/>
          <w:sz w:val="16"/>
          <w:szCs w:val="16"/>
        </w:rPr>
        <w:t>Zdroj: ČSÚ</w:t>
      </w:r>
    </w:p>
    <w:p w14:paraId="0DADAACC" w14:textId="77777777" w:rsidR="00F711D4" w:rsidRDefault="00907B59" w:rsidP="00907B59">
      <w:pPr>
        <w:jc w:val="both"/>
        <w:rPr>
          <w:rFonts w:cs="Arial"/>
        </w:rPr>
      </w:pPr>
      <w:r w:rsidRPr="00F66ABA">
        <w:rPr>
          <w:rFonts w:cs="Arial"/>
          <w:b/>
        </w:rPr>
        <w:t>Dopad legislativních změn</w:t>
      </w:r>
      <w:r>
        <w:rPr>
          <w:rFonts w:cs="Arial"/>
        </w:rPr>
        <w:t xml:space="preserve"> na četnost</w:t>
      </w:r>
      <w:r w:rsidRPr="00AD787C">
        <w:rPr>
          <w:rFonts w:cs="Arial"/>
        </w:rPr>
        <w:t xml:space="preserve"> případů pracovní neschopnosti </w:t>
      </w:r>
      <w:r>
        <w:rPr>
          <w:rFonts w:cs="Arial"/>
        </w:rPr>
        <w:t>je zřejmý na vývoji počtu</w:t>
      </w:r>
      <w:r w:rsidRPr="00AD787C">
        <w:rPr>
          <w:rFonts w:cs="Arial"/>
        </w:rPr>
        <w:t xml:space="preserve"> případ</w:t>
      </w:r>
      <w:r>
        <w:rPr>
          <w:rFonts w:cs="Arial"/>
        </w:rPr>
        <w:t>ů</w:t>
      </w:r>
      <w:r w:rsidRPr="00AD787C">
        <w:rPr>
          <w:rFonts w:cs="Arial"/>
        </w:rPr>
        <w:t xml:space="preserve"> pracovní neschopnosti pro nemoc, počty případů pracovní neschopnosti pro pracovní i ostatní úrazy jsou </w:t>
      </w:r>
      <w:r>
        <w:rPr>
          <w:rFonts w:cs="Arial"/>
        </w:rPr>
        <w:t>těmito změnami</w:t>
      </w:r>
      <w:r w:rsidRPr="00AD787C">
        <w:rPr>
          <w:rFonts w:cs="Arial"/>
        </w:rPr>
        <w:t xml:space="preserve"> ovlivněny méně. Legislativní úpravy ve vyplácení dávek nemocenského se nejvíce projevují v četnosti případů méně závažných a krátkodobých pracovních neschopností, například u nemoc</w:t>
      </w:r>
      <w:r>
        <w:rPr>
          <w:rFonts w:cs="Arial"/>
        </w:rPr>
        <w:t>í</w:t>
      </w:r>
      <w:r w:rsidRPr="00AD787C">
        <w:rPr>
          <w:rFonts w:cs="Arial"/>
        </w:rPr>
        <w:t xml:space="preserve"> dýchacích cest (běžná nachlazení, záněty</w:t>
      </w:r>
      <w:r w:rsidR="00922112">
        <w:rPr>
          <w:rFonts w:cs="Arial"/>
        </w:rPr>
        <w:t xml:space="preserve"> horních cest dýchacích apod.). </w:t>
      </w:r>
      <w:r w:rsidRPr="00AD787C">
        <w:rPr>
          <w:rFonts w:cs="Arial"/>
        </w:rPr>
        <w:t>Vzhledem k</w:t>
      </w:r>
      <w:r>
        <w:rPr>
          <w:rFonts w:cs="Arial"/>
        </w:rPr>
        <w:t> </w:t>
      </w:r>
      <w:r w:rsidRPr="00AD787C">
        <w:rPr>
          <w:rFonts w:cs="Arial"/>
        </w:rPr>
        <w:t>tomu,</w:t>
      </w:r>
      <w:r w:rsidRPr="00AD787C">
        <w:rPr>
          <w:rFonts w:cs="Arial"/>
          <w:b/>
        </w:rPr>
        <w:t xml:space="preserve"> </w:t>
      </w:r>
      <w:r w:rsidRPr="00AD787C">
        <w:rPr>
          <w:rFonts w:cs="Arial"/>
        </w:rPr>
        <w:t>že</w:t>
      </w:r>
      <w:r w:rsidRPr="00AD787C">
        <w:rPr>
          <w:rFonts w:cs="Arial"/>
          <w:b/>
        </w:rPr>
        <w:t xml:space="preserve"> </w:t>
      </w:r>
      <w:r>
        <w:rPr>
          <w:rFonts w:cs="Arial"/>
        </w:rPr>
        <w:t>v</w:t>
      </w:r>
      <w:r w:rsidRPr="00AD787C">
        <w:rPr>
          <w:rFonts w:cs="Arial"/>
        </w:rPr>
        <w:t xml:space="preserve"> </w:t>
      </w:r>
      <w:r>
        <w:rPr>
          <w:rFonts w:cs="Arial"/>
        </w:rPr>
        <w:t xml:space="preserve">1. pol. </w:t>
      </w:r>
      <w:r w:rsidRPr="00AD787C">
        <w:rPr>
          <w:rFonts w:cs="Arial"/>
        </w:rPr>
        <w:t xml:space="preserve">2008, resp. </w:t>
      </w:r>
      <w:r>
        <w:rPr>
          <w:rFonts w:cs="Arial"/>
        </w:rPr>
        <w:t xml:space="preserve">od 1. 1. </w:t>
      </w:r>
      <w:r w:rsidRPr="00AD787C">
        <w:rPr>
          <w:rFonts w:cs="Arial"/>
        </w:rPr>
        <w:t>2009,</w:t>
      </w:r>
      <w:r w:rsidRPr="00AD787C">
        <w:rPr>
          <w:rFonts w:cs="Arial"/>
          <w:b/>
        </w:rPr>
        <w:t xml:space="preserve"> </w:t>
      </w:r>
      <w:r w:rsidRPr="00AD787C">
        <w:rPr>
          <w:rFonts w:cs="Arial"/>
        </w:rPr>
        <w:t>b</w:t>
      </w:r>
      <w:r>
        <w:rPr>
          <w:rFonts w:cs="Arial"/>
        </w:rPr>
        <w:t>yla zavedena tzv. karenční doba</w:t>
      </w:r>
      <w:r>
        <w:rPr>
          <w:rStyle w:val="Znakapoznpodarou"/>
          <w:rFonts w:cs="Arial"/>
        </w:rPr>
        <w:footnoteReference w:id="1"/>
      </w:r>
      <w:r w:rsidRPr="00AD787C">
        <w:rPr>
          <w:rFonts w:cs="Arial"/>
        </w:rPr>
        <w:t xml:space="preserve"> </w:t>
      </w:r>
      <w:r>
        <w:rPr>
          <w:rFonts w:cs="Arial"/>
        </w:rPr>
        <w:t>(</w:t>
      </w:r>
      <w:r w:rsidRPr="00AD787C">
        <w:rPr>
          <w:rFonts w:cs="Arial"/>
        </w:rPr>
        <w:t>za první tři dny pracovní neschopnost</w:t>
      </w:r>
      <w:r>
        <w:rPr>
          <w:rFonts w:cs="Arial"/>
        </w:rPr>
        <w:t>i nepřísluší zaměstnanci náhrada</w:t>
      </w:r>
      <w:r w:rsidRPr="00AD787C">
        <w:rPr>
          <w:rFonts w:cs="Arial"/>
        </w:rPr>
        <w:t xml:space="preserve"> mzdy nebo platu</w:t>
      </w:r>
      <w:r>
        <w:rPr>
          <w:rFonts w:cs="Arial"/>
        </w:rPr>
        <w:t>)</w:t>
      </w:r>
      <w:r w:rsidRPr="00AD787C">
        <w:rPr>
          <w:rFonts w:cs="Arial"/>
        </w:rPr>
        <w:t xml:space="preserve">, v některých případech lidé raději </w:t>
      </w:r>
      <w:r>
        <w:rPr>
          <w:rFonts w:cs="Arial"/>
        </w:rPr>
        <w:t>situaci řeší</w:t>
      </w:r>
      <w:r w:rsidRPr="00AD787C">
        <w:rPr>
          <w:rFonts w:cs="Arial"/>
        </w:rPr>
        <w:t xml:space="preserve"> </w:t>
      </w:r>
      <w:r>
        <w:rPr>
          <w:rFonts w:cs="Arial"/>
        </w:rPr>
        <w:t xml:space="preserve">krátkodobou </w:t>
      </w:r>
      <w:r w:rsidRPr="00AD787C">
        <w:rPr>
          <w:rFonts w:cs="Arial"/>
        </w:rPr>
        <w:t>dovolenou</w:t>
      </w:r>
      <w:r>
        <w:rPr>
          <w:rFonts w:cs="Arial"/>
        </w:rPr>
        <w:t>, příp.</w:t>
      </w:r>
      <w:r w:rsidRPr="00AD787C">
        <w:rPr>
          <w:rFonts w:cs="Arial"/>
        </w:rPr>
        <w:t xml:space="preserve"> </w:t>
      </w:r>
      <w:r>
        <w:rPr>
          <w:rFonts w:cs="Arial"/>
        </w:rPr>
        <w:t xml:space="preserve">pomocí tzv. </w:t>
      </w:r>
      <w:r w:rsidRPr="00AD787C">
        <w:rPr>
          <w:rFonts w:cs="Arial"/>
          <w:lang w:val="en-US"/>
        </w:rPr>
        <w:t>sick days</w:t>
      </w:r>
      <w:r>
        <w:rPr>
          <w:rFonts w:cs="Arial"/>
          <w:lang w:val="en-US"/>
        </w:rPr>
        <w:t xml:space="preserve"> (</w:t>
      </w:r>
      <w:r w:rsidRPr="00A07459">
        <w:rPr>
          <w:rFonts w:cs="Arial"/>
        </w:rPr>
        <w:t>česky</w:t>
      </w:r>
      <w:r>
        <w:rPr>
          <w:rFonts w:cs="Arial"/>
          <w:lang w:val="en-US"/>
        </w:rPr>
        <w:t xml:space="preserve"> </w:t>
      </w:r>
      <w:r w:rsidRPr="00A07459">
        <w:rPr>
          <w:rFonts w:cs="Arial"/>
        </w:rPr>
        <w:t>indispoziční volno</w:t>
      </w:r>
      <w:r>
        <w:rPr>
          <w:rFonts w:cs="Arial"/>
          <w:lang w:val="en-US"/>
        </w:rPr>
        <w:t xml:space="preserve">) – </w:t>
      </w:r>
      <w:r>
        <w:t>krátké placené pracovní volno, které si zaměstnanec může čerpat bez lékařského potvrzení.</w:t>
      </w:r>
      <w:r>
        <w:rPr>
          <w:rFonts w:cs="Arial"/>
        </w:rPr>
        <w:t xml:space="preserve"> Tyto placené dny zdravotního volna patří k zaměstnaneckým benefitům u stále většího počtu zaměstnavatelů a objevila se i snaha uzákonit je jako povinné</w:t>
      </w:r>
      <w:r w:rsidRPr="00AD787C">
        <w:rPr>
          <w:rFonts w:cs="Arial"/>
        </w:rPr>
        <w:t>.</w:t>
      </w:r>
    </w:p>
    <w:p w14:paraId="32C196F7" w14:textId="77777777" w:rsidR="00F711D4" w:rsidRDefault="00F711D4">
      <w:pPr>
        <w:spacing w:after="0" w:line="240" w:lineRule="auto"/>
        <w:rPr>
          <w:rFonts w:cs="Arial"/>
        </w:rPr>
      </w:pPr>
      <w:r>
        <w:rPr>
          <w:rFonts w:cs="Arial"/>
        </w:rPr>
        <w:br w:type="page"/>
      </w:r>
    </w:p>
    <w:p w14:paraId="6A27FE6B" w14:textId="77777777" w:rsidR="00152E1E" w:rsidRDefault="00152E1E" w:rsidP="0064109D">
      <w:pPr>
        <w:spacing w:after="120"/>
        <w:jc w:val="both"/>
        <w:rPr>
          <w:b/>
        </w:rPr>
      </w:pPr>
      <w:r w:rsidRPr="00152E1E">
        <w:rPr>
          <w:b/>
        </w:rPr>
        <w:t>Graf 2.3: Nově hlášené případy dočasné pracovní neschopnosti na 100 pojištěnců dle odvětví ekonomické činnosti (sekcí CZ-NACE) v 1. pol. 2019</w:t>
      </w:r>
    </w:p>
    <w:p w14:paraId="749F8AAA" w14:textId="4E8C73CC" w:rsidR="001E36E8" w:rsidRDefault="00152E1E" w:rsidP="001E36E8">
      <w:pPr>
        <w:jc w:val="both"/>
        <w:rPr>
          <w:rFonts w:cs="Arial"/>
          <w:sz w:val="16"/>
          <w:szCs w:val="16"/>
        </w:rPr>
      </w:pPr>
      <w:r>
        <w:rPr>
          <w:noProof/>
        </w:rPr>
        <w:lastRenderedPageBreak/>
        <w:drawing>
          <wp:inline distT="0" distB="0" distL="0" distR="0" wp14:anchorId="32913AAC" wp14:editId="67AD9C10">
            <wp:extent cx="6057900" cy="5400675"/>
            <wp:effectExtent l="0" t="0" r="0"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1E36E8">
        <w:rPr>
          <w:rFonts w:cs="Arial"/>
          <w:sz w:val="16"/>
          <w:szCs w:val="16"/>
        </w:rPr>
        <w:t>Zdroj: ČSÚ</w:t>
      </w:r>
    </w:p>
    <w:p w14:paraId="5A5E156E" w14:textId="77777777" w:rsidR="00907B59" w:rsidRDefault="00907B59" w:rsidP="00907B59">
      <w:pPr>
        <w:jc w:val="both"/>
        <w:rPr>
          <w:rFonts w:cs="Arial"/>
        </w:rPr>
      </w:pPr>
      <w:r>
        <w:rPr>
          <w:rFonts w:cs="Arial"/>
        </w:rPr>
        <w:t>Vliv uvedených legislativních změn na vývoj pracovní neschopnosti je patrný z grafu 2.2 – kdy už v 1. pololetí roku 2009 došlo k významnému poklesu počtu nově hlášených případů dočasné pracovní neschopnosti, který se zastavil až v roce 2013, kdy hodnoty pomalu nabraly vzrůstající tendenci. Počet hlášených případů v relaci na 100 pojištěnců je v 1. pol. 2019 (20,6 případů) na podobné úrovni jako v 1. pol. 2017 (20,4 případů).</w:t>
      </w:r>
    </w:p>
    <w:p w14:paraId="6668FB38" w14:textId="583F100B" w:rsidR="00F711D4" w:rsidRDefault="00907B59" w:rsidP="00907B59">
      <w:pPr>
        <w:jc w:val="both"/>
        <w:rPr>
          <w:rFonts w:cs="Arial"/>
        </w:rPr>
      </w:pPr>
      <w:r w:rsidRPr="00B31DCA">
        <w:rPr>
          <w:rFonts w:cs="Arial"/>
        </w:rPr>
        <w:t xml:space="preserve">Nejvíce nových případů dočasné pracovní neschopnosti bylo v 1. pol. 2019 nahlášeno v subjektech, které dle </w:t>
      </w:r>
      <w:r w:rsidRPr="00B31DCA">
        <w:rPr>
          <w:rFonts w:cs="Arial"/>
          <w:b/>
        </w:rPr>
        <w:t>převažující ekonomické činnosti</w:t>
      </w:r>
      <w:r w:rsidRPr="00B31DCA">
        <w:rPr>
          <w:rFonts w:cs="Arial"/>
        </w:rPr>
        <w:t xml:space="preserve"> spadají do odvětvové sekce Zpracovatelský průmysl (</w:t>
      </w:r>
      <w:r w:rsidR="00B564BA">
        <w:rPr>
          <w:rFonts w:cs="Arial"/>
        </w:rPr>
        <w:t>335</w:t>
      </w:r>
      <w:r w:rsidRPr="00B31DCA">
        <w:rPr>
          <w:rFonts w:cs="Arial"/>
        </w:rPr>
        <w:t xml:space="preserve"> tis. příp</w:t>
      </w:r>
      <w:r>
        <w:rPr>
          <w:rFonts w:cs="Arial"/>
        </w:rPr>
        <w:t>adů) a Velkoobchod a maloobchod;</w:t>
      </w:r>
      <w:r w:rsidRPr="00B31DCA">
        <w:rPr>
          <w:rFonts w:cs="Arial"/>
        </w:rPr>
        <w:t xml:space="preserve"> opravy a údržba motorových vozidel (1</w:t>
      </w:r>
      <w:r w:rsidR="00B564BA">
        <w:rPr>
          <w:rFonts w:cs="Arial"/>
        </w:rPr>
        <w:t>28</w:t>
      </w:r>
      <w:r w:rsidRPr="00B31DCA">
        <w:rPr>
          <w:rFonts w:cs="Arial"/>
        </w:rPr>
        <w:t xml:space="preserve"> tis. případů). Naopak nejméně bylo v absolutních číslech hlášeno v odvětvové sekci Těžba a dobývání (5 tis.) a Výroba a rozvod elektřiny a jiných energií (</w:t>
      </w:r>
      <w:r w:rsidR="00B564BA">
        <w:rPr>
          <w:rFonts w:cs="Arial"/>
        </w:rPr>
        <w:t>6</w:t>
      </w:r>
      <w:r w:rsidRPr="00B31DCA">
        <w:rPr>
          <w:rFonts w:cs="Arial"/>
        </w:rPr>
        <w:t xml:space="preserve"> tis.). Absolutní počty nově hlášených případů jsou ovšem ovlivněny odvětvovou strukturou národního hospodářství a zaměstnaností v jednotlivých odvětvích. Z toho důvodu má vyšší vypovídací schopnosti již zmíněný relativní ukazatel – počet nově hlášených případů na 100 pojištěnců v daném odvětví.</w:t>
      </w:r>
    </w:p>
    <w:p w14:paraId="06574FC4" w14:textId="77777777" w:rsidR="00F711D4" w:rsidRDefault="00F711D4">
      <w:pPr>
        <w:spacing w:after="0" w:line="240" w:lineRule="auto"/>
        <w:rPr>
          <w:rFonts w:cs="Arial"/>
        </w:rPr>
      </w:pPr>
      <w:r>
        <w:rPr>
          <w:rFonts w:cs="Arial"/>
        </w:rPr>
        <w:br w:type="page"/>
      </w:r>
    </w:p>
    <w:p w14:paraId="4469276D" w14:textId="15557F91" w:rsidR="00355A67" w:rsidRPr="00152E1E" w:rsidRDefault="00355A67" w:rsidP="00905115">
      <w:pPr>
        <w:spacing w:after="120"/>
        <w:jc w:val="both"/>
        <w:rPr>
          <w:rFonts w:cs="Arial"/>
          <w:b/>
          <w:bCs/>
          <w:color w:val="000000"/>
          <w:szCs w:val="20"/>
        </w:rPr>
      </w:pPr>
      <w:r w:rsidRPr="00355A67">
        <w:rPr>
          <w:rFonts w:cs="Arial"/>
          <w:b/>
          <w:bCs/>
          <w:color w:val="000000"/>
          <w:szCs w:val="20"/>
        </w:rPr>
        <w:t>Tab. 2.2</w:t>
      </w:r>
      <w:r w:rsidR="00905115">
        <w:rPr>
          <w:rFonts w:cs="Arial"/>
          <w:b/>
          <w:bCs/>
          <w:color w:val="000000"/>
          <w:szCs w:val="20"/>
        </w:rPr>
        <w:t xml:space="preserve">: </w:t>
      </w:r>
      <w:r w:rsidRPr="00355A67">
        <w:rPr>
          <w:rFonts w:cs="Arial"/>
          <w:b/>
          <w:bCs/>
          <w:color w:val="000000"/>
          <w:szCs w:val="20"/>
        </w:rPr>
        <w:t xml:space="preserve">Nově hlášené případy dočasné pracovní neschopnosti na 100 pojištěnců dle odvětví ekonomické činnosti </w:t>
      </w:r>
      <w:r w:rsidR="006E5D1E">
        <w:rPr>
          <w:rFonts w:cs="Arial"/>
          <w:b/>
          <w:bCs/>
          <w:color w:val="000000"/>
          <w:szCs w:val="20"/>
        </w:rPr>
        <w:t xml:space="preserve">(sekcí CZ-NACE) </w:t>
      </w:r>
      <w:r w:rsidRPr="00355A67">
        <w:rPr>
          <w:rFonts w:cs="Arial"/>
          <w:b/>
          <w:bCs/>
          <w:color w:val="000000"/>
          <w:szCs w:val="20"/>
        </w:rPr>
        <w:t xml:space="preserve">v </w:t>
      </w:r>
      <w:r w:rsidR="006E5D1E">
        <w:rPr>
          <w:rFonts w:cs="Arial"/>
          <w:b/>
          <w:bCs/>
          <w:color w:val="000000"/>
          <w:szCs w:val="20"/>
        </w:rPr>
        <w:t>1. pol. 2010 – 1. pol. 2019</w:t>
      </w:r>
    </w:p>
    <w:tbl>
      <w:tblPr>
        <w:tblW w:w="9575" w:type="dxa"/>
        <w:tblCellMar>
          <w:left w:w="70" w:type="dxa"/>
          <w:right w:w="70" w:type="dxa"/>
        </w:tblCellMar>
        <w:tblLook w:val="04A0" w:firstRow="1" w:lastRow="0" w:firstColumn="1" w:lastColumn="0" w:noHBand="0" w:noVBand="1"/>
      </w:tblPr>
      <w:tblGrid>
        <w:gridCol w:w="3289"/>
        <w:gridCol w:w="628"/>
        <w:gridCol w:w="628"/>
        <w:gridCol w:w="628"/>
        <w:gridCol w:w="628"/>
        <w:gridCol w:w="628"/>
        <w:gridCol w:w="628"/>
        <w:gridCol w:w="628"/>
        <w:gridCol w:w="628"/>
        <w:gridCol w:w="628"/>
        <w:gridCol w:w="628"/>
        <w:gridCol w:w="6"/>
      </w:tblGrid>
      <w:tr w:rsidR="00170240" w:rsidRPr="00170240" w14:paraId="0BABD675" w14:textId="77777777" w:rsidTr="00905115">
        <w:trPr>
          <w:trHeight w:val="306"/>
        </w:trPr>
        <w:tc>
          <w:tcPr>
            <w:tcW w:w="3289" w:type="dxa"/>
            <w:vMerge w:val="restart"/>
            <w:tcBorders>
              <w:top w:val="single" w:sz="4" w:space="0" w:color="auto"/>
              <w:left w:val="nil"/>
              <w:bottom w:val="single" w:sz="4" w:space="0" w:color="000000"/>
              <w:right w:val="nil"/>
            </w:tcBorders>
            <w:shd w:val="clear" w:color="000000" w:fill="F2DCDB"/>
            <w:vAlign w:val="center"/>
            <w:hideMark/>
          </w:tcPr>
          <w:p w14:paraId="759E78C0" w14:textId="77777777" w:rsidR="00170240" w:rsidRPr="00170240" w:rsidRDefault="00170240" w:rsidP="00170240">
            <w:pPr>
              <w:spacing w:after="0" w:line="240" w:lineRule="auto"/>
              <w:jc w:val="center"/>
              <w:rPr>
                <w:rFonts w:ascii="Arial CE" w:hAnsi="Arial CE" w:cs="Arial CE"/>
                <w:sz w:val="16"/>
                <w:szCs w:val="16"/>
              </w:rPr>
            </w:pPr>
            <w:r w:rsidRPr="00170240">
              <w:rPr>
                <w:rFonts w:ascii="Arial CE" w:hAnsi="Arial CE" w:cs="Arial CE"/>
                <w:sz w:val="16"/>
                <w:szCs w:val="16"/>
              </w:rPr>
              <w:t>Sekce CZ-NACE</w:t>
            </w:r>
          </w:p>
        </w:tc>
        <w:tc>
          <w:tcPr>
            <w:tcW w:w="6286" w:type="dxa"/>
            <w:gridSpan w:val="11"/>
            <w:tcBorders>
              <w:top w:val="single" w:sz="4" w:space="0" w:color="auto"/>
              <w:left w:val="single" w:sz="4" w:space="0" w:color="auto"/>
              <w:bottom w:val="single" w:sz="4" w:space="0" w:color="auto"/>
              <w:right w:val="nil"/>
            </w:tcBorders>
            <w:shd w:val="clear" w:color="000000" w:fill="F2DCDB"/>
            <w:vAlign w:val="center"/>
            <w:hideMark/>
          </w:tcPr>
          <w:p w14:paraId="5B8B5795" w14:textId="77777777" w:rsidR="00170240" w:rsidRPr="00170240" w:rsidRDefault="00170240" w:rsidP="00905115">
            <w:pPr>
              <w:spacing w:after="0" w:line="240" w:lineRule="auto"/>
              <w:jc w:val="center"/>
              <w:rPr>
                <w:rFonts w:ascii="Arial CE" w:hAnsi="Arial CE" w:cs="Arial CE"/>
                <w:sz w:val="16"/>
                <w:szCs w:val="16"/>
              </w:rPr>
            </w:pPr>
            <w:r w:rsidRPr="00170240">
              <w:rPr>
                <w:rFonts w:ascii="Arial CE" w:hAnsi="Arial CE" w:cs="Arial CE"/>
                <w:sz w:val="16"/>
                <w:szCs w:val="16"/>
              </w:rPr>
              <w:t>Počet nově hlášených případů dočasné pracovní neschopnosti na 100 pojištěnců</w:t>
            </w:r>
          </w:p>
        </w:tc>
      </w:tr>
      <w:tr w:rsidR="00170240" w:rsidRPr="00170240" w14:paraId="66201AFE" w14:textId="77777777" w:rsidTr="00905115">
        <w:trPr>
          <w:gridAfter w:val="1"/>
          <w:wAfter w:w="6" w:type="dxa"/>
          <w:trHeight w:val="459"/>
        </w:trPr>
        <w:tc>
          <w:tcPr>
            <w:tcW w:w="3289" w:type="dxa"/>
            <w:vMerge/>
            <w:tcBorders>
              <w:top w:val="single" w:sz="4" w:space="0" w:color="auto"/>
              <w:left w:val="nil"/>
              <w:bottom w:val="single" w:sz="4" w:space="0" w:color="000000"/>
              <w:right w:val="nil"/>
            </w:tcBorders>
            <w:vAlign w:val="center"/>
            <w:hideMark/>
          </w:tcPr>
          <w:p w14:paraId="5A4F0C7C" w14:textId="77777777" w:rsidR="00170240" w:rsidRPr="00170240" w:rsidRDefault="00170240" w:rsidP="00170240">
            <w:pPr>
              <w:spacing w:after="0" w:line="240" w:lineRule="auto"/>
              <w:rPr>
                <w:rFonts w:ascii="Arial CE" w:hAnsi="Arial CE" w:cs="Arial CE"/>
                <w:sz w:val="16"/>
                <w:szCs w:val="16"/>
              </w:rPr>
            </w:pPr>
          </w:p>
        </w:tc>
        <w:tc>
          <w:tcPr>
            <w:tcW w:w="628" w:type="dxa"/>
            <w:tcBorders>
              <w:top w:val="nil"/>
              <w:left w:val="single" w:sz="4" w:space="0" w:color="auto"/>
              <w:bottom w:val="single" w:sz="4" w:space="0" w:color="auto"/>
              <w:right w:val="single" w:sz="4" w:space="0" w:color="auto"/>
            </w:tcBorders>
            <w:shd w:val="clear" w:color="000000" w:fill="F2DCDB"/>
            <w:vAlign w:val="center"/>
            <w:hideMark/>
          </w:tcPr>
          <w:p w14:paraId="259EE3EA"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2010</w:t>
            </w:r>
          </w:p>
        </w:tc>
        <w:tc>
          <w:tcPr>
            <w:tcW w:w="628" w:type="dxa"/>
            <w:tcBorders>
              <w:top w:val="nil"/>
              <w:left w:val="nil"/>
              <w:bottom w:val="single" w:sz="4" w:space="0" w:color="auto"/>
              <w:right w:val="single" w:sz="4" w:space="0" w:color="auto"/>
            </w:tcBorders>
            <w:shd w:val="clear" w:color="000000" w:fill="F2DCDB"/>
            <w:vAlign w:val="center"/>
            <w:hideMark/>
          </w:tcPr>
          <w:p w14:paraId="5B9A4CF1"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2011</w:t>
            </w:r>
          </w:p>
        </w:tc>
        <w:tc>
          <w:tcPr>
            <w:tcW w:w="628" w:type="dxa"/>
            <w:tcBorders>
              <w:top w:val="nil"/>
              <w:left w:val="nil"/>
              <w:bottom w:val="single" w:sz="4" w:space="0" w:color="auto"/>
              <w:right w:val="single" w:sz="4" w:space="0" w:color="auto"/>
            </w:tcBorders>
            <w:shd w:val="clear" w:color="000000" w:fill="F2DCDB"/>
            <w:vAlign w:val="center"/>
            <w:hideMark/>
          </w:tcPr>
          <w:p w14:paraId="49869796"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2012</w:t>
            </w:r>
          </w:p>
        </w:tc>
        <w:tc>
          <w:tcPr>
            <w:tcW w:w="628" w:type="dxa"/>
            <w:tcBorders>
              <w:top w:val="nil"/>
              <w:left w:val="nil"/>
              <w:bottom w:val="single" w:sz="4" w:space="0" w:color="auto"/>
              <w:right w:val="single" w:sz="4" w:space="0" w:color="auto"/>
            </w:tcBorders>
            <w:shd w:val="clear" w:color="000000" w:fill="F2DCDB"/>
            <w:vAlign w:val="center"/>
            <w:hideMark/>
          </w:tcPr>
          <w:p w14:paraId="4B722DC2"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2013</w:t>
            </w:r>
          </w:p>
        </w:tc>
        <w:tc>
          <w:tcPr>
            <w:tcW w:w="628" w:type="dxa"/>
            <w:tcBorders>
              <w:top w:val="nil"/>
              <w:left w:val="nil"/>
              <w:bottom w:val="single" w:sz="4" w:space="0" w:color="auto"/>
              <w:right w:val="single" w:sz="4" w:space="0" w:color="auto"/>
            </w:tcBorders>
            <w:shd w:val="clear" w:color="000000" w:fill="F2DCDB"/>
            <w:vAlign w:val="center"/>
            <w:hideMark/>
          </w:tcPr>
          <w:p w14:paraId="76524443"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2014</w:t>
            </w:r>
          </w:p>
        </w:tc>
        <w:tc>
          <w:tcPr>
            <w:tcW w:w="628" w:type="dxa"/>
            <w:tcBorders>
              <w:top w:val="nil"/>
              <w:left w:val="nil"/>
              <w:bottom w:val="single" w:sz="4" w:space="0" w:color="auto"/>
              <w:right w:val="single" w:sz="4" w:space="0" w:color="auto"/>
            </w:tcBorders>
            <w:shd w:val="clear" w:color="000000" w:fill="F2DCDB"/>
            <w:vAlign w:val="center"/>
            <w:hideMark/>
          </w:tcPr>
          <w:p w14:paraId="4D11C7E8"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2015</w:t>
            </w:r>
          </w:p>
        </w:tc>
        <w:tc>
          <w:tcPr>
            <w:tcW w:w="628" w:type="dxa"/>
            <w:tcBorders>
              <w:top w:val="nil"/>
              <w:left w:val="nil"/>
              <w:bottom w:val="single" w:sz="4" w:space="0" w:color="auto"/>
              <w:right w:val="single" w:sz="4" w:space="0" w:color="auto"/>
            </w:tcBorders>
            <w:shd w:val="clear" w:color="000000" w:fill="F2DCDB"/>
            <w:vAlign w:val="center"/>
            <w:hideMark/>
          </w:tcPr>
          <w:p w14:paraId="3E2EFC01"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2016</w:t>
            </w:r>
          </w:p>
        </w:tc>
        <w:tc>
          <w:tcPr>
            <w:tcW w:w="628" w:type="dxa"/>
            <w:tcBorders>
              <w:top w:val="nil"/>
              <w:left w:val="nil"/>
              <w:bottom w:val="single" w:sz="4" w:space="0" w:color="auto"/>
              <w:right w:val="single" w:sz="4" w:space="0" w:color="auto"/>
            </w:tcBorders>
            <w:shd w:val="clear" w:color="000000" w:fill="F2DCDB"/>
            <w:vAlign w:val="center"/>
            <w:hideMark/>
          </w:tcPr>
          <w:p w14:paraId="2B867B58"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2017</w:t>
            </w:r>
          </w:p>
        </w:tc>
        <w:tc>
          <w:tcPr>
            <w:tcW w:w="628" w:type="dxa"/>
            <w:tcBorders>
              <w:top w:val="nil"/>
              <w:left w:val="nil"/>
              <w:bottom w:val="single" w:sz="4" w:space="0" w:color="auto"/>
              <w:right w:val="nil"/>
            </w:tcBorders>
            <w:shd w:val="clear" w:color="000000" w:fill="F2DCDB"/>
            <w:vAlign w:val="center"/>
            <w:hideMark/>
          </w:tcPr>
          <w:p w14:paraId="6136B5A9"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2018</w:t>
            </w:r>
          </w:p>
        </w:tc>
        <w:tc>
          <w:tcPr>
            <w:tcW w:w="628" w:type="dxa"/>
            <w:tcBorders>
              <w:top w:val="nil"/>
              <w:left w:val="single" w:sz="4" w:space="0" w:color="auto"/>
              <w:bottom w:val="single" w:sz="4" w:space="0" w:color="auto"/>
              <w:right w:val="nil"/>
            </w:tcBorders>
            <w:shd w:val="clear" w:color="000000" w:fill="F2DCDB"/>
            <w:vAlign w:val="center"/>
            <w:hideMark/>
          </w:tcPr>
          <w:p w14:paraId="0AE3F44E" w14:textId="77777777" w:rsidR="00170240" w:rsidRPr="00170240" w:rsidRDefault="00170240" w:rsidP="00905115">
            <w:pPr>
              <w:spacing w:after="0" w:line="240" w:lineRule="auto"/>
              <w:jc w:val="center"/>
              <w:rPr>
                <w:rFonts w:cs="Arial"/>
                <w:sz w:val="16"/>
                <w:szCs w:val="16"/>
              </w:rPr>
            </w:pPr>
            <w:r w:rsidRPr="00170240">
              <w:rPr>
                <w:rFonts w:cs="Arial"/>
                <w:sz w:val="16"/>
                <w:szCs w:val="16"/>
              </w:rPr>
              <w:t>1. pol. 2019</w:t>
            </w:r>
          </w:p>
        </w:tc>
      </w:tr>
      <w:tr w:rsidR="00170240" w:rsidRPr="00170240" w14:paraId="2C74B8BB"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78B86720" w14:textId="47DA2782" w:rsidR="00170240" w:rsidRPr="00170240" w:rsidRDefault="00740581" w:rsidP="00740581">
            <w:pPr>
              <w:spacing w:after="0" w:line="240" w:lineRule="auto"/>
              <w:rPr>
                <w:rFonts w:ascii="Arial CE" w:hAnsi="Arial CE" w:cs="Arial CE"/>
                <w:b/>
                <w:bCs/>
                <w:sz w:val="16"/>
                <w:szCs w:val="16"/>
              </w:rPr>
            </w:pPr>
            <w:r>
              <w:rPr>
                <w:rFonts w:ascii="Arial CE" w:hAnsi="Arial CE" w:cs="Arial CE"/>
                <w:b/>
                <w:bCs/>
                <w:sz w:val="16"/>
                <w:szCs w:val="16"/>
              </w:rPr>
              <w:t>Celkem</w:t>
            </w:r>
          </w:p>
        </w:tc>
        <w:tc>
          <w:tcPr>
            <w:tcW w:w="628" w:type="dxa"/>
            <w:tcBorders>
              <w:top w:val="nil"/>
              <w:left w:val="nil"/>
              <w:bottom w:val="nil"/>
              <w:right w:val="nil"/>
            </w:tcBorders>
            <w:shd w:val="clear" w:color="auto" w:fill="auto"/>
            <w:noWrap/>
            <w:vAlign w:val="center"/>
            <w:hideMark/>
          </w:tcPr>
          <w:p w14:paraId="55592332"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16,60</w:t>
            </w:r>
          </w:p>
        </w:tc>
        <w:tc>
          <w:tcPr>
            <w:tcW w:w="628" w:type="dxa"/>
            <w:tcBorders>
              <w:top w:val="nil"/>
              <w:left w:val="nil"/>
              <w:bottom w:val="nil"/>
              <w:right w:val="nil"/>
            </w:tcBorders>
            <w:shd w:val="clear" w:color="auto" w:fill="auto"/>
            <w:noWrap/>
            <w:vAlign w:val="center"/>
            <w:hideMark/>
          </w:tcPr>
          <w:p w14:paraId="57A816A5"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16,99</w:t>
            </w:r>
          </w:p>
        </w:tc>
        <w:tc>
          <w:tcPr>
            <w:tcW w:w="628" w:type="dxa"/>
            <w:tcBorders>
              <w:top w:val="nil"/>
              <w:left w:val="nil"/>
              <w:bottom w:val="nil"/>
              <w:right w:val="nil"/>
            </w:tcBorders>
            <w:shd w:val="clear" w:color="auto" w:fill="auto"/>
            <w:noWrap/>
            <w:vAlign w:val="center"/>
            <w:hideMark/>
          </w:tcPr>
          <w:p w14:paraId="66799DD8"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13,62</w:t>
            </w:r>
          </w:p>
        </w:tc>
        <w:tc>
          <w:tcPr>
            <w:tcW w:w="628" w:type="dxa"/>
            <w:tcBorders>
              <w:top w:val="nil"/>
              <w:left w:val="nil"/>
              <w:bottom w:val="nil"/>
              <w:right w:val="nil"/>
            </w:tcBorders>
            <w:shd w:val="clear" w:color="auto" w:fill="auto"/>
            <w:noWrap/>
            <w:vAlign w:val="center"/>
            <w:hideMark/>
          </w:tcPr>
          <w:p w14:paraId="62A94281"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17,09</w:t>
            </w:r>
          </w:p>
        </w:tc>
        <w:tc>
          <w:tcPr>
            <w:tcW w:w="628" w:type="dxa"/>
            <w:tcBorders>
              <w:top w:val="nil"/>
              <w:left w:val="nil"/>
              <w:bottom w:val="nil"/>
              <w:right w:val="nil"/>
            </w:tcBorders>
            <w:shd w:val="clear" w:color="auto" w:fill="auto"/>
            <w:noWrap/>
            <w:vAlign w:val="center"/>
            <w:hideMark/>
          </w:tcPr>
          <w:p w14:paraId="1269434E"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15,05</w:t>
            </w:r>
          </w:p>
        </w:tc>
        <w:tc>
          <w:tcPr>
            <w:tcW w:w="628" w:type="dxa"/>
            <w:tcBorders>
              <w:top w:val="nil"/>
              <w:left w:val="nil"/>
              <w:bottom w:val="nil"/>
              <w:right w:val="nil"/>
            </w:tcBorders>
            <w:shd w:val="clear" w:color="auto" w:fill="auto"/>
            <w:noWrap/>
            <w:vAlign w:val="center"/>
            <w:hideMark/>
          </w:tcPr>
          <w:p w14:paraId="6B47C526"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19,54</w:t>
            </w:r>
          </w:p>
        </w:tc>
        <w:tc>
          <w:tcPr>
            <w:tcW w:w="628" w:type="dxa"/>
            <w:tcBorders>
              <w:top w:val="nil"/>
              <w:left w:val="nil"/>
              <w:bottom w:val="nil"/>
              <w:right w:val="nil"/>
            </w:tcBorders>
            <w:shd w:val="clear" w:color="auto" w:fill="auto"/>
            <w:noWrap/>
            <w:vAlign w:val="center"/>
            <w:hideMark/>
          </w:tcPr>
          <w:p w14:paraId="3B633D63"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19,31</w:t>
            </w:r>
          </w:p>
        </w:tc>
        <w:tc>
          <w:tcPr>
            <w:tcW w:w="628" w:type="dxa"/>
            <w:tcBorders>
              <w:top w:val="nil"/>
              <w:left w:val="nil"/>
              <w:bottom w:val="nil"/>
              <w:right w:val="nil"/>
            </w:tcBorders>
            <w:shd w:val="clear" w:color="auto" w:fill="auto"/>
            <w:noWrap/>
            <w:vAlign w:val="center"/>
            <w:hideMark/>
          </w:tcPr>
          <w:p w14:paraId="6936DF18"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20,40</w:t>
            </w:r>
          </w:p>
        </w:tc>
        <w:tc>
          <w:tcPr>
            <w:tcW w:w="628" w:type="dxa"/>
            <w:tcBorders>
              <w:top w:val="nil"/>
              <w:left w:val="nil"/>
              <w:bottom w:val="nil"/>
              <w:right w:val="nil"/>
            </w:tcBorders>
            <w:shd w:val="clear" w:color="auto" w:fill="auto"/>
            <w:noWrap/>
            <w:vAlign w:val="center"/>
            <w:hideMark/>
          </w:tcPr>
          <w:p w14:paraId="79199DA4"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22,08</w:t>
            </w:r>
          </w:p>
        </w:tc>
        <w:tc>
          <w:tcPr>
            <w:tcW w:w="628" w:type="dxa"/>
            <w:tcBorders>
              <w:top w:val="nil"/>
              <w:left w:val="nil"/>
              <w:bottom w:val="nil"/>
              <w:right w:val="nil"/>
            </w:tcBorders>
            <w:shd w:val="clear" w:color="auto" w:fill="auto"/>
            <w:noWrap/>
            <w:vAlign w:val="center"/>
            <w:hideMark/>
          </w:tcPr>
          <w:p w14:paraId="66C19B6E" w14:textId="77777777" w:rsidR="00170240" w:rsidRPr="00170240" w:rsidRDefault="00170240" w:rsidP="00170240">
            <w:pPr>
              <w:spacing w:after="0" w:line="240" w:lineRule="auto"/>
              <w:jc w:val="right"/>
              <w:rPr>
                <w:rFonts w:cs="Arial"/>
                <w:b/>
                <w:bCs/>
                <w:color w:val="000000"/>
                <w:sz w:val="16"/>
                <w:szCs w:val="16"/>
              </w:rPr>
            </w:pPr>
            <w:r w:rsidRPr="00170240">
              <w:rPr>
                <w:rFonts w:cs="Arial"/>
                <w:b/>
                <w:bCs/>
                <w:color w:val="000000"/>
                <w:sz w:val="16"/>
                <w:szCs w:val="16"/>
              </w:rPr>
              <w:t>20,58</w:t>
            </w:r>
          </w:p>
        </w:tc>
      </w:tr>
      <w:tr w:rsidR="00170240" w:rsidRPr="00170240" w14:paraId="50E90DC4"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14DFBBBF"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lastRenderedPageBreak/>
              <w:t>A – Zemědělství, lesnictví a rybářství</w:t>
            </w:r>
          </w:p>
        </w:tc>
        <w:tc>
          <w:tcPr>
            <w:tcW w:w="628" w:type="dxa"/>
            <w:tcBorders>
              <w:top w:val="nil"/>
              <w:left w:val="nil"/>
              <w:bottom w:val="nil"/>
              <w:right w:val="nil"/>
            </w:tcBorders>
            <w:shd w:val="clear" w:color="auto" w:fill="auto"/>
            <w:noWrap/>
            <w:vAlign w:val="center"/>
            <w:hideMark/>
          </w:tcPr>
          <w:p w14:paraId="663251B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16,08</w:t>
            </w:r>
          </w:p>
        </w:tc>
        <w:tc>
          <w:tcPr>
            <w:tcW w:w="628" w:type="dxa"/>
            <w:tcBorders>
              <w:top w:val="nil"/>
              <w:left w:val="nil"/>
              <w:bottom w:val="nil"/>
              <w:right w:val="nil"/>
            </w:tcBorders>
            <w:shd w:val="clear" w:color="auto" w:fill="auto"/>
            <w:noWrap/>
            <w:vAlign w:val="center"/>
            <w:hideMark/>
          </w:tcPr>
          <w:p w14:paraId="3376F18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15,23</w:t>
            </w:r>
          </w:p>
        </w:tc>
        <w:tc>
          <w:tcPr>
            <w:tcW w:w="628" w:type="dxa"/>
            <w:tcBorders>
              <w:top w:val="nil"/>
              <w:left w:val="nil"/>
              <w:bottom w:val="nil"/>
              <w:right w:val="nil"/>
            </w:tcBorders>
            <w:shd w:val="clear" w:color="auto" w:fill="auto"/>
            <w:noWrap/>
            <w:vAlign w:val="center"/>
            <w:hideMark/>
          </w:tcPr>
          <w:p w14:paraId="751D1D3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12,97</w:t>
            </w:r>
          </w:p>
        </w:tc>
        <w:tc>
          <w:tcPr>
            <w:tcW w:w="628" w:type="dxa"/>
            <w:tcBorders>
              <w:top w:val="nil"/>
              <w:left w:val="nil"/>
              <w:bottom w:val="nil"/>
              <w:right w:val="nil"/>
            </w:tcBorders>
            <w:shd w:val="clear" w:color="auto" w:fill="auto"/>
            <w:noWrap/>
            <w:vAlign w:val="center"/>
            <w:hideMark/>
          </w:tcPr>
          <w:p w14:paraId="78F697E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15,70</w:t>
            </w:r>
          </w:p>
        </w:tc>
        <w:tc>
          <w:tcPr>
            <w:tcW w:w="628" w:type="dxa"/>
            <w:tcBorders>
              <w:top w:val="nil"/>
              <w:left w:val="nil"/>
              <w:bottom w:val="nil"/>
              <w:right w:val="nil"/>
            </w:tcBorders>
            <w:shd w:val="clear" w:color="auto" w:fill="auto"/>
            <w:noWrap/>
            <w:vAlign w:val="center"/>
            <w:hideMark/>
          </w:tcPr>
          <w:p w14:paraId="272E595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13,86</w:t>
            </w:r>
          </w:p>
        </w:tc>
        <w:tc>
          <w:tcPr>
            <w:tcW w:w="628" w:type="dxa"/>
            <w:tcBorders>
              <w:top w:val="nil"/>
              <w:left w:val="nil"/>
              <w:bottom w:val="nil"/>
              <w:right w:val="nil"/>
            </w:tcBorders>
            <w:shd w:val="clear" w:color="auto" w:fill="auto"/>
            <w:noWrap/>
            <w:vAlign w:val="center"/>
            <w:hideMark/>
          </w:tcPr>
          <w:p w14:paraId="3826A2D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17,53</w:t>
            </w:r>
          </w:p>
        </w:tc>
        <w:tc>
          <w:tcPr>
            <w:tcW w:w="628" w:type="dxa"/>
            <w:tcBorders>
              <w:top w:val="nil"/>
              <w:left w:val="nil"/>
              <w:bottom w:val="nil"/>
              <w:right w:val="nil"/>
            </w:tcBorders>
            <w:shd w:val="clear" w:color="auto" w:fill="auto"/>
            <w:noWrap/>
            <w:vAlign w:val="center"/>
            <w:hideMark/>
          </w:tcPr>
          <w:p w14:paraId="3D420772"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16,89</w:t>
            </w:r>
          </w:p>
        </w:tc>
        <w:tc>
          <w:tcPr>
            <w:tcW w:w="628" w:type="dxa"/>
            <w:tcBorders>
              <w:top w:val="nil"/>
              <w:left w:val="nil"/>
              <w:bottom w:val="nil"/>
              <w:right w:val="nil"/>
            </w:tcBorders>
            <w:shd w:val="clear" w:color="auto" w:fill="auto"/>
            <w:noWrap/>
            <w:vAlign w:val="center"/>
            <w:hideMark/>
          </w:tcPr>
          <w:p w14:paraId="29246520"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18,31</w:t>
            </w:r>
          </w:p>
        </w:tc>
        <w:tc>
          <w:tcPr>
            <w:tcW w:w="628" w:type="dxa"/>
            <w:tcBorders>
              <w:top w:val="nil"/>
              <w:left w:val="nil"/>
              <w:bottom w:val="nil"/>
              <w:right w:val="nil"/>
            </w:tcBorders>
            <w:shd w:val="clear" w:color="auto" w:fill="auto"/>
            <w:noWrap/>
            <w:vAlign w:val="center"/>
            <w:hideMark/>
          </w:tcPr>
          <w:p w14:paraId="744845C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19,65</w:t>
            </w:r>
          </w:p>
        </w:tc>
        <w:tc>
          <w:tcPr>
            <w:tcW w:w="628" w:type="dxa"/>
            <w:tcBorders>
              <w:top w:val="nil"/>
              <w:left w:val="nil"/>
              <w:bottom w:val="nil"/>
              <w:right w:val="nil"/>
            </w:tcBorders>
            <w:shd w:val="clear" w:color="auto" w:fill="auto"/>
            <w:noWrap/>
            <w:vAlign w:val="center"/>
            <w:hideMark/>
          </w:tcPr>
          <w:p w14:paraId="13A8E1BF"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18,11</w:t>
            </w:r>
          </w:p>
        </w:tc>
      </w:tr>
      <w:tr w:rsidR="00170240" w:rsidRPr="00170240" w14:paraId="6195F644"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17C1E695"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B – Těžba a dobývání</w:t>
            </w:r>
          </w:p>
        </w:tc>
        <w:tc>
          <w:tcPr>
            <w:tcW w:w="628" w:type="dxa"/>
            <w:tcBorders>
              <w:top w:val="nil"/>
              <w:left w:val="nil"/>
              <w:bottom w:val="nil"/>
              <w:right w:val="nil"/>
            </w:tcBorders>
            <w:shd w:val="clear" w:color="auto" w:fill="auto"/>
            <w:noWrap/>
            <w:vAlign w:val="center"/>
            <w:hideMark/>
          </w:tcPr>
          <w:p w14:paraId="04B7957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20,05</w:t>
            </w:r>
          </w:p>
        </w:tc>
        <w:tc>
          <w:tcPr>
            <w:tcW w:w="628" w:type="dxa"/>
            <w:tcBorders>
              <w:top w:val="nil"/>
              <w:left w:val="nil"/>
              <w:bottom w:val="nil"/>
              <w:right w:val="nil"/>
            </w:tcBorders>
            <w:shd w:val="clear" w:color="auto" w:fill="auto"/>
            <w:noWrap/>
            <w:vAlign w:val="center"/>
            <w:hideMark/>
          </w:tcPr>
          <w:p w14:paraId="11ED6D3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19,06</w:t>
            </w:r>
          </w:p>
        </w:tc>
        <w:tc>
          <w:tcPr>
            <w:tcW w:w="628" w:type="dxa"/>
            <w:tcBorders>
              <w:top w:val="nil"/>
              <w:left w:val="nil"/>
              <w:bottom w:val="nil"/>
              <w:right w:val="nil"/>
            </w:tcBorders>
            <w:shd w:val="clear" w:color="auto" w:fill="auto"/>
            <w:noWrap/>
            <w:vAlign w:val="center"/>
            <w:hideMark/>
          </w:tcPr>
          <w:p w14:paraId="5C849EC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18,12</w:t>
            </w:r>
          </w:p>
        </w:tc>
        <w:tc>
          <w:tcPr>
            <w:tcW w:w="628" w:type="dxa"/>
            <w:tcBorders>
              <w:top w:val="nil"/>
              <w:left w:val="nil"/>
              <w:bottom w:val="nil"/>
              <w:right w:val="nil"/>
            </w:tcBorders>
            <w:shd w:val="clear" w:color="auto" w:fill="auto"/>
            <w:noWrap/>
            <w:vAlign w:val="center"/>
            <w:hideMark/>
          </w:tcPr>
          <w:p w14:paraId="66CC9F3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21,27</w:t>
            </w:r>
          </w:p>
        </w:tc>
        <w:tc>
          <w:tcPr>
            <w:tcW w:w="628" w:type="dxa"/>
            <w:tcBorders>
              <w:top w:val="nil"/>
              <w:left w:val="nil"/>
              <w:bottom w:val="nil"/>
              <w:right w:val="nil"/>
            </w:tcBorders>
            <w:shd w:val="clear" w:color="auto" w:fill="auto"/>
            <w:noWrap/>
            <w:vAlign w:val="center"/>
            <w:hideMark/>
          </w:tcPr>
          <w:p w14:paraId="5305208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17,49</w:t>
            </w:r>
          </w:p>
        </w:tc>
        <w:tc>
          <w:tcPr>
            <w:tcW w:w="628" w:type="dxa"/>
            <w:tcBorders>
              <w:top w:val="nil"/>
              <w:left w:val="nil"/>
              <w:bottom w:val="nil"/>
              <w:right w:val="nil"/>
            </w:tcBorders>
            <w:shd w:val="clear" w:color="auto" w:fill="auto"/>
            <w:noWrap/>
            <w:vAlign w:val="center"/>
            <w:hideMark/>
          </w:tcPr>
          <w:p w14:paraId="06BCC3B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20,96</w:t>
            </w:r>
          </w:p>
        </w:tc>
        <w:tc>
          <w:tcPr>
            <w:tcW w:w="628" w:type="dxa"/>
            <w:tcBorders>
              <w:top w:val="nil"/>
              <w:left w:val="nil"/>
              <w:bottom w:val="nil"/>
              <w:right w:val="nil"/>
            </w:tcBorders>
            <w:shd w:val="clear" w:color="auto" w:fill="auto"/>
            <w:noWrap/>
            <w:vAlign w:val="center"/>
            <w:hideMark/>
          </w:tcPr>
          <w:p w14:paraId="12AC141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20,44</w:t>
            </w:r>
          </w:p>
        </w:tc>
        <w:tc>
          <w:tcPr>
            <w:tcW w:w="628" w:type="dxa"/>
            <w:tcBorders>
              <w:top w:val="nil"/>
              <w:left w:val="nil"/>
              <w:bottom w:val="nil"/>
              <w:right w:val="nil"/>
            </w:tcBorders>
            <w:shd w:val="clear" w:color="auto" w:fill="auto"/>
            <w:noWrap/>
            <w:vAlign w:val="center"/>
            <w:hideMark/>
          </w:tcPr>
          <w:p w14:paraId="6E8AEE4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21,59</w:t>
            </w:r>
          </w:p>
        </w:tc>
        <w:tc>
          <w:tcPr>
            <w:tcW w:w="628" w:type="dxa"/>
            <w:tcBorders>
              <w:top w:val="nil"/>
              <w:left w:val="nil"/>
              <w:bottom w:val="nil"/>
              <w:right w:val="nil"/>
            </w:tcBorders>
            <w:shd w:val="clear" w:color="auto" w:fill="auto"/>
            <w:noWrap/>
            <w:vAlign w:val="center"/>
            <w:hideMark/>
          </w:tcPr>
          <w:p w14:paraId="62E3D74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23,39</w:t>
            </w:r>
          </w:p>
        </w:tc>
        <w:tc>
          <w:tcPr>
            <w:tcW w:w="628" w:type="dxa"/>
            <w:tcBorders>
              <w:top w:val="nil"/>
              <w:left w:val="nil"/>
              <w:bottom w:val="nil"/>
              <w:right w:val="nil"/>
            </w:tcBorders>
            <w:shd w:val="clear" w:color="auto" w:fill="auto"/>
            <w:noWrap/>
            <w:vAlign w:val="center"/>
            <w:hideMark/>
          </w:tcPr>
          <w:p w14:paraId="59C7D07B"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22,00</w:t>
            </w:r>
          </w:p>
        </w:tc>
      </w:tr>
      <w:tr w:rsidR="00170240" w:rsidRPr="00170240" w14:paraId="68996E20"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51158B02"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C – Zpracovatelský průmysl</w:t>
            </w:r>
          </w:p>
        </w:tc>
        <w:tc>
          <w:tcPr>
            <w:tcW w:w="628" w:type="dxa"/>
            <w:tcBorders>
              <w:top w:val="nil"/>
              <w:left w:val="nil"/>
              <w:bottom w:val="nil"/>
              <w:right w:val="nil"/>
            </w:tcBorders>
            <w:shd w:val="clear" w:color="auto" w:fill="auto"/>
            <w:noWrap/>
            <w:vAlign w:val="center"/>
            <w:hideMark/>
          </w:tcPr>
          <w:p w14:paraId="4282B2A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19,66</w:t>
            </w:r>
          </w:p>
        </w:tc>
        <w:tc>
          <w:tcPr>
            <w:tcW w:w="628" w:type="dxa"/>
            <w:tcBorders>
              <w:top w:val="nil"/>
              <w:left w:val="nil"/>
              <w:bottom w:val="nil"/>
              <w:right w:val="nil"/>
            </w:tcBorders>
            <w:shd w:val="clear" w:color="auto" w:fill="auto"/>
            <w:noWrap/>
            <w:vAlign w:val="center"/>
            <w:hideMark/>
          </w:tcPr>
          <w:p w14:paraId="2B0D86B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20,92</w:t>
            </w:r>
          </w:p>
        </w:tc>
        <w:tc>
          <w:tcPr>
            <w:tcW w:w="628" w:type="dxa"/>
            <w:tcBorders>
              <w:top w:val="nil"/>
              <w:left w:val="nil"/>
              <w:bottom w:val="nil"/>
              <w:right w:val="nil"/>
            </w:tcBorders>
            <w:shd w:val="clear" w:color="auto" w:fill="auto"/>
            <w:noWrap/>
            <w:vAlign w:val="center"/>
            <w:hideMark/>
          </w:tcPr>
          <w:p w14:paraId="40F5FB9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17,58</w:t>
            </w:r>
          </w:p>
        </w:tc>
        <w:tc>
          <w:tcPr>
            <w:tcW w:w="628" w:type="dxa"/>
            <w:tcBorders>
              <w:top w:val="nil"/>
              <w:left w:val="nil"/>
              <w:bottom w:val="nil"/>
              <w:right w:val="nil"/>
            </w:tcBorders>
            <w:shd w:val="clear" w:color="auto" w:fill="auto"/>
            <w:noWrap/>
            <w:vAlign w:val="center"/>
            <w:hideMark/>
          </w:tcPr>
          <w:p w14:paraId="37C192E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21,15</w:t>
            </w:r>
          </w:p>
        </w:tc>
        <w:tc>
          <w:tcPr>
            <w:tcW w:w="628" w:type="dxa"/>
            <w:tcBorders>
              <w:top w:val="nil"/>
              <w:left w:val="nil"/>
              <w:bottom w:val="nil"/>
              <w:right w:val="nil"/>
            </w:tcBorders>
            <w:shd w:val="clear" w:color="auto" w:fill="auto"/>
            <w:noWrap/>
            <w:vAlign w:val="center"/>
            <w:hideMark/>
          </w:tcPr>
          <w:p w14:paraId="182E0AA7"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18,95</w:t>
            </w:r>
          </w:p>
        </w:tc>
        <w:tc>
          <w:tcPr>
            <w:tcW w:w="628" w:type="dxa"/>
            <w:tcBorders>
              <w:top w:val="nil"/>
              <w:left w:val="nil"/>
              <w:bottom w:val="nil"/>
              <w:right w:val="nil"/>
            </w:tcBorders>
            <w:shd w:val="clear" w:color="auto" w:fill="auto"/>
            <w:noWrap/>
            <w:vAlign w:val="center"/>
            <w:hideMark/>
          </w:tcPr>
          <w:p w14:paraId="395B74D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24,88</w:t>
            </w:r>
          </w:p>
        </w:tc>
        <w:tc>
          <w:tcPr>
            <w:tcW w:w="628" w:type="dxa"/>
            <w:tcBorders>
              <w:top w:val="nil"/>
              <w:left w:val="nil"/>
              <w:bottom w:val="nil"/>
              <w:right w:val="nil"/>
            </w:tcBorders>
            <w:shd w:val="clear" w:color="auto" w:fill="auto"/>
            <w:noWrap/>
            <w:vAlign w:val="center"/>
            <w:hideMark/>
          </w:tcPr>
          <w:p w14:paraId="049F5E7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25,29</w:t>
            </w:r>
          </w:p>
        </w:tc>
        <w:tc>
          <w:tcPr>
            <w:tcW w:w="628" w:type="dxa"/>
            <w:tcBorders>
              <w:top w:val="nil"/>
              <w:left w:val="nil"/>
              <w:bottom w:val="nil"/>
              <w:right w:val="nil"/>
            </w:tcBorders>
            <w:shd w:val="clear" w:color="auto" w:fill="auto"/>
            <w:noWrap/>
            <w:vAlign w:val="center"/>
            <w:hideMark/>
          </w:tcPr>
          <w:p w14:paraId="70F6B6D7"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26,50</w:t>
            </w:r>
          </w:p>
        </w:tc>
        <w:tc>
          <w:tcPr>
            <w:tcW w:w="628" w:type="dxa"/>
            <w:tcBorders>
              <w:top w:val="nil"/>
              <w:left w:val="nil"/>
              <w:bottom w:val="nil"/>
              <w:right w:val="nil"/>
            </w:tcBorders>
            <w:shd w:val="clear" w:color="auto" w:fill="auto"/>
            <w:noWrap/>
            <w:vAlign w:val="center"/>
            <w:hideMark/>
          </w:tcPr>
          <w:p w14:paraId="43D1533C"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28,75</w:t>
            </w:r>
          </w:p>
        </w:tc>
        <w:tc>
          <w:tcPr>
            <w:tcW w:w="628" w:type="dxa"/>
            <w:tcBorders>
              <w:top w:val="nil"/>
              <w:left w:val="nil"/>
              <w:bottom w:val="nil"/>
              <w:right w:val="nil"/>
            </w:tcBorders>
            <w:shd w:val="clear" w:color="auto" w:fill="auto"/>
            <w:noWrap/>
            <w:vAlign w:val="center"/>
            <w:hideMark/>
          </w:tcPr>
          <w:p w14:paraId="50730BD3"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27,05</w:t>
            </w:r>
          </w:p>
        </w:tc>
      </w:tr>
      <w:tr w:rsidR="00170240" w:rsidRPr="00170240" w14:paraId="37065F3F" w14:textId="77777777" w:rsidTr="00355A67">
        <w:trPr>
          <w:gridAfter w:val="1"/>
          <w:wAfter w:w="6" w:type="dxa"/>
          <w:trHeight w:val="459"/>
        </w:trPr>
        <w:tc>
          <w:tcPr>
            <w:tcW w:w="3289" w:type="dxa"/>
            <w:tcBorders>
              <w:top w:val="nil"/>
              <w:left w:val="nil"/>
              <w:bottom w:val="nil"/>
              <w:right w:val="nil"/>
            </w:tcBorders>
            <w:shd w:val="clear" w:color="auto" w:fill="auto"/>
            <w:vAlign w:val="center"/>
            <w:hideMark/>
          </w:tcPr>
          <w:p w14:paraId="33490DAC" w14:textId="77777777" w:rsidR="00355A67"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D – Výroba a rozvod elektřiny, plynu,</w:t>
            </w:r>
          </w:p>
          <w:p w14:paraId="61229E9C" w14:textId="199AD6F0" w:rsidR="00170240" w:rsidRPr="00170240" w:rsidRDefault="00355A67" w:rsidP="00170240">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00170240" w:rsidRPr="00170240">
              <w:rPr>
                <w:rFonts w:ascii="Arial CE" w:hAnsi="Arial CE" w:cs="Arial CE"/>
                <w:sz w:val="16"/>
                <w:szCs w:val="16"/>
              </w:rPr>
              <w:t xml:space="preserve"> tepla a klimatizovaného vzduchu</w:t>
            </w:r>
          </w:p>
        </w:tc>
        <w:tc>
          <w:tcPr>
            <w:tcW w:w="628" w:type="dxa"/>
            <w:tcBorders>
              <w:top w:val="nil"/>
              <w:left w:val="nil"/>
              <w:bottom w:val="nil"/>
              <w:right w:val="nil"/>
            </w:tcBorders>
            <w:shd w:val="clear" w:color="auto" w:fill="auto"/>
            <w:noWrap/>
            <w:vAlign w:val="center"/>
            <w:hideMark/>
          </w:tcPr>
          <w:p w14:paraId="082BB07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10,41</w:t>
            </w:r>
          </w:p>
        </w:tc>
        <w:tc>
          <w:tcPr>
            <w:tcW w:w="628" w:type="dxa"/>
            <w:tcBorders>
              <w:top w:val="nil"/>
              <w:left w:val="nil"/>
              <w:bottom w:val="nil"/>
              <w:right w:val="nil"/>
            </w:tcBorders>
            <w:shd w:val="clear" w:color="auto" w:fill="auto"/>
            <w:noWrap/>
            <w:vAlign w:val="center"/>
            <w:hideMark/>
          </w:tcPr>
          <w:p w14:paraId="0F1DD7B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11,18</w:t>
            </w:r>
          </w:p>
        </w:tc>
        <w:tc>
          <w:tcPr>
            <w:tcW w:w="628" w:type="dxa"/>
            <w:tcBorders>
              <w:top w:val="nil"/>
              <w:left w:val="nil"/>
              <w:bottom w:val="nil"/>
              <w:right w:val="nil"/>
            </w:tcBorders>
            <w:shd w:val="clear" w:color="auto" w:fill="auto"/>
            <w:noWrap/>
            <w:vAlign w:val="center"/>
            <w:hideMark/>
          </w:tcPr>
          <w:p w14:paraId="06E96572"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8,91</w:t>
            </w:r>
          </w:p>
        </w:tc>
        <w:tc>
          <w:tcPr>
            <w:tcW w:w="628" w:type="dxa"/>
            <w:tcBorders>
              <w:top w:val="nil"/>
              <w:left w:val="nil"/>
              <w:bottom w:val="nil"/>
              <w:right w:val="nil"/>
            </w:tcBorders>
            <w:shd w:val="clear" w:color="auto" w:fill="auto"/>
            <w:noWrap/>
            <w:vAlign w:val="center"/>
            <w:hideMark/>
          </w:tcPr>
          <w:p w14:paraId="42E5715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11,74</w:t>
            </w:r>
          </w:p>
        </w:tc>
        <w:tc>
          <w:tcPr>
            <w:tcW w:w="628" w:type="dxa"/>
            <w:tcBorders>
              <w:top w:val="nil"/>
              <w:left w:val="nil"/>
              <w:bottom w:val="nil"/>
              <w:right w:val="nil"/>
            </w:tcBorders>
            <w:shd w:val="clear" w:color="auto" w:fill="auto"/>
            <w:noWrap/>
            <w:vAlign w:val="center"/>
            <w:hideMark/>
          </w:tcPr>
          <w:p w14:paraId="773A403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9,79</w:t>
            </w:r>
          </w:p>
        </w:tc>
        <w:tc>
          <w:tcPr>
            <w:tcW w:w="628" w:type="dxa"/>
            <w:tcBorders>
              <w:top w:val="nil"/>
              <w:left w:val="nil"/>
              <w:bottom w:val="nil"/>
              <w:right w:val="nil"/>
            </w:tcBorders>
            <w:shd w:val="clear" w:color="auto" w:fill="auto"/>
            <w:noWrap/>
            <w:vAlign w:val="center"/>
            <w:hideMark/>
          </w:tcPr>
          <w:p w14:paraId="10BF6D5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13,29</w:t>
            </w:r>
          </w:p>
        </w:tc>
        <w:tc>
          <w:tcPr>
            <w:tcW w:w="628" w:type="dxa"/>
            <w:tcBorders>
              <w:top w:val="nil"/>
              <w:left w:val="nil"/>
              <w:bottom w:val="nil"/>
              <w:right w:val="nil"/>
            </w:tcBorders>
            <w:shd w:val="clear" w:color="auto" w:fill="auto"/>
            <w:noWrap/>
            <w:vAlign w:val="center"/>
            <w:hideMark/>
          </w:tcPr>
          <w:p w14:paraId="1AD3060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12,33</w:t>
            </w:r>
          </w:p>
        </w:tc>
        <w:tc>
          <w:tcPr>
            <w:tcW w:w="628" w:type="dxa"/>
            <w:tcBorders>
              <w:top w:val="nil"/>
              <w:left w:val="nil"/>
              <w:bottom w:val="nil"/>
              <w:right w:val="nil"/>
            </w:tcBorders>
            <w:shd w:val="clear" w:color="auto" w:fill="auto"/>
            <w:noWrap/>
            <w:vAlign w:val="center"/>
            <w:hideMark/>
          </w:tcPr>
          <w:p w14:paraId="2C9A85A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14,22</w:t>
            </w:r>
          </w:p>
        </w:tc>
        <w:tc>
          <w:tcPr>
            <w:tcW w:w="628" w:type="dxa"/>
            <w:tcBorders>
              <w:top w:val="nil"/>
              <w:left w:val="nil"/>
              <w:bottom w:val="nil"/>
              <w:right w:val="nil"/>
            </w:tcBorders>
            <w:shd w:val="clear" w:color="auto" w:fill="auto"/>
            <w:noWrap/>
            <w:vAlign w:val="center"/>
            <w:hideMark/>
          </w:tcPr>
          <w:p w14:paraId="3F05DBA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16,37</w:t>
            </w:r>
          </w:p>
        </w:tc>
        <w:tc>
          <w:tcPr>
            <w:tcW w:w="628" w:type="dxa"/>
            <w:tcBorders>
              <w:top w:val="nil"/>
              <w:left w:val="nil"/>
              <w:bottom w:val="nil"/>
              <w:right w:val="nil"/>
            </w:tcBorders>
            <w:shd w:val="clear" w:color="auto" w:fill="auto"/>
            <w:noWrap/>
            <w:vAlign w:val="center"/>
            <w:hideMark/>
          </w:tcPr>
          <w:p w14:paraId="5EC7EE1B"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15,73</w:t>
            </w:r>
          </w:p>
        </w:tc>
      </w:tr>
      <w:tr w:rsidR="00170240" w:rsidRPr="00170240" w14:paraId="1D89CCC4" w14:textId="77777777" w:rsidTr="00355A67">
        <w:trPr>
          <w:gridAfter w:val="1"/>
          <w:wAfter w:w="6" w:type="dxa"/>
          <w:trHeight w:val="688"/>
        </w:trPr>
        <w:tc>
          <w:tcPr>
            <w:tcW w:w="3289" w:type="dxa"/>
            <w:tcBorders>
              <w:top w:val="nil"/>
              <w:left w:val="nil"/>
              <w:bottom w:val="nil"/>
              <w:right w:val="nil"/>
            </w:tcBorders>
            <w:shd w:val="clear" w:color="auto" w:fill="auto"/>
            <w:vAlign w:val="center"/>
            <w:hideMark/>
          </w:tcPr>
          <w:p w14:paraId="2A5616EB" w14:textId="77777777" w:rsidR="00355A67"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 xml:space="preserve">E – Zásobování vodou; činnosti </w:t>
            </w:r>
          </w:p>
          <w:p w14:paraId="6ABF60E0" w14:textId="77777777" w:rsidR="00355A67" w:rsidRDefault="00355A67" w:rsidP="00170240">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00170240" w:rsidRPr="00170240">
              <w:rPr>
                <w:rFonts w:ascii="Arial CE" w:hAnsi="Arial CE" w:cs="Arial CE"/>
                <w:sz w:val="16"/>
                <w:szCs w:val="16"/>
              </w:rPr>
              <w:t>související s odpadními vodami,</w:t>
            </w:r>
          </w:p>
          <w:p w14:paraId="0A80BAC6" w14:textId="7E200160" w:rsidR="00170240" w:rsidRPr="00170240" w:rsidRDefault="00355A67" w:rsidP="00170240">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00170240" w:rsidRPr="00170240">
              <w:rPr>
                <w:rFonts w:ascii="Arial CE" w:hAnsi="Arial CE" w:cs="Arial CE"/>
                <w:sz w:val="16"/>
                <w:szCs w:val="16"/>
              </w:rPr>
              <w:t xml:space="preserve"> odpady a sanacemi</w:t>
            </w:r>
          </w:p>
        </w:tc>
        <w:tc>
          <w:tcPr>
            <w:tcW w:w="628" w:type="dxa"/>
            <w:tcBorders>
              <w:top w:val="nil"/>
              <w:left w:val="nil"/>
              <w:bottom w:val="nil"/>
              <w:right w:val="nil"/>
            </w:tcBorders>
            <w:shd w:val="clear" w:color="auto" w:fill="auto"/>
            <w:noWrap/>
            <w:vAlign w:val="center"/>
            <w:hideMark/>
          </w:tcPr>
          <w:p w14:paraId="0789EAF7"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16,37</w:t>
            </w:r>
          </w:p>
        </w:tc>
        <w:tc>
          <w:tcPr>
            <w:tcW w:w="628" w:type="dxa"/>
            <w:tcBorders>
              <w:top w:val="nil"/>
              <w:left w:val="nil"/>
              <w:bottom w:val="nil"/>
              <w:right w:val="nil"/>
            </w:tcBorders>
            <w:shd w:val="clear" w:color="auto" w:fill="auto"/>
            <w:noWrap/>
            <w:vAlign w:val="center"/>
            <w:hideMark/>
          </w:tcPr>
          <w:p w14:paraId="5107BF93"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16,52</w:t>
            </w:r>
          </w:p>
        </w:tc>
        <w:tc>
          <w:tcPr>
            <w:tcW w:w="628" w:type="dxa"/>
            <w:tcBorders>
              <w:top w:val="nil"/>
              <w:left w:val="nil"/>
              <w:bottom w:val="nil"/>
              <w:right w:val="nil"/>
            </w:tcBorders>
            <w:shd w:val="clear" w:color="auto" w:fill="auto"/>
            <w:noWrap/>
            <w:vAlign w:val="center"/>
            <w:hideMark/>
          </w:tcPr>
          <w:p w14:paraId="314D4CE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13,25</w:t>
            </w:r>
          </w:p>
        </w:tc>
        <w:tc>
          <w:tcPr>
            <w:tcW w:w="628" w:type="dxa"/>
            <w:tcBorders>
              <w:top w:val="nil"/>
              <w:left w:val="nil"/>
              <w:bottom w:val="nil"/>
              <w:right w:val="nil"/>
            </w:tcBorders>
            <w:shd w:val="clear" w:color="auto" w:fill="auto"/>
            <w:noWrap/>
            <w:vAlign w:val="center"/>
            <w:hideMark/>
          </w:tcPr>
          <w:p w14:paraId="7D8D413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16,50</w:t>
            </w:r>
          </w:p>
        </w:tc>
        <w:tc>
          <w:tcPr>
            <w:tcW w:w="628" w:type="dxa"/>
            <w:tcBorders>
              <w:top w:val="nil"/>
              <w:left w:val="nil"/>
              <w:bottom w:val="nil"/>
              <w:right w:val="nil"/>
            </w:tcBorders>
            <w:shd w:val="clear" w:color="auto" w:fill="auto"/>
            <w:noWrap/>
            <w:vAlign w:val="center"/>
            <w:hideMark/>
          </w:tcPr>
          <w:p w14:paraId="2F0AE2D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14,89</w:t>
            </w:r>
          </w:p>
        </w:tc>
        <w:tc>
          <w:tcPr>
            <w:tcW w:w="628" w:type="dxa"/>
            <w:tcBorders>
              <w:top w:val="nil"/>
              <w:left w:val="nil"/>
              <w:bottom w:val="nil"/>
              <w:right w:val="nil"/>
            </w:tcBorders>
            <w:shd w:val="clear" w:color="auto" w:fill="auto"/>
            <w:noWrap/>
            <w:vAlign w:val="center"/>
            <w:hideMark/>
          </w:tcPr>
          <w:p w14:paraId="4FAE586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19,00</w:t>
            </w:r>
          </w:p>
        </w:tc>
        <w:tc>
          <w:tcPr>
            <w:tcW w:w="628" w:type="dxa"/>
            <w:tcBorders>
              <w:top w:val="nil"/>
              <w:left w:val="nil"/>
              <w:bottom w:val="nil"/>
              <w:right w:val="nil"/>
            </w:tcBorders>
            <w:shd w:val="clear" w:color="auto" w:fill="auto"/>
            <w:noWrap/>
            <w:vAlign w:val="center"/>
            <w:hideMark/>
          </w:tcPr>
          <w:p w14:paraId="6E826DF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18,97</w:t>
            </w:r>
          </w:p>
        </w:tc>
        <w:tc>
          <w:tcPr>
            <w:tcW w:w="628" w:type="dxa"/>
            <w:tcBorders>
              <w:top w:val="nil"/>
              <w:left w:val="nil"/>
              <w:bottom w:val="nil"/>
              <w:right w:val="nil"/>
            </w:tcBorders>
            <w:shd w:val="clear" w:color="auto" w:fill="auto"/>
            <w:noWrap/>
            <w:vAlign w:val="center"/>
            <w:hideMark/>
          </w:tcPr>
          <w:p w14:paraId="1CC2657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20,76</w:t>
            </w:r>
          </w:p>
        </w:tc>
        <w:tc>
          <w:tcPr>
            <w:tcW w:w="628" w:type="dxa"/>
            <w:tcBorders>
              <w:top w:val="nil"/>
              <w:left w:val="nil"/>
              <w:bottom w:val="nil"/>
              <w:right w:val="nil"/>
            </w:tcBorders>
            <w:shd w:val="clear" w:color="auto" w:fill="auto"/>
            <w:noWrap/>
            <w:vAlign w:val="center"/>
            <w:hideMark/>
          </w:tcPr>
          <w:p w14:paraId="68BA747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22,73</w:t>
            </w:r>
          </w:p>
        </w:tc>
        <w:tc>
          <w:tcPr>
            <w:tcW w:w="628" w:type="dxa"/>
            <w:tcBorders>
              <w:top w:val="nil"/>
              <w:left w:val="nil"/>
              <w:bottom w:val="nil"/>
              <w:right w:val="nil"/>
            </w:tcBorders>
            <w:shd w:val="clear" w:color="auto" w:fill="auto"/>
            <w:noWrap/>
            <w:vAlign w:val="center"/>
            <w:hideMark/>
          </w:tcPr>
          <w:p w14:paraId="5413FACF"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21,31</w:t>
            </w:r>
          </w:p>
        </w:tc>
      </w:tr>
      <w:tr w:rsidR="00170240" w:rsidRPr="00170240" w14:paraId="7A15E88B"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4A812E74"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F – Stavebnictví</w:t>
            </w:r>
          </w:p>
        </w:tc>
        <w:tc>
          <w:tcPr>
            <w:tcW w:w="628" w:type="dxa"/>
            <w:tcBorders>
              <w:top w:val="nil"/>
              <w:left w:val="nil"/>
              <w:bottom w:val="nil"/>
              <w:right w:val="nil"/>
            </w:tcBorders>
            <w:shd w:val="clear" w:color="auto" w:fill="auto"/>
            <w:noWrap/>
            <w:vAlign w:val="center"/>
            <w:hideMark/>
          </w:tcPr>
          <w:p w14:paraId="58DFFB4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17,65</w:t>
            </w:r>
          </w:p>
        </w:tc>
        <w:tc>
          <w:tcPr>
            <w:tcW w:w="628" w:type="dxa"/>
            <w:tcBorders>
              <w:top w:val="nil"/>
              <w:left w:val="nil"/>
              <w:bottom w:val="nil"/>
              <w:right w:val="nil"/>
            </w:tcBorders>
            <w:shd w:val="clear" w:color="auto" w:fill="auto"/>
            <w:noWrap/>
            <w:vAlign w:val="center"/>
            <w:hideMark/>
          </w:tcPr>
          <w:p w14:paraId="23B76BD2"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15,84</w:t>
            </w:r>
          </w:p>
        </w:tc>
        <w:tc>
          <w:tcPr>
            <w:tcW w:w="628" w:type="dxa"/>
            <w:tcBorders>
              <w:top w:val="nil"/>
              <w:left w:val="nil"/>
              <w:bottom w:val="nil"/>
              <w:right w:val="nil"/>
            </w:tcBorders>
            <w:shd w:val="clear" w:color="auto" w:fill="auto"/>
            <w:noWrap/>
            <w:vAlign w:val="center"/>
            <w:hideMark/>
          </w:tcPr>
          <w:p w14:paraId="4EB0246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13,77</w:t>
            </w:r>
          </w:p>
        </w:tc>
        <w:tc>
          <w:tcPr>
            <w:tcW w:w="628" w:type="dxa"/>
            <w:tcBorders>
              <w:top w:val="nil"/>
              <w:left w:val="nil"/>
              <w:bottom w:val="nil"/>
              <w:right w:val="nil"/>
            </w:tcBorders>
            <w:shd w:val="clear" w:color="auto" w:fill="auto"/>
            <w:noWrap/>
            <w:vAlign w:val="center"/>
            <w:hideMark/>
          </w:tcPr>
          <w:p w14:paraId="5670E6A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16,29</w:t>
            </w:r>
          </w:p>
        </w:tc>
        <w:tc>
          <w:tcPr>
            <w:tcW w:w="628" w:type="dxa"/>
            <w:tcBorders>
              <w:top w:val="nil"/>
              <w:left w:val="nil"/>
              <w:bottom w:val="nil"/>
              <w:right w:val="nil"/>
            </w:tcBorders>
            <w:shd w:val="clear" w:color="auto" w:fill="auto"/>
            <w:noWrap/>
            <w:vAlign w:val="center"/>
            <w:hideMark/>
          </w:tcPr>
          <w:p w14:paraId="444D2B5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13,79</w:t>
            </w:r>
          </w:p>
        </w:tc>
        <w:tc>
          <w:tcPr>
            <w:tcW w:w="628" w:type="dxa"/>
            <w:tcBorders>
              <w:top w:val="nil"/>
              <w:left w:val="nil"/>
              <w:bottom w:val="nil"/>
              <w:right w:val="nil"/>
            </w:tcBorders>
            <w:shd w:val="clear" w:color="auto" w:fill="auto"/>
            <w:noWrap/>
            <w:vAlign w:val="center"/>
            <w:hideMark/>
          </w:tcPr>
          <w:p w14:paraId="5F85B6C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17,17</w:t>
            </w:r>
          </w:p>
        </w:tc>
        <w:tc>
          <w:tcPr>
            <w:tcW w:w="628" w:type="dxa"/>
            <w:tcBorders>
              <w:top w:val="nil"/>
              <w:left w:val="nil"/>
              <w:bottom w:val="nil"/>
              <w:right w:val="nil"/>
            </w:tcBorders>
            <w:shd w:val="clear" w:color="auto" w:fill="auto"/>
            <w:noWrap/>
            <w:vAlign w:val="center"/>
            <w:hideMark/>
          </w:tcPr>
          <w:p w14:paraId="27C1ACE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16,63</w:t>
            </w:r>
          </w:p>
        </w:tc>
        <w:tc>
          <w:tcPr>
            <w:tcW w:w="628" w:type="dxa"/>
            <w:tcBorders>
              <w:top w:val="nil"/>
              <w:left w:val="nil"/>
              <w:bottom w:val="nil"/>
              <w:right w:val="nil"/>
            </w:tcBorders>
            <w:shd w:val="clear" w:color="auto" w:fill="auto"/>
            <w:noWrap/>
            <w:vAlign w:val="center"/>
            <w:hideMark/>
          </w:tcPr>
          <w:p w14:paraId="4C133E7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17,50</w:t>
            </w:r>
          </w:p>
        </w:tc>
        <w:tc>
          <w:tcPr>
            <w:tcW w:w="628" w:type="dxa"/>
            <w:tcBorders>
              <w:top w:val="nil"/>
              <w:left w:val="nil"/>
              <w:bottom w:val="nil"/>
              <w:right w:val="nil"/>
            </w:tcBorders>
            <w:shd w:val="clear" w:color="auto" w:fill="auto"/>
            <w:noWrap/>
            <w:vAlign w:val="center"/>
            <w:hideMark/>
          </w:tcPr>
          <w:p w14:paraId="19500A37"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18,22</w:t>
            </w:r>
          </w:p>
        </w:tc>
        <w:tc>
          <w:tcPr>
            <w:tcW w:w="628" w:type="dxa"/>
            <w:tcBorders>
              <w:top w:val="nil"/>
              <w:left w:val="nil"/>
              <w:bottom w:val="nil"/>
              <w:right w:val="nil"/>
            </w:tcBorders>
            <w:shd w:val="clear" w:color="auto" w:fill="auto"/>
            <w:noWrap/>
            <w:vAlign w:val="center"/>
            <w:hideMark/>
          </w:tcPr>
          <w:p w14:paraId="2EA48F30"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17,24</w:t>
            </w:r>
          </w:p>
        </w:tc>
      </w:tr>
      <w:tr w:rsidR="00170240" w:rsidRPr="00170240" w14:paraId="45236D4E" w14:textId="77777777" w:rsidTr="00355A67">
        <w:trPr>
          <w:gridAfter w:val="1"/>
          <w:wAfter w:w="6" w:type="dxa"/>
          <w:trHeight w:val="459"/>
        </w:trPr>
        <w:tc>
          <w:tcPr>
            <w:tcW w:w="3289" w:type="dxa"/>
            <w:tcBorders>
              <w:top w:val="nil"/>
              <w:left w:val="nil"/>
              <w:bottom w:val="nil"/>
              <w:right w:val="nil"/>
            </w:tcBorders>
            <w:shd w:val="clear" w:color="auto" w:fill="auto"/>
            <w:vAlign w:val="center"/>
            <w:hideMark/>
          </w:tcPr>
          <w:p w14:paraId="01BB9591" w14:textId="77777777" w:rsidR="00355A67"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G – Velkoobchod</w:t>
            </w:r>
            <w:r w:rsidR="00355A67">
              <w:rPr>
                <w:rFonts w:ascii="Arial CE" w:hAnsi="Arial CE" w:cs="Arial CE"/>
                <w:sz w:val="16"/>
                <w:szCs w:val="16"/>
              </w:rPr>
              <w:t xml:space="preserve"> a maloobchod; opravy </w:t>
            </w:r>
          </w:p>
          <w:p w14:paraId="358720F8" w14:textId="584419DF" w:rsidR="00170240" w:rsidRPr="00170240" w:rsidRDefault="00355A67" w:rsidP="00170240">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a údržba </w:t>
            </w:r>
            <w:r w:rsidR="00170240" w:rsidRPr="00170240">
              <w:rPr>
                <w:rFonts w:ascii="Arial CE" w:hAnsi="Arial CE" w:cs="Arial CE"/>
                <w:sz w:val="16"/>
                <w:szCs w:val="16"/>
              </w:rPr>
              <w:t>motorových vozidel</w:t>
            </w:r>
          </w:p>
        </w:tc>
        <w:tc>
          <w:tcPr>
            <w:tcW w:w="628" w:type="dxa"/>
            <w:tcBorders>
              <w:top w:val="nil"/>
              <w:left w:val="nil"/>
              <w:bottom w:val="nil"/>
              <w:right w:val="nil"/>
            </w:tcBorders>
            <w:shd w:val="clear" w:color="auto" w:fill="auto"/>
            <w:noWrap/>
            <w:vAlign w:val="center"/>
            <w:hideMark/>
          </w:tcPr>
          <w:p w14:paraId="1C08A95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15,87</w:t>
            </w:r>
          </w:p>
        </w:tc>
        <w:tc>
          <w:tcPr>
            <w:tcW w:w="628" w:type="dxa"/>
            <w:tcBorders>
              <w:top w:val="nil"/>
              <w:left w:val="nil"/>
              <w:bottom w:val="nil"/>
              <w:right w:val="nil"/>
            </w:tcBorders>
            <w:shd w:val="clear" w:color="auto" w:fill="auto"/>
            <w:noWrap/>
            <w:vAlign w:val="center"/>
            <w:hideMark/>
          </w:tcPr>
          <w:p w14:paraId="1354D030"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15,48</w:t>
            </w:r>
          </w:p>
        </w:tc>
        <w:tc>
          <w:tcPr>
            <w:tcW w:w="628" w:type="dxa"/>
            <w:tcBorders>
              <w:top w:val="nil"/>
              <w:left w:val="nil"/>
              <w:bottom w:val="nil"/>
              <w:right w:val="nil"/>
            </w:tcBorders>
            <w:shd w:val="clear" w:color="auto" w:fill="auto"/>
            <w:noWrap/>
            <w:vAlign w:val="center"/>
            <w:hideMark/>
          </w:tcPr>
          <w:p w14:paraId="37C37EA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12,35</w:t>
            </w:r>
          </w:p>
        </w:tc>
        <w:tc>
          <w:tcPr>
            <w:tcW w:w="628" w:type="dxa"/>
            <w:tcBorders>
              <w:top w:val="nil"/>
              <w:left w:val="nil"/>
              <w:bottom w:val="nil"/>
              <w:right w:val="nil"/>
            </w:tcBorders>
            <w:shd w:val="clear" w:color="auto" w:fill="auto"/>
            <w:noWrap/>
            <w:vAlign w:val="center"/>
            <w:hideMark/>
          </w:tcPr>
          <w:p w14:paraId="61DEB5D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15,03</w:t>
            </w:r>
          </w:p>
        </w:tc>
        <w:tc>
          <w:tcPr>
            <w:tcW w:w="628" w:type="dxa"/>
            <w:tcBorders>
              <w:top w:val="nil"/>
              <w:left w:val="nil"/>
              <w:bottom w:val="nil"/>
              <w:right w:val="nil"/>
            </w:tcBorders>
            <w:shd w:val="clear" w:color="auto" w:fill="auto"/>
            <w:noWrap/>
            <w:vAlign w:val="center"/>
            <w:hideMark/>
          </w:tcPr>
          <w:p w14:paraId="37F3E063"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13,41</w:t>
            </w:r>
          </w:p>
        </w:tc>
        <w:tc>
          <w:tcPr>
            <w:tcW w:w="628" w:type="dxa"/>
            <w:tcBorders>
              <w:top w:val="nil"/>
              <w:left w:val="nil"/>
              <w:bottom w:val="nil"/>
              <w:right w:val="nil"/>
            </w:tcBorders>
            <w:shd w:val="clear" w:color="auto" w:fill="auto"/>
            <w:noWrap/>
            <w:vAlign w:val="center"/>
            <w:hideMark/>
          </w:tcPr>
          <w:p w14:paraId="21F40E8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16,91</w:t>
            </w:r>
          </w:p>
        </w:tc>
        <w:tc>
          <w:tcPr>
            <w:tcW w:w="628" w:type="dxa"/>
            <w:tcBorders>
              <w:top w:val="nil"/>
              <w:left w:val="nil"/>
              <w:bottom w:val="nil"/>
              <w:right w:val="nil"/>
            </w:tcBorders>
            <w:shd w:val="clear" w:color="auto" w:fill="auto"/>
            <w:noWrap/>
            <w:vAlign w:val="center"/>
            <w:hideMark/>
          </w:tcPr>
          <w:p w14:paraId="2ADE45B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18,10</w:t>
            </w:r>
          </w:p>
        </w:tc>
        <w:tc>
          <w:tcPr>
            <w:tcW w:w="628" w:type="dxa"/>
            <w:tcBorders>
              <w:top w:val="nil"/>
              <w:left w:val="nil"/>
              <w:bottom w:val="nil"/>
              <w:right w:val="nil"/>
            </w:tcBorders>
            <w:shd w:val="clear" w:color="auto" w:fill="auto"/>
            <w:noWrap/>
            <w:vAlign w:val="center"/>
            <w:hideMark/>
          </w:tcPr>
          <w:p w14:paraId="2C25037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19,15</w:t>
            </w:r>
          </w:p>
        </w:tc>
        <w:tc>
          <w:tcPr>
            <w:tcW w:w="628" w:type="dxa"/>
            <w:tcBorders>
              <w:top w:val="nil"/>
              <w:left w:val="nil"/>
              <w:bottom w:val="nil"/>
              <w:right w:val="nil"/>
            </w:tcBorders>
            <w:shd w:val="clear" w:color="auto" w:fill="auto"/>
            <w:noWrap/>
            <w:vAlign w:val="center"/>
            <w:hideMark/>
          </w:tcPr>
          <w:p w14:paraId="2303272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21,03</w:t>
            </w:r>
          </w:p>
        </w:tc>
        <w:tc>
          <w:tcPr>
            <w:tcW w:w="628" w:type="dxa"/>
            <w:tcBorders>
              <w:top w:val="nil"/>
              <w:left w:val="nil"/>
              <w:bottom w:val="nil"/>
              <w:right w:val="nil"/>
            </w:tcBorders>
            <w:shd w:val="clear" w:color="auto" w:fill="auto"/>
            <w:noWrap/>
            <w:vAlign w:val="center"/>
            <w:hideMark/>
          </w:tcPr>
          <w:p w14:paraId="4B02CA9B"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20,41</w:t>
            </w:r>
          </w:p>
        </w:tc>
      </w:tr>
      <w:tr w:rsidR="00170240" w:rsidRPr="00170240" w14:paraId="6B0FFAD4"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7B2530BC"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H – Doprava a skladování</w:t>
            </w:r>
          </w:p>
        </w:tc>
        <w:tc>
          <w:tcPr>
            <w:tcW w:w="628" w:type="dxa"/>
            <w:tcBorders>
              <w:top w:val="nil"/>
              <w:left w:val="nil"/>
              <w:bottom w:val="nil"/>
              <w:right w:val="nil"/>
            </w:tcBorders>
            <w:shd w:val="clear" w:color="auto" w:fill="auto"/>
            <w:noWrap/>
            <w:vAlign w:val="center"/>
            <w:hideMark/>
          </w:tcPr>
          <w:p w14:paraId="5CCB8F9C"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16,04</w:t>
            </w:r>
          </w:p>
        </w:tc>
        <w:tc>
          <w:tcPr>
            <w:tcW w:w="628" w:type="dxa"/>
            <w:tcBorders>
              <w:top w:val="nil"/>
              <w:left w:val="nil"/>
              <w:bottom w:val="nil"/>
              <w:right w:val="nil"/>
            </w:tcBorders>
            <w:shd w:val="clear" w:color="auto" w:fill="auto"/>
            <w:noWrap/>
            <w:vAlign w:val="center"/>
            <w:hideMark/>
          </w:tcPr>
          <w:p w14:paraId="0851427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15,89</w:t>
            </w:r>
          </w:p>
        </w:tc>
        <w:tc>
          <w:tcPr>
            <w:tcW w:w="628" w:type="dxa"/>
            <w:tcBorders>
              <w:top w:val="nil"/>
              <w:left w:val="nil"/>
              <w:bottom w:val="nil"/>
              <w:right w:val="nil"/>
            </w:tcBorders>
            <w:shd w:val="clear" w:color="auto" w:fill="auto"/>
            <w:noWrap/>
            <w:vAlign w:val="center"/>
            <w:hideMark/>
          </w:tcPr>
          <w:p w14:paraId="3070A80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12,61</w:t>
            </w:r>
          </w:p>
        </w:tc>
        <w:tc>
          <w:tcPr>
            <w:tcW w:w="628" w:type="dxa"/>
            <w:tcBorders>
              <w:top w:val="nil"/>
              <w:left w:val="nil"/>
              <w:bottom w:val="nil"/>
              <w:right w:val="nil"/>
            </w:tcBorders>
            <w:shd w:val="clear" w:color="auto" w:fill="auto"/>
            <w:noWrap/>
            <w:vAlign w:val="center"/>
            <w:hideMark/>
          </w:tcPr>
          <w:p w14:paraId="6CEBD11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15,49</w:t>
            </w:r>
          </w:p>
        </w:tc>
        <w:tc>
          <w:tcPr>
            <w:tcW w:w="628" w:type="dxa"/>
            <w:tcBorders>
              <w:top w:val="nil"/>
              <w:left w:val="nil"/>
              <w:bottom w:val="nil"/>
              <w:right w:val="nil"/>
            </w:tcBorders>
            <w:shd w:val="clear" w:color="auto" w:fill="auto"/>
            <w:noWrap/>
            <w:vAlign w:val="center"/>
            <w:hideMark/>
          </w:tcPr>
          <w:p w14:paraId="2DC22FE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13,71</w:t>
            </w:r>
          </w:p>
        </w:tc>
        <w:tc>
          <w:tcPr>
            <w:tcW w:w="628" w:type="dxa"/>
            <w:tcBorders>
              <w:top w:val="nil"/>
              <w:left w:val="nil"/>
              <w:bottom w:val="nil"/>
              <w:right w:val="nil"/>
            </w:tcBorders>
            <w:shd w:val="clear" w:color="auto" w:fill="auto"/>
            <w:noWrap/>
            <w:vAlign w:val="center"/>
            <w:hideMark/>
          </w:tcPr>
          <w:p w14:paraId="0DB5BAF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17,92</w:t>
            </w:r>
          </w:p>
        </w:tc>
        <w:tc>
          <w:tcPr>
            <w:tcW w:w="628" w:type="dxa"/>
            <w:tcBorders>
              <w:top w:val="nil"/>
              <w:left w:val="nil"/>
              <w:bottom w:val="nil"/>
              <w:right w:val="nil"/>
            </w:tcBorders>
            <w:shd w:val="clear" w:color="auto" w:fill="auto"/>
            <w:noWrap/>
            <w:vAlign w:val="center"/>
            <w:hideMark/>
          </w:tcPr>
          <w:p w14:paraId="0FD27917"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17,64</w:t>
            </w:r>
          </w:p>
        </w:tc>
        <w:tc>
          <w:tcPr>
            <w:tcW w:w="628" w:type="dxa"/>
            <w:tcBorders>
              <w:top w:val="nil"/>
              <w:left w:val="nil"/>
              <w:bottom w:val="nil"/>
              <w:right w:val="nil"/>
            </w:tcBorders>
            <w:shd w:val="clear" w:color="auto" w:fill="auto"/>
            <w:noWrap/>
            <w:vAlign w:val="center"/>
            <w:hideMark/>
          </w:tcPr>
          <w:p w14:paraId="187C154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19,50</w:t>
            </w:r>
          </w:p>
        </w:tc>
        <w:tc>
          <w:tcPr>
            <w:tcW w:w="628" w:type="dxa"/>
            <w:tcBorders>
              <w:top w:val="nil"/>
              <w:left w:val="nil"/>
              <w:bottom w:val="nil"/>
              <w:right w:val="nil"/>
            </w:tcBorders>
            <w:shd w:val="clear" w:color="auto" w:fill="auto"/>
            <w:noWrap/>
            <w:vAlign w:val="center"/>
            <w:hideMark/>
          </w:tcPr>
          <w:p w14:paraId="6B49789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21,95</w:t>
            </w:r>
          </w:p>
        </w:tc>
        <w:tc>
          <w:tcPr>
            <w:tcW w:w="628" w:type="dxa"/>
            <w:tcBorders>
              <w:top w:val="nil"/>
              <w:left w:val="nil"/>
              <w:bottom w:val="nil"/>
              <w:right w:val="nil"/>
            </w:tcBorders>
            <w:shd w:val="clear" w:color="auto" w:fill="auto"/>
            <w:noWrap/>
            <w:vAlign w:val="center"/>
            <w:hideMark/>
          </w:tcPr>
          <w:p w14:paraId="7CA54333"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20,17</w:t>
            </w:r>
          </w:p>
        </w:tc>
      </w:tr>
      <w:tr w:rsidR="00170240" w:rsidRPr="00170240" w14:paraId="4FD2A393"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5F16883B"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I – Ubytování, stravování a pohostinství</w:t>
            </w:r>
          </w:p>
        </w:tc>
        <w:tc>
          <w:tcPr>
            <w:tcW w:w="628" w:type="dxa"/>
            <w:tcBorders>
              <w:top w:val="nil"/>
              <w:left w:val="nil"/>
              <w:bottom w:val="nil"/>
              <w:right w:val="nil"/>
            </w:tcBorders>
            <w:shd w:val="clear" w:color="auto" w:fill="auto"/>
            <w:noWrap/>
            <w:vAlign w:val="center"/>
            <w:hideMark/>
          </w:tcPr>
          <w:p w14:paraId="7E752AF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14,49</w:t>
            </w:r>
          </w:p>
        </w:tc>
        <w:tc>
          <w:tcPr>
            <w:tcW w:w="628" w:type="dxa"/>
            <w:tcBorders>
              <w:top w:val="nil"/>
              <w:left w:val="nil"/>
              <w:bottom w:val="nil"/>
              <w:right w:val="nil"/>
            </w:tcBorders>
            <w:shd w:val="clear" w:color="auto" w:fill="auto"/>
            <w:noWrap/>
            <w:vAlign w:val="center"/>
            <w:hideMark/>
          </w:tcPr>
          <w:p w14:paraId="6FFDC59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13,82</w:t>
            </w:r>
          </w:p>
        </w:tc>
        <w:tc>
          <w:tcPr>
            <w:tcW w:w="628" w:type="dxa"/>
            <w:tcBorders>
              <w:top w:val="nil"/>
              <w:left w:val="nil"/>
              <w:bottom w:val="nil"/>
              <w:right w:val="nil"/>
            </w:tcBorders>
            <w:shd w:val="clear" w:color="auto" w:fill="auto"/>
            <w:noWrap/>
            <w:vAlign w:val="center"/>
            <w:hideMark/>
          </w:tcPr>
          <w:p w14:paraId="7591B12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11,36</w:t>
            </w:r>
          </w:p>
        </w:tc>
        <w:tc>
          <w:tcPr>
            <w:tcW w:w="628" w:type="dxa"/>
            <w:tcBorders>
              <w:top w:val="nil"/>
              <w:left w:val="nil"/>
              <w:bottom w:val="nil"/>
              <w:right w:val="nil"/>
            </w:tcBorders>
            <w:shd w:val="clear" w:color="auto" w:fill="auto"/>
            <w:noWrap/>
            <w:vAlign w:val="center"/>
            <w:hideMark/>
          </w:tcPr>
          <w:p w14:paraId="714719A2"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12,93</w:t>
            </w:r>
          </w:p>
        </w:tc>
        <w:tc>
          <w:tcPr>
            <w:tcW w:w="628" w:type="dxa"/>
            <w:tcBorders>
              <w:top w:val="nil"/>
              <w:left w:val="nil"/>
              <w:bottom w:val="nil"/>
              <w:right w:val="nil"/>
            </w:tcBorders>
            <w:shd w:val="clear" w:color="auto" w:fill="auto"/>
            <w:noWrap/>
            <w:vAlign w:val="center"/>
            <w:hideMark/>
          </w:tcPr>
          <w:p w14:paraId="4FAF59A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12,08</w:t>
            </w:r>
          </w:p>
        </w:tc>
        <w:tc>
          <w:tcPr>
            <w:tcW w:w="628" w:type="dxa"/>
            <w:tcBorders>
              <w:top w:val="nil"/>
              <w:left w:val="nil"/>
              <w:bottom w:val="nil"/>
              <w:right w:val="nil"/>
            </w:tcBorders>
            <w:shd w:val="clear" w:color="auto" w:fill="auto"/>
            <w:noWrap/>
            <w:vAlign w:val="center"/>
            <w:hideMark/>
          </w:tcPr>
          <w:p w14:paraId="150F5AF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14,64</w:t>
            </w:r>
          </w:p>
        </w:tc>
        <w:tc>
          <w:tcPr>
            <w:tcW w:w="628" w:type="dxa"/>
            <w:tcBorders>
              <w:top w:val="nil"/>
              <w:left w:val="nil"/>
              <w:bottom w:val="nil"/>
              <w:right w:val="nil"/>
            </w:tcBorders>
            <w:shd w:val="clear" w:color="auto" w:fill="auto"/>
            <w:noWrap/>
            <w:vAlign w:val="center"/>
            <w:hideMark/>
          </w:tcPr>
          <w:p w14:paraId="0921CD3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14,75</w:t>
            </w:r>
          </w:p>
        </w:tc>
        <w:tc>
          <w:tcPr>
            <w:tcW w:w="628" w:type="dxa"/>
            <w:tcBorders>
              <w:top w:val="nil"/>
              <w:left w:val="nil"/>
              <w:bottom w:val="nil"/>
              <w:right w:val="nil"/>
            </w:tcBorders>
            <w:shd w:val="clear" w:color="auto" w:fill="auto"/>
            <w:noWrap/>
            <w:vAlign w:val="center"/>
            <w:hideMark/>
          </w:tcPr>
          <w:p w14:paraId="70CB5B4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15,08</w:t>
            </w:r>
          </w:p>
        </w:tc>
        <w:tc>
          <w:tcPr>
            <w:tcW w:w="628" w:type="dxa"/>
            <w:tcBorders>
              <w:top w:val="nil"/>
              <w:left w:val="nil"/>
              <w:bottom w:val="nil"/>
              <w:right w:val="nil"/>
            </w:tcBorders>
            <w:shd w:val="clear" w:color="auto" w:fill="auto"/>
            <w:noWrap/>
            <w:vAlign w:val="center"/>
            <w:hideMark/>
          </w:tcPr>
          <w:p w14:paraId="44797C8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16,38</w:t>
            </w:r>
          </w:p>
        </w:tc>
        <w:tc>
          <w:tcPr>
            <w:tcW w:w="628" w:type="dxa"/>
            <w:tcBorders>
              <w:top w:val="nil"/>
              <w:left w:val="nil"/>
              <w:bottom w:val="nil"/>
              <w:right w:val="nil"/>
            </w:tcBorders>
            <w:shd w:val="clear" w:color="auto" w:fill="auto"/>
            <w:noWrap/>
            <w:vAlign w:val="center"/>
            <w:hideMark/>
          </w:tcPr>
          <w:p w14:paraId="03AAF055"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15,77</w:t>
            </w:r>
          </w:p>
        </w:tc>
      </w:tr>
      <w:tr w:rsidR="00170240" w:rsidRPr="00170240" w14:paraId="36AF13DC"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5EDA2F2B"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J – Informační a komunikační činnosti</w:t>
            </w:r>
          </w:p>
        </w:tc>
        <w:tc>
          <w:tcPr>
            <w:tcW w:w="628" w:type="dxa"/>
            <w:tcBorders>
              <w:top w:val="nil"/>
              <w:left w:val="nil"/>
              <w:bottom w:val="nil"/>
              <w:right w:val="nil"/>
            </w:tcBorders>
            <w:shd w:val="clear" w:color="auto" w:fill="auto"/>
            <w:noWrap/>
            <w:vAlign w:val="center"/>
            <w:hideMark/>
          </w:tcPr>
          <w:p w14:paraId="73506C9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14,16</w:t>
            </w:r>
          </w:p>
        </w:tc>
        <w:tc>
          <w:tcPr>
            <w:tcW w:w="628" w:type="dxa"/>
            <w:tcBorders>
              <w:top w:val="nil"/>
              <w:left w:val="nil"/>
              <w:bottom w:val="nil"/>
              <w:right w:val="nil"/>
            </w:tcBorders>
            <w:shd w:val="clear" w:color="auto" w:fill="auto"/>
            <w:noWrap/>
            <w:vAlign w:val="center"/>
            <w:hideMark/>
          </w:tcPr>
          <w:p w14:paraId="6F63EE1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14,98</w:t>
            </w:r>
          </w:p>
        </w:tc>
        <w:tc>
          <w:tcPr>
            <w:tcW w:w="628" w:type="dxa"/>
            <w:tcBorders>
              <w:top w:val="nil"/>
              <w:left w:val="nil"/>
              <w:bottom w:val="nil"/>
              <w:right w:val="nil"/>
            </w:tcBorders>
            <w:shd w:val="clear" w:color="auto" w:fill="auto"/>
            <w:noWrap/>
            <w:vAlign w:val="center"/>
            <w:hideMark/>
          </w:tcPr>
          <w:p w14:paraId="67B202E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10,75</w:t>
            </w:r>
          </w:p>
        </w:tc>
        <w:tc>
          <w:tcPr>
            <w:tcW w:w="628" w:type="dxa"/>
            <w:tcBorders>
              <w:top w:val="nil"/>
              <w:left w:val="nil"/>
              <w:bottom w:val="nil"/>
              <w:right w:val="nil"/>
            </w:tcBorders>
            <w:shd w:val="clear" w:color="auto" w:fill="auto"/>
            <w:noWrap/>
            <w:vAlign w:val="center"/>
            <w:hideMark/>
          </w:tcPr>
          <w:p w14:paraId="33275A2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13,12</w:t>
            </w:r>
          </w:p>
        </w:tc>
        <w:tc>
          <w:tcPr>
            <w:tcW w:w="628" w:type="dxa"/>
            <w:tcBorders>
              <w:top w:val="nil"/>
              <w:left w:val="nil"/>
              <w:bottom w:val="nil"/>
              <w:right w:val="nil"/>
            </w:tcBorders>
            <w:shd w:val="clear" w:color="auto" w:fill="auto"/>
            <w:noWrap/>
            <w:vAlign w:val="center"/>
            <w:hideMark/>
          </w:tcPr>
          <w:p w14:paraId="07BB318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11,11</w:t>
            </w:r>
          </w:p>
        </w:tc>
        <w:tc>
          <w:tcPr>
            <w:tcW w:w="628" w:type="dxa"/>
            <w:tcBorders>
              <w:top w:val="nil"/>
              <w:left w:val="nil"/>
              <w:bottom w:val="nil"/>
              <w:right w:val="nil"/>
            </w:tcBorders>
            <w:shd w:val="clear" w:color="auto" w:fill="auto"/>
            <w:noWrap/>
            <w:vAlign w:val="center"/>
            <w:hideMark/>
          </w:tcPr>
          <w:p w14:paraId="33682FA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13,39</w:t>
            </w:r>
          </w:p>
        </w:tc>
        <w:tc>
          <w:tcPr>
            <w:tcW w:w="628" w:type="dxa"/>
            <w:tcBorders>
              <w:top w:val="nil"/>
              <w:left w:val="nil"/>
              <w:bottom w:val="nil"/>
              <w:right w:val="nil"/>
            </w:tcBorders>
            <w:shd w:val="clear" w:color="auto" w:fill="auto"/>
            <w:noWrap/>
            <w:vAlign w:val="center"/>
            <w:hideMark/>
          </w:tcPr>
          <w:p w14:paraId="3EF9268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12,72</w:t>
            </w:r>
          </w:p>
        </w:tc>
        <w:tc>
          <w:tcPr>
            <w:tcW w:w="628" w:type="dxa"/>
            <w:tcBorders>
              <w:top w:val="nil"/>
              <w:left w:val="nil"/>
              <w:bottom w:val="nil"/>
              <w:right w:val="nil"/>
            </w:tcBorders>
            <w:shd w:val="clear" w:color="auto" w:fill="auto"/>
            <w:noWrap/>
            <w:vAlign w:val="center"/>
            <w:hideMark/>
          </w:tcPr>
          <w:p w14:paraId="77481BD3"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13,53</w:t>
            </w:r>
          </w:p>
        </w:tc>
        <w:tc>
          <w:tcPr>
            <w:tcW w:w="628" w:type="dxa"/>
            <w:tcBorders>
              <w:top w:val="nil"/>
              <w:left w:val="nil"/>
              <w:bottom w:val="nil"/>
              <w:right w:val="nil"/>
            </w:tcBorders>
            <w:shd w:val="clear" w:color="auto" w:fill="auto"/>
            <w:noWrap/>
            <w:vAlign w:val="center"/>
            <w:hideMark/>
          </w:tcPr>
          <w:p w14:paraId="2460677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14,40</w:t>
            </w:r>
          </w:p>
        </w:tc>
        <w:tc>
          <w:tcPr>
            <w:tcW w:w="628" w:type="dxa"/>
            <w:tcBorders>
              <w:top w:val="nil"/>
              <w:left w:val="nil"/>
              <w:bottom w:val="nil"/>
              <w:right w:val="nil"/>
            </w:tcBorders>
            <w:shd w:val="clear" w:color="auto" w:fill="auto"/>
            <w:noWrap/>
            <w:vAlign w:val="center"/>
            <w:hideMark/>
          </w:tcPr>
          <w:p w14:paraId="216EE760"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13,54</w:t>
            </w:r>
          </w:p>
        </w:tc>
      </w:tr>
      <w:tr w:rsidR="00170240" w:rsidRPr="00170240" w14:paraId="6363C60F"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7599AB6C"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K – Peněžnictví a pojišťovnictví</w:t>
            </w:r>
          </w:p>
        </w:tc>
        <w:tc>
          <w:tcPr>
            <w:tcW w:w="628" w:type="dxa"/>
            <w:tcBorders>
              <w:top w:val="nil"/>
              <w:left w:val="nil"/>
              <w:bottom w:val="nil"/>
              <w:right w:val="nil"/>
            </w:tcBorders>
            <w:shd w:val="clear" w:color="auto" w:fill="auto"/>
            <w:noWrap/>
            <w:vAlign w:val="center"/>
            <w:hideMark/>
          </w:tcPr>
          <w:p w14:paraId="2352398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16,24</w:t>
            </w:r>
          </w:p>
        </w:tc>
        <w:tc>
          <w:tcPr>
            <w:tcW w:w="628" w:type="dxa"/>
            <w:tcBorders>
              <w:top w:val="nil"/>
              <w:left w:val="nil"/>
              <w:bottom w:val="nil"/>
              <w:right w:val="nil"/>
            </w:tcBorders>
            <w:shd w:val="clear" w:color="auto" w:fill="auto"/>
            <w:noWrap/>
            <w:vAlign w:val="center"/>
            <w:hideMark/>
          </w:tcPr>
          <w:p w14:paraId="2475F47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17,00</w:t>
            </w:r>
          </w:p>
        </w:tc>
        <w:tc>
          <w:tcPr>
            <w:tcW w:w="628" w:type="dxa"/>
            <w:tcBorders>
              <w:top w:val="nil"/>
              <w:left w:val="nil"/>
              <w:bottom w:val="nil"/>
              <w:right w:val="nil"/>
            </w:tcBorders>
            <w:shd w:val="clear" w:color="auto" w:fill="auto"/>
            <w:noWrap/>
            <w:vAlign w:val="center"/>
            <w:hideMark/>
          </w:tcPr>
          <w:p w14:paraId="5C2F6B5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11,98</w:t>
            </w:r>
          </w:p>
        </w:tc>
        <w:tc>
          <w:tcPr>
            <w:tcW w:w="628" w:type="dxa"/>
            <w:tcBorders>
              <w:top w:val="nil"/>
              <w:left w:val="nil"/>
              <w:bottom w:val="nil"/>
              <w:right w:val="nil"/>
            </w:tcBorders>
            <w:shd w:val="clear" w:color="auto" w:fill="auto"/>
            <w:noWrap/>
            <w:vAlign w:val="center"/>
            <w:hideMark/>
          </w:tcPr>
          <w:p w14:paraId="2234DB3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14,92</w:t>
            </w:r>
          </w:p>
        </w:tc>
        <w:tc>
          <w:tcPr>
            <w:tcW w:w="628" w:type="dxa"/>
            <w:tcBorders>
              <w:top w:val="nil"/>
              <w:left w:val="nil"/>
              <w:bottom w:val="nil"/>
              <w:right w:val="nil"/>
            </w:tcBorders>
            <w:shd w:val="clear" w:color="auto" w:fill="auto"/>
            <w:noWrap/>
            <w:vAlign w:val="center"/>
            <w:hideMark/>
          </w:tcPr>
          <w:p w14:paraId="60CAB02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12,92</w:t>
            </w:r>
          </w:p>
        </w:tc>
        <w:tc>
          <w:tcPr>
            <w:tcW w:w="628" w:type="dxa"/>
            <w:tcBorders>
              <w:top w:val="nil"/>
              <w:left w:val="nil"/>
              <w:bottom w:val="nil"/>
              <w:right w:val="nil"/>
            </w:tcBorders>
            <w:shd w:val="clear" w:color="auto" w:fill="auto"/>
            <w:noWrap/>
            <w:vAlign w:val="center"/>
            <w:hideMark/>
          </w:tcPr>
          <w:p w14:paraId="5AD5E7C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16,06</w:t>
            </w:r>
          </w:p>
        </w:tc>
        <w:tc>
          <w:tcPr>
            <w:tcW w:w="628" w:type="dxa"/>
            <w:tcBorders>
              <w:top w:val="nil"/>
              <w:left w:val="nil"/>
              <w:bottom w:val="nil"/>
              <w:right w:val="nil"/>
            </w:tcBorders>
            <w:shd w:val="clear" w:color="auto" w:fill="auto"/>
            <w:noWrap/>
            <w:vAlign w:val="center"/>
            <w:hideMark/>
          </w:tcPr>
          <w:p w14:paraId="5B2A4617"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14,75</w:t>
            </w:r>
          </w:p>
        </w:tc>
        <w:tc>
          <w:tcPr>
            <w:tcW w:w="628" w:type="dxa"/>
            <w:tcBorders>
              <w:top w:val="nil"/>
              <w:left w:val="nil"/>
              <w:bottom w:val="nil"/>
              <w:right w:val="nil"/>
            </w:tcBorders>
            <w:shd w:val="clear" w:color="auto" w:fill="auto"/>
            <w:noWrap/>
            <w:vAlign w:val="center"/>
            <w:hideMark/>
          </w:tcPr>
          <w:p w14:paraId="7FCFB70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15,10</w:t>
            </w:r>
          </w:p>
        </w:tc>
        <w:tc>
          <w:tcPr>
            <w:tcW w:w="628" w:type="dxa"/>
            <w:tcBorders>
              <w:top w:val="nil"/>
              <w:left w:val="nil"/>
              <w:bottom w:val="nil"/>
              <w:right w:val="nil"/>
            </w:tcBorders>
            <w:shd w:val="clear" w:color="auto" w:fill="auto"/>
            <w:noWrap/>
            <w:vAlign w:val="center"/>
            <w:hideMark/>
          </w:tcPr>
          <w:p w14:paraId="5EAE274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16,43</w:t>
            </w:r>
          </w:p>
        </w:tc>
        <w:tc>
          <w:tcPr>
            <w:tcW w:w="628" w:type="dxa"/>
            <w:tcBorders>
              <w:top w:val="nil"/>
              <w:left w:val="nil"/>
              <w:bottom w:val="nil"/>
              <w:right w:val="nil"/>
            </w:tcBorders>
            <w:shd w:val="clear" w:color="auto" w:fill="auto"/>
            <w:noWrap/>
            <w:vAlign w:val="center"/>
            <w:hideMark/>
          </w:tcPr>
          <w:p w14:paraId="5A2548B9"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14,97</w:t>
            </w:r>
          </w:p>
        </w:tc>
      </w:tr>
      <w:tr w:rsidR="00170240" w:rsidRPr="00170240" w14:paraId="261FBF5E"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05B21A06"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L – Činnosti v oblasti nemovitostí</w:t>
            </w:r>
          </w:p>
        </w:tc>
        <w:tc>
          <w:tcPr>
            <w:tcW w:w="628" w:type="dxa"/>
            <w:tcBorders>
              <w:top w:val="nil"/>
              <w:left w:val="nil"/>
              <w:bottom w:val="nil"/>
              <w:right w:val="nil"/>
            </w:tcBorders>
            <w:shd w:val="clear" w:color="auto" w:fill="auto"/>
            <w:noWrap/>
            <w:vAlign w:val="center"/>
            <w:hideMark/>
          </w:tcPr>
          <w:p w14:paraId="1C9D133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10,83</w:t>
            </w:r>
          </w:p>
        </w:tc>
        <w:tc>
          <w:tcPr>
            <w:tcW w:w="628" w:type="dxa"/>
            <w:tcBorders>
              <w:top w:val="nil"/>
              <w:left w:val="nil"/>
              <w:bottom w:val="nil"/>
              <w:right w:val="nil"/>
            </w:tcBorders>
            <w:shd w:val="clear" w:color="auto" w:fill="auto"/>
            <w:noWrap/>
            <w:vAlign w:val="center"/>
            <w:hideMark/>
          </w:tcPr>
          <w:p w14:paraId="50F750A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10,51</w:t>
            </w:r>
          </w:p>
        </w:tc>
        <w:tc>
          <w:tcPr>
            <w:tcW w:w="628" w:type="dxa"/>
            <w:tcBorders>
              <w:top w:val="nil"/>
              <w:left w:val="nil"/>
              <w:bottom w:val="nil"/>
              <w:right w:val="nil"/>
            </w:tcBorders>
            <w:shd w:val="clear" w:color="auto" w:fill="auto"/>
            <w:noWrap/>
            <w:vAlign w:val="center"/>
            <w:hideMark/>
          </w:tcPr>
          <w:p w14:paraId="3ADD82B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7,37</w:t>
            </w:r>
          </w:p>
        </w:tc>
        <w:tc>
          <w:tcPr>
            <w:tcW w:w="628" w:type="dxa"/>
            <w:tcBorders>
              <w:top w:val="nil"/>
              <w:left w:val="nil"/>
              <w:bottom w:val="nil"/>
              <w:right w:val="nil"/>
            </w:tcBorders>
            <w:shd w:val="clear" w:color="auto" w:fill="auto"/>
            <w:noWrap/>
            <w:vAlign w:val="center"/>
            <w:hideMark/>
          </w:tcPr>
          <w:p w14:paraId="5EED5A5C"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8,29</w:t>
            </w:r>
          </w:p>
        </w:tc>
        <w:tc>
          <w:tcPr>
            <w:tcW w:w="628" w:type="dxa"/>
            <w:tcBorders>
              <w:top w:val="nil"/>
              <w:left w:val="nil"/>
              <w:bottom w:val="nil"/>
              <w:right w:val="nil"/>
            </w:tcBorders>
            <w:shd w:val="clear" w:color="auto" w:fill="auto"/>
            <w:noWrap/>
            <w:vAlign w:val="center"/>
            <w:hideMark/>
          </w:tcPr>
          <w:p w14:paraId="52B0631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7,21</w:t>
            </w:r>
          </w:p>
        </w:tc>
        <w:tc>
          <w:tcPr>
            <w:tcW w:w="628" w:type="dxa"/>
            <w:tcBorders>
              <w:top w:val="nil"/>
              <w:left w:val="nil"/>
              <w:bottom w:val="nil"/>
              <w:right w:val="nil"/>
            </w:tcBorders>
            <w:shd w:val="clear" w:color="auto" w:fill="auto"/>
            <w:noWrap/>
            <w:vAlign w:val="center"/>
            <w:hideMark/>
          </w:tcPr>
          <w:p w14:paraId="53D7851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9,07</w:t>
            </w:r>
          </w:p>
        </w:tc>
        <w:tc>
          <w:tcPr>
            <w:tcW w:w="628" w:type="dxa"/>
            <w:tcBorders>
              <w:top w:val="nil"/>
              <w:left w:val="nil"/>
              <w:bottom w:val="nil"/>
              <w:right w:val="nil"/>
            </w:tcBorders>
            <w:shd w:val="clear" w:color="auto" w:fill="auto"/>
            <w:noWrap/>
            <w:vAlign w:val="center"/>
            <w:hideMark/>
          </w:tcPr>
          <w:p w14:paraId="0E197B4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8,61</w:t>
            </w:r>
          </w:p>
        </w:tc>
        <w:tc>
          <w:tcPr>
            <w:tcW w:w="628" w:type="dxa"/>
            <w:tcBorders>
              <w:top w:val="nil"/>
              <w:left w:val="nil"/>
              <w:bottom w:val="nil"/>
              <w:right w:val="nil"/>
            </w:tcBorders>
            <w:shd w:val="clear" w:color="auto" w:fill="auto"/>
            <w:noWrap/>
            <w:vAlign w:val="center"/>
            <w:hideMark/>
          </w:tcPr>
          <w:p w14:paraId="029A336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8,48</w:t>
            </w:r>
          </w:p>
        </w:tc>
        <w:tc>
          <w:tcPr>
            <w:tcW w:w="628" w:type="dxa"/>
            <w:tcBorders>
              <w:top w:val="nil"/>
              <w:left w:val="nil"/>
              <w:bottom w:val="nil"/>
              <w:right w:val="nil"/>
            </w:tcBorders>
            <w:shd w:val="clear" w:color="auto" w:fill="auto"/>
            <w:noWrap/>
            <w:vAlign w:val="center"/>
            <w:hideMark/>
          </w:tcPr>
          <w:p w14:paraId="70B382A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9,64</w:t>
            </w:r>
          </w:p>
        </w:tc>
        <w:tc>
          <w:tcPr>
            <w:tcW w:w="628" w:type="dxa"/>
            <w:tcBorders>
              <w:top w:val="nil"/>
              <w:left w:val="nil"/>
              <w:bottom w:val="nil"/>
              <w:right w:val="nil"/>
            </w:tcBorders>
            <w:shd w:val="clear" w:color="auto" w:fill="auto"/>
            <w:noWrap/>
            <w:vAlign w:val="center"/>
            <w:hideMark/>
          </w:tcPr>
          <w:p w14:paraId="31A871BA"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9,23</w:t>
            </w:r>
          </w:p>
        </w:tc>
      </w:tr>
      <w:tr w:rsidR="00170240" w:rsidRPr="00170240" w14:paraId="136D0414" w14:textId="77777777" w:rsidTr="00355A67">
        <w:trPr>
          <w:gridAfter w:val="1"/>
          <w:wAfter w:w="6" w:type="dxa"/>
          <w:trHeight w:val="459"/>
        </w:trPr>
        <w:tc>
          <w:tcPr>
            <w:tcW w:w="3289" w:type="dxa"/>
            <w:tcBorders>
              <w:top w:val="nil"/>
              <w:left w:val="nil"/>
              <w:bottom w:val="nil"/>
              <w:right w:val="nil"/>
            </w:tcBorders>
            <w:shd w:val="clear" w:color="auto" w:fill="auto"/>
            <w:vAlign w:val="center"/>
            <w:hideMark/>
          </w:tcPr>
          <w:p w14:paraId="5577505F" w14:textId="77777777" w:rsidR="00355A67"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M – Profesní, vědecké a technické</w:t>
            </w:r>
          </w:p>
          <w:p w14:paraId="2AFD47FA" w14:textId="6884AAD4" w:rsidR="00170240" w:rsidRPr="00170240" w:rsidRDefault="00355A67" w:rsidP="00355A6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00170240" w:rsidRPr="00170240">
              <w:rPr>
                <w:rFonts w:ascii="Arial CE" w:hAnsi="Arial CE" w:cs="Arial CE"/>
                <w:sz w:val="16"/>
                <w:szCs w:val="16"/>
              </w:rPr>
              <w:t>činnosti</w:t>
            </w:r>
          </w:p>
        </w:tc>
        <w:tc>
          <w:tcPr>
            <w:tcW w:w="628" w:type="dxa"/>
            <w:tcBorders>
              <w:top w:val="nil"/>
              <w:left w:val="nil"/>
              <w:bottom w:val="nil"/>
              <w:right w:val="nil"/>
            </w:tcBorders>
            <w:shd w:val="clear" w:color="auto" w:fill="auto"/>
            <w:noWrap/>
            <w:vAlign w:val="center"/>
            <w:hideMark/>
          </w:tcPr>
          <w:p w14:paraId="51BEF89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12,14</w:t>
            </w:r>
          </w:p>
        </w:tc>
        <w:tc>
          <w:tcPr>
            <w:tcW w:w="628" w:type="dxa"/>
            <w:tcBorders>
              <w:top w:val="nil"/>
              <w:left w:val="nil"/>
              <w:bottom w:val="nil"/>
              <w:right w:val="nil"/>
            </w:tcBorders>
            <w:shd w:val="clear" w:color="auto" w:fill="auto"/>
            <w:noWrap/>
            <w:vAlign w:val="center"/>
            <w:hideMark/>
          </w:tcPr>
          <w:p w14:paraId="2653B09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11,76</w:t>
            </w:r>
          </w:p>
        </w:tc>
        <w:tc>
          <w:tcPr>
            <w:tcW w:w="628" w:type="dxa"/>
            <w:tcBorders>
              <w:top w:val="nil"/>
              <w:left w:val="nil"/>
              <w:bottom w:val="nil"/>
              <w:right w:val="nil"/>
            </w:tcBorders>
            <w:shd w:val="clear" w:color="auto" w:fill="auto"/>
            <w:noWrap/>
            <w:vAlign w:val="center"/>
            <w:hideMark/>
          </w:tcPr>
          <w:p w14:paraId="73AA74B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9,25</w:t>
            </w:r>
          </w:p>
        </w:tc>
        <w:tc>
          <w:tcPr>
            <w:tcW w:w="628" w:type="dxa"/>
            <w:tcBorders>
              <w:top w:val="nil"/>
              <w:left w:val="nil"/>
              <w:bottom w:val="nil"/>
              <w:right w:val="nil"/>
            </w:tcBorders>
            <w:shd w:val="clear" w:color="auto" w:fill="auto"/>
            <w:noWrap/>
            <w:vAlign w:val="center"/>
            <w:hideMark/>
          </w:tcPr>
          <w:p w14:paraId="6D4D2F0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11,35</w:t>
            </w:r>
          </w:p>
        </w:tc>
        <w:tc>
          <w:tcPr>
            <w:tcW w:w="628" w:type="dxa"/>
            <w:tcBorders>
              <w:top w:val="nil"/>
              <w:left w:val="nil"/>
              <w:bottom w:val="nil"/>
              <w:right w:val="nil"/>
            </w:tcBorders>
            <w:shd w:val="clear" w:color="auto" w:fill="auto"/>
            <w:noWrap/>
            <w:vAlign w:val="center"/>
            <w:hideMark/>
          </w:tcPr>
          <w:p w14:paraId="451129F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9,49</w:t>
            </w:r>
          </w:p>
        </w:tc>
        <w:tc>
          <w:tcPr>
            <w:tcW w:w="628" w:type="dxa"/>
            <w:tcBorders>
              <w:top w:val="nil"/>
              <w:left w:val="nil"/>
              <w:bottom w:val="nil"/>
              <w:right w:val="nil"/>
            </w:tcBorders>
            <w:shd w:val="clear" w:color="auto" w:fill="auto"/>
            <w:noWrap/>
            <w:vAlign w:val="center"/>
            <w:hideMark/>
          </w:tcPr>
          <w:p w14:paraId="3E845C53"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12,10</w:t>
            </w:r>
          </w:p>
        </w:tc>
        <w:tc>
          <w:tcPr>
            <w:tcW w:w="628" w:type="dxa"/>
            <w:tcBorders>
              <w:top w:val="nil"/>
              <w:left w:val="nil"/>
              <w:bottom w:val="nil"/>
              <w:right w:val="nil"/>
            </w:tcBorders>
            <w:shd w:val="clear" w:color="auto" w:fill="auto"/>
            <w:noWrap/>
            <w:vAlign w:val="center"/>
            <w:hideMark/>
          </w:tcPr>
          <w:p w14:paraId="76D6A35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11,66</w:t>
            </w:r>
          </w:p>
        </w:tc>
        <w:tc>
          <w:tcPr>
            <w:tcW w:w="628" w:type="dxa"/>
            <w:tcBorders>
              <w:top w:val="nil"/>
              <w:left w:val="nil"/>
              <w:bottom w:val="nil"/>
              <w:right w:val="nil"/>
            </w:tcBorders>
            <w:shd w:val="clear" w:color="auto" w:fill="auto"/>
            <w:noWrap/>
            <w:vAlign w:val="center"/>
            <w:hideMark/>
          </w:tcPr>
          <w:p w14:paraId="2344E32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12,19</w:t>
            </w:r>
          </w:p>
        </w:tc>
        <w:tc>
          <w:tcPr>
            <w:tcW w:w="628" w:type="dxa"/>
            <w:tcBorders>
              <w:top w:val="nil"/>
              <w:left w:val="nil"/>
              <w:bottom w:val="nil"/>
              <w:right w:val="nil"/>
            </w:tcBorders>
            <w:shd w:val="clear" w:color="auto" w:fill="auto"/>
            <w:noWrap/>
            <w:vAlign w:val="center"/>
            <w:hideMark/>
          </w:tcPr>
          <w:p w14:paraId="24CAF89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12,93</w:t>
            </w:r>
          </w:p>
        </w:tc>
        <w:tc>
          <w:tcPr>
            <w:tcW w:w="628" w:type="dxa"/>
            <w:tcBorders>
              <w:top w:val="nil"/>
              <w:left w:val="nil"/>
              <w:bottom w:val="nil"/>
              <w:right w:val="nil"/>
            </w:tcBorders>
            <w:shd w:val="clear" w:color="auto" w:fill="auto"/>
            <w:noWrap/>
            <w:vAlign w:val="center"/>
            <w:hideMark/>
          </w:tcPr>
          <w:p w14:paraId="19B016F2"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11,60</w:t>
            </w:r>
          </w:p>
        </w:tc>
      </w:tr>
      <w:tr w:rsidR="00170240" w:rsidRPr="00170240" w14:paraId="18C10E1B"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584235A7"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N – Administrativní a podpůrné činnosti</w:t>
            </w:r>
          </w:p>
        </w:tc>
        <w:tc>
          <w:tcPr>
            <w:tcW w:w="628" w:type="dxa"/>
            <w:tcBorders>
              <w:top w:val="nil"/>
              <w:left w:val="nil"/>
              <w:bottom w:val="nil"/>
              <w:right w:val="nil"/>
            </w:tcBorders>
            <w:shd w:val="clear" w:color="auto" w:fill="auto"/>
            <w:noWrap/>
            <w:vAlign w:val="center"/>
            <w:hideMark/>
          </w:tcPr>
          <w:p w14:paraId="7F111EF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19,34</w:t>
            </w:r>
          </w:p>
        </w:tc>
        <w:tc>
          <w:tcPr>
            <w:tcW w:w="628" w:type="dxa"/>
            <w:tcBorders>
              <w:top w:val="nil"/>
              <w:left w:val="nil"/>
              <w:bottom w:val="nil"/>
              <w:right w:val="nil"/>
            </w:tcBorders>
            <w:shd w:val="clear" w:color="auto" w:fill="auto"/>
            <w:noWrap/>
            <w:vAlign w:val="center"/>
            <w:hideMark/>
          </w:tcPr>
          <w:p w14:paraId="4EDD8E4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21,79</w:t>
            </w:r>
          </w:p>
        </w:tc>
        <w:tc>
          <w:tcPr>
            <w:tcW w:w="628" w:type="dxa"/>
            <w:tcBorders>
              <w:top w:val="nil"/>
              <w:left w:val="nil"/>
              <w:bottom w:val="nil"/>
              <w:right w:val="nil"/>
            </w:tcBorders>
            <w:shd w:val="clear" w:color="auto" w:fill="auto"/>
            <w:noWrap/>
            <w:vAlign w:val="center"/>
            <w:hideMark/>
          </w:tcPr>
          <w:p w14:paraId="24A8C5A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15,08</w:t>
            </w:r>
          </w:p>
        </w:tc>
        <w:tc>
          <w:tcPr>
            <w:tcW w:w="628" w:type="dxa"/>
            <w:tcBorders>
              <w:top w:val="nil"/>
              <w:left w:val="nil"/>
              <w:bottom w:val="nil"/>
              <w:right w:val="nil"/>
            </w:tcBorders>
            <w:shd w:val="clear" w:color="auto" w:fill="auto"/>
            <w:noWrap/>
            <w:vAlign w:val="center"/>
            <w:hideMark/>
          </w:tcPr>
          <w:p w14:paraId="79B3CC3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18,94</w:t>
            </w:r>
          </w:p>
        </w:tc>
        <w:tc>
          <w:tcPr>
            <w:tcW w:w="628" w:type="dxa"/>
            <w:tcBorders>
              <w:top w:val="nil"/>
              <w:left w:val="nil"/>
              <w:bottom w:val="nil"/>
              <w:right w:val="nil"/>
            </w:tcBorders>
            <w:shd w:val="clear" w:color="auto" w:fill="auto"/>
            <w:noWrap/>
            <w:vAlign w:val="center"/>
            <w:hideMark/>
          </w:tcPr>
          <w:p w14:paraId="01AF5D4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19,36</w:t>
            </w:r>
          </w:p>
        </w:tc>
        <w:tc>
          <w:tcPr>
            <w:tcW w:w="628" w:type="dxa"/>
            <w:tcBorders>
              <w:top w:val="nil"/>
              <w:left w:val="nil"/>
              <w:bottom w:val="nil"/>
              <w:right w:val="nil"/>
            </w:tcBorders>
            <w:shd w:val="clear" w:color="auto" w:fill="auto"/>
            <w:noWrap/>
            <w:vAlign w:val="center"/>
            <w:hideMark/>
          </w:tcPr>
          <w:p w14:paraId="3F9A8F9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25,63</w:t>
            </w:r>
          </w:p>
        </w:tc>
        <w:tc>
          <w:tcPr>
            <w:tcW w:w="628" w:type="dxa"/>
            <w:tcBorders>
              <w:top w:val="nil"/>
              <w:left w:val="nil"/>
              <w:bottom w:val="nil"/>
              <w:right w:val="nil"/>
            </w:tcBorders>
            <w:shd w:val="clear" w:color="auto" w:fill="auto"/>
            <w:noWrap/>
            <w:vAlign w:val="center"/>
            <w:hideMark/>
          </w:tcPr>
          <w:p w14:paraId="27844890"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26,13</w:t>
            </w:r>
          </w:p>
        </w:tc>
        <w:tc>
          <w:tcPr>
            <w:tcW w:w="628" w:type="dxa"/>
            <w:tcBorders>
              <w:top w:val="nil"/>
              <w:left w:val="nil"/>
              <w:bottom w:val="nil"/>
              <w:right w:val="nil"/>
            </w:tcBorders>
            <w:shd w:val="clear" w:color="auto" w:fill="auto"/>
            <w:noWrap/>
            <w:vAlign w:val="center"/>
            <w:hideMark/>
          </w:tcPr>
          <w:p w14:paraId="18E0949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26,25</w:t>
            </w:r>
          </w:p>
        </w:tc>
        <w:tc>
          <w:tcPr>
            <w:tcW w:w="628" w:type="dxa"/>
            <w:tcBorders>
              <w:top w:val="nil"/>
              <w:left w:val="nil"/>
              <w:bottom w:val="nil"/>
              <w:right w:val="nil"/>
            </w:tcBorders>
            <w:shd w:val="clear" w:color="auto" w:fill="auto"/>
            <w:noWrap/>
            <w:vAlign w:val="center"/>
            <w:hideMark/>
          </w:tcPr>
          <w:p w14:paraId="7AB0CA8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26,19</w:t>
            </w:r>
          </w:p>
        </w:tc>
        <w:tc>
          <w:tcPr>
            <w:tcW w:w="628" w:type="dxa"/>
            <w:tcBorders>
              <w:top w:val="nil"/>
              <w:left w:val="nil"/>
              <w:bottom w:val="nil"/>
              <w:right w:val="nil"/>
            </w:tcBorders>
            <w:shd w:val="clear" w:color="auto" w:fill="auto"/>
            <w:noWrap/>
            <w:vAlign w:val="center"/>
            <w:hideMark/>
          </w:tcPr>
          <w:p w14:paraId="6B578CCA"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23,53</w:t>
            </w:r>
          </w:p>
        </w:tc>
      </w:tr>
      <w:tr w:rsidR="00170240" w:rsidRPr="00170240" w14:paraId="1F3CFD47" w14:textId="77777777" w:rsidTr="00355A67">
        <w:trPr>
          <w:gridAfter w:val="1"/>
          <w:wAfter w:w="6" w:type="dxa"/>
          <w:trHeight w:val="459"/>
        </w:trPr>
        <w:tc>
          <w:tcPr>
            <w:tcW w:w="3289" w:type="dxa"/>
            <w:tcBorders>
              <w:top w:val="nil"/>
              <w:left w:val="nil"/>
              <w:bottom w:val="nil"/>
              <w:right w:val="nil"/>
            </w:tcBorders>
            <w:shd w:val="clear" w:color="auto" w:fill="auto"/>
            <w:vAlign w:val="center"/>
            <w:hideMark/>
          </w:tcPr>
          <w:p w14:paraId="52C245A6" w14:textId="77777777" w:rsidR="00355A67"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O – Veřejná správa a obrana; povinné</w:t>
            </w:r>
          </w:p>
          <w:p w14:paraId="4146EADD" w14:textId="1C9E63CA" w:rsidR="00170240" w:rsidRPr="00170240" w:rsidRDefault="00355A67" w:rsidP="00170240">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00170240" w:rsidRPr="00170240">
              <w:rPr>
                <w:rFonts w:ascii="Arial CE" w:hAnsi="Arial CE" w:cs="Arial CE"/>
                <w:sz w:val="16"/>
                <w:szCs w:val="16"/>
              </w:rPr>
              <w:t xml:space="preserve"> sociální zabezpečení</w:t>
            </w:r>
          </w:p>
        </w:tc>
        <w:tc>
          <w:tcPr>
            <w:tcW w:w="628" w:type="dxa"/>
            <w:tcBorders>
              <w:top w:val="nil"/>
              <w:left w:val="nil"/>
              <w:bottom w:val="nil"/>
              <w:right w:val="nil"/>
            </w:tcBorders>
            <w:shd w:val="clear" w:color="auto" w:fill="auto"/>
            <w:noWrap/>
            <w:vAlign w:val="center"/>
            <w:hideMark/>
          </w:tcPr>
          <w:p w14:paraId="58ACFDF2"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16,39</w:t>
            </w:r>
          </w:p>
        </w:tc>
        <w:tc>
          <w:tcPr>
            <w:tcW w:w="628" w:type="dxa"/>
            <w:tcBorders>
              <w:top w:val="nil"/>
              <w:left w:val="nil"/>
              <w:bottom w:val="nil"/>
              <w:right w:val="nil"/>
            </w:tcBorders>
            <w:shd w:val="clear" w:color="auto" w:fill="auto"/>
            <w:noWrap/>
            <w:vAlign w:val="center"/>
            <w:hideMark/>
          </w:tcPr>
          <w:p w14:paraId="7F9708B3"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17,06</w:t>
            </w:r>
          </w:p>
        </w:tc>
        <w:tc>
          <w:tcPr>
            <w:tcW w:w="628" w:type="dxa"/>
            <w:tcBorders>
              <w:top w:val="nil"/>
              <w:left w:val="nil"/>
              <w:bottom w:val="nil"/>
              <w:right w:val="nil"/>
            </w:tcBorders>
            <w:shd w:val="clear" w:color="auto" w:fill="auto"/>
            <w:noWrap/>
            <w:vAlign w:val="center"/>
            <w:hideMark/>
          </w:tcPr>
          <w:p w14:paraId="6035A86C"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13,03</w:t>
            </w:r>
          </w:p>
        </w:tc>
        <w:tc>
          <w:tcPr>
            <w:tcW w:w="628" w:type="dxa"/>
            <w:tcBorders>
              <w:top w:val="nil"/>
              <w:left w:val="nil"/>
              <w:bottom w:val="nil"/>
              <w:right w:val="nil"/>
            </w:tcBorders>
            <w:shd w:val="clear" w:color="auto" w:fill="auto"/>
            <w:noWrap/>
            <w:vAlign w:val="center"/>
            <w:hideMark/>
          </w:tcPr>
          <w:p w14:paraId="058B1892"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16,46</w:t>
            </w:r>
          </w:p>
        </w:tc>
        <w:tc>
          <w:tcPr>
            <w:tcW w:w="628" w:type="dxa"/>
            <w:tcBorders>
              <w:top w:val="nil"/>
              <w:left w:val="nil"/>
              <w:bottom w:val="nil"/>
              <w:right w:val="nil"/>
            </w:tcBorders>
            <w:shd w:val="clear" w:color="auto" w:fill="auto"/>
            <w:noWrap/>
            <w:vAlign w:val="center"/>
            <w:hideMark/>
          </w:tcPr>
          <w:p w14:paraId="443A4AA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13,50</w:t>
            </w:r>
          </w:p>
        </w:tc>
        <w:tc>
          <w:tcPr>
            <w:tcW w:w="628" w:type="dxa"/>
            <w:tcBorders>
              <w:top w:val="nil"/>
              <w:left w:val="nil"/>
              <w:bottom w:val="nil"/>
              <w:right w:val="nil"/>
            </w:tcBorders>
            <w:shd w:val="clear" w:color="auto" w:fill="auto"/>
            <w:noWrap/>
            <w:vAlign w:val="center"/>
            <w:hideMark/>
          </w:tcPr>
          <w:p w14:paraId="0B4E58D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18,46</w:t>
            </w:r>
          </w:p>
        </w:tc>
        <w:tc>
          <w:tcPr>
            <w:tcW w:w="628" w:type="dxa"/>
            <w:tcBorders>
              <w:top w:val="nil"/>
              <w:left w:val="nil"/>
              <w:bottom w:val="nil"/>
              <w:right w:val="nil"/>
            </w:tcBorders>
            <w:shd w:val="clear" w:color="auto" w:fill="auto"/>
            <w:noWrap/>
            <w:vAlign w:val="center"/>
            <w:hideMark/>
          </w:tcPr>
          <w:p w14:paraId="57B3BD3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16,99</w:t>
            </w:r>
          </w:p>
        </w:tc>
        <w:tc>
          <w:tcPr>
            <w:tcW w:w="628" w:type="dxa"/>
            <w:tcBorders>
              <w:top w:val="nil"/>
              <w:left w:val="nil"/>
              <w:bottom w:val="nil"/>
              <w:right w:val="nil"/>
            </w:tcBorders>
            <w:shd w:val="clear" w:color="auto" w:fill="auto"/>
            <w:noWrap/>
            <w:vAlign w:val="center"/>
            <w:hideMark/>
          </w:tcPr>
          <w:p w14:paraId="2570051C"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17,94</w:t>
            </w:r>
          </w:p>
        </w:tc>
        <w:tc>
          <w:tcPr>
            <w:tcW w:w="628" w:type="dxa"/>
            <w:tcBorders>
              <w:top w:val="nil"/>
              <w:left w:val="nil"/>
              <w:bottom w:val="nil"/>
              <w:right w:val="nil"/>
            </w:tcBorders>
            <w:shd w:val="clear" w:color="auto" w:fill="auto"/>
            <w:noWrap/>
            <w:vAlign w:val="center"/>
            <w:hideMark/>
          </w:tcPr>
          <w:p w14:paraId="5580DA3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19,94</w:t>
            </w:r>
          </w:p>
        </w:tc>
        <w:tc>
          <w:tcPr>
            <w:tcW w:w="628" w:type="dxa"/>
            <w:tcBorders>
              <w:top w:val="nil"/>
              <w:left w:val="nil"/>
              <w:bottom w:val="nil"/>
              <w:right w:val="nil"/>
            </w:tcBorders>
            <w:shd w:val="clear" w:color="auto" w:fill="auto"/>
            <w:noWrap/>
            <w:vAlign w:val="center"/>
            <w:hideMark/>
          </w:tcPr>
          <w:p w14:paraId="4B41328C"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18,01</w:t>
            </w:r>
          </w:p>
        </w:tc>
      </w:tr>
      <w:tr w:rsidR="00170240" w:rsidRPr="00170240" w14:paraId="742522D3"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01CD4D29"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P – Vzdělávání</w:t>
            </w:r>
          </w:p>
        </w:tc>
        <w:tc>
          <w:tcPr>
            <w:tcW w:w="628" w:type="dxa"/>
            <w:tcBorders>
              <w:top w:val="nil"/>
              <w:left w:val="nil"/>
              <w:bottom w:val="nil"/>
              <w:right w:val="nil"/>
            </w:tcBorders>
            <w:shd w:val="clear" w:color="auto" w:fill="auto"/>
            <w:noWrap/>
            <w:vAlign w:val="center"/>
            <w:hideMark/>
          </w:tcPr>
          <w:p w14:paraId="3C15D27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15,72</w:t>
            </w:r>
          </w:p>
        </w:tc>
        <w:tc>
          <w:tcPr>
            <w:tcW w:w="628" w:type="dxa"/>
            <w:tcBorders>
              <w:top w:val="nil"/>
              <w:left w:val="nil"/>
              <w:bottom w:val="nil"/>
              <w:right w:val="nil"/>
            </w:tcBorders>
            <w:shd w:val="clear" w:color="auto" w:fill="auto"/>
            <w:noWrap/>
            <w:vAlign w:val="center"/>
            <w:hideMark/>
          </w:tcPr>
          <w:p w14:paraId="2C39193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16,60</w:t>
            </w:r>
          </w:p>
        </w:tc>
        <w:tc>
          <w:tcPr>
            <w:tcW w:w="628" w:type="dxa"/>
            <w:tcBorders>
              <w:top w:val="nil"/>
              <w:left w:val="nil"/>
              <w:bottom w:val="nil"/>
              <w:right w:val="nil"/>
            </w:tcBorders>
            <w:shd w:val="clear" w:color="auto" w:fill="auto"/>
            <w:noWrap/>
            <w:vAlign w:val="center"/>
            <w:hideMark/>
          </w:tcPr>
          <w:p w14:paraId="258A5ED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12,10</w:t>
            </w:r>
          </w:p>
        </w:tc>
        <w:tc>
          <w:tcPr>
            <w:tcW w:w="628" w:type="dxa"/>
            <w:tcBorders>
              <w:top w:val="nil"/>
              <w:left w:val="nil"/>
              <w:bottom w:val="nil"/>
              <w:right w:val="nil"/>
            </w:tcBorders>
            <w:shd w:val="clear" w:color="auto" w:fill="auto"/>
            <w:noWrap/>
            <w:vAlign w:val="center"/>
            <w:hideMark/>
          </w:tcPr>
          <w:p w14:paraId="4864B5C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15,72</w:t>
            </w:r>
          </w:p>
        </w:tc>
        <w:tc>
          <w:tcPr>
            <w:tcW w:w="628" w:type="dxa"/>
            <w:tcBorders>
              <w:top w:val="nil"/>
              <w:left w:val="nil"/>
              <w:bottom w:val="nil"/>
              <w:right w:val="nil"/>
            </w:tcBorders>
            <w:shd w:val="clear" w:color="auto" w:fill="auto"/>
            <w:noWrap/>
            <w:vAlign w:val="center"/>
            <w:hideMark/>
          </w:tcPr>
          <w:p w14:paraId="5A9F113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13,21</w:t>
            </w:r>
          </w:p>
        </w:tc>
        <w:tc>
          <w:tcPr>
            <w:tcW w:w="628" w:type="dxa"/>
            <w:tcBorders>
              <w:top w:val="nil"/>
              <w:left w:val="nil"/>
              <w:bottom w:val="nil"/>
              <w:right w:val="nil"/>
            </w:tcBorders>
            <w:shd w:val="clear" w:color="auto" w:fill="auto"/>
            <w:noWrap/>
            <w:vAlign w:val="center"/>
            <w:hideMark/>
          </w:tcPr>
          <w:p w14:paraId="2364A7C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19,39</w:t>
            </w:r>
          </w:p>
        </w:tc>
        <w:tc>
          <w:tcPr>
            <w:tcW w:w="628" w:type="dxa"/>
            <w:tcBorders>
              <w:top w:val="nil"/>
              <w:left w:val="nil"/>
              <w:bottom w:val="nil"/>
              <w:right w:val="nil"/>
            </w:tcBorders>
            <w:shd w:val="clear" w:color="auto" w:fill="auto"/>
            <w:noWrap/>
            <w:vAlign w:val="center"/>
            <w:hideMark/>
          </w:tcPr>
          <w:p w14:paraId="6786331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18,07</w:t>
            </w:r>
          </w:p>
        </w:tc>
        <w:tc>
          <w:tcPr>
            <w:tcW w:w="628" w:type="dxa"/>
            <w:tcBorders>
              <w:top w:val="nil"/>
              <w:left w:val="nil"/>
              <w:bottom w:val="nil"/>
              <w:right w:val="nil"/>
            </w:tcBorders>
            <w:shd w:val="clear" w:color="auto" w:fill="auto"/>
            <w:noWrap/>
            <w:vAlign w:val="center"/>
            <w:hideMark/>
          </w:tcPr>
          <w:p w14:paraId="22640953"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20,32</w:t>
            </w:r>
          </w:p>
        </w:tc>
        <w:tc>
          <w:tcPr>
            <w:tcW w:w="628" w:type="dxa"/>
            <w:tcBorders>
              <w:top w:val="nil"/>
              <w:left w:val="nil"/>
              <w:bottom w:val="nil"/>
              <w:right w:val="nil"/>
            </w:tcBorders>
            <w:shd w:val="clear" w:color="auto" w:fill="auto"/>
            <w:noWrap/>
            <w:vAlign w:val="center"/>
            <w:hideMark/>
          </w:tcPr>
          <w:p w14:paraId="72C67F8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22,58</w:t>
            </w:r>
          </w:p>
        </w:tc>
        <w:tc>
          <w:tcPr>
            <w:tcW w:w="628" w:type="dxa"/>
            <w:tcBorders>
              <w:top w:val="nil"/>
              <w:left w:val="nil"/>
              <w:bottom w:val="nil"/>
              <w:right w:val="nil"/>
            </w:tcBorders>
            <w:shd w:val="clear" w:color="auto" w:fill="auto"/>
            <w:noWrap/>
            <w:vAlign w:val="center"/>
            <w:hideMark/>
          </w:tcPr>
          <w:p w14:paraId="44185296"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20,26</w:t>
            </w:r>
          </w:p>
        </w:tc>
      </w:tr>
      <w:tr w:rsidR="00170240" w:rsidRPr="00170240" w14:paraId="5806A9EF"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4FB5ECCA"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Q – Zdravotní a sociální péče</w:t>
            </w:r>
          </w:p>
        </w:tc>
        <w:tc>
          <w:tcPr>
            <w:tcW w:w="628" w:type="dxa"/>
            <w:tcBorders>
              <w:top w:val="nil"/>
              <w:left w:val="nil"/>
              <w:bottom w:val="nil"/>
              <w:right w:val="nil"/>
            </w:tcBorders>
            <w:shd w:val="clear" w:color="auto" w:fill="auto"/>
            <w:noWrap/>
            <w:vAlign w:val="center"/>
            <w:hideMark/>
          </w:tcPr>
          <w:p w14:paraId="1149F03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14,05</w:t>
            </w:r>
          </w:p>
        </w:tc>
        <w:tc>
          <w:tcPr>
            <w:tcW w:w="628" w:type="dxa"/>
            <w:tcBorders>
              <w:top w:val="nil"/>
              <w:left w:val="nil"/>
              <w:bottom w:val="nil"/>
              <w:right w:val="nil"/>
            </w:tcBorders>
            <w:shd w:val="clear" w:color="auto" w:fill="auto"/>
            <w:noWrap/>
            <w:vAlign w:val="center"/>
            <w:hideMark/>
          </w:tcPr>
          <w:p w14:paraId="5C90C72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14,65</w:t>
            </w:r>
          </w:p>
        </w:tc>
        <w:tc>
          <w:tcPr>
            <w:tcW w:w="628" w:type="dxa"/>
            <w:tcBorders>
              <w:top w:val="nil"/>
              <w:left w:val="nil"/>
              <w:bottom w:val="nil"/>
              <w:right w:val="nil"/>
            </w:tcBorders>
            <w:shd w:val="clear" w:color="auto" w:fill="auto"/>
            <w:noWrap/>
            <w:vAlign w:val="center"/>
            <w:hideMark/>
          </w:tcPr>
          <w:p w14:paraId="3935930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11,97</w:t>
            </w:r>
          </w:p>
        </w:tc>
        <w:tc>
          <w:tcPr>
            <w:tcW w:w="628" w:type="dxa"/>
            <w:tcBorders>
              <w:top w:val="nil"/>
              <w:left w:val="nil"/>
              <w:bottom w:val="nil"/>
              <w:right w:val="nil"/>
            </w:tcBorders>
            <w:shd w:val="clear" w:color="auto" w:fill="auto"/>
            <w:noWrap/>
            <w:vAlign w:val="center"/>
            <w:hideMark/>
          </w:tcPr>
          <w:p w14:paraId="5755C47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14,90</w:t>
            </w:r>
          </w:p>
        </w:tc>
        <w:tc>
          <w:tcPr>
            <w:tcW w:w="628" w:type="dxa"/>
            <w:tcBorders>
              <w:top w:val="nil"/>
              <w:left w:val="nil"/>
              <w:bottom w:val="nil"/>
              <w:right w:val="nil"/>
            </w:tcBorders>
            <w:shd w:val="clear" w:color="auto" w:fill="auto"/>
            <w:noWrap/>
            <w:vAlign w:val="center"/>
            <w:hideMark/>
          </w:tcPr>
          <w:p w14:paraId="105FC68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13,24</w:t>
            </w:r>
          </w:p>
        </w:tc>
        <w:tc>
          <w:tcPr>
            <w:tcW w:w="628" w:type="dxa"/>
            <w:tcBorders>
              <w:top w:val="nil"/>
              <w:left w:val="nil"/>
              <w:bottom w:val="nil"/>
              <w:right w:val="nil"/>
            </w:tcBorders>
            <w:shd w:val="clear" w:color="auto" w:fill="auto"/>
            <w:noWrap/>
            <w:vAlign w:val="center"/>
            <w:hideMark/>
          </w:tcPr>
          <w:p w14:paraId="4550F29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17,33</w:t>
            </w:r>
          </w:p>
        </w:tc>
        <w:tc>
          <w:tcPr>
            <w:tcW w:w="628" w:type="dxa"/>
            <w:tcBorders>
              <w:top w:val="nil"/>
              <w:left w:val="nil"/>
              <w:bottom w:val="nil"/>
              <w:right w:val="nil"/>
            </w:tcBorders>
            <w:shd w:val="clear" w:color="auto" w:fill="auto"/>
            <w:noWrap/>
            <w:vAlign w:val="center"/>
            <w:hideMark/>
          </w:tcPr>
          <w:p w14:paraId="4D76EC0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16,82</w:t>
            </w:r>
          </w:p>
        </w:tc>
        <w:tc>
          <w:tcPr>
            <w:tcW w:w="628" w:type="dxa"/>
            <w:tcBorders>
              <w:top w:val="nil"/>
              <w:left w:val="nil"/>
              <w:bottom w:val="nil"/>
              <w:right w:val="nil"/>
            </w:tcBorders>
            <w:shd w:val="clear" w:color="auto" w:fill="auto"/>
            <w:noWrap/>
            <w:vAlign w:val="center"/>
            <w:hideMark/>
          </w:tcPr>
          <w:p w14:paraId="664AE28C"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18,01</w:t>
            </w:r>
          </w:p>
        </w:tc>
        <w:tc>
          <w:tcPr>
            <w:tcW w:w="628" w:type="dxa"/>
            <w:tcBorders>
              <w:top w:val="nil"/>
              <w:left w:val="nil"/>
              <w:bottom w:val="nil"/>
              <w:right w:val="nil"/>
            </w:tcBorders>
            <w:shd w:val="clear" w:color="auto" w:fill="auto"/>
            <w:noWrap/>
            <w:vAlign w:val="center"/>
            <w:hideMark/>
          </w:tcPr>
          <w:p w14:paraId="61E212A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19,69</w:t>
            </w:r>
          </w:p>
        </w:tc>
        <w:tc>
          <w:tcPr>
            <w:tcW w:w="628" w:type="dxa"/>
            <w:tcBorders>
              <w:top w:val="nil"/>
              <w:left w:val="nil"/>
              <w:bottom w:val="nil"/>
              <w:right w:val="nil"/>
            </w:tcBorders>
            <w:shd w:val="clear" w:color="auto" w:fill="auto"/>
            <w:noWrap/>
            <w:vAlign w:val="center"/>
            <w:hideMark/>
          </w:tcPr>
          <w:p w14:paraId="38F2DCA0"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18,48</w:t>
            </w:r>
          </w:p>
        </w:tc>
      </w:tr>
      <w:tr w:rsidR="00170240" w:rsidRPr="00170240" w14:paraId="70A8E75C" w14:textId="77777777" w:rsidTr="00355A67">
        <w:trPr>
          <w:gridAfter w:val="1"/>
          <w:wAfter w:w="6" w:type="dxa"/>
          <w:trHeight w:val="397"/>
        </w:trPr>
        <w:tc>
          <w:tcPr>
            <w:tcW w:w="3289" w:type="dxa"/>
            <w:tcBorders>
              <w:top w:val="nil"/>
              <w:left w:val="nil"/>
              <w:bottom w:val="nil"/>
              <w:right w:val="nil"/>
            </w:tcBorders>
            <w:shd w:val="clear" w:color="auto" w:fill="auto"/>
            <w:vAlign w:val="center"/>
            <w:hideMark/>
          </w:tcPr>
          <w:p w14:paraId="12B21E6D"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R – Kulturní, zábavní a rekreační činnosti</w:t>
            </w:r>
          </w:p>
        </w:tc>
        <w:tc>
          <w:tcPr>
            <w:tcW w:w="628" w:type="dxa"/>
            <w:tcBorders>
              <w:top w:val="nil"/>
              <w:left w:val="nil"/>
              <w:bottom w:val="nil"/>
              <w:right w:val="nil"/>
            </w:tcBorders>
            <w:shd w:val="clear" w:color="auto" w:fill="auto"/>
            <w:noWrap/>
            <w:vAlign w:val="center"/>
            <w:hideMark/>
          </w:tcPr>
          <w:p w14:paraId="564604F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13,16</w:t>
            </w:r>
          </w:p>
        </w:tc>
        <w:tc>
          <w:tcPr>
            <w:tcW w:w="628" w:type="dxa"/>
            <w:tcBorders>
              <w:top w:val="nil"/>
              <w:left w:val="nil"/>
              <w:bottom w:val="nil"/>
              <w:right w:val="nil"/>
            </w:tcBorders>
            <w:shd w:val="clear" w:color="auto" w:fill="auto"/>
            <w:noWrap/>
            <w:vAlign w:val="center"/>
            <w:hideMark/>
          </w:tcPr>
          <w:p w14:paraId="5738D7C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12,81</w:t>
            </w:r>
          </w:p>
        </w:tc>
        <w:tc>
          <w:tcPr>
            <w:tcW w:w="628" w:type="dxa"/>
            <w:tcBorders>
              <w:top w:val="nil"/>
              <w:left w:val="nil"/>
              <w:bottom w:val="nil"/>
              <w:right w:val="nil"/>
            </w:tcBorders>
            <w:shd w:val="clear" w:color="auto" w:fill="auto"/>
            <w:noWrap/>
            <w:vAlign w:val="center"/>
            <w:hideMark/>
          </w:tcPr>
          <w:p w14:paraId="3ABC11D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9,62</w:t>
            </w:r>
          </w:p>
        </w:tc>
        <w:tc>
          <w:tcPr>
            <w:tcW w:w="628" w:type="dxa"/>
            <w:tcBorders>
              <w:top w:val="nil"/>
              <w:left w:val="nil"/>
              <w:bottom w:val="nil"/>
              <w:right w:val="nil"/>
            </w:tcBorders>
            <w:shd w:val="clear" w:color="auto" w:fill="auto"/>
            <w:noWrap/>
            <w:vAlign w:val="center"/>
            <w:hideMark/>
          </w:tcPr>
          <w:p w14:paraId="5C063A2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12,18</w:t>
            </w:r>
          </w:p>
        </w:tc>
        <w:tc>
          <w:tcPr>
            <w:tcW w:w="628" w:type="dxa"/>
            <w:tcBorders>
              <w:top w:val="nil"/>
              <w:left w:val="nil"/>
              <w:bottom w:val="nil"/>
              <w:right w:val="nil"/>
            </w:tcBorders>
            <w:shd w:val="clear" w:color="auto" w:fill="auto"/>
            <w:noWrap/>
            <w:vAlign w:val="center"/>
            <w:hideMark/>
          </w:tcPr>
          <w:p w14:paraId="75F2C9F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10,52</w:t>
            </w:r>
          </w:p>
        </w:tc>
        <w:tc>
          <w:tcPr>
            <w:tcW w:w="628" w:type="dxa"/>
            <w:tcBorders>
              <w:top w:val="nil"/>
              <w:left w:val="nil"/>
              <w:bottom w:val="nil"/>
              <w:right w:val="nil"/>
            </w:tcBorders>
            <w:shd w:val="clear" w:color="auto" w:fill="auto"/>
            <w:noWrap/>
            <w:vAlign w:val="center"/>
            <w:hideMark/>
          </w:tcPr>
          <w:p w14:paraId="7E3A8E4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13,98</w:t>
            </w:r>
          </w:p>
        </w:tc>
        <w:tc>
          <w:tcPr>
            <w:tcW w:w="628" w:type="dxa"/>
            <w:tcBorders>
              <w:top w:val="nil"/>
              <w:left w:val="nil"/>
              <w:bottom w:val="nil"/>
              <w:right w:val="nil"/>
            </w:tcBorders>
            <w:shd w:val="clear" w:color="auto" w:fill="auto"/>
            <w:noWrap/>
            <w:vAlign w:val="center"/>
            <w:hideMark/>
          </w:tcPr>
          <w:p w14:paraId="2770FE5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13,64</w:t>
            </w:r>
          </w:p>
        </w:tc>
        <w:tc>
          <w:tcPr>
            <w:tcW w:w="628" w:type="dxa"/>
            <w:tcBorders>
              <w:top w:val="nil"/>
              <w:left w:val="nil"/>
              <w:bottom w:val="nil"/>
              <w:right w:val="nil"/>
            </w:tcBorders>
            <w:shd w:val="clear" w:color="auto" w:fill="auto"/>
            <w:noWrap/>
            <w:vAlign w:val="center"/>
            <w:hideMark/>
          </w:tcPr>
          <w:p w14:paraId="34DAA45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14,23</w:t>
            </w:r>
          </w:p>
        </w:tc>
        <w:tc>
          <w:tcPr>
            <w:tcW w:w="628" w:type="dxa"/>
            <w:tcBorders>
              <w:top w:val="nil"/>
              <w:left w:val="nil"/>
              <w:bottom w:val="nil"/>
              <w:right w:val="nil"/>
            </w:tcBorders>
            <w:shd w:val="clear" w:color="auto" w:fill="auto"/>
            <w:noWrap/>
            <w:vAlign w:val="center"/>
            <w:hideMark/>
          </w:tcPr>
          <w:p w14:paraId="42DEF7F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15,53</w:t>
            </w:r>
          </w:p>
        </w:tc>
        <w:tc>
          <w:tcPr>
            <w:tcW w:w="628" w:type="dxa"/>
            <w:tcBorders>
              <w:top w:val="nil"/>
              <w:left w:val="nil"/>
              <w:bottom w:val="nil"/>
              <w:right w:val="nil"/>
            </w:tcBorders>
            <w:shd w:val="clear" w:color="auto" w:fill="auto"/>
            <w:noWrap/>
            <w:vAlign w:val="center"/>
            <w:hideMark/>
          </w:tcPr>
          <w:p w14:paraId="7EDC9E11"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14,68</w:t>
            </w:r>
          </w:p>
        </w:tc>
      </w:tr>
      <w:tr w:rsidR="00170240" w:rsidRPr="00170240" w14:paraId="0FC499F7"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1AC0B7EC"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S – Ostatní činnosti</w:t>
            </w:r>
          </w:p>
        </w:tc>
        <w:tc>
          <w:tcPr>
            <w:tcW w:w="628" w:type="dxa"/>
            <w:tcBorders>
              <w:top w:val="nil"/>
              <w:left w:val="nil"/>
              <w:bottom w:val="nil"/>
              <w:right w:val="nil"/>
            </w:tcBorders>
            <w:shd w:val="clear" w:color="auto" w:fill="auto"/>
            <w:noWrap/>
            <w:vAlign w:val="center"/>
            <w:hideMark/>
          </w:tcPr>
          <w:p w14:paraId="6E5CAA2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13,48</w:t>
            </w:r>
          </w:p>
        </w:tc>
        <w:tc>
          <w:tcPr>
            <w:tcW w:w="628" w:type="dxa"/>
            <w:tcBorders>
              <w:top w:val="nil"/>
              <w:left w:val="nil"/>
              <w:bottom w:val="nil"/>
              <w:right w:val="nil"/>
            </w:tcBorders>
            <w:shd w:val="clear" w:color="auto" w:fill="auto"/>
            <w:noWrap/>
            <w:vAlign w:val="center"/>
            <w:hideMark/>
          </w:tcPr>
          <w:p w14:paraId="73F9918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13,76</w:t>
            </w:r>
          </w:p>
        </w:tc>
        <w:tc>
          <w:tcPr>
            <w:tcW w:w="628" w:type="dxa"/>
            <w:tcBorders>
              <w:top w:val="nil"/>
              <w:left w:val="nil"/>
              <w:bottom w:val="nil"/>
              <w:right w:val="nil"/>
            </w:tcBorders>
            <w:shd w:val="clear" w:color="auto" w:fill="auto"/>
            <w:noWrap/>
            <w:vAlign w:val="center"/>
            <w:hideMark/>
          </w:tcPr>
          <w:p w14:paraId="4851F5B0"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11,08</w:t>
            </w:r>
          </w:p>
        </w:tc>
        <w:tc>
          <w:tcPr>
            <w:tcW w:w="628" w:type="dxa"/>
            <w:tcBorders>
              <w:top w:val="nil"/>
              <w:left w:val="nil"/>
              <w:bottom w:val="nil"/>
              <w:right w:val="nil"/>
            </w:tcBorders>
            <w:shd w:val="clear" w:color="auto" w:fill="auto"/>
            <w:noWrap/>
            <w:vAlign w:val="center"/>
            <w:hideMark/>
          </w:tcPr>
          <w:p w14:paraId="0B4B399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13,52</w:t>
            </w:r>
          </w:p>
        </w:tc>
        <w:tc>
          <w:tcPr>
            <w:tcW w:w="628" w:type="dxa"/>
            <w:tcBorders>
              <w:top w:val="nil"/>
              <w:left w:val="nil"/>
              <w:bottom w:val="nil"/>
              <w:right w:val="nil"/>
            </w:tcBorders>
            <w:shd w:val="clear" w:color="auto" w:fill="auto"/>
            <w:noWrap/>
            <w:vAlign w:val="center"/>
            <w:hideMark/>
          </w:tcPr>
          <w:p w14:paraId="5FECB80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11,93</w:t>
            </w:r>
          </w:p>
        </w:tc>
        <w:tc>
          <w:tcPr>
            <w:tcW w:w="628" w:type="dxa"/>
            <w:tcBorders>
              <w:top w:val="nil"/>
              <w:left w:val="nil"/>
              <w:bottom w:val="nil"/>
              <w:right w:val="nil"/>
            </w:tcBorders>
            <w:shd w:val="clear" w:color="auto" w:fill="auto"/>
            <w:noWrap/>
            <w:vAlign w:val="center"/>
            <w:hideMark/>
          </w:tcPr>
          <w:p w14:paraId="175CFFD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15,14</w:t>
            </w:r>
          </w:p>
        </w:tc>
        <w:tc>
          <w:tcPr>
            <w:tcW w:w="628" w:type="dxa"/>
            <w:tcBorders>
              <w:top w:val="nil"/>
              <w:left w:val="nil"/>
              <w:bottom w:val="nil"/>
              <w:right w:val="nil"/>
            </w:tcBorders>
            <w:shd w:val="clear" w:color="auto" w:fill="auto"/>
            <w:noWrap/>
            <w:vAlign w:val="center"/>
            <w:hideMark/>
          </w:tcPr>
          <w:p w14:paraId="65D0D63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15,23</w:t>
            </w:r>
          </w:p>
        </w:tc>
        <w:tc>
          <w:tcPr>
            <w:tcW w:w="628" w:type="dxa"/>
            <w:tcBorders>
              <w:top w:val="nil"/>
              <w:left w:val="nil"/>
              <w:bottom w:val="nil"/>
              <w:right w:val="nil"/>
            </w:tcBorders>
            <w:shd w:val="clear" w:color="auto" w:fill="auto"/>
            <w:noWrap/>
            <w:vAlign w:val="center"/>
            <w:hideMark/>
          </w:tcPr>
          <w:p w14:paraId="17B7E643"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15,47</w:t>
            </w:r>
          </w:p>
        </w:tc>
        <w:tc>
          <w:tcPr>
            <w:tcW w:w="628" w:type="dxa"/>
            <w:tcBorders>
              <w:top w:val="nil"/>
              <w:left w:val="nil"/>
              <w:bottom w:val="nil"/>
              <w:right w:val="nil"/>
            </w:tcBorders>
            <w:shd w:val="clear" w:color="auto" w:fill="auto"/>
            <w:noWrap/>
            <w:vAlign w:val="center"/>
            <w:hideMark/>
          </w:tcPr>
          <w:p w14:paraId="050954BC"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16,93</w:t>
            </w:r>
          </w:p>
        </w:tc>
        <w:tc>
          <w:tcPr>
            <w:tcW w:w="628" w:type="dxa"/>
            <w:tcBorders>
              <w:top w:val="nil"/>
              <w:left w:val="nil"/>
              <w:bottom w:val="nil"/>
              <w:right w:val="nil"/>
            </w:tcBorders>
            <w:shd w:val="clear" w:color="auto" w:fill="auto"/>
            <w:noWrap/>
            <w:vAlign w:val="center"/>
            <w:hideMark/>
          </w:tcPr>
          <w:p w14:paraId="52047335"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16,15</w:t>
            </w:r>
          </w:p>
        </w:tc>
      </w:tr>
    </w:tbl>
    <w:p w14:paraId="51821716" w14:textId="1135FC3B" w:rsidR="00AC74F3" w:rsidRDefault="00AC74F3" w:rsidP="00833468">
      <w:pPr>
        <w:spacing w:before="120"/>
        <w:jc w:val="both"/>
        <w:rPr>
          <w:rFonts w:cs="Arial"/>
          <w:sz w:val="16"/>
          <w:szCs w:val="16"/>
        </w:rPr>
      </w:pPr>
      <w:r>
        <w:rPr>
          <w:rFonts w:cs="Arial"/>
          <w:sz w:val="16"/>
          <w:szCs w:val="16"/>
        </w:rPr>
        <w:t>Zdroj: ČSÚ</w:t>
      </w:r>
    </w:p>
    <w:p w14:paraId="121CD040" w14:textId="44769D29" w:rsidR="00907B59" w:rsidRDefault="00907B59" w:rsidP="00907B59">
      <w:pPr>
        <w:jc w:val="both"/>
        <w:rPr>
          <w:rFonts w:cs="Arial"/>
        </w:rPr>
      </w:pPr>
      <w:r>
        <w:rPr>
          <w:rFonts w:cs="Arial"/>
        </w:rPr>
        <w:t xml:space="preserve">Nejvíce případů dočasné pracovní neschopnosti v 1. pol. 2019 </w:t>
      </w:r>
      <w:r w:rsidRPr="00BA064B">
        <w:rPr>
          <w:rFonts w:cs="Arial"/>
          <w:b/>
        </w:rPr>
        <w:t>na 100 pojištěnců</w:t>
      </w:r>
      <w:r>
        <w:rPr>
          <w:rFonts w:cs="Arial"/>
        </w:rPr>
        <w:t xml:space="preserve"> bylo zaznamenáno rovněž ve Zpracovatelském průmyslu (27), následovala oblast Administrativní a podpůrné činnosti (23,5). Nejméně časté případy pracovní neschopnosti na 100 pojištěnců byly evidovány v odvětví Činnosti v oblasti nemovitostí (9,2). Celorepublikový průměr bez ohledu na ekonomické odvětví činil </w:t>
      </w:r>
      <w:r w:rsidR="00B564BA">
        <w:rPr>
          <w:rFonts w:cs="Arial"/>
        </w:rPr>
        <w:t xml:space="preserve">již zmíněných </w:t>
      </w:r>
      <w:r>
        <w:rPr>
          <w:rFonts w:cs="Arial"/>
        </w:rPr>
        <w:t>20,6 případů na 100</w:t>
      </w:r>
      <w:r w:rsidR="00614C38">
        <w:rPr>
          <w:rFonts w:cs="Arial"/>
        </w:rPr>
        <w:t> </w:t>
      </w:r>
      <w:r>
        <w:rPr>
          <w:rFonts w:cs="Arial"/>
        </w:rPr>
        <w:t>nemocensky pojištěných osob.</w:t>
      </w:r>
    </w:p>
    <w:p w14:paraId="766DD747" w14:textId="0259F7E9" w:rsidR="00907B59" w:rsidRDefault="00907B59" w:rsidP="00907B59">
      <w:pPr>
        <w:jc w:val="both"/>
        <w:rPr>
          <w:rFonts w:cs="Arial"/>
        </w:rPr>
      </w:pPr>
      <w:r w:rsidRPr="00C55B6D">
        <w:rPr>
          <w:rFonts w:cs="Arial"/>
        </w:rPr>
        <w:t xml:space="preserve">Nejvíce případů dočasné pracovní neschopnosti na 100 pojištěnců </w:t>
      </w:r>
      <w:r w:rsidRPr="00BA05E6">
        <w:rPr>
          <w:rFonts w:cs="Arial"/>
          <w:b/>
        </w:rPr>
        <w:t>pro pracovní úraz</w:t>
      </w:r>
      <w:r w:rsidRPr="00C55B6D">
        <w:rPr>
          <w:rFonts w:cs="Arial"/>
        </w:rPr>
        <w:t xml:space="preserve">, což je </w:t>
      </w:r>
      <w:r>
        <w:rPr>
          <w:rFonts w:cs="Arial"/>
        </w:rPr>
        <w:t xml:space="preserve">možné chápat jako </w:t>
      </w:r>
      <w:r w:rsidRPr="00C55B6D">
        <w:rPr>
          <w:rFonts w:cs="Arial"/>
        </w:rPr>
        <w:t>ukazatel vyjadřující „stupeň rizikovosti“ daného odvětví, bylo hlášeno u oblasti Zemědělství, lesnictví a rybářství (</w:t>
      </w:r>
      <w:r>
        <w:rPr>
          <w:rFonts w:cs="Arial"/>
        </w:rPr>
        <w:t>1,2</w:t>
      </w:r>
      <w:r w:rsidRPr="00C55B6D">
        <w:rPr>
          <w:rFonts w:cs="Arial"/>
        </w:rPr>
        <w:t>)</w:t>
      </w:r>
      <w:r w:rsidRPr="00C55B6D">
        <w:rPr>
          <w:rFonts w:cs="Arial"/>
          <w:szCs w:val="20"/>
        </w:rPr>
        <w:t xml:space="preserve">, dále u oblasti </w:t>
      </w:r>
      <w:r w:rsidR="00A354BB">
        <w:rPr>
          <w:rFonts w:cs="Arial"/>
        </w:rPr>
        <w:t>Zásobování vodou;</w:t>
      </w:r>
      <w:r w:rsidRPr="00C55B6D">
        <w:rPr>
          <w:rFonts w:cs="Arial"/>
        </w:rPr>
        <w:t xml:space="preserve"> činnosti související s odpadními vodami, odpady a sanacemi (1,</w:t>
      </w:r>
      <w:r>
        <w:rPr>
          <w:rFonts w:cs="Arial"/>
        </w:rPr>
        <w:t>0</w:t>
      </w:r>
      <w:r w:rsidRPr="00C55B6D">
        <w:rPr>
          <w:rFonts w:cs="Arial"/>
        </w:rPr>
        <w:t>) a</w:t>
      </w:r>
      <w:r>
        <w:rPr>
          <w:rFonts w:cs="Arial"/>
        </w:rPr>
        <w:t> </w:t>
      </w:r>
      <w:r w:rsidRPr="00C55B6D">
        <w:rPr>
          <w:rFonts w:cs="Arial"/>
        </w:rPr>
        <w:t>v oblas</w:t>
      </w:r>
      <w:r>
        <w:rPr>
          <w:rFonts w:cs="Arial"/>
        </w:rPr>
        <w:t>ti Doprava a skladování (0,8).</w:t>
      </w:r>
      <w:r w:rsidRPr="00C55B6D">
        <w:rPr>
          <w:rFonts w:cs="Arial"/>
        </w:rPr>
        <w:t xml:space="preserve"> </w:t>
      </w:r>
      <w:r>
        <w:rPr>
          <w:rFonts w:cs="Arial"/>
        </w:rPr>
        <w:t>Naproti tomu nejméně pracovních úrazů bylo zaznamenáno v Peněžnictví a pojišťovnictví (0,04) a u Informačních a komunikačních činností (0,05). Průměrně za všechna odvětví připadalo na 100 pojištěnců v 1. pol. 2019 0,5 pracovního úrazu.</w:t>
      </w:r>
    </w:p>
    <w:p w14:paraId="6EE8A930" w14:textId="5B82496D" w:rsidR="00907B59" w:rsidRDefault="00907B59" w:rsidP="00907B59">
      <w:pPr>
        <w:jc w:val="both"/>
        <w:rPr>
          <w:rFonts w:cs="Arial"/>
        </w:rPr>
      </w:pPr>
      <w:r>
        <w:rPr>
          <w:rFonts w:cs="Arial"/>
        </w:rPr>
        <w:t>Vývoj hodnot ukazatele počet případů pracovní neschopnosti na 100 pojištěnců v jednotlivých odvětvích je zřejmý z tabulky 2.2. V posledních deseti letech došlo k nárůstu počtu hlášených případů v přepočtu na 100 pojištěnců ze 17 případů v 1. pol. 2010 na 21 případů v 1. pol. 2019. Nejdynamičtější nárůst mezi 1. pol. 2010 a 1. pol. 2019 je patrný v odvětví Výroba a rozvod elektřiny, plynu, tepla a klimatizovaného vzduchu (z</w:t>
      </w:r>
      <w:r w:rsidR="00061D62">
        <w:rPr>
          <w:rFonts w:cs="Arial"/>
        </w:rPr>
        <w:t xml:space="preserve"> 10</w:t>
      </w:r>
      <w:r>
        <w:rPr>
          <w:rFonts w:cs="Arial"/>
        </w:rPr>
        <w:t xml:space="preserve"> případů na začátku sledovaného období na </w:t>
      </w:r>
      <w:r w:rsidR="00061D62">
        <w:rPr>
          <w:rFonts w:cs="Arial"/>
        </w:rPr>
        <w:t>16</w:t>
      </w:r>
      <w:r>
        <w:rPr>
          <w:rFonts w:cs="Arial"/>
        </w:rPr>
        <w:t xml:space="preserve"> případů v roce 2019 – tj. nárůst o 51 %). Přibylo také pracovníků dočasně práce neschopných ve Zpracovatelském průmyslu (z 20 v 1. pol. 2010 na 27 případů v 1. pol. 2019, resp. o 38 %) nebo v odvětví Zásobování vodou; činnosti související s odpadními vodami, odpady a sanacemi (z 16 v 1. pol. 2010 na 21 v 1. pol. 2019, resp. o 30 %). Naopak největší pokles byl zaznamenán v odvětví Činnosti v oblasti nemovitostí, a sice z </w:t>
      </w:r>
      <w:r w:rsidR="00A354BB">
        <w:rPr>
          <w:rFonts w:cs="Arial"/>
        </w:rPr>
        <w:t>11</w:t>
      </w:r>
      <w:r>
        <w:rPr>
          <w:rFonts w:cs="Arial"/>
        </w:rPr>
        <w:t xml:space="preserve"> případů v 1. pol. 2010 na </w:t>
      </w:r>
      <w:r w:rsidR="00A354BB">
        <w:rPr>
          <w:rFonts w:cs="Arial"/>
        </w:rPr>
        <w:t>9</w:t>
      </w:r>
      <w:r>
        <w:rPr>
          <w:rFonts w:cs="Arial"/>
        </w:rPr>
        <w:t xml:space="preserve"> </w:t>
      </w:r>
      <w:r w:rsidR="00A354BB">
        <w:rPr>
          <w:rFonts w:cs="Arial"/>
        </w:rPr>
        <w:t>případů</w:t>
      </w:r>
      <w:r>
        <w:rPr>
          <w:rFonts w:cs="Arial"/>
        </w:rPr>
        <w:t xml:space="preserve"> za 1. pol. 2019, tj. pokles o 15 %.</w:t>
      </w:r>
    </w:p>
    <w:p w14:paraId="6CD835AD" w14:textId="77777777" w:rsidR="0019246C" w:rsidRDefault="002273A1" w:rsidP="0019246C">
      <w:pPr>
        <w:spacing w:after="120"/>
        <w:jc w:val="both"/>
        <w:rPr>
          <w:rFonts w:cs="Arial"/>
          <w:b/>
        </w:rPr>
      </w:pPr>
      <w:r w:rsidRPr="0019246C">
        <w:rPr>
          <w:rFonts w:cs="Arial"/>
          <w:b/>
        </w:rPr>
        <w:lastRenderedPageBreak/>
        <w:t>Graf 2.4: Nově hlášené případy dočasné pracovní neschopnosti na 100 pojištěnců podle krajů ČR v</w:t>
      </w:r>
      <w:r w:rsidR="0019246C" w:rsidRPr="0019246C">
        <w:rPr>
          <w:rFonts w:cs="Arial"/>
          <w:b/>
        </w:rPr>
        <w:t> </w:t>
      </w:r>
      <w:r w:rsidRPr="0019246C">
        <w:rPr>
          <w:rFonts w:cs="Arial"/>
          <w:b/>
        </w:rPr>
        <w:t>1.</w:t>
      </w:r>
      <w:r w:rsidR="0019246C" w:rsidRPr="0019246C">
        <w:rPr>
          <w:rFonts w:cs="Arial"/>
          <w:b/>
        </w:rPr>
        <w:t> </w:t>
      </w:r>
      <w:r w:rsidRPr="0019246C">
        <w:rPr>
          <w:rFonts w:cs="Arial"/>
          <w:b/>
        </w:rPr>
        <w:t>pol. 2019</w:t>
      </w:r>
    </w:p>
    <w:p w14:paraId="56A8AC57" w14:textId="53DD5379" w:rsidR="00D82646" w:rsidRPr="000D78C9" w:rsidRDefault="002273A1" w:rsidP="0019246C">
      <w:pPr>
        <w:spacing w:after="120"/>
        <w:jc w:val="both"/>
        <w:rPr>
          <w:b/>
        </w:rPr>
      </w:pPr>
      <w:r>
        <w:rPr>
          <w:noProof/>
        </w:rPr>
        <w:drawing>
          <wp:inline distT="0" distB="0" distL="0" distR="0" wp14:anchorId="0C5D407C" wp14:editId="16954C73">
            <wp:extent cx="6010275" cy="4467225"/>
            <wp:effectExtent l="0" t="0" r="0" b="0"/>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2B4327">
        <w:rPr>
          <w:rFonts w:cs="Arial"/>
          <w:sz w:val="16"/>
          <w:szCs w:val="16"/>
        </w:rPr>
        <w:t>Zdroj: ČSÚ</w:t>
      </w:r>
    </w:p>
    <w:p w14:paraId="408CFA46" w14:textId="1B3DE687" w:rsidR="00907B59" w:rsidRDefault="00907B59" w:rsidP="00907B59">
      <w:pPr>
        <w:jc w:val="both"/>
        <w:rPr>
          <w:rFonts w:cs="Arial"/>
        </w:rPr>
      </w:pPr>
      <w:r w:rsidRPr="00C55B6D">
        <w:rPr>
          <w:rFonts w:cs="Arial"/>
        </w:rPr>
        <w:t xml:space="preserve">Z pohledu </w:t>
      </w:r>
      <w:r w:rsidRPr="00833468">
        <w:rPr>
          <w:rFonts w:cs="Arial"/>
          <w:b/>
        </w:rPr>
        <w:t>územního členění</w:t>
      </w:r>
      <w:r w:rsidRPr="00C55B6D">
        <w:rPr>
          <w:rFonts w:cs="Arial"/>
        </w:rPr>
        <w:t xml:space="preserve"> bylo v</w:t>
      </w:r>
      <w:r>
        <w:rPr>
          <w:rFonts w:cs="Arial"/>
        </w:rPr>
        <w:t> 1. pol. 2019</w:t>
      </w:r>
      <w:r w:rsidRPr="00C55B6D">
        <w:rPr>
          <w:rFonts w:cs="Arial"/>
        </w:rPr>
        <w:t xml:space="preserve"> nejvíce případů pracovní neschopnosti na 100 pojištěnců hlášeno v Libereckém (</w:t>
      </w:r>
      <w:r>
        <w:rPr>
          <w:rFonts w:cs="Arial"/>
        </w:rPr>
        <w:t>25,0</w:t>
      </w:r>
      <w:r w:rsidRPr="00C55B6D">
        <w:rPr>
          <w:rFonts w:cs="Arial"/>
        </w:rPr>
        <w:t>)</w:t>
      </w:r>
      <w:r>
        <w:rPr>
          <w:rFonts w:cs="Arial"/>
        </w:rPr>
        <w:t xml:space="preserve">, </w:t>
      </w:r>
      <w:r w:rsidRPr="00C55B6D">
        <w:rPr>
          <w:rFonts w:cs="Arial"/>
        </w:rPr>
        <w:t>Plzeňském (</w:t>
      </w:r>
      <w:r>
        <w:rPr>
          <w:rFonts w:cs="Arial"/>
        </w:rPr>
        <w:t>24,0</w:t>
      </w:r>
      <w:r w:rsidRPr="00C55B6D">
        <w:rPr>
          <w:rFonts w:cs="Arial"/>
        </w:rPr>
        <w:t>)</w:t>
      </w:r>
      <w:r>
        <w:rPr>
          <w:rFonts w:cs="Arial"/>
        </w:rPr>
        <w:t xml:space="preserve"> a Královéhradeckém </w:t>
      </w:r>
      <w:r w:rsidR="00061D62">
        <w:rPr>
          <w:rFonts w:cs="Arial"/>
        </w:rPr>
        <w:t xml:space="preserve">kraji </w:t>
      </w:r>
      <w:r>
        <w:rPr>
          <w:rFonts w:cs="Arial"/>
        </w:rPr>
        <w:t xml:space="preserve">(23,6). Průměr za Českou republiku činil 20,6 případů, přičemž podprůměrné hodnoty vykazovaly následující 3 kraje. </w:t>
      </w:r>
      <w:r w:rsidRPr="00C55B6D">
        <w:rPr>
          <w:rFonts w:cs="Arial"/>
        </w:rPr>
        <w:t xml:space="preserve">Nejméně </w:t>
      </w:r>
      <w:r>
        <w:rPr>
          <w:rFonts w:cs="Arial"/>
        </w:rPr>
        <w:t xml:space="preserve">případů bylo hlášeno </w:t>
      </w:r>
      <w:r w:rsidRPr="00C55B6D">
        <w:rPr>
          <w:rFonts w:cs="Arial"/>
        </w:rPr>
        <w:t>v Praze (</w:t>
      </w:r>
      <w:r>
        <w:rPr>
          <w:rFonts w:cs="Arial"/>
        </w:rPr>
        <w:t>16,6),</w:t>
      </w:r>
      <w:r w:rsidRPr="00C55B6D">
        <w:rPr>
          <w:rFonts w:cs="Arial"/>
        </w:rPr>
        <w:t> Jihomoravském kraji (</w:t>
      </w:r>
      <w:r>
        <w:rPr>
          <w:rFonts w:cs="Arial"/>
        </w:rPr>
        <w:t>19,7</w:t>
      </w:r>
      <w:r w:rsidRPr="00C55B6D">
        <w:rPr>
          <w:rFonts w:cs="Arial"/>
        </w:rPr>
        <w:t>)</w:t>
      </w:r>
      <w:r>
        <w:rPr>
          <w:rFonts w:cs="Arial"/>
        </w:rPr>
        <w:t xml:space="preserve"> a</w:t>
      </w:r>
      <w:r w:rsidRPr="00C55B6D">
        <w:rPr>
          <w:rFonts w:cs="Arial"/>
        </w:rPr>
        <w:t> Olomouckém kraji (</w:t>
      </w:r>
      <w:r>
        <w:rPr>
          <w:rFonts w:cs="Arial"/>
        </w:rPr>
        <w:t>20,3</w:t>
      </w:r>
      <w:r w:rsidRPr="00C55B6D">
        <w:rPr>
          <w:rFonts w:cs="Arial"/>
        </w:rPr>
        <w:t>). V</w:t>
      </w:r>
      <w:r>
        <w:rPr>
          <w:rFonts w:cs="Arial"/>
        </w:rPr>
        <w:t xml:space="preserve"> 1. pol. 2019 </w:t>
      </w:r>
      <w:r w:rsidRPr="00C55B6D">
        <w:rPr>
          <w:rFonts w:cs="Arial"/>
        </w:rPr>
        <w:t xml:space="preserve">byl rozdíl mezi kraji s nejvyšším a nejnižším počtem </w:t>
      </w:r>
      <w:r w:rsidR="00922112">
        <w:rPr>
          <w:rFonts w:cs="Arial"/>
        </w:rPr>
        <w:t xml:space="preserve">případů </w:t>
      </w:r>
      <w:r w:rsidRPr="00C55B6D">
        <w:rPr>
          <w:rFonts w:cs="Arial"/>
        </w:rPr>
        <w:t xml:space="preserve">pracovní neschopnosti na 100 pojištěnců </w:t>
      </w:r>
      <w:r>
        <w:rPr>
          <w:rFonts w:cs="Arial"/>
        </w:rPr>
        <w:t>8</w:t>
      </w:r>
      <w:r w:rsidRPr="00C55B6D">
        <w:rPr>
          <w:rFonts w:cs="Arial"/>
        </w:rPr>
        <w:t xml:space="preserve"> případů. </w:t>
      </w:r>
      <w:r>
        <w:rPr>
          <w:rFonts w:cs="Arial"/>
        </w:rPr>
        <w:t>Hodnoty tohoto sledovaného ukazatele v 1. pol. 2019 meziročně poklesly ve všech krajích.</w:t>
      </w:r>
    </w:p>
    <w:p w14:paraId="7B6A2DB0" w14:textId="2CD5C36A" w:rsidR="00F711D4" w:rsidRDefault="00907B59" w:rsidP="00907B59">
      <w:pPr>
        <w:jc w:val="both"/>
        <w:rPr>
          <w:rFonts w:cs="Arial"/>
          <w:szCs w:val="20"/>
        </w:rPr>
      </w:pPr>
      <w:r w:rsidRPr="00C55B6D">
        <w:rPr>
          <w:rFonts w:cs="Arial"/>
        </w:rPr>
        <w:t>Rozdíly výskytu dočasné pracovní neschopnosti dle územního členění</w:t>
      </w:r>
      <w:r>
        <w:rPr>
          <w:rFonts w:cs="Arial"/>
        </w:rPr>
        <w:t xml:space="preserve"> jsou značně ovlivněny strukturou zaměstnanosti, charakterem převažující ekonomické činnosti a mírou nezaměstnanosti v daném regionu</w:t>
      </w:r>
      <w:r w:rsidRPr="008D34B0">
        <w:rPr>
          <w:rFonts w:cs="Arial"/>
        </w:rPr>
        <w:t>.</w:t>
      </w:r>
      <w:r>
        <w:rPr>
          <w:rFonts w:cs="Arial"/>
          <w:b/>
        </w:rPr>
        <w:t xml:space="preserve"> </w:t>
      </w:r>
      <w:r w:rsidRPr="00A356D5">
        <w:rPr>
          <w:rFonts w:cs="Arial"/>
        </w:rPr>
        <w:t xml:space="preserve">Je nutno zohlednit též </w:t>
      </w:r>
      <w:r w:rsidRPr="003C29AB">
        <w:rPr>
          <w:rFonts w:cs="Arial"/>
          <w:b/>
        </w:rPr>
        <w:t>metodiku zpracování dat, kdy r</w:t>
      </w:r>
      <w:r w:rsidRPr="003C29AB">
        <w:rPr>
          <w:rFonts w:cs="Arial"/>
          <w:b/>
          <w:szCs w:val="20"/>
        </w:rPr>
        <w:t>ozlišení dle krajů a okresů vychází z údaje o sídle útvaru</w:t>
      </w:r>
      <w:r w:rsidR="00922112">
        <w:rPr>
          <w:rFonts w:cs="Arial"/>
          <w:szCs w:val="20"/>
        </w:rPr>
        <w:t xml:space="preserve">, který vede evidenci mezd </w:t>
      </w:r>
      <w:r>
        <w:rPr>
          <w:rFonts w:cs="Arial"/>
          <w:szCs w:val="20"/>
        </w:rPr>
        <w:t>zaměstnavatel</w:t>
      </w:r>
      <w:r w:rsidR="00922112">
        <w:rPr>
          <w:rFonts w:cs="Arial"/>
          <w:szCs w:val="20"/>
        </w:rPr>
        <w:t>i</w:t>
      </w:r>
      <w:r>
        <w:rPr>
          <w:rFonts w:cs="Arial"/>
          <w:szCs w:val="20"/>
        </w:rPr>
        <w:t xml:space="preserve"> osoby, která je v pracovní neschopnosti.</w:t>
      </w:r>
    </w:p>
    <w:p w14:paraId="1FB68D48" w14:textId="77777777" w:rsidR="00F711D4" w:rsidRDefault="00F711D4">
      <w:pPr>
        <w:spacing w:after="0" w:line="240" w:lineRule="auto"/>
        <w:rPr>
          <w:rFonts w:cs="Arial"/>
          <w:szCs w:val="20"/>
        </w:rPr>
      </w:pPr>
      <w:r>
        <w:rPr>
          <w:rFonts w:cs="Arial"/>
          <w:szCs w:val="20"/>
        </w:rPr>
        <w:br w:type="page"/>
      </w:r>
    </w:p>
    <w:p w14:paraId="1FE87A92" w14:textId="6BE1ABC6" w:rsidR="000D3D37" w:rsidRPr="00E5050F" w:rsidRDefault="002273A1" w:rsidP="0064109D">
      <w:pPr>
        <w:spacing w:after="120"/>
        <w:jc w:val="both"/>
        <w:rPr>
          <w:rFonts w:cs="Arial"/>
          <w:b/>
        </w:rPr>
      </w:pPr>
      <w:r>
        <w:rPr>
          <w:rFonts w:cs="Arial"/>
          <w:b/>
        </w:rPr>
        <w:t xml:space="preserve">Tab. 2.3: </w:t>
      </w:r>
      <w:r w:rsidRPr="002273A1">
        <w:rPr>
          <w:rFonts w:cs="Arial"/>
          <w:b/>
        </w:rPr>
        <w:t xml:space="preserve">Nově hlášené případy dočasné pracovní neschopnosti na 100 pojištěnců podle krajů ČR </w:t>
      </w:r>
      <w:r>
        <w:rPr>
          <w:rFonts w:cs="Arial"/>
          <w:b/>
        </w:rPr>
        <w:br/>
      </w:r>
      <w:r w:rsidRPr="002273A1">
        <w:rPr>
          <w:rFonts w:cs="Arial"/>
          <w:b/>
        </w:rPr>
        <w:t>v 1. pol. 200</w:t>
      </w:r>
      <w:r>
        <w:rPr>
          <w:rFonts w:cs="Arial"/>
          <w:b/>
        </w:rPr>
        <w:t>9</w:t>
      </w:r>
      <w:r w:rsidRPr="002273A1">
        <w:rPr>
          <w:rFonts w:cs="Arial"/>
          <w:b/>
        </w:rPr>
        <w:t xml:space="preserve"> – 1. pol. 2019</w:t>
      </w:r>
    </w:p>
    <w:tbl>
      <w:tblPr>
        <w:tblW w:w="9660" w:type="dxa"/>
        <w:tblCellMar>
          <w:left w:w="70" w:type="dxa"/>
          <w:right w:w="70" w:type="dxa"/>
        </w:tblCellMar>
        <w:tblLook w:val="04A0" w:firstRow="1" w:lastRow="0" w:firstColumn="1" w:lastColumn="0" w:noHBand="0" w:noVBand="1"/>
      </w:tblPr>
      <w:tblGrid>
        <w:gridCol w:w="1934"/>
        <w:gridCol w:w="703"/>
        <w:gridCol w:w="703"/>
        <w:gridCol w:w="703"/>
        <w:gridCol w:w="703"/>
        <w:gridCol w:w="703"/>
        <w:gridCol w:w="703"/>
        <w:gridCol w:w="696"/>
        <w:gridCol w:w="703"/>
        <w:gridCol w:w="703"/>
        <w:gridCol w:w="703"/>
        <w:gridCol w:w="703"/>
      </w:tblGrid>
      <w:tr w:rsidR="002273A1" w:rsidRPr="002273A1" w14:paraId="2F0B1AFC" w14:textId="77777777" w:rsidTr="002273A1">
        <w:trPr>
          <w:trHeight w:val="285"/>
        </w:trPr>
        <w:tc>
          <w:tcPr>
            <w:tcW w:w="1934" w:type="dxa"/>
            <w:vMerge w:val="restart"/>
            <w:tcBorders>
              <w:top w:val="single" w:sz="4" w:space="0" w:color="auto"/>
              <w:left w:val="nil"/>
              <w:bottom w:val="single" w:sz="4" w:space="0" w:color="000000"/>
              <w:right w:val="nil"/>
            </w:tcBorders>
            <w:shd w:val="clear" w:color="000000" w:fill="F2DCDB"/>
            <w:vAlign w:val="center"/>
            <w:hideMark/>
          </w:tcPr>
          <w:p w14:paraId="11147345" w14:textId="77777777" w:rsidR="002273A1" w:rsidRPr="002273A1" w:rsidRDefault="002273A1" w:rsidP="002273A1">
            <w:pPr>
              <w:spacing w:after="0" w:line="240" w:lineRule="auto"/>
              <w:jc w:val="center"/>
              <w:rPr>
                <w:rFonts w:cs="Arial"/>
                <w:sz w:val="16"/>
                <w:szCs w:val="16"/>
              </w:rPr>
            </w:pPr>
            <w:r w:rsidRPr="002273A1">
              <w:rPr>
                <w:rFonts w:cs="Arial"/>
                <w:sz w:val="16"/>
                <w:szCs w:val="16"/>
              </w:rPr>
              <w:t>Kraj ČR</w:t>
            </w:r>
          </w:p>
        </w:tc>
        <w:tc>
          <w:tcPr>
            <w:tcW w:w="7726" w:type="dxa"/>
            <w:gridSpan w:val="11"/>
            <w:tcBorders>
              <w:top w:val="single" w:sz="4" w:space="0" w:color="auto"/>
              <w:left w:val="single" w:sz="4" w:space="0" w:color="auto"/>
              <w:bottom w:val="single" w:sz="4" w:space="0" w:color="auto"/>
              <w:right w:val="nil"/>
            </w:tcBorders>
            <w:shd w:val="clear" w:color="000000" w:fill="F2DCDB"/>
            <w:noWrap/>
            <w:vAlign w:val="center"/>
            <w:hideMark/>
          </w:tcPr>
          <w:p w14:paraId="5896DF8D" w14:textId="77777777" w:rsidR="002273A1" w:rsidRPr="002273A1" w:rsidRDefault="002273A1" w:rsidP="002273A1">
            <w:pPr>
              <w:spacing w:after="0" w:line="240" w:lineRule="auto"/>
              <w:jc w:val="center"/>
              <w:rPr>
                <w:rFonts w:cs="Arial"/>
                <w:sz w:val="16"/>
                <w:szCs w:val="16"/>
              </w:rPr>
            </w:pPr>
            <w:r w:rsidRPr="002273A1">
              <w:rPr>
                <w:rFonts w:cs="Arial"/>
                <w:sz w:val="16"/>
                <w:szCs w:val="16"/>
              </w:rPr>
              <w:t>Počet nově hlášených případů dočasné pracovní neschopnosti na 100 pojištěnců</w:t>
            </w:r>
          </w:p>
        </w:tc>
      </w:tr>
      <w:tr w:rsidR="002273A1" w:rsidRPr="002273A1" w14:paraId="315015F7" w14:textId="77777777" w:rsidTr="002273A1">
        <w:trPr>
          <w:trHeight w:val="450"/>
        </w:trPr>
        <w:tc>
          <w:tcPr>
            <w:tcW w:w="1934" w:type="dxa"/>
            <w:vMerge/>
            <w:tcBorders>
              <w:top w:val="single" w:sz="4" w:space="0" w:color="auto"/>
              <w:left w:val="nil"/>
              <w:bottom w:val="single" w:sz="4" w:space="0" w:color="000000"/>
              <w:right w:val="nil"/>
            </w:tcBorders>
            <w:vAlign w:val="center"/>
            <w:hideMark/>
          </w:tcPr>
          <w:p w14:paraId="58170B90" w14:textId="77777777" w:rsidR="002273A1" w:rsidRPr="002273A1" w:rsidRDefault="002273A1" w:rsidP="002273A1">
            <w:pPr>
              <w:spacing w:after="0" w:line="240" w:lineRule="auto"/>
              <w:rPr>
                <w:rFonts w:cs="Arial"/>
                <w:sz w:val="16"/>
                <w:szCs w:val="16"/>
              </w:rPr>
            </w:pPr>
          </w:p>
        </w:tc>
        <w:tc>
          <w:tcPr>
            <w:tcW w:w="703" w:type="dxa"/>
            <w:tcBorders>
              <w:top w:val="nil"/>
              <w:left w:val="single" w:sz="4" w:space="0" w:color="auto"/>
              <w:bottom w:val="single" w:sz="4" w:space="0" w:color="auto"/>
              <w:right w:val="single" w:sz="4" w:space="0" w:color="auto"/>
            </w:tcBorders>
            <w:shd w:val="clear" w:color="000000" w:fill="F2DCDB"/>
            <w:vAlign w:val="center"/>
            <w:hideMark/>
          </w:tcPr>
          <w:p w14:paraId="0723813C"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2009</w:t>
            </w:r>
          </w:p>
        </w:tc>
        <w:tc>
          <w:tcPr>
            <w:tcW w:w="703" w:type="dxa"/>
            <w:tcBorders>
              <w:top w:val="nil"/>
              <w:left w:val="nil"/>
              <w:bottom w:val="single" w:sz="4" w:space="0" w:color="auto"/>
              <w:right w:val="single" w:sz="4" w:space="0" w:color="auto"/>
            </w:tcBorders>
            <w:shd w:val="clear" w:color="000000" w:fill="F2DCDB"/>
            <w:vAlign w:val="center"/>
            <w:hideMark/>
          </w:tcPr>
          <w:p w14:paraId="7821A02D"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2010</w:t>
            </w:r>
          </w:p>
        </w:tc>
        <w:tc>
          <w:tcPr>
            <w:tcW w:w="703" w:type="dxa"/>
            <w:tcBorders>
              <w:top w:val="nil"/>
              <w:left w:val="nil"/>
              <w:bottom w:val="single" w:sz="4" w:space="0" w:color="auto"/>
              <w:right w:val="single" w:sz="4" w:space="0" w:color="auto"/>
            </w:tcBorders>
            <w:shd w:val="clear" w:color="000000" w:fill="F2DCDB"/>
            <w:vAlign w:val="center"/>
            <w:hideMark/>
          </w:tcPr>
          <w:p w14:paraId="3D0AE631"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2011</w:t>
            </w:r>
          </w:p>
        </w:tc>
        <w:tc>
          <w:tcPr>
            <w:tcW w:w="703" w:type="dxa"/>
            <w:tcBorders>
              <w:top w:val="nil"/>
              <w:left w:val="nil"/>
              <w:bottom w:val="single" w:sz="4" w:space="0" w:color="auto"/>
              <w:right w:val="single" w:sz="4" w:space="0" w:color="auto"/>
            </w:tcBorders>
            <w:shd w:val="clear" w:color="000000" w:fill="F2DCDB"/>
            <w:vAlign w:val="center"/>
            <w:hideMark/>
          </w:tcPr>
          <w:p w14:paraId="662DCBC7"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2012</w:t>
            </w:r>
          </w:p>
        </w:tc>
        <w:tc>
          <w:tcPr>
            <w:tcW w:w="703" w:type="dxa"/>
            <w:tcBorders>
              <w:top w:val="nil"/>
              <w:left w:val="nil"/>
              <w:bottom w:val="single" w:sz="4" w:space="0" w:color="auto"/>
              <w:right w:val="single" w:sz="4" w:space="0" w:color="auto"/>
            </w:tcBorders>
            <w:shd w:val="clear" w:color="000000" w:fill="F2DCDB"/>
            <w:vAlign w:val="center"/>
            <w:hideMark/>
          </w:tcPr>
          <w:p w14:paraId="05EF734E"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2013</w:t>
            </w:r>
          </w:p>
        </w:tc>
        <w:tc>
          <w:tcPr>
            <w:tcW w:w="703" w:type="dxa"/>
            <w:tcBorders>
              <w:top w:val="nil"/>
              <w:left w:val="nil"/>
              <w:bottom w:val="single" w:sz="4" w:space="0" w:color="auto"/>
              <w:right w:val="single" w:sz="4" w:space="0" w:color="auto"/>
            </w:tcBorders>
            <w:shd w:val="clear" w:color="000000" w:fill="F2DCDB"/>
            <w:vAlign w:val="center"/>
            <w:hideMark/>
          </w:tcPr>
          <w:p w14:paraId="4E271AED"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2014</w:t>
            </w:r>
          </w:p>
        </w:tc>
        <w:tc>
          <w:tcPr>
            <w:tcW w:w="696" w:type="dxa"/>
            <w:tcBorders>
              <w:top w:val="nil"/>
              <w:left w:val="nil"/>
              <w:bottom w:val="single" w:sz="4" w:space="0" w:color="auto"/>
              <w:right w:val="single" w:sz="4" w:space="0" w:color="auto"/>
            </w:tcBorders>
            <w:shd w:val="clear" w:color="000000" w:fill="F2DCDB"/>
            <w:vAlign w:val="center"/>
            <w:hideMark/>
          </w:tcPr>
          <w:p w14:paraId="4D40DAA7"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2015</w:t>
            </w:r>
          </w:p>
        </w:tc>
        <w:tc>
          <w:tcPr>
            <w:tcW w:w="703" w:type="dxa"/>
            <w:tcBorders>
              <w:top w:val="nil"/>
              <w:left w:val="nil"/>
              <w:bottom w:val="single" w:sz="4" w:space="0" w:color="auto"/>
              <w:right w:val="single" w:sz="4" w:space="0" w:color="auto"/>
            </w:tcBorders>
            <w:shd w:val="clear" w:color="000000" w:fill="F2DCDB"/>
            <w:vAlign w:val="center"/>
            <w:hideMark/>
          </w:tcPr>
          <w:p w14:paraId="4C11095E"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2016</w:t>
            </w:r>
          </w:p>
        </w:tc>
        <w:tc>
          <w:tcPr>
            <w:tcW w:w="703" w:type="dxa"/>
            <w:tcBorders>
              <w:top w:val="nil"/>
              <w:left w:val="nil"/>
              <w:bottom w:val="single" w:sz="4" w:space="0" w:color="auto"/>
              <w:right w:val="single" w:sz="4" w:space="0" w:color="auto"/>
            </w:tcBorders>
            <w:shd w:val="clear" w:color="000000" w:fill="F2DCDB"/>
            <w:vAlign w:val="center"/>
            <w:hideMark/>
          </w:tcPr>
          <w:p w14:paraId="44A126AD"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2017</w:t>
            </w:r>
          </w:p>
        </w:tc>
        <w:tc>
          <w:tcPr>
            <w:tcW w:w="703" w:type="dxa"/>
            <w:tcBorders>
              <w:top w:val="nil"/>
              <w:left w:val="nil"/>
              <w:bottom w:val="single" w:sz="4" w:space="0" w:color="auto"/>
              <w:right w:val="nil"/>
            </w:tcBorders>
            <w:shd w:val="clear" w:color="000000" w:fill="F2DCDB"/>
            <w:vAlign w:val="center"/>
            <w:hideMark/>
          </w:tcPr>
          <w:p w14:paraId="75559848"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2018</w:t>
            </w:r>
          </w:p>
        </w:tc>
        <w:tc>
          <w:tcPr>
            <w:tcW w:w="703" w:type="dxa"/>
            <w:tcBorders>
              <w:top w:val="nil"/>
              <w:left w:val="single" w:sz="4" w:space="0" w:color="auto"/>
              <w:bottom w:val="single" w:sz="4" w:space="0" w:color="auto"/>
              <w:right w:val="nil"/>
            </w:tcBorders>
            <w:shd w:val="clear" w:color="000000" w:fill="F2DCDB"/>
            <w:vAlign w:val="center"/>
            <w:hideMark/>
          </w:tcPr>
          <w:p w14:paraId="6FBFEF66" w14:textId="77777777" w:rsidR="002273A1" w:rsidRPr="002273A1" w:rsidRDefault="002273A1" w:rsidP="002273A1">
            <w:pPr>
              <w:spacing w:after="0" w:line="240" w:lineRule="auto"/>
              <w:jc w:val="center"/>
              <w:rPr>
                <w:rFonts w:cs="Arial"/>
                <w:sz w:val="16"/>
                <w:szCs w:val="16"/>
              </w:rPr>
            </w:pPr>
            <w:r w:rsidRPr="002273A1">
              <w:rPr>
                <w:rFonts w:cs="Arial"/>
                <w:sz w:val="16"/>
                <w:szCs w:val="16"/>
              </w:rPr>
              <w:t>1. pol. 2019</w:t>
            </w:r>
          </w:p>
        </w:tc>
      </w:tr>
      <w:tr w:rsidR="002273A1" w:rsidRPr="002273A1" w14:paraId="205AE10C" w14:textId="77777777" w:rsidTr="002273A1">
        <w:trPr>
          <w:trHeight w:val="285"/>
        </w:trPr>
        <w:tc>
          <w:tcPr>
            <w:tcW w:w="1934" w:type="dxa"/>
            <w:tcBorders>
              <w:top w:val="nil"/>
              <w:left w:val="nil"/>
              <w:bottom w:val="nil"/>
              <w:right w:val="nil"/>
            </w:tcBorders>
            <w:shd w:val="clear" w:color="auto" w:fill="auto"/>
            <w:noWrap/>
            <w:vAlign w:val="center"/>
            <w:hideMark/>
          </w:tcPr>
          <w:p w14:paraId="68676C96" w14:textId="77777777" w:rsidR="002273A1" w:rsidRPr="00BD5565" w:rsidRDefault="002273A1" w:rsidP="002273A1">
            <w:pPr>
              <w:spacing w:after="0" w:line="240" w:lineRule="auto"/>
              <w:rPr>
                <w:rFonts w:cs="Arial"/>
                <w:b/>
                <w:sz w:val="16"/>
                <w:szCs w:val="16"/>
              </w:rPr>
            </w:pPr>
            <w:r w:rsidRPr="00BD5565">
              <w:rPr>
                <w:rFonts w:cs="Arial"/>
                <w:b/>
                <w:sz w:val="16"/>
                <w:szCs w:val="16"/>
              </w:rPr>
              <w:t>ČR celkem</w:t>
            </w:r>
          </w:p>
        </w:tc>
        <w:tc>
          <w:tcPr>
            <w:tcW w:w="703" w:type="dxa"/>
            <w:tcBorders>
              <w:top w:val="nil"/>
              <w:left w:val="nil"/>
              <w:bottom w:val="nil"/>
              <w:right w:val="nil"/>
            </w:tcBorders>
            <w:shd w:val="clear" w:color="auto" w:fill="auto"/>
            <w:noWrap/>
            <w:vAlign w:val="center"/>
            <w:hideMark/>
          </w:tcPr>
          <w:p w14:paraId="62BD97BF" w14:textId="77777777" w:rsidR="002273A1" w:rsidRPr="002273A1" w:rsidRDefault="002273A1" w:rsidP="002273A1">
            <w:pPr>
              <w:spacing w:after="0" w:line="240" w:lineRule="auto"/>
              <w:jc w:val="right"/>
              <w:rPr>
                <w:rFonts w:cs="Arial"/>
                <w:b/>
                <w:bCs/>
                <w:sz w:val="16"/>
                <w:szCs w:val="16"/>
              </w:rPr>
            </w:pPr>
            <w:r w:rsidRPr="002273A1">
              <w:rPr>
                <w:rFonts w:cs="Arial"/>
                <w:b/>
                <w:bCs/>
                <w:sz w:val="16"/>
                <w:szCs w:val="16"/>
              </w:rPr>
              <w:t>17,74</w:t>
            </w:r>
          </w:p>
        </w:tc>
        <w:tc>
          <w:tcPr>
            <w:tcW w:w="703" w:type="dxa"/>
            <w:tcBorders>
              <w:top w:val="nil"/>
              <w:left w:val="nil"/>
              <w:bottom w:val="nil"/>
              <w:right w:val="nil"/>
            </w:tcBorders>
            <w:shd w:val="clear" w:color="auto" w:fill="auto"/>
            <w:noWrap/>
            <w:vAlign w:val="center"/>
            <w:hideMark/>
          </w:tcPr>
          <w:p w14:paraId="1E7371C0" w14:textId="77777777" w:rsidR="002273A1" w:rsidRPr="002273A1" w:rsidRDefault="002273A1" w:rsidP="002273A1">
            <w:pPr>
              <w:spacing w:after="0" w:line="240" w:lineRule="auto"/>
              <w:jc w:val="right"/>
              <w:rPr>
                <w:rFonts w:cs="Arial"/>
                <w:b/>
                <w:bCs/>
                <w:sz w:val="16"/>
                <w:szCs w:val="16"/>
              </w:rPr>
            </w:pPr>
            <w:r w:rsidRPr="002273A1">
              <w:rPr>
                <w:rFonts w:cs="Arial"/>
                <w:b/>
                <w:bCs/>
                <w:sz w:val="16"/>
                <w:szCs w:val="16"/>
              </w:rPr>
              <w:t>16,60</w:t>
            </w:r>
          </w:p>
        </w:tc>
        <w:tc>
          <w:tcPr>
            <w:tcW w:w="703" w:type="dxa"/>
            <w:tcBorders>
              <w:top w:val="nil"/>
              <w:left w:val="nil"/>
              <w:bottom w:val="nil"/>
              <w:right w:val="nil"/>
            </w:tcBorders>
            <w:shd w:val="clear" w:color="auto" w:fill="auto"/>
            <w:noWrap/>
            <w:vAlign w:val="center"/>
            <w:hideMark/>
          </w:tcPr>
          <w:p w14:paraId="4DDF93CA" w14:textId="77777777" w:rsidR="002273A1" w:rsidRPr="002273A1" w:rsidRDefault="002273A1" w:rsidP="002273A1">
            <w:pPr>
              <w:spacing w:after="0" w:line="240" w:lineRule="auto"/>
              <w:jc w:val="right"/>
              <w:rPr>
                <w:rFonts w:cs="Arial"/>
                <w:b/>
                <w:bCs/>
                <w:sz w:val="16"/>
                <w:szCs w:val="16"/>
              </w:rPr>
            </w:pPr>
            <w:r w:rsidRPr="002273A1">
              <w:rPr>
                <w:rFonts w:cs="Arial"/>
                <w:b/>
                <w:bCs/>
                <w:sz w:val="16"/>
                <w:szCs w:val="16"/>
              </w:rPr>
              <w:t>16,99</w:t>
            </w:r>
          </w:p>
        </w:tc>
        <w:tc>
          <w:tcPr>
            <w:tcW w:w="703" w:type="dxa"/>
            <w:tcBorders>
              <w:top w:val="nil"/>
              <w:left w:val="nil"/>
              <w:bottom w:val="nil"/>
              <w:right w:val="nil"/>
            </w:tcBorders>
            <w:shd w:val="clear" w:color="auto" w:fill="auto"/>
            <w:noWrap/>
            <w:vAlign w:val="center"/>
            <w:hideMark/>
          </w:tcPr>
          <w:p w14:paraId="15357956" w14:textId="77777777" w:rsidR="002273A1" w:rsidRPr="002273A1" w:rsidRDefault="002273A1" w:rsidP="002273A1">
            <w:pPr>
              <w:spacing w:after="0" w:line="240" w:lineRule="auto"/>
              <w:jc w:val="right"/>
              <w:rPr>
                <w:rFonts w:cs="Arial"/>
                <w:b/>
                <w:bCs/>
                <w:sz w:val="16"/>
                <w:szCs w:val="16"/>
              </w:rPr>
            </w:pPr>
            <w:r w:rsidRPr="002273A1">
              <w:rPr>
                <w:rFonts w:cs="Arial"/>
                <w:b/>
                <w:bCs/>
                <w:sz w:val="16"/>
                <w:szCs w:val="16"/>
              </w:rPr>
              <w:t>13,62</w:t>
            </w:r>
          </w:p>
        </w:tc>
        <w:tc>
          <w:tcPr>
            <w:tcW w:w="703" w:type="dxa"/>
            <w:tcBorders>
              <w:top w:val="nil"/>
              <w:left w:val="nil"/>
              <w:bottom w:val="nil"/>
              <w:right w:val="nil"/>
            </w:tcBorders>
            <w:shd w:val="clear" w:color="auto" w:fill="auto"/>
            <w:noWrap/>
            <w:vAlign w:val="center"/>
            <w:hideMark/>
          </w:tcPr>
          <w:p w14:paraId="3F7CA0A0" w14:textId="77777777" w:rsidR="002273A1" w:rsidRPr="002273A1" w:rsidRDefault="002273A1" w:rsidP="002273A1">
            <w:pPr>
              <w:spacing w:after="0" w:line="240" w:lineRule="auto"/>
              <w:jc w:val="right"/>
              <w:rPr>
                <w:rFonts w:cs="Arial"/>
                <w:b/>
                <w:bCs/>
                <w:sz w:val="16"/>
                <w:szCs w:val="16"/>
              </w:rPr>
            </w:pPr>
            <w:r w:rsidRPr="002273A1">
              <w:rPr>
                <w:rFonts w:cs="Arial"/>
                <w:b/>
                <w:bCs/>
                <w:sz w:val="16"/>
                <w:szCs w:val="16"/>
              </w:rPr>
              <w:t>17,09</w:t>
            </w:r>
          </w:p>
        </w:tc>
        <w:tc>
          <w:tcPr>
            <w:tcW w:w="703" w:type="dxa"/>
            <w:tcBorders>
              <w:top w:val="nil"/>
              <w:left w:val="nil"/>
              <w:bottom w:val="nil"/>
              <w:right w:val="nil"/>
            </w:tcBorders>
            <w:shd w:val="clear" w:color="auto" w:fill="auto"/>
            <w:noWrap/>
            <w:vAlign w:val="center"/>
            <w:hideMark/>
          </w:tcPr>
          <w:p w14:paraId="2B2ADF6F" w14:textId="77777777" w:rsidR="002273A1" w:rsidRPr="002273A1" w:rsidRDefault="002273A1" w:rsidP="002273A1">
            <w:pPr>
              <w:spacing w:after="0" w:line="240" w:lineRule="auto"/>
              <w:jc w:val="right"/>
              <w:rPr>
                <w:rFonts w:cs="Arial"/>
                <w:b/>
                <w:bCs/>
                <w:sz w:val="16"/>
                <w:szCs w:val="16"/>
              </w:rPr>
            </w:pPr>
            <w:r w:rsidRPr="002273A1">
              <w:rPr>
                <w:rFonts w:cs="Arial"/>
                <w:b/>
                <w:bCs/>
                <w:sz w:val="16"/>
                <w:szCs w:val="16"/>
              </w:rPr>
              <w:t>15,05</w:t>
            </w:r>
          </w:p>
        </w:tc>
        <w:tc>
          <w:tcPr>
            <w:tcW w:w="696" w:type="dxa"/>
            <w:tcBorders>
              <w:top w:val="nil"/>
              <w:left w:val="nil"/>
              <w:bottom w:val="nil"/>
              <w:right w:val="nil"/>
            </w:tcBorders>
            <w:shd w:val="clear" w:color="auto" w:fill="auto"/>
            <w:noWrap/>
            <w:vAlign w:val="center"/>
            <w:hideMark/>
          </w:tcPr>
          <w:p w14:paraId="26CA7FD7" w14:textId="30A7D3DE" w:rsidR="002273A1" w:rsidRPr="002273A1" w:rsidRDefault="002273A1" w:rsidP="002273A1">
            <w:pPr>
              <w:spacing w:after="0" w:line="240" w:lineRule="auto"/>
              <w:jc w:val="right"/>
              <w:rPr>
                <w:rFonts w:cs="Arial"/>
                <w:b/>
                <w:bCs/>
                <w:sz w:val="16"/>
                <w:szCs w:val="16"/>
              </w:rPr>
            </w:pPr>
            <w:r w:rsidRPr="002273A1">
              <w:rPr>
                <w:rFonts w:cs="Arial"/>
                <w:b/>
                <w:bCs/>
                <w:sz w:val="16"/>
                <w:szCs w:val="16"/>
              </w:rPr>
              <w:t>19,5</w:t>
            </w:r>
            <w:r w:rsidR="009A4127">
              <w:rPr>
                <w:rFonts w:cs="Arial"/>
                <w:b/>
                <w:bCs/>
                <w:sz w:val="16"/>
                <w:szCs w:val="16"/>
              </w:rPr>
              <w:t>4</w:t>
            </w:r>
          </w:p>
        </w:tc>
        <w:tc>
          <w:tcPr>
            <w:tcW w:w="703" w:type="dxa"/>
            <w:tcBorders>
              <w:top w:val="nil"/>
              <w:left w:val="nil"/>
              <w:bottom w:val="nil"/>
              <w:right w:val="nil"/>
            </w:tcBorders>
            <w:shd w:val="clear" w:color="auto" w:fill="auto"/>
            <w:noWrap/>
            <w:vAlign w:val="center"/>
            <w:hideMark/>
          </w:tcPr>
          <w:p w14:paraId="41971EC4" w14:textId="77777777" w:rsidR="002273A1" w:rsidRPr="002273A1" w:rsidRDefault="002273A1" w:rsidP="002273A1">
            <w:pPr>
              <w:spacing w:after="0" w:line="240" w:lineRule="auto"/>
              <w:jc w:val="right"/>
              <w:rPr>
                <w:rFonts w:cs="Arial"/>
                <w:b/>
                <w:bCs/>
                <w:color w:val="000000"/>
                <w:sz w:val="16"/>
                <w:szCs w:val="16"/>
              </w:rPr>
            </w:pPr>
            <w:r w:rsidRPr="002273A1">
              <w:rPr>
                <w:rFonts w:cs="Arial"/>
                <w:b/>
                <w:bCs/>
                <w:color w:val="000000"/>
                <w:sz w:val="16"/>
                <w:szCs w:val="16"/>
              </w:rPr>
              <w:t>19,31</w:t>
            </w:r>
          </w:p>
        </w:tc>
        <w:tc>
          <w:tcPr>
            <w:tcW w:w="703" w:type="dxa"/>
            <w:tcBorders>
              <w:top w:val="nil"/>
              <w:left w:val="nil"/>
              <w:bottom w:val="nil"/>
              <w:right w:val="nil"/>
            </w:tcBorders>
            <w:shd w:val="clear" w:color="auto" w:fill="auto"/>
            <w:noWrap/>
            <w:vAlign w:val="center"/>
            <w:hideMark/>
          </w:tcPr>
          <w:p w14:paraId="5D841FDD" w14:textId="77777777" w:rsidR="002273A1" w:rsidRPr="002273A1" w:rsidRDefault="002273A1" w:rsidP="002273A1">
            <w:pPr>
              <w:spacing w:after="0" w:line="240" w:lineRule="auto"/>
              <w:jc w:val="right"/>
              <w:rPr>
                <w:rFonts w:cs="Arial"/>
                <w:b/>
                <w:bCs/>
                <w:color w:val="000000"/>
                <w:sz w:val="16"/>
                <w:szCs w:val="16"/>
              </w:rPr>
            </w:pPr>
            <w:r w:rsidRPr="002273A1">
              <w:rPr>
                <w:rFonts w:cs="Arial"/>
                <w:b/>
                <w:bCs/>
                <w:color w:val="000000"/>
                <w:sz w:val="16"/>
                <w:szCs w:val="16"/>
              </w:rPr>
              <w:t>20,40</w:t>
            </w:r>
          </w:p>
        </w:tc>
        <w:tc>
          <w:tcPr>
            <w:tcW w:w="703" w:type="dxa"/>
            <w:tcBorders>
              <w:top w:val="nil"/>
              <w:left w:val="nil"/>
              <w:bottom w:val="nil"/>
              <w:right w:val="nil"/>
            </w:tcBorders>
            <w:shd w:val="clear" w:color="000000" w:fill="FFFFFF"/>
            <w:noWrap/>
            <w:vAlign w:val="center"/>
            <w:hideMark/>
          </w:tcPr>
          <w:p w14:paraId="30C7593F" w14:textId="77777777" w:rsidR="002273A1" w:rsidRPr="002273A1" w:rsidRDefault="002273A1" w:rsidP="002273A1">
            <w:pPr>
              <w:spacing w:after="0" w:line="240" w:lineRule="auto"/>
              <w:jc w:val="right"/>
              <w:rPr>
                <w:rFonts w:cs="Arial"/>
                <w:b/>
                <w:bCs/>
                <w:color w:val="000000"/>
                <w:sz w:val="16"/>
                <w:szCs w:val="16"/>
              </w:rPr>
            </w:pPr>
            <w:r w:rsidRPr="002273A1">
              <w:rPr>
                <w:rFonts w:cs="Arial"/>
                <w:b/>
                <w:bCs/>
                <w:color w:val="000000"/>
                <w:sz w:val="16"/>
                <w:szCs w:val="16"/>
              </w:rPr>
              <w:t>22,08</w:t>
            </w:r>
          </w:p>
        </w:tc>
        <w:tc>
          <w:tcPr>
            <w:tcW w:w="703" w:type="dxa"/>
            <w:tcBorders>
              <w:top w:val="nil"/>
              <w:left w:val="nil"/>
              <w:bottom w:val="nil"/>
              <w:right w:val="nil"/>
            </w:tcBorders>
            <w:shd w:val="clear" w:color="auto" w:fill="auto"/>
            <w:noWrap/>
            <w:vAlign w:val="center"/>
            <w:hideMark/>
          </w:tcPr>
          <w:p w14:paraId="6AB7984E" w14:textId="77777777" w:rsidR="002273A1" w:rsidRPr="002273A1" w:rsidRDefault="002273A1" w:rsidP="002273A1">
            <w:pPr>
              <w:spacing w:after="0" w:line="240" w:lineRule="auto"/>
              <w:jc w:val="right"/>
              <w:rPr>
                <w:rFonts w:cs="Arial"/>
                <w:b/>
                <w:bCs/>
                <w:color w:val="000000"/>
                <w:sz w:val="16"/>
                <w:szCs w:val="16"/>
              </w:rPr>
            </w:pPr>
            <w:r w:rsidRPr="002273A1">
              <w:rPr>
                <w:rFonts w:cs="Arial"/>
                <w:b/>
                <w:bCs/>
                <w:color w:val="000000"/>
                <w:sz w:val="16"/>
                <w:szCs w:val="16"/>
              </w:rPr>
              <w:t>20,58</w:t>
            </w:r>
          </w:p>
        </w:tc>
      </w:tr>
      <w:tr w:rsidR="002273A1" w:rsidRPr="002273A1" w14:paraId="14C88012" w14:textId="77777777" w:rsidTr="002273A1">
        <w:trPr>
          <w:trHeight w:val="285"/>
        </w:trPr>
        <w:tc>
          <w:tcPr>
            <w:tcW w:w="1934" w:type="dxa"/>
            <w:tcBorders>
              <w:top w:val="nil"/>
              <w:left w:val="nil"/>
              <w:bottom w:val="nil"/>
              <w:right w:val="nil"/>
            </w:tcBorders>
            <w:shd w:val="clear" w:color="auto" w:fill="auto"/>
            <w:noWrap/>
            <w:vAlign w:val="center"/>
            <w:hideMark/>
          </w:tcPr>
          <w:p w14:paraId="597854BC"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Hl. m. Praha</w:t>
            </w:r>
          </w:p>
        </w:tc>
        <w:tc>
          <w:tcPr>
            <w:tcW w:w="703" w:type="dxa"/>
            <w:tcBorders>
              <w:top w:val="nil"/>
              <w:left w:val="nil"/>
              <w:bottom w:val="nil"/>
              <w:right w:val="nil"/>
            </w:tcBorders>
            <w:shd w:val="clear" w:color="auto" w:fill="auto"/>
            <w:noWrap/>
            <w:vAlign w:val="center"/>
            <w:hideMark/>
          </w:tcPr>
          <w:p w14:paraId="7857A628" w14:textId="77777777" w:rsidR="002273A1" w:rsidRPr="002273A1" w:rsidRDefault="002273A1" w:rsidP="002273A1">
            <w:pPr>
              <w:spacing w:after="0" w:line="240" w:lineRule="auto"/>
              <w:jc w:val="right"/>
              <w:rPr>
                <w:rFonts w:cs="Arial"/>
                <w:sz w:val="16"/>
                <w:szCs w:val="16"/>
              </w:rPr>
            </w:pPr>
            <w:r w:rsidRPr="002273A1">
              <w:rPr>
                <w:rFonts w:cs="Arial"/>
                <w:sz w:val="16"/>
                <w:szCs w:val="16"/>
              </w:rPr>
              <w:t>17,19</w:t>
            </w:r>
          </w:p>
        </w:tc>
        <w:tc>
          <w:tcPr>
            <w:tcW w:w="703" w:type="dxa"/>
            <w:tcBorders>
              <w:top w:val="nil"/>
              <w:left w:val="nil"/>
              <w:bottom w:val="nil"/>
              <w:right w:val="nil"/>
            </w:tcBorders>
            <w:shd w:val="clear" w:color="auto" w:fill="auto"/>
            <w:noWrap/>
            <w:vAlign w:val="center"/>
            <w:hideMark/>
          </w:tcPr>
          <w:p w14:paraId="558E4205" w14:textId="77777777" w:rsidR="002273A1" w:rsidRPr="002273A1" w:rsidRDefault="002273A1" w:rsidP="002273A1">
            <w:pPr>
              <w:spacing w:after="0" w:line="240" w:lineRule="auto"/>
              <w:jc w:val="right"/>
              <w:rPr>
                <w:rFonts w:cs="Arial"/>
                <w:sz w:val="16"/>
                <w:szCs w:val="16"/>
              </w:rPr>
            </w:pPr>
            <w:r w:rsidRPr="002273A1">
              <w:rPr>
                <w:rFonts w:cs="Arial"/>
                <w:sz w:val="16"/>
                <w:szCs w:val="16"/>
              </w:rPr>
              <w:t>15,63</w:t>
            </w:r>
          </w:p>
        </w:tc>
        <w:tc>
          <w:tcPr>
            <w:tcW w:w="703" w:type="dxa"/>
            <w:tcBorders>
              <w:top w:val="nil"/>
              <w:left w:val="nil"/>
              <w:bottom w:val="nil"/>
              <w:right w:val="nil"/>
            </w:tcBorders>
            <w:shd w:val="clear" w:color="auto" w:fill="auto"/>
            <w:noWrap/>
            <w:vAlign w:val="center"/>
            <w:hideMark/>
          </w:tcPr>
          <w:p w14:paraId="4D878C76" w14:textId="77777777" w:rsidR="002273A1" w:rsidRPr="002273A1" w:rsidRDefault="002273A1" w:rsidP="002273A1">
            <w:pPr>
              <w:spacing w:after="0" w:line="240" w:lineRule="auto"/>
              <w:jc w:val="right"/>
              <w:rPr>
                <w:rFonts w:cs="Arial"/>
                <w:sz w:val="16"/>
                <w:szCs w:val="16"/>
              </w:rPr>
            </w:pPr>
            <w:r w:rsidRPr="002273A1">
              <w:rPr>
                <w:rFonts w:cs="Arial"/>
                <w:sz w:val="16"/>
                <w:szCs w:val="16"/>
              </w:rPr>
              <w:t>16,04</w:t>
            </w:r>
          </w:p>
        </w:tc>
        <w:tc>
          <w:tcPr>
            <w:tcW w:w="703" w:type="dxa"/>
            <w:tcBorders>
              <w:top w:val="nil"/>
              <w:left w:val="nil"/>
              <w:bottom w:val="nil"/>
              <w:right w:val="nil"/>
            </w:tcBorders>
            <w:shd w:val="clear" w:color="auto" w:fill="auto"/>
            <w:noWrap/>
            <w:vAlign w:val="center"/>
            <w:hideMark/>
          </w:tcPr>
          <w:p w14:paraId="6424721E" w14:textId="77777777" w:rsidR="002273A1" w:rsidRPr="002273A1" w:rsidRDefault="002273A1" w:rsidP="002273A1">
            <w:pPr>
              <w:spacing w:after="0" w:line="240" w:lineRule="auto"/>
              <w:jc w:val="right"/>
              <w:rPr>
                <w:rFonts w:cs="Arial"/>
                <w:sz w:val="16"/>
                <w:szCs w:val="16"/>
              </w:rPr>
            </w:pPr>
            <w:r w:rsidRPr="002273A1">
              <w:rPr>
                <w:rFonts w:cs="Arial"/>
                <w:sz w:val="16"/>
                <w:szCs w:val="16"/>
              </w:rPr>
              <w:t>11,33</w:t>
            </w:r>
          </w:p>
        </w:tc>
        <w:tc>
          <w:tcPr>
            <w:tcW w:w="703" w:type="dxa"/>
            <w:tcBorders>
              <w:top w:val="nil"/>
              <w:left w:val="nil"/>
              <w:bottom w:val="nil"/>
              <w:right w:val="nil"/>
            </w:tcBorders>
            <w:shd w:val="clear" w:color="auto" w:fill="auto"/>
            <w:noWrap/>
            <w:vAlign w:val="center"/>
            <w:hideMark/>
          </w:tcPr>
          <w:p w14:paraId="653ACE46" w14:textId="77777777" w:rsidR="002273A1" w:rsidRPr="002273A1" w:rsidRDefault="002273A1" w:rsidP="002273A1">
            <w:pPr>
              <w:spacing w:after="0" w:line="240" w:lineRule="auto"/>
              <w:jc w:val="right"/>
              <w:rPr>
                <w:rFonts w:cs="Arial"/>
                <w:sz w:val="16"/>
                <w:szCs w:val="16"/>
              </w:rPr>
            </w:pPr>
            <w:r w:rsidRPr="002273A1">
              <w:rPr>
                <w:rFonts w:cs="Arial"/>
                <w:sz w:val="16"/>
                <w:szCs w:val="16"/>
              </w:rPr>
              <w:t>14,48</w:t>
            </w:r>
          </w:p>
        </w:tc>
        <w:tc>
          <w:tcPr>
            <w:tcW w:w="703" w:type="dxa"/>
            <w:tcBorders>
              <w:top w:val="nil"/>
              <w:left w:val="nil"/>
              <w:bottom w:val="nil"/>
              <w:right w:val="nil"/>
            </w:tcBorders>
            <w:shd w:val="clear" w:color="auto" w:fill="auto"/>
            <w:noWrap/>
            <w:vAlign w:val="center"/>
            <w:hideMark/>
          </w:tcPr>
          <w:p w14:paraId="1C084A6B" w14:textId="77777777" w:rsidR="002273A1" w:rsidRPr="002273A1" w:rsidRDefault="002273A1" w:rsidP="002273A1">
            <w:pPr>
              <w:spacing w:after="0" w:line="240" w:lineRule="auto"/>
              <w:jc w:val="right"/>
              <w:rPr>
                <w:rFonts w:cs="Arial"/>
                <w:sz w:val="16"/>
                <w:szCs w:val="16"/>
              </w:rPr>
            </w:pPr>
            <w:r w:rsidRPr="002273A1">
              <w:rPr>
                <w:rFonts w:cs="Arial"/>
                <w:sz w:val="16"/>
                <w:szCs w:val="16"/>
              </w:rPr>
              <w:t>13,00</w:t>
            </w:r>
          </w:p>
        </w:tc>
        <w:tc>
          <w:tcPr>
            <w:tcW w:w="696" w:type="dxa"/>
            <w:tcBorders>
              <w:top w:val="nil"/>
              <w:left w:val="nil"/>
              <w:bottom w:val="nil"/>
              <w:right w:val="nil"/>
            </w:tcBorders>
            <w:shd w:val="clear" w:color="auto" w:fill="auto"/>
            <w:noWrap/>
            <w:vAlign w:val="center"/>
            <w:hideMark/>
          </w:tcPr>
          <w:p w14:paraId="051BAF6F" w14:textId="002B451F" w:rsidR="002273A1" w:rsidRPr="002273A1" w:rsidRDefault="002273A1" w:rsidP="002273A1">
            <w:pPr>
              <w:spacing w:after="0" w:line="240" w:lineRule="auto"/>
              <w:jc w:val="right"/>
              <w:rPr>
                <w:rFonts w:cs="Arial"/>
                <w:sz w:val="16"/>
                <w:szCs w:val="16"/>
              </w:rPr>
            </w:pPr>
            <w:r w:rsidRPr="002273A1">
              <w:rPr>
                <w:rFonts w:cs="Arial"/>
                <w:sz w:val="16"/>
                <w:szCs w:val="16"/>
              </w:rPr>
              <w:t>16,6</w:t>
            </w:r>
            <w:r w:rsidR="009A4127">
              <w:rPr>
                <w:rFonts w:cs="Arial"/>
                <w:sz w:val="16"/>
                <w:szCs w:val="16"/>
              </w:rPr>
              <w:t>8</w:t>
            </w:r>
          </w:p>
        </w:tc>
        <w:tc>
          <w:tcPr>
            <w:tcW w:w="703" w:type="dxa"/>
            <w:tcBorders>
              <w:top w:val="nil"/>
              <w:left w:val="nil"/>
              <w:bottom w:val="nil"/>
              <w:right w:val="nil"/>
            </w:tcBorders>
            <w:shd w:val="clear" w:color="auto" w:fill="auto"/>
            <w:noWrap/>
            <w:vAlign w:val="center"/>
            <w:hideMark/>
          </w:tcPr>
          <w:p w14:paraId="1225F085"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16,13</w:t>
            </w:r>
          </w:p>
        </w:tc>
        <w:tc>
          <w:tcPr>
            <w:tcW w:w="703" w:type="dxa"/>
            <w:tcBorders>
              <w:top w:val="nil"/>
              <w:left w:val="nil"/>
              <w:bottom w:val="nil"/>
              <w:right w:val="nil"/>
            </w:tcBorders>
            <w:shd w:val="clear" w:color="auto" w:fill="auto"/>
            <w:noWrap/>
            <w:vAlign w:val="center"/>
            <w:hideMark/>
          </w:tcPr>
          <w:p w14:paraId="5488E4D3"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16,68</w:t>
            </w:r>
          </w:p>
        </w:tc>
        <w:tc>
          <w:tcPr>
            <w:tcW w:w="703" w:type="dxa"/>
            <w:tcBorders>
              <w:top w:val="nil"/>
              <w:left w:val="nil"/>
              <w:bottom w:val="nil"/>
              <w:right w:val="nil"/>
            </w:tcBorders>
            <w:shd w:val="clear" w:color="000000" w:fill="FFFFFF"/>
            <w:noWrap/>
            <w:vAlign w:val="center"/>
            <w:hideMark/>
          </w:tcPr>
          <w:p w14:paraId="22BF4992"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17,80</w:t>
            </w:r>
          </w:p>
        </w:tc>
        <w:tc>
          <w:tcPr>
            <w:tcW w:w="703" w:type="dxa"/>
            <w:tcBorders>
              <w:top w:val="nil"/>
              <w:left w:val="nil"/>
              <w:bottom w:val="nil"/>
              <w:right w:val="nil"/>
            </w:tcBorders>
            <w:shd w:val="clear" w:color="auto" w:fill="auto"/>
            <w:noWrap/>
            <w:vAlign w:val="center"/>
            <w:hideMark/>
          </w:tcPr>
          <w:p w14:paraId="1F76347E"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16,62</w:t>
            </w:r>
          </w:p>
        </w:tc>
      </w:tr>
      <w:tr w:rsidR="002273A1" w:rsidRPr="002273A1" w14:paraId="445FF0B0" w14:textId="77777777" w:rsidTr="002273A1">
        <w:trPr>
          <w:trHeight w:val="285"/>
        </w:trPr>
        <w:tc>
          <w:tcPr>
            <w:tcW w:w="1934" w:type="dxa"/>
            <w:tcBorders>
              <w:top w:val="nil"/>
              <w:left w:val="nil"/>
              <w:bottom w:val="nil"/>
              <w:right w:val="nil"/>
            </w:tcBorders>
            <w:shd w:val="clear" w:color="auto" w:fill="auto"/>
            <w:noWrap/>
            <w:vAlign w:val="center"/>
            <w:hideMark/>
          </w:tcPr>
          <w:p w14:paraId="6AE5F227"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Středočeský kraj</w:t>
            </w:r>
          </w:p>
        </w:tc>
        <w:tc>
          <w:tcPr>
            <w:tcW w:w="703" w:type="dxa"/>
            <w:tcBorders>
              <w:top w:val="nil"/>
              <w:left w:val="nil"/>
              <w:bottom w:val="nil"/>
              <w:right w:val="nil"/>
            </w:tcBorders>
            <w:shd w:val="clear" w:color="auto" w:fill="auto"/>
            <w:noWrap/>
            <w:vAlign w:val="center"/>
            <w:hideMark/>
          </w:tcPr>
          <w:p w14:paraId="1287A42D" w14:textId="77777777" w:rsidR="002273A1" w:rsidRPr="002273A1" w:rsidRDefault="002273A1" w:rsidP="002273A1">
            <w:pPr>
              <w:spacing w:after="0" w:line="240" w:lineRule="auto"/>
              <w:jc w:val="right"/>
              <w:rPr>
                <w:rFonts w:cs="Arial"/>
                <w:sz w:val="16"/>
                <w:szCs w:val="16"/>
              </w:rPr>
            </w:pPr>
            <w:r w:rsidRPr="002273A1">
              <w:rPr>
                <w:rFonts w:cs="Arial"/>
                <w:sz w:val="16"/>
                <w:szCs w:val="16"/>
              </w:rPr>
              <w:t>18,84</w:t>
            </w:r>
          </w:p>
        </w:tc>
        <w:tc>
          <w:tcPr>
            <w:tcW w:w="703" w:type="dxa"/>
            <w:tcBorders>
              <w:top w:val="nil"/>
              <w:left w:val="nil"/>
              <w:bottom w:val="nil"/>
              <w:right w:val="nil"/>
            </w:tcBorders>
            <w:shd w:val="clear" w:color="auto" w:fill="auto"/>
            <w:noWrap/>
            <w:vAlign w:val="center"/>
            <w:hideMark/>
          </w:tcPr>
          <w:p w14:paraId="78B21C4C" w14:textId="77777777" w:rsidR="002273A1" w:rsidRPr="002273A1" w:rsidRDefault="002273A1" w:rsidP="002273A1">
            <w:pPr>
              <w:spacing w:after="0" w:line="240" w:lineRule="auto"/>
              <w:jc w:val="right"/>
              <w:rPr>
                <w:rFonts w:cs="Arial"/>
                <w:sz w:val="16"/>
                <w:szCs w:val="16"/>
              </w:rPr>
            </w:pPr>
            <w:r w:rsidRPr="002273A1">
              <w:rPr>
                <w:rFonts w:cs="Arial"/>
                <w:sz w:val="16"/>
                <w:szCs w:val="16"/>
              </w:rPr>
              <w:t>17,40</w:t>
            </w:r>
          </w:p>
        </w:tc>
        <w:tc>
          <w:tcPr>
            <w:tcW w:w="703" w:type="dxa"/>
            <w:tcBorders>
              <w:top w:val="nil"/>
              <w:left w:val="nil"/>
              <w:bottom w:val="nil"/>
              <w:right w:val="nil"/>
            </w:tcBorders>
            <w:shd w:val="clear" w:color="auto" w:fill="auto"/>
            <w:noWrap/>
            <w:vAlign w:val="center"/>
            <w:hideMark/>
          </w:tcPr>
          <w:p w14:paraId="63F49A86" w14:textId="77777777" w:rsidR="002273A1" w:rsidRPr="002273A1" w:rsidRDefault="002273A1" w:rsidP="002273A1">
            <w:pPr>
              <w:spacing w:after="0" w:line="240" w:lineRule="auto"/>
              <w:jc w:val="right"/>
              <w:rPr>
                <w:rFonts w:cs="Arial"/>
                <w:sz w:val="16"/>
                <w:szCs w:val="16"/>
              </w:rPr>
            </w:pPr>
            <w:r w:rsidRPr="002273A1">
              <w:rPr>
                <w:rFonts w:cs="Arial"/>
                <w:sz w:val="16"/>
                <w:szCs w:val="16"/>
              </w:rPr>
              <w:t>17,70</w:t>
            </w:r>
          </w:p>
        </w:tc>
        <w:tc>
          <w:tcPr>
            <w:tcW w:w="703" w:type="dxa"/>
            <w:tcBorders>
              <w:top w:val="nil"/>
              <w:left w:val="nil"/>
              <w:bottom w:val="nil"/>
              <w:right w:val="nil"/>
            </w:tcBorders>
            <w:shd w:val="clear" w:color="auto" w:fill="auto"/>
            <w:noWrap/>
            <w:vAlign w:val="center"/>
            <w:hideMark/>
          </w:tcPr>
          <w:p w14:paraId="39D8FDE4" w14:textId="77777777" w:rsidR="002273A1" w:rsidRPr="002273A1" w:rsidRDefault="002273A1" w:rsidP="002273A1">
            <w:pPr>
              <w:spacing w:after="0" w:line="240" w:lineRule="auto"/>
              <w:jc w:val="right"/>
              <w:rPr>
                <w:rFonts w:cs="Arial"/>
                <w:sz w:val="16"/>
                <w:szCs w:val="16"/>
              </w:rPr>
            </w:pPr>
            <w:r w:rsidRPr="002273A1">
              <w:rPr>
                <w:rFonts w:cs="Arial"/>
                <w:sz w:val="16"/>
                <w:szCs w:val="16"/>
              </w:rPr>
              <w:t>14,09</w:t>
            </w:r>
          </w:p>
        </w:tc>
        <w:tc>
          <w:tcPr>
            <w:tcW w:w="703" w:type="dxa"/>
            <w:tcBorders>
              <w:top w:val="nil"/>
              <w:left w:val="nil"/>
              <w:bottom w:val="nil"/>
              <w:right w:val="nil"/>
            </w:tcBorders>
            <w:shd w:val="clear" w:color="auto" w:fill="auto"/>
            <w:noWrap/>
            <w:vAlign w:val="center"/>
            <w:hideMark/>
          </w:tcPr>
          <w:p w14:paraId="5490ED4B" w14:textId="77777777" w:rsidR="002273A1" w:rsidRPr="002273A1" w:rsidRDefault="002273A1" w:rsidP="002273A1">
            <w:pPr>
              <w:spacing w:after="0" w:line="240" w:lineRule="auto"/>
              <w:jc w:val="right"/>
              <w:rPr>
                <w:rFonts w:cs="Arial"/>
                <w:sz w:val="16"/>
                <w:szCs w:val="16"/>
              </w:rPr>
            </w:pPr>
            <w:r w:rsidRPr="002273A1">
              <w:rPr>
                <w:rFonts w:cs="Arial"/>
                <w:sz w:val="16"/>
                <w:szCs w:val="16"/>
              </w:rPr>
              <w:t>17,85</w:t>
            </w:r>
          </w:p>
        </w:tc>
        <w:tc>
          <w:tcPr>
            <w:tcW w:w="703" w:type="dxa"/>
            <w:tcBorders>
              <w:top w:val="nil"/>
              <w:left w:val="nil"/>
              <w:bottom w:val="nil"/>
              <w:right w:val="nil"/>
            </w:tcBorders>
            <w:shd w:val="clear" w:color="auto" w:fill="auto"/>
            <w:noWrap/>
            <w:vAlign w:val="center"/>
            <w:hideMark/>
          </w:tcPr>
          <w:p w14:paraId="56EC2B70" w14:textId="77777777" w:rsidR="002273A1" w:rsidRPr="002273A1" w:rsidRDefault="002273A1" w:rsidP="002273A1">
            <w:pPr>
              <w:spacing w:after="0" w:line="240" w:lineRule="auto"/>
              <w:jc w:val="right"/>
              <w:rPr>
                <w:rFonts w:cs="Arial"/>
                <w:sz w:val="16"/>
                <w:szCs w:val="16"/>
              </w:rPr>
            </w:pPr>
            <w:r w:rsidRPr="002273A1">
              <w:rPr>
                <w:rFonts w:cs="Arial"/>
                <w:sz w:val="16"/>
                <w:szCs w:val="16"/>
              </w:rPr>
              <w:t>16,08</w:t>
            </w:r>
          </w:p>
        </w:tc>
        <w:tc>
          <w:tcPr>
            <w:tcW w:w="696" w:type="dxa"/>
            <w:tcBorders>
              <w:top w:val="nil"/>
              <w:left w:val="nil"/>
              <w:bottom w:val="nil"/>
              <w:right w:val="nil"/>
            </w:tcBorders>
            <w:shd w:val="clear" w:color="auto" w:fill="auto"/>
            <w:noWrap/>
            <w:vAlign w:val="center"/>
            <w:hideMark/>
          </w:tcPr>
          <w:p w14:paraId="3D4B55AF" w14:textId="1BC42D6A" w:rsidR="002273A1" w:rsidRPr="002273A1" w:rsidRDefault="002273A1" w:rsidP="002273A1">
            <w:pPr>
              <w:spacing w:after="0" w:line="240" w:lineRule="auto"/>
              <w:jc w:val="right"/>
              <w:rPr>
                <w:rFonts w:cs="Arial"/>
                <w:sz w:val="16"/>
                <w:szCs w:val="16"/>
              </w:rPr>
            </w:pPr>
            <w:r w:rsidRPr="002273A1">
              <w:rPr>
                <w:rFonts w:cs="Arial"/>
                <w:sz w:val="16"/>
                <w:szCs w:val="16"/>
              </w:rPr>
              <w:t>20,5</w:t>
            </w:r>
            <w:r w:rsidR="009A4127">
              <w:rPr>
                <w:rFonts w:cs="Arial"/>
                <w:sz w:val="16"/>
                <w:szCs w:val="16"/>
              </w:rPr>
              <w:t>2</w:t>
            </w:r>
          </w:p>
        </w:tc>
        <w:tc>
          <w:tcPr>
            <w:tcW w:w="703" w:type="dxa"/>
            <w:tcBorders>
              <w:top w:val="nil"/>
              <w:left w:val="nil"/>
              <w:bottom w:val="nil"/>
              <w:right w:val="nil"/>
            </w:tcBorders>
            <w:shd w:val="clear" w:color="auto" w:fill="auto"/>
            <w:noWrap/>
            <w:vAlign w:val="center"/>
            <w:hideMark/>
          </w:tcPr>
          <w:p w14:paraId="0E22E6EE"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20,72</w:t>
            </w:r>
          </w:p>
        </w:tc>
        <w:tc>
          <w:tcPr>
            <w:tcW w:w="703" w:type="dxa"/>
            <w:tcBorders>
              <w:top w:val="nil"/>
              <w:left w:val="nil"/>
              <w:bottom w:val="nil"/>
              <w:right w:val="nil"/>
            </w:tcBorders>
            <w:shd w:val="clear" w:color="auto" w:fill="auto"/>
            <w:noWrap/>
            <w:vAlign w:val="center"/>
            <w:hideMark/>
          </w:tcPr>
          <w:p w14:paraId="6C01EF75"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21,56</w:t>
            </w:r>
          </w:p>
        </w:tc>
        <w:tc>
          <w:tcPr>
            <w:tcW w:w="703" w:type="dxa"/>
            <w:tcBorders>
              <w:top w:val="nil"/>
              <w:left w:val="nil"/>
              <w:bottom w:val="nil"/>
              <w:right w:val="nil"/>
            </w:tcBorders>
            <w:shd w:val="clear" w:color="000000" w:fill="FFFFFF"/>
            <w:noWrap/>
            <w:vAlign w:val="center"/>
            <w:hideMark/>
          </w:tcPr>
          <w:p w14:paraId="214C41C9"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23,82</w:t>
            </w:r>
          </w:p>
        </w:tc>
        <w:tc>
          <w:tcPr>
            <w:tcW w:w="703" w:type="dxa"/>
            <w:tcBorders>
              <w:top w:val="nil"/>
              <w:left w:val="nil"/>
              <w:bottom w:val="nil"/>
              <w:right w:val="nil"/>
            </w:tcBorders>
            <w:shd w:val="clear" w:color="auto" w:fill="auto"/>
            <w:noWrap/>
            <w:vAlign w:val="center"/>
            <w:hideMark/>
          </w:tcPr>
          <w:p w14:paraId="05846D40"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22,09</w:t>
            </w:r>
          </w:p>
        </w:tc>
      </w:tr>
      <w:tr w:rsidR="002273A1" w:rsidRPr="002273A1" w14:paraId="13AB7E93" w14:textId="77777777" w:rsidTr="002273A1">
        <w:trPr>
          <w:trHeight w:val="285"/>
        </w:trPr>
        <w:tc>
          <w:tcPr>
            <w:tcW w:w="1934" w:type="dxa"/>
            <w:tcBorders>
              <w:top w:val="nil"/>
              <w:left w:val="nil"/>
              <w:bottom w:val="nil"/>
              <w:right w:val="nil"/>
            </w:tcBorders>
            <w:shd w:val="clear" w:color="auto" w:fill="auto"/>
            <w:noWrap/>
            <w:vAlign w:val="center"/>
            <w:hideMark/>
          </w:tcPr>
          <w:p w14:paraId="2FA171DF"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Jihočeský kraj</w:t>
            </w:r>
          </w:p>
        </w:tc>
        <w:tc>
          <w:tcPr>
            <w:tcW w:w="703" w:type="dxa"/>
            <w:tcBorders>
              <w:top w:val="nil"/>
              <w:left w:val="nil"/>
              <w:bottom w:val="nil"/>
              <w:right w:val="nil"/>
            </w:tcBorders>
            <w:shd w:val="clear" w:color="auto" w:fill="auto"/>
            <w:noWrap/>
            <w:vAlign w:val="center"/>
            <w:hideMark/>
          </w:tcPr>
          <w:p w14:paraId="5F9A3AFF" w14:textId="77777777" w:rsidR="002273A1" w:rsidRPr="002273A1" w:rsidRDefault="002273A1" w:rsidP="002273A1">
            <w:pPr>
              <w:spacing w:after="0" w:line="240" w:lineRule="auto"/>
              <w:jc w:val="right"/>
              <w:rPr>
                <w:rFonts w:cs="Arial"/>
                <w:sz w:val="16"/>
                <w:szCs w:val="16"/>
              </w:rPr>
            </w:pPr>
            <w:r w:rsidRPr="002273A1">
              <w:rPr>
                <w:rFonts w:cs="Arial"/>
                <w:sz w:val="16"/>
                <w:szCs w:val="16"/>
              </w:rPr>
              <w:t>18,76</w:t>
            </w:r>
          </w:p>
        </w:tc>
        <w:tc>
          <w:tcPr>
            <w:tcW w:w="703" w:type="dxa"/>
            <w:tcBorders>
              <w:top w:val="nil"/>
              <w:left w:val="nil"/>
              <w:bottom w:val="nil"/>
              <w:right w:val="nil"/>
            </w:tcBorders>
            <w:shd w:val="clear" w:color="auto" w:fill="auto"/>
            <w:noWrap/>
            <w:vAlign w:val="center"/>
            <w:hideMark/>
          </w:tcPr>
          <w:p w14:paraId="3AD63150" w14:textId="77777777" w:rsidR="002273A1" w:rsidRPr="002273A1" w:rsidRDefault="002273A1" w:rsidP="002273A1">
            <w:pPr>
              <w:spacing w:after="0" w:line="240" w:lineRule="auto"/>
              <w:jc w:val="right"/>
              <w:rPr>
                <w:rFonts w:cs="Arial"/>
                <w:sz w:val="16"/>
                <w:szCs w:val="16"/>
              </w:rPr>
            </w:pPr>
            <w:r w:rsidRPr="002273A1">
              <w:rPr>
                <w:rFonts w:cs="Arial"/>
                <w:sz w:val="16"/>
                <w:szCs w:val="16"/>
              </w:rPr>
              <w:t>17,63</w:t>
            </w:r>
          </w:p>
        </w:tc>
        <w:tc>
          <w:tcPr>
            <w:tcW w:w="703" w:type="dxa"/>
            <w:tcBorders>
              <w:top w:val="nil"/>
              <w:left w:val="nil"/>
              <w:bottom w:val="nil"/>
              <w:right w:val="nil"/>
            </w:tcBorders>
            <w:shd w:val="clear" w:color="auto" w:fill="auto"/>
            <w:noWrap/>
            <w:vAlign w:val="center"/>
            <w:hideMark/>
          </w:tcPr>
          <w:p w14:paraId="462E9A63" w14:textId="77777777" w:rsidR="002273A1" w:rsidRPr="002273A1" w:rsidRDefault="002273A1" w:rsidP="002273A1">
            <w:pPr>
              <w:spacing w:after="0" w:line="240" w:lineRule="auto"/>
              <w:jc w:val="right"/>
              <w:rPr>
                <w:rFonts w:cs="Arial"/>
                <w:sz w:val="16"/>
                <w:szCs w:val="16"/>
              </w:rPr>
            </w:pPr>
            <w:r w:rsidRPr="002273A1">
              <w:rPr>
                <w:rFonts w:cs="Arial"/>
                <w:sz w:val="16"/>
                <w:szCs w:val="16"/>
              </w:rPr>
              <w:t>17,92</w:t>
            </w:r>
          </w:p>
        </w:tc>
        <w:tc>
          <w:tcPr>
            <w:tcW w:w="703" w:type="dxa"/>
            <w:tcBorders>
              <w:top w:val="nil"/>
              <w:left w:val="nil"/>
              <w:bottom w:val="nil"/>
              <w:right w:val="nil"/>
            </w:tcBorders>
            <w:shd w:val="clear" w:color="auto" w:fill="auto"/>
            <w:noWrap/>
            <w:vAlign w:val="center"/>
            <w:hideMark/>
          </w:tcPr>
          <w:p w14:paraId="04E59705" w14:textId="77777777" w:rsidR="002273A1" w:rsidRPr="002273A1" w:rsidRDefault="002273A1" w:rsidP="002273A1">
            <w:pPr>
              <w:spacing w:after="0" w:line="240" w:lineRule="auto"/>
              <w:jc w:val="right"/>
              <w:rPr>
                <w:rFonts w:cs="Arial"/>
                <w:sz w:val="16"/>
                <w:szCs w:val="16"/>
              </w:rPr>
            </w:pPr>
            <w:r w:rsidRPr="002273A1">
              <w:rPr>
                <w:rFonts w:cs="Arial"/>
                <w:sz w:val="16"/>
                <w:szCs w:val="16"/>
              </w:rPr>
              <w:t>14,89</w:t>
            </w:r>
          </w:p>
        </w:tc>
        <w:tc>
          <w:tcPr>
            <w:tcW w:w="703" w:type="dxa"/>
            <w:tcBorders>
              <w:top w:val="nil"/>
              <w:left w:val="nil"/>
              <w:bottom w:val="nil"/>
              <w:right w:val="nil"/>
            </w:tcBorders>
            <w:shd w:val="clear" w:color="auto" w:fill="auto"/>
            <w:noWrap/>
            <w:vAlign w:val="center"/>
            <w:hideMark/>
          </w:tcPr>
          <w:p w14:paraId="76DF4021" w14:textId="77777777" w:rsidR="002273A1" w:rsidRPr="002273A1" w:rsidRDefault="002273A1" w:rsidP="002273A1">
            <w:pPr>
              <w:spacing w:after="0" w:line="240" w:lineRule="auto"/>
              <w:jc w:val="right"/>
              <w:rPr>
                <w:rFonts w:cs="Arial"/>
                <w:sz w:val="16"/>
                <w:szCs w:val="16"/>
              </w:rPr>
            </w:pPr>
            <w:r w:rsidRPr="002273A1">
              <w:rPr>
                <w:rFonts w:cs="Arial"/>
                <w:sz w:val="16"/>
                <w:szCs w:val="16"/>
              </w:rPr>
              <w:t>19,74</w:t>
            </w:r>
          </w:p>
        </w:tc>
        <w:tc>
          <w:tcPr>
            <w:tcW w:w="703" w:type="dxa"/>
            <w:tcBorders>
              <w:top w:val="nil"/>
              <w:left w:val="nil"/>
              <w:bottom w:val="nil"/>
              <w:right w:val="nil"/>
            </w:tcBorders>
            <w:shd w:val="clear" w:color="auto" w:fill="auto"/>
            <w:noWrap/>
            <w:vAlign w:val="center"/>
            <w:hideMark/>
          </w:tcPr>
          <w:p w14:paraId="6DAC1D5C" w14:textId="77777777" w:rsidR="002273A1" w:rsidRPr="002273A1" w:rsidRDefault="002273A1" w:rsidP="002273A1">
            <w:pPr>
              <w:spacing w:after="0" w:line="240" w:lineRule="auto"/>
              <w:jc w:val="right"/>
              <w:rPr>
                <w:rFonts w:cs="Arial"/>
                <w:sz w:val="16"/>
                <w:szCs w:val="16"/>
              </w:rPr>
            </w:pPr>
            <w:r w:rsidRPr="002273A1">
              <w:rPr>
                <w:rFonts w:cs="Arial"/>
                <w:sz w:val="16"/>
                <w:szCs w:val="16"/>
              </w:rPr>
              <w:t>17,10</w:t>
            </w:r>
          </w:p>
        </w:tc>
        <w:tc>
          <w:tcPr>
            <w:tcW w:w="696" w:type="dxa"/>
            <w:tcBorders>
              <w:top w:val="nil"/>
              <w:left w:val="nil"/>
              <w:bottom w:val="nil"/>
              <w:right w:val="nil"/>
            </w:tcBorders>
            <w:shd w:val="clear" w:color="auto" w:fill="auto"/>
            <w:noWrap/>
            <w:vAlign w:val="center"/>
            <w:hideMark/>
          </w:tcPr>
          <w:p w14:paraId="7EEF377F" w14:textId="6832250E" w:rsidR="002273A1" w:rsidRPr="002273A1" w:rsidRDefault="002273A1" w:rsidP="002273A1">
            <w:pPr>
              <w:spacing w:after="0" w:line="240" w:lineRule="auto"/>
              <w:jc w:val="right"/>
              <w:rPr>
                <w:rFonts w:cs="Arial"/>
                <w:sz w:val="16"/>
                <w:szCs w:val="16"/>
              </w:rPr>
            </w:pPr>
            <w:r w:rsidRPr="002273A1">
              <w:rPr>
                <w:rFonts w:cs="Arial"/>
                <w:sz w:val="16"/>
                <w:szCs w:val="16"/>
              </w:rPr>
              <w:t>22,4</w:t>
            </w:r>
            <w:r w:rsidR="009A4127">
              <w:rPr>
                <w:rFonts w:cs="Arial"/>
                <w:sz w:val="16"/>
                <w:szCs w:val="16"/>
              </w:rPr>
              <w:t>2</w:t>
            </w:r>
          </w:p>
        </w:tc>
        <w:tc>
          <w:tcPr>
            <w:tcW w:w="703" w:type="dxa"/>
            <w:tcBorders>
              <w:top w:val="nil"/>
              <w:left w:val="nil"/>
              <w:bottom w:val="nil"/>
              <w:right w:val="nil"/>
            </w:tcBorders>
            <w:shd w:val="clear" w:color="auto" w:fill="auto"/>
            <w:noWrap/>
            <w:vAlign w:val="center"/>
            <w:hideMark/>
          </w:tcPr>
          <w:p w14:paraId="3A3104B0"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21,94</w:t>
            </w:r>
          </w:p>
        </w:tc>
        <w:tc>
          <w:tcPr>
            <w:tcW w:w="703" w:type="dxa"/>
            <w:tcBorders>
              <w:top w:val="nil"/>
              <w:left w:val="nil"/>
              <w:bottom w:val="nil"/>
              <w:right w:val="nil"/>
            </w:tcBorders>
            <w:shd w:val="clear" w:color="auto" w:fill="auto"/>
            <w:noWrap/>
            <w:vAlign w:val="center"/>
            <w:hideMark/>
          </w:tcPr>
          <w:p w14:paraId="058DB007"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23,33</w:t>
            </w:r>
          </w:p>
        </w:tc>
        <w:tc>
          <w:tcPr>
            <w:tcW w:w="703" w:type="dxa"/>
            <w:tcBorders>
              <w:top w:val="nil"/>
              <w:left w:val="nil"/>
              <w:bottom w:val="nil"/>
              <w:right w:val="nil"/>
            </w:tcBorders>
            <w:shd w:val="clear" w:color="000000" w:fill="FFFFFF"/>
            <w:noWrap/>
            <w:vAlign w:val="center"/>
            <w:hideMark/>
          </w:tcPr>
          <w:p w14:paraId="27A6B916"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24,77</w:t>
            </w:r>
          </w:p>
        </w:tc>
        <w:tc>
          <w:tcPr>
            <w:tcW w:w="703" w:type="dxa"/>
            <w:tcBorders>
              <w:top w:val="nil"/>
              <w:left w:val="nil"/>
              <w:bottom w:val="nil"/>
              <w:right w:val="nil"/>
            </w:tcBorders>
            <w:shd w:val="clear" w:color="auto" w:fill="auto"/>
            <w:noWrap/>
            <w:vAlign w:val="center"/>
            <w:hideMark/>
          </w:tcPr>
          <w:p w14:paraId="421751D7"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22,62</w:t>
            </w:r>
          </w:p>
        </w:tc>
      </w:tr>
      <w:tr w:rsidR="002273A1" w:rsidRPr="002273A1" w14:paraId="38E36CE8" w14:textId="77777777" w:rsidTr="002273A1">
        <w:trPr>
          <w:trHeight w:val="285"/>
        </w:trPr>
        <w:tc>
          <w:tcPr>
            <w:tcW w:w="1934" w:type="dxa"/>
            <w:tcBorders>
              <w:top w:val="nil"/>
              <w:left w:val="nil"/>
              <w:bottom w:val="nil"/>
              <w:right w:val="nil"/>
            </w:tcBorders>
            <w:shd w:val="clear" w:color="auto" w:fill="auto"/>
            <w:noWrap/>
            <w:vAlign w:val="center"/>
            <w:hideMark/>
          </w:tcPr>
          <w:p w14:paraId="35237C3C"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Plzeňský kraj</w:t>
            </w:r>
          </w:p>
        </w:tc>
        <w:tc>
          <w:tcPr>
            <w:tcW w:w="703" w:type="dxa"/>
            <w:tcBorders>
              <w:top w:val="nil"/>
              <w:left w:val="nil"/>
              <w:bottom w:val="nil"/>
              <w:right w:val="nil"/>
            </w:tcBorders>
            <w:shd w:val="clear" w:color="auto" w:fill="auto"/>
            <w:noWrap/>
            <w:vAlign w:val="center"/>
            <w:hideMark/>
          </w:tcPr>
          <w:p w14:paraId="2D61D16E" w14:textId="77777777" w:rsidR="002273A1" w:rsidRPr="002273A1" w:rsidRDefault="002273A1" w:rsidP="002273A1">
            <w:pPr>
              <w:spacing w:after="0" w:line="240" w:lineRule="auto"/>
              <w:jc w:val="right"/>
              <w:rPr>
                <w:rFonts w:cs="Arial"/>
                <w:sz w:val="16"/>
                <w:szCs w:val="16"/>
              </w:rPr>
            </w:pPr>
            <w:r w:rsidRPr="002273A1">
              <w:rPr>
                <w:rFonts w:cs="Arial"/>
                <w:sz w:val="16"/>
                <w:szCs w:val="16"/>
              </w:rPr>
              <w:t>19,78</w:t>
            </w:r>
          </w:p>
        </w:tc>
        <w:tc>
          <w:tcPr>
            <w:tcW w:w="703" w:type="dxa"/>
            <w:tcBorders>
              <w:top w:val="nil"/>
              <w:left w:val="nil"/>
              <w:bottom w:val="nil"/>
              <w:right w:val="nil"/>
            </w:tcBorders>
            <w:shd w:val="clear" w:color="auto" w:fill="auto"/>
            <w:noWrap/>
            <w:vAlign w:val="center"/>
            <w:hideMark/>
          </w:tcPr>
          <w:p w14:paraId="1CAC3551" w14:textId="77777777" w:rsidR="002273A1" w:rsidRPr="002273A1" w:rsidRDefault="002273A1" w:rsidP="002273A1">
            <w:pPr>
              <w:spacing w:after="0" w:line="240" w:lineRule="auto"/>
              <w:jc w:val="right"/>
              <w:rPr>
                <w:rFonts w:cs="Arial"/>
                <w:sz w:val="16"/>
                <w:szCs w:val="16"/>
              </w:rPr>
            </w:pPr>
            <w:r w:rsidRPr="002273A1">
              <w:rPr>
                <w:rFonts w:cs="Arial"/>
                <w:sz w:val="16"/>
                <w:szCs w:val="16"/>
              </w:rPr>
              <w:t>17,95</w:t>
            </w:r>
          </w:p>
        </w:tc>
        <w:tc>
          <w:tcPr>
            <w:tcW w:w="703" w:type="dxa"/>
            <w:tcBorders>
              <w:top w:val="nil"/>
              <w:left w:val="nil"/>
              <w:bottom w:val="nil"/>
              <w:right w:val="nil"/>
            </w:tcBorders>
            <w:shd w:val="clear" w:color="auto" w:fill="auto"/>
            <w:noWrap/>
            <w:vAlign w:val="center"/>
            <w:hideMark/>
          </w:tcPr>
          <w:p w14:paraId="15861B6D" w14:textId="77777777" w:rsidR="002273A1" w:rsidRPr="002273A1" w:rsidRDefault="002273A1" w:rsidP="002273A1">
            <w:pPr>
              <w:spacing w:after="0" w:line="240" w:lineRule="auto"/>
              <w:jc w:val="right"/>
              <w:rPr>
                <w:rFonts w:cs="Arial"/>
                <w:sz w:val="16"/>
                <w:szCs w:val="16"/>
              </w:rPr>
            </w:pPr>
            <w:r w:rsidRPr="002273A1">
              <w:rPr>
                <w:rFonts w:cs="Arial"/>
                <w:sz w:val="16"/>
                <w:szCs w:val="16"/>
              </w:rPr>
              <w:t>19,09</w:t>
            </w:r>
          </w:p>
        </w:tc>
        <w:tc>
          <w:tcPr>
            <w:tcW w:w="703" w:type="dxa"/>
            <w:tcBorders>
              <w:top w:val="nil"/>
              <w:left w:val="nil"/>
              <w:bottom w:val="nil"/>
              <w:right w:val="nil"/>
            </w:tcBorders>
            <w:shd w:val="clear" w:color="auto" w:fill="auto"/>
            <w:noWrap/>
            <w:vAlign w:val="center"/>
            <w:hideMark/>
          </w:tcPr>
          <w:p w14:paraId="54D6E483" w14:textId="77777777" w:rsidR="002273A1" w:rsidRPr="002273A1" w:rsidRDefault="002273A1" w:rsidP="002273A1">
            <w:pPr>
              <w:spacing w:after="0" w:line="240" w:lineRule="auto"/>
              <w:jc w:val="right"/>
              <w:rPr>
                <w:rFonts w:cs="Arial"/>
                <w:sz w:val="16"/>
                <w:szCs w:val="16"/>
              </w:rPr>
            </w:pPr>
            <w:r w:rsidRPr="002273A1">
              <w:rPr>
                <w:rFonts w:cs="Arial"/>
                <w:sz w:val="16"/>
                <w:szCs w:val="16"/>
              </w:rPr>
              <w:t>15,87</w:t>
            </w:r>
          </w:p>
        </w:tc>
        <w:tc>
          <w:tcPr>
            <w:tcW w:w="703" w:type="dxa"/>
            <w:tcBorders>
              <w:top w:val="nil"/>
              <w:left w:val="nil"/>
              <w:bottom w:val="nil"/>
              <w:right w:val="nil"/>
            </w:tcBorders>
            <w:shd w:val="clear" w:color="auto" w:fill="auto"/>
            <w:noWrap/>
            <w:vAlign w:val="center"/>
            <w:hideMark/>
          </w:tcPr>
          <w:p w14:paraId="53094D1B" w14:textId="77777777" w:rsidR="002273A1" w:rsidRPr="002273A1" w:rsidRDefault="002273A1" w:rsidP="002273A1">
            <w:pPr>
              <w:spacing w:after="0" w:line="240" w:lineRule="auto"/>
              <w:jc w:val="right"/>
              <w:rPr>
                <w:rFonts w:cs="Arial"/>
                <w:sz w:val="16"/>
                <w:szCs w:val="16"/>
              </w:rPr>
            </w:pPr>
            <w:r w:rsidRPr="002273A1">
              <w:rPr>
                <w:rFonts w:cs="Arial"/>
                <w:sz w:val="16"/>
                <w:szCs w:val="16"/>
              </w:rPr>
              <w:t>19,77</w:t>
            </w:r>
          </w:p>
        </w:tc>
        <w:tc>
          <w:tcPr>
            <w:tcW w:w="703" w:type="dxa"/>
            <w:tcBorders>
              <w:top w:val="nil"/>
              <w:left w:val="nil"/>
              <w:bottom w:val="nil"/>
              <w:right w:val="nil"/>
            </w:tcBorders>
            <w:shd w:val="clear" w:color="auto" w:fill="auto"/>
            <w:noWrap/>
            <w:vAlign w:val="center"/>
            <w:hideMark/>
          </w:tcPr>
          <w:p w14:paraId="26DFE4A5" w14:textId="77777777" w:rsidR="002273A1" w:rsidRPr="002273A1" w:rsidRDefault="002273A1" w:rsidP="002273A1">
            <w:pPr>
              <w:spacing w:after="0" w:line="240" w:lineRule="auto"/>
              <w:jc w:val="right"/>
              <w:rPr>
                <w:rFonts w:cs="Arial"/>
                <w:sz w:val="16"/>
                <w:szCs w:val="16"/>
              </w:rPr>
            </w:pPr>
            <w:r w:rsidRPr="002273A1">
              <w:rPr>
                <w:rFonts w:cs="Arial"/>
                <w:sz w:val="16"/>
                <w:szCs w:val="16"/>
              </w:rPr>
              <w:t>18,20</w:t>
            </w:r>
          </w:p>
        </w:tc>
        <w:tc>
          <w:tcPr>
            <w:tcW w:w="696" w:type="dxa"/>
            <w:tcBorders>
              <w:top w:val="nil"/>
              <w:left w:val="nil"/>
              <w:bottom w:val="nil"/>
              <w:right w:val="nil"/>
            </w:tcBorders>
            <w:shd w:val="clear" w:color="auto" w:fill="auto"/>
            <w:noWrap/>
            <w:vAlign w:val="center"/>
            <w:hideMark/>
          </w:tcPr>
          <w:p w14:paraId="76534DA1" w14:textId="798D0D45" w:rsidR="002273A1" w:rsidRPr="002273A1" w:rsidRDefault="009A4127" w:rsidP="002273A1">
            <w:pPr>
              <w:spacing w:after="0" w:line="240" w:lineRule="auto"/>
              <w:jc w:val="right"/>
              <w:rPr>
                <w:rFonts w:cs="Arial"/>
                <w:sz w:val="16"/>
                <w:szCs w:val="16"/>
              </w:rPr>
            </w:pPr>
            <w:r>
              <w:rPr>
                <w:rFonts w:cs="Arial"/>
                <w:sz w:val="16"/>
                <w:szCs w:val="16"/>
              </w:rPr>
              <w:t>23,97</w:t>
            </w:r>
          </w:p>
        </w:tc>
        <w:tc>
          <w:tcPr>
            <w:tcW w:w="703" w:type="dxa"/>
            <w:tcBorders>
              <w:top w:val="nil"/>
              <w:left w:val="nil"/>
              <w:bottom w:val="nil"/>
              <w:right w:val="nil"/>
            </w:tcBorders>
            <w:shd w:val="clear" w:color="auto" w:fill="auto"/>
            <w:noWrap/>
            <w:vAlign w:val="center"/>
            <w:hideMark/>
          </w:tcPr>
          <w:p w14:paraId="74D60276"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22,82</w:t>
            </w:r>
          </w:p>
        </w:tc>
        <w:tc>
          <w:tcPr>
            <w:tcW w:w="703" w:type="dxa"/>
            <w:tcBorders>
              <w:top w:val="nil"/>
              <w:left w:val="nil"/>
              <w:bottom w:val="nil"/>
              <w:right w:val="nil"/>
            </w:tcBorders>
            <w:shd w:val="clear" w:color="auto" w:fill="auto"/>
            <w:noWrap/>
            <w:vAlign w:val="center"/>
            <w:hideMark/>
          </w:tcPr>
          <w:p w14:paraId="51295523"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24,47</w:t>
            </w:r>
          </w:p>
        </w:tc>
        <w:tc>
          <w:tcPr>
            <w:tcW w:w="703" w:type="dxa"/>
            <w:tcBorders>
              <w:top w:val="nil"/>
              <w:left w:val="nil"/>
              <w:bottom w:val="nil"/>
              <w:right w:val="nil"/>
            </w:tcBorders>
            <w:shd w:val="clear" w:color="000000" w:fill="FFFFFF"/>
            <w:noWrap/>
            <w:vAlign w:val="center"/>
            <w:hideMark/>
          </w:tcPr>
          <w:p w14:paraId="39B40BB0"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26,18</w:t>
            </w:r>
          </w:p>
        </w:tc>
        <w:tc>
          <w:tcPr>
            <w:tcW w:w="703" w:type="dxa"/>
            <w:tcBorders>
              <w:top w:val="nil"/>
              <w:left w:val="nil"/>
              <w:bottom w:val="nil"/>
              <w:right w:val="nil"/>
            </w:tcBorders>
            <w:shd w:val="clear" w:color="auto" w:fill="auto"/>
            <w:noWrap/>
            <w:vAlign w:val="center"/>
            <w:hideMark/>
          </w:tcPr>
          <w:p w14:paraId="4B312EF6"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24,09</w:t>
            </w:r>
          </w:p>
        </w:tc>
      </w:tr>
      <w:tr w:rsidR="002273A1" w:rsidRPr="002273A1" w14:paraId="6E811E46" w14:textId="77777777" w:rsidTr="002273A1">
        <w:trPr>
          <w:trHeight w:val="285"/>
        </w:trPr>
        <w:tc>
          <w:tcPr>
            <w:tcW w:w="1934" w:type="dxa"/>
            <w:tcBorders>
              <w:top w:val="nil"/>
              <w:left w:val="nil"/>
              <w:bottom w:val="nil"/>
              <w:right w:val="nil"/>
            </w:tcBorders>
            <w:shd w:val="clear" w:color="auto" w:fill="auto"/>
            <w:noWrap/>
            <w:vAlign w:val="center"/>
            <w:hideMark/>
          </w:tcPr>
          <w:p w14:paraId="07D5DC72"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lastRenderedPageBreak/>
              <w:t>Karlovarský kraj</w:t>
            </w:r>
          </w:p>
        </w:tc>
        <w:tc>
          <w:tcPr>
            <w:tcW w:w="703" w:type="dxa"/>
            <w:tcBorders>
              <w:top w:val="nil"/>
              <w:left w:val="nil"/>
              <w:bottom w:val="nil"/>
              <w:right w:val="nil"/>
            </w:tcBorders>
            <w:shd w:val="clear" w:color="auto" w:fill="auto"/>
            <w:noWrap/>
            <w:vAlign w:val="center"/>
            <w:hideMark/>
          </w:tcPr>
          <w:p w14:paraId="3276C4ED" w14:textId="77777777" w:rsidR="002273A1" w:rsidRPr="002273A1" w:rsidRDefault="002273A1" w:rsidP="002273A1">
            <w:pPr>
              <w:spacing w:after="0" w:line="240" w:lineRule="auto"/>
              <w:jc w:val="right"/>
              <w:rPr>
                <w:rFonts w:cs="Arial"/>
                <w:sz w:val="16"/>
                <w:szCs w:val="16"/>
              </w:rPr>
            </w:pPr>
            <w:r w:rsidRPr="002273A1">
              <w:rPr>
                <w:rFonts w:cs="Arial"/>
                <w:sz w:val="16"/>
                <w:szCs w:val="16"/>
              </w:rPr>
              <w:t>18,32</w:t>
            </w:r>
          </w:p>
        </w:tc>
        <w:tc>
          <w:tcPr>
            <w:tcW w:w="703" w:type="dxa"/>
            <w:tcBorders>
              <w:top w:val="nil"/>
              <w:left w:val="nil"/>
              <w:bottom w:val="nil"/>
              <w:right w:val="nil"/>
            </w:tcBorders>
            <w:shd w:val="clear" w:color="auto" w:fill="auto"/>
            <w:noWrap/>
            <w:vAlign w:val="center"/>
            <w:hideMark/>
          </w:tcPr>
          <w:p w14:paraId="116D84D4" w14:textId="77777777" w:rsidR="002273A1" w:rsidRPr="002273A1" w:rsidRDefault="002273A1" w:rsidP="002273A1">
            <w:pPr>
              <w:spacing w:after="0" w:line="240" w:lineRule="auto"/>
              <w:jc w:val="right"/>
              <w:rPr>
                <w:rFonts w:cs="Arial"/>
                <w:sz w:val="16"/>
                <w:szCs w:val="16"/>
              </w:rPr>
            </w:pPr>
            <w:r w:rsidRPr="002273A1">
              <w:rPr>
                <w:rFonts w:cs="Arial"/>
                <w:sz w:val="16"/>
                <w:szCs w:val="16"/>
              </w:rPr>
              <w:t>16,98</w:t>
            </w:r>
          </w:p>
        </w:tc>
        <w:tc>
          <w:tcPr>
            <w:tcW w:w="703" w:type="dxa"/>
            <w:tcBorders>
              <w:top w:val="nil"/>
              <w:left w:val="nil"/>
              <w:bottom w:val="nil"/>
              <w:right w:val="nil"/>
            </w:tcBorders>
            <w:shd w:val="clear" w:color="auto" w:fill="auto"/>
            <w:noWrap/>
            <w:vAlign w:val="center"/>
            <w:hideMark/>
          </w:tcPr>
          <w:p w14:paraId="318D6C7E" w14:textId="77777777" w:rsidR="002273A1" w:rsidRPr="002273A1" w:rsidRDefault="002273A1" w:rsidP="002273A1">
            <w:pPr>
              <w:spacing w:after="0" w:line="240" w:lineRule="auto"/>
              <w:jc w:val="right"/>
              <w:rPr>
                <w:rFonts w:cs="Arial"/>
                <w:sz w:val="16"/>
                <w:szCs w:val="16"/>
              </w:rPr>
            </w:pPr>
            <w:r w:rsidRPr="002273A1">
              <w:rPr>
                <w:rFonts w:cs="Arial"/>
                <w:sz w:val="16"/>
                <w:szCs w:val="16"/>
              </w:rPr>
              <w:t>17,96</w:t>
            </w:r>
          </w:p>
        </w:tc>
        <w:tc>
          <w:tcPr>
            <w:tcW w:w="703" w:type="dxa"/>
            <w:tcBorders>
              <w:top w:val="nil"/>
              <w:left w:val="nil"/>
              <w:bottom w:val="nil"/>
              <w:right w:val="nil"/>
            </w:tcBorders>
            <w:shd w:val="clear" w:color="auto" w:fill="auto"/>
            <w:noWrap/>
            <w:vAlign w:val="center"/>
            <w:hideMark/>
          </w:tcPr>
          <w:p w14:paraId="1987EF73" w14:textId="77777777" w:rsidR="002273A1" w:rsidRPr="002273A1" w:rsidRDefault="002273A1" w:rsidP="002273A1">
            <w:pPr>
              <w:spacing w:after="0" w:line="240" w:lineRule="auto"/>
              <w:jc w:val="right"/>
              <w:rPr>
                <w:rFonts w:cs="Arial"/>
                <w:sz w:val="16"/>
                <w:szCs w:val="16"/>
              </w:rPr>
            </w:pPr>
            <w:r w:rsidRPr="002273A1">
              <w:rPr>
                <w:rFonts w:cs="Arial"/>
                <w:sz w:val="16"/>
                <w:szCs w:val="16"/>
              </w:rPr>
              <w:t>15,27</w:t>
            </w:r>
          </w:p>
        </w:tc>
        <w:tc>
          <w:tcPr>
            <w:tcW w:w="703" w:type="dxa"/>
            <w:tcBorders>
              <w:top w:val="nil"/>
              <w:left w:val="nil"/>
              <w:bottom w:val="nil"/>
              <w:right w:val="nil"/>
            </w:tcBorders>
            <w:shd w:val="clear" w:color="auto" w:fill="auto"/>
            <w:noWrap/>
            <w:vAlign w:val="center"/>
            <w:hideMark/>
          </w:tcPr>
          <w:p w14:paraId="0EF9C1CF" w14:textId="77777777" w:rsidR="002273A1" w:rsidRPr="002273A1" w:rsidRDefault="002273A1" w:rsidP="002273A1">
            <w:pPr>
              <w:spacing w:after="0" w:line="240" w:lineRule="auto"/>
              <w:jc w:val="right"/>
              <w:rPr>
                <w:rFonts w:cs="Arial"/>
                <w:sz w:val="16"/>
                <w:szCs w:val="16"/>
              </w:rPr>
            </w:pPr>
            <w:r w:rsidRPr="002273A1">
              <w:rPr>
                <w:rFonts w:cs="Arial"/>
                <w:sz w:val="16"/>
                <w:szCs w:val="16"/>
              </w:rPr>
              <w:t>18,36</w:t>
            </w:r>
          </w:p>
        </w:tc>
        <w:tc>
          <w:tcPr>
            <w:tcW w:w="703" w:type="dxa"/>
            <w:tcBorders>
              <w:top w:val="nil"/>
              <w:left w:val="nil"/>
              <w:bottom w:val="nil"/>
              <w:right w:val="nil"/>
            </w:tcBorders>
            <w:shd w:val="clear" w:color="auto" w:fill="auto"/>
            <w:noWrap/>
            <w:vAlign w:val="center"/>
            <w:hideMark/>
          </w:tcPr>
          <w:p w14:paraId="1E8CCA10" w14:textId="77777777" w:rsidR="002273A1" w:rsidRPr="002273A1" w:rsidRDefault="002273A1" w:rsidP="002273A1">
            <w:pPr>
              <w:spacing w:after="0" w:line="240" w:lineRule="auto"/>
              <w:jc w:val="right"/>
              <w:rPr>
                <w:rFonts w:cs="Arial"/>
                <w:sz w:val="16"/>
                <w:szCs w:val="16"/>
              </w:rPr>
            </w:pPr>
            <w:r w:rsidRPr="002273A1">
              <w:rPr>
                <w:rFonts w:cs="Arial"/>
                <w:sz w:val="16"/>
                <w:szCs w:val="16"/>
              </w:rPr>
              <w:t>17,65</w:t>
            </w:r>
          </w:p>
        </w:tc>
        <w:tc>
          <w:tcPr>
            <w:tcW w:w="696" w:type="dxa"/>
            <w:tcBorders>
              <w:top w:val="nil"/>
              <w:left w:val="nil"/>
              <w:bottom w:val="nil"/>
              <w:right w:val="nil"/>
            </w:tcBorders>
            <w:shd w:val="clear" w:color="auto" w:fill="auto"/>
            <w:noWrap/>
            <w:vAlign w:val="center"/>
            <w:hideMark/>
          </w:tcPr>
          <w:p w14:paraId="1A309391" w14:textId="576C914A" w:rsidR="002273A1" w:rsidRPr="002273A1" w:rsidRDefault="002273A1" w:rsidP="002273A1">
            <w:pPr>
              <w:spacing w:after="0" w:line="240" w:lineRule="auto"/>
              <w:jc w:val="right"/>
              <w:rPr>
                <w:rFonts w:cs="Arial"/>
                <w:sz w:val="16"/>
                <w:szCs w:val="16"/>
              </w:rPr>
            </w:pPr>
            <w:r w:rsidRPr="002273A1">
              <w:rPr>
                <w:rFonts w:cs="Arial"/>
                <w:sz w:val="16"/>
                <w:szCs w:val="16"/>
              </w:rPr>
              <w:t>23,2</w:t>
            </w:r>
            <w:r w:rsidR="009A4127">
              <w:rPr>
                <w:rFonts w:cs="Arial"/>
                <w:sz w:val="16"/>
                <w:szCs w:val="16"/>
              </w:rPr>
              <w:t>1</w:t>
            </w:r>
          </w:p>
        </w:tc>
        <w:tc>
          <w:tcPr>
            <w:tcW w:w="703" w:type="dxa"/>
            <w:tcBorders>
              <w:top w:val="nil"/>
              <w:left w:val="nil"/>
              <w:bottom w:val="nil"/>
              <w:right w:val="nil"/>
            </w:tcBorders>
            <w:shd w:val="clear" w:color="auto" w:fill="auto"/>
            <w:noWrap/>
            <w:vAlign w:val="center"/>
            <w:hideMark/>
          </w:tcPr>
          <w:p w14:paraId="5499EDA7"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22,12</w:t>
            </w:r>
          </w:p>
        </w:tc>
        <w:tc>
          <w:tcPr>
            <w:tcW w:w="703" w:type="dxa"/>
            <w:tcBorders>
              <w:top w:val="nil"/>
              <w:left w:val="nil"/>
              <w:bottom w:val="nil"/>
              <w:right w:val="nil"/>
            </w:tcBorders>
            <w:shd w:val="clear" w:color="auto" w:fill="auto"/>
            <w:noWrap/>
            <w:vAlign w:val="center"/>
            <w:hideMark/>
          </w:tcPr>
          <w:p w14:paraId="303F008D"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23,19</w:t>
            </w:r>
          </w:p>
        </w:tc>
        <w:tc>
          <w:tcPr>
            <w:tcW w:w="703" w:type="dxa"/>
            <w:tcBorders>
              <w:top w:val="nil"/>
              <w:left w:val="nil"/>
              <w:bottom w:val="nil"/>
              <w:right w:val="nil"/>
            </w:tcBorders>
            <w:shd w:val="clear" w:color="000000" w:fill="FFFFFF"/>
            <w:noWrap/>
            <w:vAlign w:val="center"/>
            <w:hideMark/>
          </w:tcPr>
          <w:p w14:paraId="7C04F5BD"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25,44</w:t>
            </w:r>
          </w:p>
        </w:tc>
        <w:tc>
          <w:tcPr>
            <w:tcW w:w="703" w:type="dxa"/>
            <w:tcBorders>
              <w:top w:val="nil"/>
              <w:left w:val="nil"/>
              <w:bottom w:val="nil"/>
              <w:right w:val="nil"/>
            </w:tcBorders>
            <w:shd w:val="clear" w:color="auto" w:fill="auto"/>
            <w:noWrap/>
            <w:vAlign w:val="center"/>
            <w:hideMark/>
          </w:tcPr>
          <w:p w14:paraId="65544FAA"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23,34</w:t>
            </w:r>
          </w:p>
        </w:tc>
      </w:tr>
      <w:tr w:rsidR="002273A1" w:rsidRPr="002273A1" w14:paraId="51D22FAF" w14:textId="77777777" w:rsidTr="002273A1">
        <w:trPr>
          <w:trHeight w:val="285"/>
        </w:trPr>
        <w:tc>
          <w:tcPr>
            <w:tcW w:w="1934" w:type="dxa"/>
            <w:tcBorders>
              <w:top w:val="nil"/>
              <w:left w:val="nil"/>
              <w:bottom w:val="nil"/>
              <w:right w:val="nil"/>
            </w:tcBorders>
            <w:shd w:val="clear" w:color="auto" w:fill="auto"/>
            <w:noWrap/>
            <w:vAlign w:val="center"/>
            <w:hideMark/>
          </w:tcPr>
          <w:p w14:paraId="6A734462"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Ústecký kraj</w:t>
            </w:r>
          </w:p>
        </w:tc>
        <w:tc>
          <w:tcPr>
            <w:tcW w:w="703" w:type="dxa"/>
            <w:tcBorders>
              <w:top w:val="nil"/>
              <w:left w:val="nil"/>
              <w:bottom w:val="nil"/>
              <w:right w:val="nil"/>
            </w:tcBorders>
            <w:shd w:val="clear" w:color="auto" w:fill="auto"/>
            <w:noWrap/>
            <w:vAlign w:val="center"/>
            <w:hideMark/>
          </w:tcPr>
          <w:p w14:paraId="6313659A" w14:textId="77777777" w:rsidR="002273A1" w:rsidRPr="002273A1" w:rsidRDefault="002273A1" w:rsidP="002273A1">
            <w:pPr>
              <w:spacing w:after="0" w:line="240" w:lineRule="auto"/>
              <w:jc w:val="right"/>
              <w:rPr>
                <w:rFonts w:cs="Arial"/>
                <w:sz w:val="16"/>
                <w:szCs w:val="16"/>
              </w:rPr>
            </w:pPr>
            <w:r w:rsidRPr="002273A1">
              <w:rPr>
                <w:rFonts w:cs="Arial"/>
                <w:sz w:val="16"/>
                <w:szCs w:val="16"/>
              </w:rPr>
              <w:t>16,82</w:t>
            </w:r>
          </w:p>
        </w:tc>
        <w:tc>
          <w:tcPr>
            <w:tcW w:w="703" w:type="dxa"/>
            <w:tcBorders>
              <w:top w:val="nil"/>
              <w:left w:val="nil"/>
              <w:bottom w:val="nil"/>
              <w:right w:val="nil"/>
            </w:tcBorders>
            <w:shd w:val="clear" w:color="auto" w:fill="auto"/>
            <w:noWrap/>
            <w:vAlign w:val="center"/>
            <w:hideMark/>
          </w:tcPr>
          <w:p w14:paraId="7A2DA467" w14:textId="77777777" w:rsidR="002273A1" w:rsidRPr="002273A1" w:rsidRDefault="002273A1" w:rsidP="002273A1">
            <w:pPr>
              <w:spacing w:after="0" w:line="240" w:lineRule="auto"/>
              <w:jc w:val="right"/>
              <w:rPr>
                <w:rFonts w:cs="Arial"/>
                <w:sz w:val="16"/>
                <w:szCs w:val="16"/>
              </w:rPr>
            </w:pPr>
            <w:r w:rsidRPr="002273A1">
              <w:rPr>
                <w:rFonts w:cs="Arial"/>
                <w:sz w:val="16"/>
                <w:szCs w:val="16"/>
              </w:rPr>
              <w:t>15,71</w:t>
            </w:r>
          </w:p>
        </w:tc>
        <w:tc>
          <w:tcPr>
            <w:tcW w:w="703" w:type="dxa"/>
            <w:tcBorders>
              <w:top w:val="nil"/>
              <w:left w:val="nil"/>
              <w:bottom w:val="nil"/>
              <w:right w:val="nil"/>
            </w:tcBorders>
            <w:shd w:val="clear" w:color="auto" w:fill="auto"/>
            <w:noWrap/>
            <w:vAlign w:val="center"/>
            <w:hideMark/>
          </w:tcPr>
          <w:p w14:paraId="4408ECFE" w14:textId="77777777" w:rsidR="002273A1" w:rsidRPr="002273A1" w:rsidRDefault="002273A1" w:rsidP="002273A1">
            <w:pPr>
              <w:spacing w:after="0" w:line="240" w:lineRule="auto"/>
              <w:jc w:val="right"/>
              <w:rPr>
                <w:rFonts w:cs="Arial"/>
                <w:sz w:val="16"/>
                <w:szCs w:val="16"/>
              </w:rPr>
            </w:pPr>
            <w:r w:rsidRPr="002273A1">
              <w:rPr>
                <w:rFonts w:cs="Arial"/>
                <w:sz w:val="16"/>
                <w:szCs w:val="16"/>
              </w:rPr>
              <w:t>16,46</w:t>
            </w:r>
          </w:p>
        </w:tc>
        <w:tc>
          <w:tcPr>
            <w:tcW w:w="703" w:type="dxa"/>
            <w:tcBorders>
              <w:top w:val="nil"/>
              <w:left w:val="nil"/>
              <w:bottom w:val="nil"/>
              <w:right w:val="nil"/>
            </w:tcBorders>
            <w:shd w:val="clear" w:color="auto" w:fill="auto"/>
            <w:noWrap/>
            <w:vAlign w:val="center"/>
            <w:hideMark/>
          </w:tcPr>
          <w:p w14:paraId="2578A391" w14:textId="77777777" w:rsidR="002273A1" w:rsidRPr="002273A1" w:rsidRDefault="002273A1" w:rsidP="002273A1">
            <w:pPr>
              <w:spacing w:after="0" w:line="240" w:lineRule="auto"/>
              <w:jc w:val="right"/>
              <w:rPr>
                <w:rFonts w:cs="Arial"/>
                <w:sz w:val="16"/>
                <w:szCs w:val="16"/>
              </w:rPr>
            </w:pPr>
            <w:r w:rsidRPr="002273A1">
              <w:rPr>
                <w:rFonts w:cs="Arial"/>
                <w:sz w:val="16"/>
                <w:szCs w:val="16"/>
              </w:rPr>
              <w:t>13,61</w:t>
            </w:r>
          </w:p>
        </w:tc>
        <w:tc>
          <w:tcPr>
            <w:tcW w:w="703" w:type="dxa"/>
            <w:tcBorders>
              <w:top w:val="nil"/>
              <w:left w:val="nil"/>
              <w:bottom w:val="nil"/>
              <w:right w:val="nil"/>
            </w:tcBorders>
            <w:shd w:val="clear" w:color="auto" w:fill="auto"/>
            <w:noWrap/>
            <w:vAlign w:val="center"/>
            <w:hideMark/>
          </w:tcPr>
          <w:p w14:paraId="2027BC9B" w14:textId="77777777" w:rsidR="002273A1" w:rsidRPr="002273A1" w:rsidRDefault="002273A1" w:rsidP="002273A1">
            <w:pPr>
              <w:spacing w:after="0" w:line="240" w:lineRule="auto"/>
              <w:jc w:val="right"/>
              <w:rPr>
                <w:rFonts w:cs="Arial"/>
                <w:sz w:val="16"/>
                <w:szCs w:val="16"/>
              </w:rPr>
            </w:pPr>
            <w:r w:rsidRPr="002273A1">
              <w:rPr>
                <w:rFonts w:cs="Arial"/>
                <w:sz w:val="16"/>
                <w:szCs w:val="16"/>
              </w:rPr>
              <w:t>17,54</w:t>
            </w:r>
          </w:p>
        </w:tc>
        <w:tc>
          <w:tcPr>
            <w:tcW w:w="703" w:type="dxa"/>
            <w:tcBorders>
              <w:top w:val="nil"/>
              <w:left w:val="nil"/>
              <w:bottom w:val="nil"/>
              <w:right w:val="nil"/>
            </w:tcBorders>
            <w:shd w:val="clear" w:color="auto" w:fill="auto"/>
            <w:noWrap/>
            <w:vAlign w:val="center"/>
            <w:hideMark/>
          </w:tcPr>
          <w:p w14:paraId="2F7B525D" w14:textId="77777777" w:rsidR="002273A1" w:rsidRPr="002273A1" w:rsidRDefault="002273A1" w:rsidP="002273A1">
            <w:pPr>
              <w:spacing w:after="0" w:line="240" w:lineRule="auto"/>
              <w:jc w:val="right"/>
              <w:rPr>
                <w:rFonts w:cs="Arial"/>
                <w:sz w:val="16"/>
                <w:szCs w:val="16"/>
              </w:rPr>
            </w:pPr>
            <w:r w:rsidRPr="002273A1">
              <w:rPr>
                <w:rFonts w:cs="Arial"/>
                <w:sz w:val="16"/>
                <w:szCs w:val="16"/>
              </w:rPr>
              <w:t>15,42</w:t>
            </w:r>
          </w:p>
        </w:tc>
        <w:tc>
          <w:tcPr>
            <w:tcW w:w="696" w:type="dxa"/>
            <w:tcBorders>
              <w:top w:val="nil"/>
              <w:left w:val="nil"/>
              <w:bottom w:val="nil"/>
              <w:right w:val="nil"/>
            </w:tcBorders>
            <w:shd w:val="clear" w:color="auto" w:fill="auto"/>
            <w:noWrap/>
            <w:vAlign w:val="center"/>
            <w:hideMark/>
          </w:tcPr>
          <w:p w14:paraId="29137B46" w14:textId="28FDCF55" w:rsidR="002273A1" w:rsidRPr="002273A1" w:rsidRDefault="009A4127" w:rsidP="002273A1">
            <w:pPr>
              <w:spacing w:after="0" w:line="240" w:lineRule="auto"/>
              <w:jc w:val="right"/>
              <w:rPr>
                <w:rFonts w:cs="Arial"/>
                <w:sz w:val="16"/>
                <w:szCs w:val="16"/>
              </w:rPr>
            </w:pPr>
            <w:r>
              <w:rPr>
                <w:rFonts w:cs="Arial"/>
                <w:sz w:val="16"/>
                <w:szCs w:val="16"/>
              </w:rPr>
              <w:t>19,87</w:t>
            </w:r>
          </w:p>
        </w:tc>
        <w:tc>
          <w:tcPr>
            <w:tcW w:w="703" w:type="dxa"/>
            <w:tcBorders>
              <w:top w:val="nil"/>
              <w:left w:val="nil"/>
              <w:bottom w:val="nil"/>
              <w:right w:val="nil"/>
            </w:tcBorders>
            <w:shd w:val="clear" w:color="auto" w:fill="auto"/>
            <w:noWrap/>
            <w:vAlign w:val="center"/>
            <w:hideMark/>
          </w:tcPr>
          <w:p w14:paraId="6B6CFCD3"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20,49</w:t>
            </w:r>
          </w:p>
        </w:tc>
        <w:tc>
          <w:tcPr>
            <w:tcW w:w="703" w:type="dxa"/>
            <w:tcBorders>
              <w:top w:val="nil"/>
              <w:left w:val="nil"/>
              <w:bottom w:val="nil"/>
              <w:right w:val="nil"/>
            </w:tcBorders>
            <w:shd w:val="clear" w:color="auto" w:fill="auto"/>
            <w:noWrap/>
            <w:vAlign w:val="center"/>
            <w:hideMark/>
          </w:tcPr>
          <w:p w14:paraId="4F2C2708"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21,32</w:t>
            </w:r>
          </w:p>
        </w:tc>
        <w:tc>
          <w:tcPr>
            <w:tcW w:w="703" w:type="dxa"/>
            <w:tcBorders>
              <w:top w:val="nil"/>
              <w:left w:val="nil"/>
              <w:bottom w:val="nil"/>
              <w:right w:val="nil"/>
            </w:tcBorders>
            <w:shd w:val="clear" w:color="000000" w:fill="FFFFFF"/>
            <w:noWrap/>
            <w:vAlign w:val="center"/>
            <w:hideMark/>
          </w:tcPr>
          <w:p w14:paraId="6BE24BD3"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24,23</w:t>
            </w:r>
          </w:p>
        </w:tc>
        <w:tc>
          <w:tcPr>
            <w:tcW w:w="703" w:type="dxa"/>
            <w:tcBorders>
              <w:top w:val="nil"/>
              <w:left w:val="nil"/>
              <w:bottom w:val="nil"/>
              <w:right w:val="nil"/>
            </w:tcBorders>
            <w:shd w:val="clear" w:color="auto" w:fill="auto"/>
            <w:noWrap/>
            <w:vAlign w:val="center"/>
            <w:hideMark/>
          </w:tcPr>
          <w:p w14:paraId="6383C966"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22,54</w:t>
            </w:r>
          </w:p>
        </w:tc>
      </w:tr>
      <w:tr w:rsidR="002273A1" w:rsidRPr="002273A1" w14:paraId="01B5FB78" w14:textId="77777777" w:rsidTr="002273A1">
        <w:trPr>
          <w:trHeight w:val="285"/>
        </w:trPr>
        <w:tc>
          <w:tcPr>
            <w:tcW w:w="1934" w:type="dxa"/>
            <w:tcBorders>
              <w:top w:val="nil"/>
              <w:left w:val="nil"/>
              <w:bottom w:val="nil"/>
              <w:right w:val="nil"/>
            </w:tcBorders>
            <w:shd w:val="clear" w:color="auto" w:fill="auto"/>
            <w:noWrap/>
            <w:vAlign w:val="center"/>
            <w:hideMark/>
          </w:tcPr>
          <w:p w14:paraId="077C406B"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Liberecký kraj</w:t>
            </w:r>
          </w:p>
        </w:tc>
        <w:tc>
          <w:tcPr>
            <w:tcW w:w="703" w:type="dxa"/>
            <w:tcBorders>
              <w:top w:val="nil"/>
              <w:left w:val="nil"/>
              <w:bottom w:val="nil"/>
              <w:right w:val="nil"/>
            </w:tcBorders>
            <w:shd w:val="clear" w:color="auto" w:fill="auto"/>
            <w:noWrap/>
            <w:vAlign w:val="center"/>
            <w:hideMark/>
          </w:tcPr>
          <w:p w14:paraId="44BFF54E" w14:textId="77777777" w:rsidR="002273A1" w:rsidRPr="002273A1" w:rsidRDefault="002273A1" w:rsidP="002273A1">
            <w:pPr>
              <w:spacing w:after="0" w:line="240" w:lineRule="auto"/>
              <w:jc w:val="right"/>
              <w:rPr>
                <w:rFonts w:cs="Arial"/>
                <w:sz w:val="16"/>
                <w:szCs w:val="16"/>
              </w:rPr>
            </w:pPr>
            <w:r w:rsidRPr="002273A1">
              <w:rPr>
                <w:rFonts w:cs="Arial"/>
                <w:sz w:val="16"/>
                <w:szCs w:val="16"/>
              </w:rPr>
              <w:t>18,93</w:t>
            </w:r>
          </w:p>
        </w:tc>
        <w:tc>
          <w:tcPr>
            <w:tcW w:w="703" w:type="dxa"/>
            <w:tcBorders>
              <w:top w:val="nil"/>
              <w:left w:val="nil"/>
              <w:bottom w:val="nil"/>
              <w:right w:val="nil"/>
            </w:tcBorders>
            <w:shd w:val="clear" w:color="auto" w:fill="auto"/>
            <w:noWrap/>
            <w:vAlign w:val="center"/>
            <w:hideMark/>
          </w:tcPr>
          <w:p w14:paraId="1332802A" w14:textId="77777777" w:rsidR="002273A1" w:rsidRPr="002273A1" w:rsidRDefault="002273A1" w:rsidP="002273A1">
            <w:pPr>
              <w:spacing w:after="0" w:line="240" w:lineRule="auto"/>
              <w:jc w:val="right"/>
              <w:rPr>
                <w:rFonts w:cs="Arial"/>
                <w:sz w:val="16"/>
                <w:szCs w:val="16"/>
              </w:rPr>
            </w:pPr>
            <w:r w:rsidRPr="002273A1">
              <w:rPr>
                <w:rFonts w:cs="Arial"/>
                <w:sz w:val="16"/>
                <w:szCs w:val="16"/>
              </w:rPr>
              <w:t>17,65</w:t>
            </w:r>
          </w:p>
        </w:tc>
        <w:tc>
          <w:tcPr>
            <w:tcW w:w="703" w:type="dxa"/>
            <w:tcBorders>
              <w:top w:val="nil"/>
              <w:left w:val="nil"/>
              <w:bottom w:val="nil"/>
              <w:right w:val="nil"/>
            </w:tcBorders>
            <w:shd w:val="clear" w:color="auto" w:fill="auto"/>
            <w:noWrap/>
            <w:vAlign w:val="center"/>
            <w:hideMark/>
          </w:tcPr>
          <w:p w14:paraId="136B8209" w14:textId="77777777" w:rsidR="002273A1" w:rsidRPr="002273A1" w:rsidRDefault="002273A1" w:rsidP="002273A1">
            <w:pPr>
              <w:spacing w:after="0" w:line="240" w:lineRule="auto"/>
              <w:jc w:val="right"/>
              <w:rPr>
                <w:rFonts w:cs="Arial"/>
                <w:sz w:val="16"/>
                <w:szCs w:val="16"/>
              </w:rPr>
            </w:pPr>
            <w:r w:rsidRPr="002273A1">
              <w:rPr>
                <w:rFonts w:cs="Arial"/>
                <w:sz w:val="16"/>
                <w:szCs w:val="16"/>
              </w:rPr>
              <w:t>18,29</w:t>
            </w:r>
          </w:p>
        </w:tc>
        <w:tc>
          <w:tcPr>
            <w:tcW w:w="703" w:type="dxa"/>
            <w:tcBorders>
              <w:top w:val="nil"/>
              <w:left w:val="nil"/>
              <w:bottom w:val="nil"/>
              <w:right w:val="nil"/>
            </w:tcBorders>
            <w:shd w:val="clear" w:color="auto" w:fill="auto"/>
            <w:noWrap/>
            <w:vAlign w:val="center"/>
            <w:hideMark/>
          </w:tcPr>
          <w:p w14:paraId="1E683E48" w14:textId="77777777" w:rsidR="002273A1" w:rsidRPr="002273A1" w:rsidRDefault="002273A1" w:rsidP="002273A1">
            <w:pPr>
              <w:spacing w:after="0" w:line="240" w:lineRule="auto"/>
              <w:jc w:val="right"/>
              <w:rPr>
                <w:rFonts w:cs="Arial"/>
                <w:sz w:val="16"/>
                <w:szCs w:val="16"/>
              </w:rPr>
            </w:pPr>
            <w:r w:rsidRPr="002273A1">
              <w:rPr>
                <w:rFonts w:cs="Arial"/>
                <w:sz w:val="16"/>
                <w:szCs w:val="16"/>
              </w:rPr>
              <w:t>15,54</w:t>
            </w:r>
          </w:p>
        </w:tc>
        <w:tc>
          <w:tcPr>
            <w:tcW w:w="703" w:type="dxa"/>
            <w:tcBorders>
              <w:top w:val="nil"/>
              <w:left w:val="nil"/>
              <w:bottom w:val="nil"/>
              <w:right w:val="nil"/>
            </w:tcBorders>
            <w:shd w:val="clear" w:color="auto" w:fill="auto"/>
            <w:noWrap/>
            <w:vAlign w:val="center"/>
            <w:hideMark/>
          </w:tcPr>
          <w:p w14:paraId="202A0DAD" w14:textId="77777777" w:rsidR="002273A1" w:rsidRPr="002273A1" w:rsidRDefault="002273A1" w:rsidP="002273A1">
            <w:pPr>
              <w:spacing w:after="0" w:line="240" w:lineRule="auto"/>
              <w:jc w:val="right"/>
              <w:rPr>
                <w:rFonts w:cs="Arial"/>
                <w:sz w:val="16"/>
                <w:szCs w:val="16"/>
              </w:rPr>
            </w:pPr>
            <w:r w:rsidRPr="002273A1">
              <w:rPr>
                <w:rFonts w:cs="Arial"/>
                <w:sz w:val="16"/>
                <w:szCs w:val="16"/>
              </w:rPr>
              <w:t>20,49</w:t>
            </w:r>
          </w:p>
        </w:tc>
        <w:tc>
          <w:tcPr>
            <w:tcW w:w="703" w:type="dxa"/>
            <w:tcBorders>
              <w:top w:val="nil"/>
              <w:left w:val="nil"/>
              <w:bottom w:val="nil"/>
              <w:right w:val="nil"/>
            </w:tcBorders>
            <w:shd w:val="clear" w:color="auto" w:fill="auto"/>
            <w:noWrap/>
            <w:vAlign w:val="center"/>
            <w:hideMark/>
          </w:tcPr>
          <w:p w14:paraId="085B5E33" w14:textId="77777777" w:rsidR="002273A1" w:rsidRPr="002273A1" w:rsidRDefault="002273A1" w:rsidP="002273A1">
            <w:pPr>
              <w:spacing w:after="0" w:line="240" w:lineRule="auto"/>
              <w:jc w:val="right"/>
              <w:rPr>
                <w:rFonts w:cs="Arial"/>
                <w:sz w:val="16"/>
                <w:szCs w:val="16"/>
              </w:rPr>
            </w:pPr>
            <w:r w:rsidRPr="002273A1">
              <w:rPr>
                <w:rFonts w:cs="Arial"/>
                <w:sz w:val="16"/>
                <w:szCs w:val="16"/>
              </w:rPr>
              <w:t>17,67</w:t>
            </w:r>
          </w:p>
        </w:tc>
        <w:tc>
          <w:tcPr>
            <w:tcW w:w="696" w:type="dxa"/>
            <w:tcBorders>
              <w:top w:val="nil"/>
              <w:left w:val="nil"/>
              <w:bottom w:val="nil"/>
              <w:right w:val="nil"/>
            </w:tcBorders>
            <w:shd w:val="clear" w:color="auto" w:fill="auto"/>
            <w:noWrap/>
            <w:vAlign w:val="center"/>
            <w:hideMark/>
          </w:tcPr>
          <w:p w14:paraId="34396E6B" w14:textId="040E5C47" w:rsidR="002273A1" w:rsidRPr="002273A1" w:rsidRDefault="002273A1" w:rsidP="002273A1">
            <w:pPr>
              <w:spacing w:after="0" w:line="240" w:lineRule="auto"/>
              <w:jc w:val="right"/>
              <w:rPr>
                <w:rFonts w:cs="Arial"/>
                <w:sz w:val="16"/>
                <w:szCs w:val="16"/>
              </w:rPr>
            </w:pPr>
            <w:r w:rsidRPr="002273A1">
              <w:rPr>
                <w:rFonts w:cs="Arial"/>
                <w:sz w:val="16"/>
                <w:szCs w:val="16"/>
              </w:rPr>
              <w:t>22,2</w:t>
            </w:r>
            <w:r w:rsidR="009A4127">
              <w:rPr>
                <w:rFonts w:cs="Arial"/>
                <w:sz w:val="16"/>
                <w:szCs w:val="16"/>
              </w:rPr>
              <w:t>2</w:t>
            </w:r>
          </w:p>
        </w:tc>
        <w:tc>
          <w:tcPr>
            <w:tcW w:w="703" w:type="dxa"/>
            <w:tcBorders>
              <w:top w:val="nil"/>
              <w:left w:val="nil"/>
              <w:bottom w:val="nil"/>
              <w:right w:val="nil"/>
            </w:tcBorders>
            <w:shd w:val="clear" w:color="auto" w:fill="auto"/>
            <w:noWrap/>
            <w:vAlign w:val="center"/>
            <w:hideMark/>
          </w:tcPr>
          <w:p w14:paraId="1A4DD8F0"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23,10</w:t>
            </w:r>
          </w:p>
        </w:tc>
        <w:tc>
          <w:tcPr>
            <w:tcW w:w="703" w:type="dxa"/>
            <w:tcBorders>
              <w:top w:val="nil"/>
              <w:left w:val="nil"/>
              <w:bottom w:val="nil"/>
              <w:right w:val="nil"/>
            </w:tcBorders>
            <w:shd w:val="clear" w:color="auto" w:fill="auto"/>
            <w:noWrap/>
            <w:vAlign w:val="center"/>
            <w:hideMark/>
          </w:tcPr>
          <w:p w14:paraId="37882F67"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24,25</w:t>
            </w:r>
          </w:p>
        </w:tc>
        <w:tc>
          <w:tcPr>
            <w:tcW w:w="703" w:type="dxa"/>
            <w:tcBorders>
              <w:top w:val="nil"/>
              <w:left w:val="nil"/>
              <w:bottom w:val="nil"/>
              <w:right w:val="nil"/>
            </w:tcBorders>
            <w:shd w:val="clear" w:color="000000" w:fill="FFFFFF"/>
            <w:noWrap/>
            <w:vAlign w:val="center"/>
            <w:hideMark/>
          </w:tcPr>
          <w:p w14:paraId="7E8F4F71"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27,00</w:t>
            </w:r>
          </w:p>
        </w:tc>
        <w:tc>
          <w:tcPr>
            <w:tcW w:w="703" w:type="dxa"/>
            <w:tcBorders>
              <w:top w:val="nil"/>
              <w:left w:val="nil"/>
              <w:bottom w:val="nil"/>
              <w:right w:val="nil"/>
            </w:tcBorders>
            <w:shd w:val="clear" w:color="auto" w:fill="auto"/>
            <w:noWrap/>
            <w:vAlign w:val="center"/>
            <w:hideMark/>
          </w:tcPr>
          <w:p w14:paraId="5AE797C3"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25,14</w:t>
            </w:r>
          </w:p>
        </w:tc>
      </w:tr>
      <w:tr w:rsidR="002273A1" w:rsidRPr="002273A1" w14:paraId="750D493E" w14:textId="77777777" w:rsidTr="002273A1">
        <w:trPr>
          <w:trHeight w:val="285"/>
        </w:trPr>
        <w:tc>
          <w:tcPr>
            <w:tcW w:w="1934" w:type="dxa"/>
            <w:tcBorders>
              <w:top w:val="nil"/>
              <w:left w:val="nil"/>
              <w:bottom w:val="nil"/>
              <w:right w:val="nil"/>
            </w:tcBorders>
            <w:shd w:val="clear" w:color="auto" w:fill="auto"/>
            <w:noWrap/>
            <w:vAlign w:val="center"/>
            <w:hideMark/>
          </w:tcPr>
          <w:p w14:paraId="3D7CE616"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Královéhradecký kraj</w:t>
            </w:r>
          </w:p>
        </w:tc>
        <w:tc>
          <w:tcPr>
            <w:tcW w:w="703" w:type="dxa"/>
            <w:tcBorders>
              <w:top w:val="nil"/>
              <w:left w:val="nil"/>
              <w:bottom w:val="nil"/>
              <w:right w:val="nil"/>
            </w:tcBorders>
            <w:shd w:val="clear" w:color="auto" w:fill="auto"/>
            <w:noWrap/>
            <w:vAlign w:val="center"/>
            <w:hideMark/>
          </w:tcPr>
          <w:p w14:paraId="7B93BC5F" w14:textId="77777777" w:rsidR="002273A1" w:rsidRPr="002273A1" w:rsidRDefault="002273A1" w:rsidP="002273A1">
            <w:pPr>
              <w:spacing w:after="0" w:line="240" w:lineRule="auto"/>
              <w:jc w:val="right"/>
              <w:rPr>
                <w:rFonts w:cs="Arial"/>
                <w:sz w:val="16"/>
                <w:szCs w:val="16"/>
              </w:rPr>
            </w:pPr>
            <w:r w:rsidRPr="002273A1">
              <w:rPr>
                <w:rFonts w:cs="Arial"/>
                <w:sz w:val="16"/>
                <w:szCs w:val="16"/>
              </w:rPr>
              <w:t>17,44</w:t>
            </w:r>
          </w:p>
        </w:tc>
        <w:tc>
          <w:tcPr>
            <w:tcW w:w="703" w:type="dxa"/>
            <w:tcBorders>
              <w:top w:val="nil"/>
              <w:left w:val="nil"/>
              <w:bottom w:val="nil"/>
              <w:right w:val="nil"/>
            </w:tcBorders>
            <w:shd w:val="clear" w:color="auto" w:fill="auto"/>
            <w:noWrap/>
            <w:vAlign w:val="center"/>
            <w:hideMark/>
          </w:tcPr>
          <w:p w14:paraId="6DAE8C4F" w14:textId="77777777" w:rsidR="002273A1" w:rsidRPr="002273A1" w:rsidRDefault="002273A1" w:rsidP="002273A1">
            <w:pPr>
              <w:spacing w:after="0" w:line="240" w:lineRule="auto"/>
              <w:jc w:val="right"/>
              <w:rPr>
                <w:rFonts w:cs="Arial"/>
                <w:sz w:val="16"/>
                <w:szCs w:val="16"/>
              </w:rPr>
            </w:pPr>
            <w:r w:rsidRPr="002273A1">
              <w:rPr>
                <w:rFonts w:cs="Arial"/>
                <w:sz w:val="16"/>
                <w:szCs w:val="16"/>
              </w:rPr>
              <w:t>17,07</w:t>
            </w:r>
          </w:p>
        </w:tc>
        <w:tc>
          <w:tcPr>
            <w:tcW w:w="703" w:type="dxa"/>
            <w:tcBorders>
              <w:top w:val="nil"/>
              <w:left w:val="nil"/>
              <w:bottom w:val="nil"/>
              <w:right w:val="nil"/>
            </w:tcBorders>
            <w:shd w:val="clear" w:color="auto" w:fill="auto"/>
            <w:noWrap/>
            <w:vAlign w:val="center"/>
            <w:hideMark/>
          </w:tcPr>
          <w:p w14:paraId="5C49A005" w14:textId="77777777" w:rsidR="002273A1" w:rsidRPr="002273A1" w:rsidRDefault="002273A1" w:rsidP="002273A1">
            <w:pPr>
              <w:spacing w:after="0" w:line="240" w:lineRule="auto"/>
              <w:jc w:val="right"/>
              <w:rPr>
                <w:rFonts w:cs="Arial"/>
                <w:sz w:val="16"/>
                <w:szCs w:val="16"/>
              </w:rPr>
            </w:pPr>
            <w:r w:rsidRPr="002273A1">
              <w:rPr>
                <w:rFonts w:cs="Arial"/>
                <w:sz w:val="16"/>
                <w:szCs w:val="16"/>
              </w:rPr>
              <w:t>17,45</w:t>
            </w:r>
          </w:p>
        </w:tc>
        <w:tc>
          <w:tcPr>
            <w:tcW w:w="703" w:type="dxa"/>
            <w:tcBorders>
              <w:top w:val="nil"/>
              <w:left w:val="nil"/>
              <w:bottom w:val="nil"/>
              <w:right w:val="nil"/>
            </w:tcBorders>
            <w:shd w:val="clear" w:color="auto" w:fill="auto"/>
            <w:noWrap/>
            <w:vAlign w:val="center"/>
            <w:hideMark/>
          </w:tcPr>
          <w:p w14:paraId="0F8CBA42" w14:textId="77777777" w:rsidR="002273A1" w:rsidRPr="002273A1" w:rsidRDefault="002273A1" w:rsidP="002273A1">
            <w:pPr>
              <w:spacing w:after="0" w:line="240" w:lineRule="auto"/>
              <w:jc w:val="right"/>
              <w:rPr>
                <w:rFonts w:cs="Arial"/>
                <w:sz w:val="16"/>
                <w:szCs w:val="16"/>
              </w:rPr>
            </w:pPr>
            <w:r w:rsidRPr="002273A1">
              <w:rPr>
                <w:rFonts w:cs="Arial"/>
                <w:sz w:val="16"/>
                <w:szCs w:val="16"/>
              </w:rPr>
              <w:t>14,65</w:t>
            </w:r>
          </w:p>
        </w:tc>
        <w:tc>
          <w:tcPr>
            <w:tcW w:w="703" w:type="dxa"/>
            <w:tcBorders>
              <w:top w:val="nil"/>
              <w:left w:val="nil"/>
              <w:bottom w:val="nil"/>
              <w:right w:val="nil"/>
            </w:tcBorders>
            <w:shd w:val="clear" w:color="auto" w:fill="auto"/>
            <w:noWrap/>
            <w:vAlign w:val="center"/>
            <w:hideMark/>
          </w:tcPr>
          <w:p w14:paraId="24D232AC" w14:textId="77777777" w:rsidR="002273A1" w:rsidRPr="002273A1" w:rsidRDefault="002273A1" w:rsidP="002273A1">
            <w:pPr>
              <w:spacing w:after="0" w:line="240" w:lineRule="auto"/>
              <w:jc w:val="right"/>
              <w:rPr>
                <w:rFonts w:cs="Arial"/>
                <w:sz w:val="16"/>
                <w:szCs w:val="16"/>
              </w:rPr>
            </w:pPr>
            <w:r w:rsidRPr="002273A1">
              <w:rPr>
                <w:rFonts w:cs="Arial"/>
                <w:sz w:val="16"/>
                <w:szCs w:val="16"/>
              </w:rPr>
              <w:t>18,34</w:t>
            </w:r>
          </w:p>
        </w:tc>
        <w:tc>
          <w:tcPr>
            <w:tcW w:w="703" w:type="dxa"/>
            <w:tcBorders>
              <w:top w:val="nil"/>
              <w:left w:val="nil"/>
              <w:bottom w:val="nil"/>
              <w:right w:val="nil"/>
            </w:tcBorders>
            <w:shd w:val="clear" w:color="auto" w:fill="auto"/>
            <w:noWrap/>
            <w:vAlign w:val="center"/>
            <w:hideMark/>
          </w:tcPr>
          <w:p w14:paraId="2EEEA8E8" w14:textId="77777777" w:rsidR="002273A1" w:rsidRPr="002273A1" w:rsidRDefault="002273A1" w:rsidP="002273A1">
            <w:pPr>
              <w:spacing w:after="0" w:line="240" w:lineRule="auto"/>
              <w:jc w:val="right"/>
              <w:rPr>
                <w:rFonts w:cs="Arial"/>
                <w:sz w:val="16"/>
                <w:szCs w:val="16"/>
              </w:rPr>
            </w:pPr>
            <w:r w:rsidRPr="002273A1">
              <w:rPr>
                <w:rFonts w:cs="Arial"/>
                <w:sz w:val="16"/>
                <w:szCs w:val="16"/>
              </w:rPr>
              <w:t>15,74</w:t>
            </w:r>
          </w:p>
        </w:tc>
        <w:tc>
          <w:tcPr>
            <w:tcW w:w="696" w:type="dxa"/>
            <w:tcBorders>
              <w:top w:val="nil"/>
              <w:left w:val="nil"/>
              <w:bottom w:val="nil"/>
              <w:right w:val="nil"/>
            </w:tcBorders>
            <w:shd w:val="clear" w:color="auto" w:fill="auto"/>
            <w:noWrap/>
            <w:vAlign w:val="center"/>
            <w:hideMark/>
          </w:tcPr>
          <w:p w14:paraId="14D29D82" w14:textId="07DB8C52" w:rsidR="002273A1" w:rsidRPr="002273A1" w:rsidRDefault="009A4127" w:rsidP="002273A1">
            <w:pPr>
              <w:spacing w:after="0" w:line="240" w:lineRule="auto"/>
              <w:jc w:val="right"/>
              <w:rPr>
                <w:rFonts w:cs="Arial"/>
                <w:sz w:val="16"/>
                <w:szCs w:val="16"/>
              </w:rPr>
            </w:pPr>
            <w:r>
              <w:rPr>
                <w:rFonts w:cs="Arial"/>
                <w:sz w:val="16"/>
                <w:szCs w:val="16"/>
              </w:rPr>
              <w:t>20,16</w:t>
            </w:r>
          </w:p>
        </w:tc>
        <w:tc>
          <w:tcPr>
            <w:tcW w:w="703" w:type="dxa"/>
            <w:tcBorders>
              <w:top w:val="nil"/>
              <w:left w:val="nil"/>
              <w:bottom w:val="nil"/>
              <w:right w:val="nil"/>
            </w:tcBorders>
            <w:shd w:val="clear" w:color="auto" w:fill="auto"/>
            <w:noWrap/>
            <w:vAlign w:val="center"/>
            <w:hideMark/>
          </w:tcPr>
          <w:p w14:paraId="6EF133CE"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21,17</w:t>
            </w:r>
          </w:p>
        </w:tc>
        <w:tc>
          <w:tcPr>
            <w:tcW w:w="703" w:type="dxa"/>
            <w:tcBorders>
              <w:top w:val="nil"/>
              <w:left w:val="nil"/>
              <w:bottom w:val="nil"/>
              <w:right w:val="nil"/>
            </w:tcBorders>
            <w:shd w:val="clear" w:color="auto" w:fill="auto"/>
            <w:noWrap/>
            <w:vAlign w:val="center"/>
            <w:hideMark/>
          </w:tcPr>
          <w:p w14:paraId="365D4CCA"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22,47</w:t>
            </w:r>
          </w:p>
        </w:tc>
        <w:tc>
          <w:tcPr>
            <w:tcW w:w="703" w:type="dxa"/>
            <w:tcBorders>
              <w:top w:val="nil"/>
              <w:left w:val="nil"/>
              <w:bottom w:val="nil"/>
              <w:right w:val="nil"/>
            </w:tcBorders>
            <w:shd w:val="clear" w:color="000000" w:fill="FFFFFF"/>
            <w:noWrap/>
            <w:vAlign w:val="center"/>
            <w:hideMark/>
          </w:tcPr>
          <w:p w14:paraId="3457AB0A"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24,99</w:t>
            </w:r>
          </w:p>
        </w:tc>
        <w:tc>
          <w:tcPr>
            <w:tcW w:w="703" w:type="dxa"/>
            <w:tcBorders>
              <w:top w:val="nil"/>
              <w:left w:val="nil"/>
              <w:bottom w:val="nil"/>
              <w:right w:val="nil"/>
            </w:tcBorders>
            <w:shd w:val="clear" w:color="auto" w:fill="auto"/>
            <w:noWrap/>
            <w:vAlign w:val="center"/>
            <w:hideMark/>
          </w:tcPr>
          <w:p w14:paraId="22496751"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23,58</w:t>
            </w:r>
          </w:p>
        </w:tc>
      </w:tr>
      <w:tr w:rsidR="002273A1" w:rsidRPr="002273A1" w14:paraId="3B1DCEF2" w14:textId="77777777" w:rsidTr="002273A1">
        <w:trPr>
          <w:trHeight w:val="285"/>
        </w:trPr>
        <w:tc>
          <w:tcPr>
            <w:tcW w:w="1934" w:type="dxa"/>
            <w:tcBorders>
              <w:top w:val="nil"/>
              <w:left w:val="nil"/>
              <w:bottom w:val="nil"/>
              <w:right w:val="nil"/>
            </w:tcBorders>
            <w:shd w:val="clear" w:color="auto" w:fill="auto"/>
            <w:noWrap/>
            <w:vAlign w:val="center"/>
            <w:hideMark/>
          </w:tcPr>
          <w:p w14:paraId="19BFBFEB"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Pardubický kraj</w:t>
            </w:r>
          </w:p>
        </w:tc>
        <w:tc>
          <w:tcPr>
            <w:tcW w:w="703" w:type="dxa"/>
            <w:tcBorders>
              <w:top w:val="nil"/>
              <w:left w:val="nil"/>
              <w:bottom w:val="nil"/>
              <w:right w:val="nil"/>
            </w:tcBorders>
            <w:shd w:val="clear" w:color="auto" w:fill="auto"/>
            <w:noWrap/>
            <w:vAlign w:val="center"/>
            <w:hideMark/>
          </w:tcPr>
          <w:p w14:paraId="6C325F87" w14:textId="77777777" w:rsidR="002273A1" w:rsidRPr="002273A1" w:rsidRDefault="002273A1" w:rsidP="002273A1">
            <w:pPr>
              <w:spacing w:after="0" w:line="240" w:lineRule="auto"/>
              <w:jc w:val="right"/>
              <w:rPr>
                <w:rFonts w:cs="Arial"/>
                <w:sz w:val="16"/>
                <w:szCs w:val="16"/>
              </w:rPr>
            </w:pPr>
            <w:r w:rsidRPr="002273A1">
              <w:rPr>
                <w:rFonts w:cs="Arial"/>
                <w:sz w:val="16"/>
                <w:szCs w:val="16"/>
              </w:rPr>
              <w:t>17,70</w:t>
            </w:r>
          </w:p>
        </w:tc>
        <w:tc>
          <w:tcPr>
            <w:tcW w:w="703" w:type="dxa"/>
            <w:tcBorders>
              <w:top w:val="nil"/>
              <w:left w:val="nil"/>
              <w:bottom w:val="nil"/>
              <w:right w:val="nil"/>
            </w:tcBorders>
            <w:shd w:val="clear" w:color="auto" w:fill="auto"/>
            <w:noWrap/>
            <w:vAlign w:val="center"/>
            <w:hideMark/>
          </w:tcPr>
          <w:p w14:paraId="6387B0FB" w14:textId="77777777" w:rsidR="002273A1" w:rsidRPr="002273A1" w:rsidRDefault="002273A1" w:rsidP="002273A1">
            <w:pPr>
              <w:spacing w:after="0" w:line="240" w:lineRule="auto"/>
              <w:jc w:val="right"/>
              <w:rPr>
                <w:rFonts w:cs="Arial"/>
                <w:sz w:val="16"/>
                <w:szCs w:val="16"/>
              </w:rPr>
            </w:pPr>
            <w:r w:rsidRPr="002273A1">
              <w:rPr>
                <w:rFonts w:cs="Arial"/>
                <w:sz w:val="16"/>
                <w:szCs w:val="16"/>
              </w:rPr>
              <w:t>16,63</w:t>
            </w:r>
          </w:p>
        </w:tc>
        <w:tc>
          <w:tcPr>
            <w:tcW w:w="703" w:type="dxa"/>
            <w:tcBorders>
              <w:top w:val="nil"/>
              <w:left w:val="nil"/>
              <w:bottom w:val="nil"/>
              <w:right w:val="nil"/>
            </w:tcBorders>
            <w:shd w:val="clear" w:color="auto" w:fill="auto"/>
            <w:noWrap/>
            <w:vAlign w:val="center"/>
            <w:hideMark/>
          </w:tcPr>
          <w:p w14:paraId="679D7F99" w14:textId="77777777" w:rsidR="002273A1" w:rsidRPr="002273A1" w:rsidRDefault="002273A1" w:rsidP="002273A1">
            <w:pPr>
              <w:spacing w:after="0" w:line="240" w:lineRule="auto"/>
              <w:jc w:val="right"/>
              <w:rPr>
                <w:rFonts w:cs="Arial"/>
                <w:sz w:val="16"/>
                <w:szCs w:val="16"/>
              </w:rPr>
            </w:pPr>
            <w:r w:rsidRPr="002273A1">
              <w:rPr>
                <w:rFonts w:cs="Arial"/>
                <w:sz w:val="16"/>
                <w:szCs w:val="16"/>
              </w:rPr>
              <w:t>17,77</w:t>
            </w:r>
          </w:p>
        </w:tc>
        <w:tc>
          <w:tcPr>
            <w:tcW w:w="703" w:type="dxa"/>
            <w:tcBorders>
              <w:top w:val="nil"/>
              <w:left w:val="nil"/>
              <w:bottom w:val="nil"/>
              <w:right w:val="nil"/>
            </w:tcBorders>
            <w:shd w:val="clear" w:color="auto" w:fill="auto"/>
            <w:noWrap/>
            <w:vAlign w:val="center"/>
            <w:hideMark/>
          </w:tcPr>
          <w:p w14:paraId="2034F86F" w14:textId="77777777" w:rsidR="002273A1" w:rsidRPr="002273A1" w:rsidRDefault="002273A1" w:rsidP="002273A1">
            <w:pPr>
              <w:spacing w:after="0" w:line="240" w:lineRule="auto"/>
              <w:jc w:val="right"/>
              <w:rPr>
                <w:rFonts w:cs="Arial"/>
                <w:sz w:val="16"/>
                <w:szCs w:val="16"/>
              </w:rPr>
            </w:pPr>
            <w:r w:rsidRPr="002273A1">
              <w:rPr>
                <w:rFonts w:cs="Arial"/>
                <w:sz w:val="16"/>
                <w:szCs w:val="16"/>
              </w:rPr>
              <w:t>14,28</w:t>
            </w:r>
          </w:p>
        </w:tc>
        <w:tc>
          <w:tcPr>
            <w:tcW w:w="703" w:type="dxa"/>
            <w:tcBorders>
              <w:top w:val="nil"/>
              <w:left w:val="nil"/>
              <w:bottom w:val="nil"/>
              <w:right w:val="nil"/>
            </w:tcBorders>
            <w:shd w:val="clear" w:color="auto" w:fill="auto"/>
            <w:noWrap/>
            <w:vAlign w:val="center"/>
            <w:hideMark/>
          </w:tcPr>
          <w:p w14:paraId="2B2B8AB9" w14:textId="77777777" w:rsidR="002273A1" w:rsidRPr="002273A1" w:rsidRDefault="002273A1" w:rsidP="002273A1">
            <w:pPr>
              <w:spacing w:after="0" w:line="240" w:lineRule="auto"/>
              <w:jc w:val="right"/>
              <w:rPr>
                <w:rFonts w:cs="Arial"/>
                <w:sz w:val="16"/>
                <w:szCs w:val="16"/>
              </w:rPr>
            </w:pPr>
            <w:r w:rsidRPr="002273A1">
              <w:rPr>
                <w:rFonts w:cs="Arial"/>
                <w:sz w:val="16"/>
                <w:szCs w:val="16"/>
              </w:rPr>
              <w:t>17,76</w:t>
            </w:r>
          </w:p>
        </w:tc>
        <w:tc>
          <w:tcPr>
            <w:tcW w:w="703" w:type="dxa"/>
            <w:tcBorders>
              <w:top w:val="nil"/>
              <w:left w:val="nil"/>
              <w:bottom w:val="nil"/>
              <w:right w:val="nil"/>
            </w:tcBorders>
            <w:shd w:val="clear" w:color="auto" w:fill="auto"/>
            <w:noWrap/>
            <w:vAlign w:val="center"/>
            <w:hideMark/>
          </w:tcPr>
          <w:p w14:paraId="4075B13A" w14:textId="77777777" w:rsidR="002273A1" w:rsidRPr="002273A1" w:rsidRDefault="002273A1" w:rsidP="002273A1">
            <w:pPr>
              <w:spacing w:after="0" w:line="240" w:lineRule="auto"/>
              <w:jc w:val="right"/>
              <w:rPr>
                <w:rFonts w:cs="Arial"/>
                <w:sz w:val="16"/>
                <w:szCs w:val="16"/>
              </w:rPr>
            </w:pPr>
            <w:r w:rsidRPr="002273A1">
              <w:rPr>
                <w:rFonts w:cs="Arial"/>
                <w:sz w:val="16"/>
                <w:szCs w:val="16"/>
              </w:rPr>
              <w:t>15,80</w:t>
            </w:r>
          </w:p>
        </w:tc>
        <w:tc>
          <w:tcPr>
            <w:tcW w:w="696" w:type="dxa"/>
            <w:tcBorders>
              <w:top w:val="nil"/>
              <w:left w:val="nil"/>
              <w:bottom w:val="nil"/>
              <w:right w:val="nil"/>
            </w:tcBorders>
            <w:shd w:val="clear" w:color="auto" w:fill="auto"/>
            <w:noWrap/>
            <w:vAlign w:val="center"/>
            <w:hideMark/>
          </w:tcPr>
          <w:p w14:paraId="7E1CC5A0" w14:textId="452D5934" w:rsidR="002273A1" w:rsidRPr="002273A1" w:rsidRDefault="002273A1" w:rsidP="002273A1">
            <w:pPr>
              <w:spacing w:after="0" w:line="240" w:lineRule="auto"/>
              <w:jc w:val="right"/>
              <w:rPr>
                <w:rFonts w:cs="Arial"/>
                <w:sz w:val="16"/>
                <w:szCs w:val="16"/>
              </w:rPr>
            </w:pPr>
            <w:r w:rsidRPr="002273A1">
              <w:rPr>
                <w:rFonts w:cs="Arial"/>
                <w:sz w:val="16"/>
                <w:szCs w:val="16"/>
              </w:rPr>
              <w:t>20,6</w:t>
            </w:r>
            <w:r w:rsidR="009A4127">
              <w:rPr>
                <w:rFonts w:cs="Arial"/>
                <w:sz w:val="16"/>
                <w:szCs w:val="16"/>
              </w:rPr>
              <w:t>1</w:t>
            </w:r>
          </w:p>
        </w:tc>
        <w:tc>
          <w:tcPr>
            <w:tcW w:w="703" w:type="dxa"/>
            <w:tcBorders>
              <w:top w:val="nil"/>
              <w:left w:val="nil"/>
              <w:bottom w:val="nil"/>
              <w:right w:val="nil"/>
            </w:tcBorders>
            <w:shd w:val="clear" w:color="auto" w:fill="auto"/>
            <w:noWrap/>
            <w:vAlign w:val="center"/>
            <w:hideMark/>
          </w:tcPr>
          <w:p w14:paraId="30D676E0"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20,27</w:t>
            </w:r>
          </w:p>
        </w:tc>
        <w:tc>
          <w:tcPr>
            <w:tcW w:w="703" w:type="dxa"/>
            <w:tcBorders>
              <w:top w:val="nil"/>
              <w:left w:val="nil"/>
              <w:bottom w:val="nil"/>
              <w:right w:val="nil"/>
            </w:tcBorders>
            <w:shd w:val="clear" w:color="auto" w:fill="auto"/>
            <w:noWrap/>
            <w:vAlign w:val="center"/>
            <w:hideMark/>
          </w:tcPr>
          <w:p w14:paraId="2E9B2AA5"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21,73</w:t>
            </w:r>
          </w:p>
        </w:tc>
        <w:tc>
          <w:tcPr>
            <w:tcW w:w="703" w:type="dxa"/>
            <w:tcBorders>
              <w:top w:val="nil"/>
              <w:left w:val="nil"/>
              <w:bottom w:val="nil"/>
              <w:right w:val="nil"/>
            </w:tcBorders>
            <w:shd w:val="clear" w:color="000000" w:fill="FFFFFF"/>
            <w:noWrap/>
            <w:vAlign w:val="center"/>
            <w:hideMark/>
          </w:tcPr>
          <w:p w14:paraId="11BFC96C"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23,99</w:t>
            </w:r>
          </w:p>
        </w:tc>
        <w:tc>
          <w:tcPr>
            <w:tcW w:w="703" w:type="dxa"/>
            <w:tcBorders>
              <w:top w:val="nil"/>
              <w:left w:val="nil"/>
              <w:bottom w:val="nil"/>
              <w:right w:val="nil"/>
            </w:tcBorders>
            <w:shd w:val="clear" w:color="auto" w:fill="auto"/>
            <w:noWrap/>
            <w:vAlign w:val="center"/>
            <w:hideMark/>
          </w:tcPr>
          <w:p w14:paraId="059EE0AC"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22,08</w:t>
            </w:r>
          </w:p>
        </w:tc>
      </w:tr>
      <w:tr w:rsidR="002273A1" w:rsidRPr="002273A1" w14:paraId="70872B1F" w14:textId="77777777" w:rsidTr="002273A1">
        <w:trPr>
          <w:trHeight w:val="285"/>
        </w:trPr>
        <w:tc>
          <w:tcPr>
            <w:tcW w:w="1934" w:type="dxa"/>
            <w:tcBorders>
              <w:top w:val="nil"/>
              <w:left w:val="nil"/>
              <w:bottom w:val="nil"/>
              <w:right w:val="nil"/>
            </w:tcBorders>
            <w:shd w:val="clear" w:color="auto" w:fill="auto"/>
            <w:noWrap/>
            <w:vAlign w:val="center"/>
            <w:hideMark/>
          </w:tcPr>
          <w:p w14:paraId="0198F70E"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Vysočina</w:t>
            </w:r>
          </w:p>
        </w:tc>
        <w:tc>
          <w:tcPr>
            <w:tcW w:w="703" w:type="dxa"/>
            <w:tcBorders>
              <w:top w:val="nil"/>
              <w:left w:val="nil"/>
              <w:bottom w:val="nil"/>
              <w:right w:val="nil"/>
            </w:tcBorders>
            <w:shd w:val="clear" w:color="auto" w:fill="auto"/>
            <w:noWrap/>
            <w:vAlign w:val="center"/>
            <w:hideMark/>
          </w:tcPr>
          <w:p w14:paraId="644A7F18" w14:textId="77777777" w:rsidR="002273A1" w:rsidRPr="002273A1" w:rsidRDefault="002273A1" w:rsidP="002273A1">
            <w:pPr>
              <w:spacing w:after="0" w:line="240" w:lineRule="auto"/>
              <w:jc w:val="right"/>
              <w:rPr>
                <w:rFonts w:cs="Arial"/>
                <w:sz w:val="16"/>
                <w:szCs w:val="16"/>
              </w:rPr>
            </w:pPr>
            <w:r w:rsidRPr="002273A1">
              <w:rPr>
                <w:rFonts w:cs="Arial"/>
                <w:sz w:val="16"/>
                <w:szCs w:val="16"/>
              </w:rPr>
              <w:t>17,87</w:t>
            </w:r>
          </w:p>
        </w:tc>
        <w:tc>
          <w:tcPr>
            <w:tcW w:w="703" w:type="dxa"/>
            <w:tcBorders>
              <w:top w:val="nil"/>
              <w:left w:val="nil"/>
              <w:bottom w:val="nil"/>
              <w:right w:val="nil"/>
            </w:tcBorders>
            <w:shd w:val="clear" w:color="auto" w:fill="auto"/>
            <w:noWrap/>
            <w:vAlign w:val="center"/>
            <w:hideMark/>
          </w:tcPr>
          <w:p w14:paraId="18FA9F9A" w14:textId="77777777" w:rsidR="002273A1" w:rsidRPr="002273A1" w:rsidRDefault="002273A1" w:rsidP="002273A1">
            <w:pPr>
              <w:spacing w:after="0" w:line="240" w:lineRule="auto"/>
              <w:jc w:val="right"/>
              <w:rPr>
                <w:rFonts w:cs="Arial"/>
                <w:sz w:val="16"/>
                <w:szCs w:val="16"/>
              </w:rPr>
            </w:pPr>
            <w:r w:rsidRPr="002273A1">
              <w:rPr>
                <w:rFonts w:cs="Arial"/>
                <w:sz w:val="16"/>
                <w:szCs w:val="16"/>
              </w:rPr>
              <w:t>17,38</w:t>
            </w:r>
          </w:p>
        </w:tc>
        <w:tc>
          <w:tcPr>
            <w:tcW w:w="703" w:type="dxa"/>
            <w:tcBorders>
              <w:top w:val="nil"/>
              <w:left w:val="nil"/>
              <w:bottom w:val="nil"/>
              <w:right w:val="nil"/>
            </w:tcBorders>
            <w:shd w:val="clear" w:color="auto" w:fill="auto"/>
            <w:noWrap/>
            <w:vAlign w:val="center"/>
            <w:hideMark/>
          </w:tcPr>
          <w:p w14:paraId="61C99AC1" w14:textId="77777777" w:rsidR="002273A1" w:rsidRPr="002273A1" w:rsidRDefault="002273A1" w:rsidP="002273A1">
            <w:pPr>
              <w:spacing w:after="0" w:line="240" w:lineRule="auto"/>
              <w:jc w:val="right"/>
              <w:rPr>
                <w:rFonts w:cs="Arial"/>
                <w:sz w:val="16"/>
                <w:szCs w:val="16"/>
              </w:rPr>
            </w:pPr>
            <w:r w:rsidRPr="002273A1">
              <w:rPr>
                <w:rFonts w:cs="Arial"/>
                <w:sz w:val="16"/>
                <w:szCs w:val="16"/>
              </w:rPr>
              <w:t>17,52</w:t>
            </w:r>
          </w:p>
        </w:tc>
        <w:tc>
          <w:tcPr>
            <w:tcW w:w="703" w:type="dxa"/>
            <w:tcBorders>
              <w:top w:val="nil"/>
              <w:left w:val="nil"/>
              <w:bottom w:val="nil"/>
              <w:right w:val="nil"/>
            </w:tcBorders>
            <w:shd w:val="clear" w:color="auto" w:fill="auto"/>
            <w:noWrap/>
            <w:vAlign w:val="center"/>
            <w:hideMark/>
          </w:tcPr>
          <w:p w14:paraId="0E42C6B7" w14:textId="77777777" w:rsidR="002273A1" w:rsidRPr="002273A1" w:rsidRDefault="002273A1" w:rsidP="002273A1">
            <w:pPr>
              <w:spacing w:after="0" w:line="240" w:lineRule="auto"/>
              <w:jc w:val="right"/>
              <w:rPr>
                <w:rFonts w:cs="Arial"/>
                <w:sz w:val="16"/>
                <w:szCs w:val="16"/>
              </w:rPr>
            </w:pPr>
            <w:r w:rsidRPr="002273A1">
              <w:rPr>
                <w:rFonts w:cs="Arial"/>
                <w:sz w:val="16"/>
                <w:szCs w:val="16"/>
              </w:rPr>
              <w:t>15,13</w:t>
            </w:r>
          </w:p>
        </w:tc>
        <w:tc>
          <w:tcPr>
            <w:tcW w:w="703" w:type="dxa"/>
            <w:tcBorders>
              <w:top w:val="nil"/>
              <w:left w:val="nil"/>
              <w:bottom w:val="nil"/>
              <w:right w:val="nil"/>
            </w:tcBorders>
            <w:shd w:val="clear" w:color="auto" w:fill="auto"/>
            <w:noWrap/>
            <w:vAlign w:val="center"/>
            <w:hideMark/>
          </w:tcPr>
          <w:p w14:paraId="32CE23D6" w14:textId="77777777" w:rsidR="002273A1" w:rsidRPr="002273A1" w:rsidRDefault="002273A1" w:rsidP="002273A1">
            <w:pPr>
              <w:spacing w:after="0" w:line="240" w:lineRule="auto"/>
              <w:jc w:val="right"/>
              <w:rPr>
                <w:rFonts w:cs="Arial"/>
                <w:sz w:val="16"/>
                <w:szCs w:val="16"/>
              </w:rPr>
            </w:pPr>
            <w:r w:rsidRPr="002273A1">
              <w:rPr>
                <w:rFonts w:cs="Arial"/>
                <w:sz w:val="16"/>
                <w:szCs w:val="16"/>
              </w:rPr>
              <w:t>18,70</w:t>
            </w:r>
          </w:p>
        </w:tc>
        <w:tc>
          <w:tcPr>
            <w:tcW w:w="703" w:type="dxa"/>
            <w:tcBorders>
              <w:top w:val="nil"/>
              <w:left w:val="nil"/>
              <w:bottom w:val="nil"/>
              <w:right w:val="nil"/>
            </w:tcBorders>
            <w:shd w:val="clear" w:color="auto" w:fill="auto"/>
            <w:noWrap/>
            <w:vAlign w:val="center"/>
            <w:hideMark/>
          </w:tcPr>
          <w:p w14:paraId="29419BEA" w14:textId="77777777" w:rsidR="002273A1" w:rsidRPr="002273A1" w:rsidRDefault="002273A1" w:rsidP="002273A1">
            <w:pPr>
              <w:spacing w:after="0" w:line="240" w:lineRule="auto"/>
              <w:jc w:val="right"/>
              <w:rPr>
                <w:rFonts w:cs="Arial"/>
                <w:sz w:val="16"/>
                <w:szCs w:val="16"/>
              </w:rPr>
            </w:pPr>
            <w:r w:rsidRPr="002273A1">
              <w:rPr>
                <w:rFonts w:cs="Arial"/>
                <w:sz w:val="16"/>
                <w:szCs w:val="16"/>
              </w:rPr>
              <w:t>16,45</w:t>
            </w:r>
          </w:p>
        </w:tc>
        <w:tc>
          <w:tcPr>
            <w:tcW w:w="696" w:type="dxa"/>
            <w:tcBorders>
              <w:top w:val="nil"/>
              <w:left w:val="nil"/>
              <w:bottom w:val="nil"/>
              <w:right w:val="nil"/>
            </w:tcBorders>
            <w:shd w:val="clear" w:color="auto" w:fill="auto"/>
            <w:noWrap/>
            <w:vAlign w:val="center"/>
            <w:hideMark/>
          </w:tcPr>
          <w:p w14:paraId="55072B4F" w14:textId="1F9E40B1" w:rsidR="002273A1" w:rsidRPr="002273A1" w:rsidRDefault="009A4127" w:rsidP="002273A1">
            <w:pPr>
              <w:spacing w:after="0" w:line="240" w:lineRule="auto"/>
              <w:jc w:val="right"/>
              <w:rPr>
                <w:rFonts w:cs="Arial"/>
                <w:sz w:val="16"/>
                <w:szCs w:val="16"/>
              </w:rPr>
            </w:pPr>
            <w:r>
              <w:rPr>
                <w:rFonts w:cs="Arial"/>
                <w:sz w:val="16"/>
                <w:szCs w:val="16"/>
              </w:rPr>
              <w:t>21,85</w:t>
            </w:r>
          </w:p>
        </w:tc>
        <w:tc>
          <w:tcPr>
            <w:tcW w:w="703" w:type="dxa"/>
            <w:tcBorders>
              <w:top w:val="nil"/>
              <w:left w:val="nil"/>
              <w:bottom w:val="nil"/>
              <w:right w:val="nil"/>
            </w:tcBorders>
            <w:shd w:val="clear" w:color="auto" w:fill="auto"/>
            <w:noWrap/>
            <w:vAlign w:val="center"/>
            <w:hideMark/>
          </w:tcPr>
          <w:p w14:paraId="0F156499"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21,00</w:t>
            </w:r>
          </w:p>
        </w:tc>
        <w:tc>
          <w:tcPr>
            <w:tcW w:w="703" w:type="dxa"/>
            <w:tcBorders>
              <w:top w:val="nil"/>
              <w:left w:val="nil"/>
              <w:bottom w:val="nil"/>
              <w:right w:val="nil"/>
            </w:tcBorders>
            <w:shd w:val="clear" w:color="auto" w:fill="auto"/>
            <w:noWrap/>
            <w:vAlign w:val="center"/>
            <w:hideMark/>
          </w:tcPr>
          <w:p w14:paraId="42C0EE77"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22,30</w:t>
            </w:r>
          </w:p>
        </w:tc>
        <w:tc>
          <w:tcPr>
            <w:tcW w:w="703" w:type="dxa"/>
            <w:tcBorders>
              <w:top w:val="nil"/>
              <w:left w:val="nil"/>
              <w:bottom w:val="nil"/>
              <w:right w:val="nil"/>
            </w:tcBorders>
            <w:shd w:val="clear" w:color="000000" w:fill="FFFFFF"/>
            <w:noWrap/>
            <w:vAlign w:val="center"/>
            <w:hideMark/>
          </w:tcPr>
          <w:p w14:paraId="7E891D80"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24,31</w:t>
            </w:r>
          </w:p>
        </w:tc>
        <w:tc>
          <w:tcPr>
            <w:tcW w:w="703" w:type="dxa"/>
            <w:tcBorders>
              <w:top w:val="nil"/>
              <w:left w:val="nil"/>
              <w:bottom w:val="nil"/>
              <w:right w:val="nil"/>
            </w:tcBorders>
            <w:shd w:val="clear" w:color="auto" w:fill="auto"/>
            <w:noWrap/>
            <w:vAlign w:val="center"/>
            <w:hideMark/>
          </w:tcPr>
          <w:p w14:paraId="6D3DA245"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22,50</w:t>
            </w:r>
          </w:p>
        </w:tc>
      </w:tr>
      <w:tr w:rsidR="002273A1" w:rsidRPr="002273A1" w14:paraId="7D6A2C23" w14:textId="77777777" w:rsidTr="002273A1">
        <w:trPr>
          <w:trHeight w:val="285"/>
        </w:trPr>
        <w:tc>
          <w:tcPr>
            <w:tcW w:w="1934" w:type="dxa"/>
            <w:tcBorders>
              <w:top w:val="nil"/>
              <w:left w:val="nil"/>
              <w:bottom w:val="nil"/>
              <w:right w:val="nil"/>
            </w:tcBorders>
            <w:shd w:val="clear" w:color="auto" w:fill="auto"/>
            <w:noWrap/>
            <w:vAlign w:val="center"/>
            <w:hideMark/>
          </w:tcPr>
          <w:p w14:paraId="0C8E406C"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Jihomoravský kraj</w:t>
            </w:r>
          </w:p>
        </w:tc>
        <w:tc>
          <w:tcPr>
            <w:tcW w:w="703" w:type="dxa"/>
            <w:tcBorders>
              <w:top w:val="nil"/>
              <w:left w:val="nil"/>
              <w:bottom w:val="nil"/>
              <w:right w:val="nil"/>
            </w:tcBorders>
            <w:shd w:val="clear" w:color="auto" w:fill="auto"/>
            <w:noWrap/>
            <w:vAlign w:val="center"/>
            <w:hideMark/>
          </w:tcPr>
          <w:p w14:paraId="484A21F6" w14:textId="77777777" w:rsidR="002273A1" w:rsidRPr="002273A1" w:rsidRDefault="002273A1" w:rsidP="002273A1">
            <w:pPr>
              <w:spacing w:after="0" w:line="240" w:lineRule="auto"/>
              <w:jc w:val="right"/>
              <w:rPr>
                <w:rFonts w:cs="Arial"/>
                <w:sz w:val="16"/>
                <w:szCs w:val="16"/>
              </w:rPr>
            </w:pPr>
            <w:r w:rsidRPr="002273A1">
              <w:rPr>
                <w:rFonts w:cs="Arial"/>
                <w:sz w:val="16"/>
                <w:szCs w:val="16"/>
              </w:rPr>
              <w:t>17,62</w:t>
            </w:r>
          </w:p>
        </w:tc>
        <w:tc>
          <w:tcPr>
            <w:tcW w:w="703" w:type="dxa"/>
            <w:tcBorders>
              <w:top w:val="nil"/>
              <w:left w:val="nil"/>
              <w:bottom w:val="nil"/>
              <w:right w:val="nil"/>
            </w:tcBorders>
            <w:shd w:val="clear" w:color="auto" w:fill="auto"/>
            <w:noWrap/>
            <w:vAlign w:val="center"/>
            <w:hideMark/>
          </w:tcPr>
          <w:p w14:paraId="5F05B315" w14:textId="77777777" w:rsidR="002273A1" w:rsidRPr="002273A1" w:rsidRDefault="002273A1" w:rsidP="002273A1">
            <w:pPr>
              <w:spacing w:after="0" w:line="240" w:lineRule="auto"/>
              <w:jc w:val="right"/>
              <w:rPr>
                <w:rFonts w:cs="Arial"/>
                <w:sz w:val="16"/>
                <w:szCs w:val="16"/>
              </w:rPr>
            </w:pPr>
            <w:r w:rsidRPr="002273A1">
              <w:rPr>
                <w:rFonts w:cs="Arial"/>
                <w:sz w:val="16"/>
                <w:szCs w:val="16"/>
              </w:rPr>
              <w:t>16,44</w:t>
            </w:r>
          </w:p>
        </w:tc>
        <w:tc>
          <w:tcPr>
            <w:tcW w:w="703" w:type="dxa"/>
            <w:tcBorders>
              <w:top w:val="nil"/>
              <w:left w:val="nil"/>
              <w:bottom w:val="nil"/>
              <w:right w:val="nil"/>
            </w:tcBorders>
            <w:shd w:val="clear" w:color="auto" w:fill="auto"/>
            <w:noWrap/>
            <w:vAlign w:val="center"/>
            <w:hideMark/>
          </w:tcPr>
          <w:p w14:paraId="78B408DD" w14:textId="77777777" w:rsidR="002273A1" w:rsidRPr="002273A1" w:rsidRDefault="002273A1" w:rsidP="002273A1">
            <w:pPr>
              <w:spacing w:after="0" w:line="240" w:lineRule="auto"/>
              <w:jc w:val="right"/>
              <w:rPr>
                <w:rFonts w:cs="Arial"/>
                <w:sz w:val="16"/>
                <w:szCs w:val="16"/>
              </w:rPr>
            </w:pPr>
            <w:r w:rsidRPr="002273A1">
              <w:rPr>
                <w:rFonts w:cs="Arial"/>
                <w:sz w:val="16"/>
                <w:szCs w:val="16"/>
              </w:rPr>
              <w:t>16,28</w:t>
            </w:r>
          </w:p>
        </w:tc>
        <w:tc>
          <w:tcPr>
            <w:tcW w:w="703" w:type="dxa"/>
            <w:tcBorders>
              <w:top w:val="nil"/>
              <w:left w:val="nil"/>
              <w:bottom w:val="nil"/>
              <w:right w:val="nil"/>
            </w:tcBorders>
            <w:shd w:val="clear" w:color="auto" w:fill="auto"/>
            <w:noWrap/>
            <w:vAlign w:val="center"/>
            <w:hideMark/>
          </w:tcPr>
          <w:p w14:paraId="2DC4F721" w14:textId="77777777" w:rsidR="002273A1" w:rsidRPr="002273A1" w:rsidRDefault="002273A1" w:rsidP="002273A1">
            <w:pPr>
              <w:spacing w:after="0" w:line="240" w:lineRule="auto"/>
              <w:jc w:val="right"/>
              <w:rPr>
                <w:rFonts w:cs="Arial"/>
                <w:sz w:val="16"/>
                <w:szCs w:val="16"/>
              </w:rPr>
            </w:pPr>
            <w:r w:rsidRPr="002273A1">
              <w:rPr>
                <w:rFonts w:cs="Arial"/>
                <w:sz w:val="16"/>
                <w:szCs w:val="16"/>
              </w:rPr>
              <w:t>13,54</w:t>
            </w:r>
          </w:p>
        </w:tc>
        <w:tc>
          <w:tcPr>
            <w:tcW w:w="703" w:type="dxa"/>
            <w:tcBorders>
              <w:top w:val="nil"/>
              <w:left w:val="nil"/>
              <w:bottom w:val="nil"/>
              <w:right w:val="nil"/>
            </w:tcBorders>
            <w:shd w:val="clear" w:color="auto" w:fill="auto"/>
            <w:noWrap/>
            <w:vAlign w:val="center"/>
            <w:hideMark/>
          </w:tcPr>
          <w:p w14:paraId="784975BE" w14:textId="77777777" w:rsidR="002273A1" w:rsidRPr="002273A1" w:rsidRDefault="002273A1" w:rsidP="002273A1">
            <w:pPr>
              <w:spacing w:after="0" w:line="240" w:lineRule="auto"/>
              <w:jc w:val="right"/>
              <w:rPr>
                <w:rFonts w:cs="Arial"/>
                <w:sz w:val="16"/>
                <w:szCs w:val="16"/>
              </w:rPr>
            </w:pPr>
            <w:r w:rsidRPr="002273A1">
              <w:rPr>
                <w:rFonts w:cs="Arial"/>
                <w:sz w:val="16"/>
                <w:szCs w:val="16"/>
              </w:rPr>
              <w:t>16,97</w:t>
            </w:r>
          </w:p>
        </w:tc>
        <w:tc>
          <w:tcPr>
            <w:tcW w:w="703" w:type="dxa"/>
            <w:tcBorders>
              <w:top w:val="nil"/>
              <w:left w:val="nil"/>
              <w:bottom w:val="nil"/>
              <w:right w:val="nil"/>
            </w:tcBorders>
            <w:shd w:val="clear" w:color="auto" w:fill="auto"/>
            <w:noWrap/>
            <w:vAlign w:val="center"/>
            <w:hideMark/>
          </w:tcPr>
          <w:p w14:paraId="3536E22D" w14:textId="77777777" w:rsidR="002273A1" w:rsidRPr="002273A1" w:rsidRDefault="002273A1" w:rsidP="002273A1">
            <w:pPr>
              <w:spacing w:after="0" w:line="240" w:lineRule="auto"/>
              <w:jc w:val="right"/>
              <w:rPr>
                <w:rFonts w:cs="Arial"/>
                <w:sz w:val="16"/>
                <w:szCs w:val="16"/>
              </w:rPr>
            </w:pPr>
            <w:r w:rsidRPr="002273A1">
              <w:rPr>
                <w:rFonts w:cs="Arial"/>
                <w:sz w:val="16"/>
                <w:szCs w:val="16"/>
              </w:rPr>
              <w:t>14,72</w:t>
            </w:r>
          </w:p>
        </w:tc>
        <w:tc>
          <w:tcPr>
            <w:tcW w:w="696" w:type="dxa"/>
            <w:tcBorders>
              <w:top w:val="nil"/>
              <w:left w:val="nil"/>
              <w:bottom w:val="nil"/>
              <w:right w:val="nil"/>
            </w:tcBorders>
            <w:shd w:val="clear" w:color="auto" w:fill="auto"/>
            <w:noWrap/>
            <w:vAlign w:val="center"/>
            <w:hideMark/>
          </w:tcPr>
          <w:p w14:paraId="158F9E69" w14:textId="67A0B9F7" w:rsidR="002273A1" w:rsidRPr="002273A1" w:rsidRDefault="009A4127" w:rsidP="002273A1">
            <w:pPr>
              <w:spacing w:after="0" w:line="240" w:lineRule="auto"/>
              <w:jc w:val="right"/>
              <w:rPr>
                <w:rFonts w:cs="Arial"/>
                <w:sz w:val="16"/>
                <w:szCs w:val="16"/>
              </w:rPr>
            </w:pPr>
            <w:r>
              <w:rPr>
                <w:rFonts w:cs="Arial"/>
                <w:sz w:val="16"/>
                <w:szCs w:val="16"/>
              </w:rPr>
              <w:t>19,06</w:t>
            </w:r>
          </w:p>
        </w:tc>
        <w:tc>
          <w:tcPr>
            <w:tcW w:w="703" w:type="dxa"/>
            <w:tcBorders>
              <w:top w:val="nil"/>
              <w:left w:val="nil"/>
              <w:bottom w:val="nil"/>
              <w:right w:val="nil"/>
            </w:tcBorders>
            <w:shd w:val="clear" w:color="auto" w:fill="auto"/>
            <w:noWrap/>
            <w:vAlign w:val="center"/>
            <w:hideMark/>
          </w:tcPr>
          <w:p w14:paraId="41BCCF40"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18,49</w:t>
            </w:r>
          </w:p>
        </w:tc>
        <w:tc>
          <w:tcPr>
            <w:tcW w:w="703" w:type="dxa"/>
            <w:tcBorders>
              <w:top w:val="nil"/>
              <w:left w:val="nil"/>
              <w:bottom w:val="nil"/>
              <w:right w:val="nil"/>
            </w:tcBorders>
            <w:shd w:val="clear" w:color="auto" w:fill="auto"/>
            <w:noWrap/>
            <w:vAlign w:val="center"/>
            <w:hideMark/>
          </w:tcPr>
          <w:p w14:paraId="0367B16E"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20,20</w:t>
            </w:r>
          </w:p>
        </w:tc>
        <w:tc>
          <w:tcPr>
            <w:tcW w:w="703" w:type="dxa"/>
            <w:tcBorders>
              <w:top w:val="nil"/>
              <w:left w:val="nil"/>
              <w:bottom w:val="nil"/>
              <w:right w:val="nil"/>
            </w:tcBorders>
            <w:shd w:val="clear" w:color="000000" w:fill="FFFFFF"/>
            <w:noWrap/>
            <w:vAlign w:val="center"/>
            <w:hideMark/>
          </w:tcPr>
          <w:p w14:paraId="3C0E8102"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21,54</w:t>
            </w:r>
          </w:p>
        </w:tc>
        <w:tc>
          <w:tcPr>
            <w:tcW w:w="703" w:type="dxa"/>
            <w:tcBorders>
              <w:top w:val="nil"/>
              <w:left w:val="nil"/>
              <w:bottom w:val="nil"/>
              <w:right w:val="nil"/>
            </w:tcBorders>
            <w:shd w:val="clear" w:color="auto" w:fill="auto"/>
            <w:noWrap/>
            <w:vAlign w:val="center"/>
            <w:hideMark/>
          </w:tcPr>
          <w:p w14:paraId="1377FE79"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19,72</w:t>
            </w:r>
          </w:p>
        </w:tc>
      </w:tr>
      <w:tr w:rsidR="002273A1" w:rsidRPr="002273A1" w14:paraId="687959B8" w14:textId="77777777" w:rsidTr="002273A1">
        <w:trPr>
          <w:trHeight w:val="285"/>
        </w:trPr>
        <w:tc>
          <w:tcPr>
            <w:tcW w:w="1934" w:type="dxa"/>
            <w:tcBorders>
              <w:top w:val="nil"/>
              <w:left w:val="nil"/>
              <w:bottom w:val="nil"/>
              <w:right w:val="nil"/>
            </w:tcBorders>
            <w:shd w:val="clear" w:color="auto" w:fill="auto"/>
            <w:noWrap/>
            <w:vAlign w:val="center"/>
            <w:hideMark/>
          </w:tcPr>
          <w:p w14:paraId="6D2C4627"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Olomoucký kraj</w:t>
            </w:r>
          </w:p>
        </w:tc>
        <w:tc>
          <w:tcPr>
            <w:tcW w:w="703" w:type="dxa"/>
            <w:tcBorders>
              <w:top w:val="nil"/>
              <w:left w:val="nil"/>
              <w:bottom w:val="nil"/>
              <w:right w:val="nil"/>
            </w:tcBorders>
            <w:shd w:val="clear" w:color="auto" w:fill="auto"/>
            <w:noWrap/>
            <w:vAlign w:val="center"/>
            <w:hideMark/>
          </w:tcPr>
          <w:p w14:paraId="568C47B8" w14:textId="77777777" w:rsidR="002273A1" w:rsidRPr="002273A1" w:rsidRDefault="002273A1" w:rsidP="002273A1">
            <w:pPr>
              <w:spacing w:after="0" w:line="240" w:lineRule="auto"/>
              <w:jc w:val="right"/>
              <w:rPr>
                <w:rFonts w:cs="Arial"/>
                <w:sz w:val="16"/>
                <w:szCs w:val="16"/>
              </w:rPr>
            </w:pPr>
            <w:r w:rsidRPr="002273A1">
              <w:rPr>
                <w:rFonts w:cs="Arial"/>
                <w:sz w:val="16"/>
                <w:szCs w:val="16"/>
              </w:rPr>
              <w:t>16,58</w:t>
            </w:r>
          </w:p>
        </w:tc>
        <w:tc>
          <w:tcPr>
            <w:tcW w:w="703" w:type="dxa"/>
            <w:tcBorders>
              <w:top w:val="nil"/>
              <w:left w:val="nil"/>
              <w:bottom w:val="nil"/>
              <w:right w:val="nil"/>
            </w:tcBorders>
            <w:shd w:val="clear" w:color="auto" w:fill="auto"/>
            <w:noWrap/>
            <w:vAlign w:val="center"/>
            <w:hideMark/>
          </w:tcPr>
          <w:p w14:paraId="5EA839EE" w14:textId="77777777" w:rsidR="002273A1" w:rsidRPr="002273A1" w:rsidRDefault="002273A1" w:rsidP="002273A1">
            <w:pPr>
              <w:spacing w:after="0" w:line="240" w:lineRule="auto"/>
              <w:jc w:val="right"/>
              <w:rPr>
                <w:rFonts w:cs="Arial"/>
                <w:sz w:val="16"/>
                <w:szCs w:val="16"/>
              </w:rPr>
            </w:pPr>
            <w:r w:rsidRPr="002273A1">
              <w:rPr>
                <w:rFonts w:cs="Arial"/>
                <w:sz w:val="16"/>
                <w:szCs w:val="16"/>
              </w:rPr>
              <w:t>15,46</w:t>
            </w:r>
          </w:p>
        </w:tc>
        <w:tc>
          <w:tcPr>
            <w:tcW w:w="703" w:type="dxa"/>
            <w:tcBorders>
              <w:top w:val="nil"/>
              <w:left w:val="nil"/>
              <w:bottom w:val="nil"/>
              <w:right w:val="nil"/>
            </w:tcBorders>
            <w:shd w:val="clear" w:color="auto" w:fill="auto"/>
            <w:noWrap/>
            <w:vAlign w:val="center"/>
            <w:hideMark/>
          </w:tcPr>
          <w:p w14:paraId="76C3425D" w14:textId="77777777" w:rsidR="002273A1" w:rsidRPr="002273A1" w:rsidRDefault="002273A1" w:rsidP="002273A1">
            <w:pPr>
              <w:spacing w:after="0" w:line="240" w:lineRule="auto"/>
              <w:jc w:val="right"/>
              <w:rPr>
                <w:rFonts w:cs="Arial"/>
                <w:sz w:val="16"/>
                <w:szCs w:val="16"/>
              </w:rPr>
            </w:pPr>
            <w:r w:rsidRPr="002273A1">
              <w:rPr>
                <w:rFonts w:cs="Arial"/>
                <w:sz w:val="16"/>
                <w:szCs w:val="16"/>
              </w:rPr>
              <w:t>15,20</w:t>
            </w:r>
          </w:p>
        </w:tc>
        <w:tc>
          <w:tcPr>
            <w:tcW w:w="703" w:type="dxa"/>
            <w:tcBorders>
              <w:top w:val="nil"/>
              <w:left w:val="nil"/>
              <w:bottom w:val="nil"/>
              <w:right w:val="nil"/>
            </w:tcBorders>
            <w:shd w:val="clear" w:color="auto" w:fill="auto"/>
            <w:noWrap/>
            <w:vAlign w:val="center"/>
            <w:hideMark/>
          </w:tcPr>
          <w:p w14:paraId="3BD5E0FF" w14:textId="77777777" w:rsidR="002273A1" w:rsidRPr="002273A1" w:rsidRDefault="002273A1" w:rsidP="002273A1">
            <w:pPr>
              <w:spacing w:after="0" w:line="240" w:lineRule="auto"/>
              <w:jc w:val="right"/>
              <w:rPr>
                <w:rFonts w:cs="Arial"/>
                <w:sz w:val="16"/>
                <w:szCs w:val="16"/>
              </w:rPr>
            </w:pPr>
            <w:r w:rsidRPr="002273A1">
              <w:rPr>
                <w:rFonts w:cs="Arial"/>
                <w:sz w:val="16"/>
                <w:szCs w:val="16"/>
              </w:rPr>
              <w:t>13,02</w:t>
            </w:r>
          </w:p>
        </w:tc>
        <w:tc>
          <w:tcPr>
            <w:tcW w:w="703" w:type="dxa"/>
            <w:tcBorders>
              <w:top w:val="nil"/>
              <w:left w:val="nil"/>
              <w:bottom w:val="nil"/>
              <w:right w:val="nil"/>
            </w:tcBorders>
            <w:shd w:val="clear" w:color="auto" w:fill="auto"/>
            <w:noWrap/>
            <w:vAlign w:val="center"/>
            <w:hideMark/>
          </w:tcPr>
          <w:p w14:paraId="1725702E" w14:textId="77777777" w:rsidR="002273A1" w:rsidRPr="002273A1" w:rsidRDefault="002273A1" w:rsidP="002273A1">
            <w:pPr>
              <w:spacing w:after="0" w:line="240" w:lineRule="auto"/>
              <w:jc w:val="right"/>
              <w:rPr>
                <w:rFonts w:cs="Arial"/>
                <w:sz w:val="16"/>
                <w:szCs w:val="16"/>
              </w:rPr>
            </w:pPr>
            <w:r w:rsidRPr="002273A1">
              <w:rPr>
                <w:rFonts w:cs="Arial"/>
                <w:sz w:val="16"/>
                <w:szCs w:val="16"/>
              </w:rPr>
              <w:t>15,89</w:t>
            </w:r>
          </w:p>
        </w:tc>
        <w:tc>
          <w:tcPr>
            <w:tcW w:w="703" w:type="dxa"/>
            <w:tcBorders>
              <w:top w:val="nil"/>
              <w:left w:val="nil"/>
              <w:bottom w:val="nil"/>
              <w:right w:val="nil"/>
            </w:tcBorders>
            <w:shd w:val="clear" w:color="auto" w:fill="auto"/>
            <w:noWrap/>
            <w:vAlign w:val="center"/>
            <w:hideMark/>
          </w:tcPr>
          <w:p w14:paraId="124D4A83" w14:textId="77777777" w:rsidR="002273A1" w:rsidRPr="002273A1" w:rsidRDefault="002273A1" w:rsidP="002273A1">
            <w:pPr>
              <w:spacing w:after="0" w:line="240" w:lineRule="auto"/>
              <w:jc w:val="right"/>
              <w:rPr>
                <w:rFonts w:cs="Arial"/>
                <w:sz w:val="16"/>
                <w:szCs w:val="16"/>
              </w:rPr>
            </w:pPr>
            <w:r w:rsidRPr="002273A1">
              <w:rPr>
                <w:rFonts w:cs="Arial"/>
                <w:sz w:val="16"/>
                <w:szCs w:val="16"/>
              </w:rPr>
              <w:t>13,54</w:t>
            </w:r>
          </w:p>
        </w:tc>
        <w:tc>
          <w:tcPr>
            <w:tcW w:w="696" w:type="dxa"/>
            <w:tcBorders>
              <w:top w:val="nil"/>
              <w:left w:val="nil"/>
              <w:bottom w:val="nil"/>
              <w:right w:val="nil"/>
            </w:tcBorders>
            <w:shd w:val="clear" w:color="auto" w:fill="auto"/>
            <w:noWrap/>
            <w:vAlign w:val="center"/>
            <w:hideMark/>
          </w:tcPr>
          <w:p w14:paraId="3A30471A" w14:textId="057BCDEC" w:rsidR="002273A1" w:rsidRPr="002273A1" w:rsidRDefault="002273A1" w:rsidP="002273A1">
            <w:pPr>
              <w:spacing w:after="0" w:line="240" w:lineRule="auto"/>
              <w:jc w:val="right"/>
              <w:rPr>
                <w:rFonts w:cs="Arial"/>
                <w:sz w:val="16"/>
                <w:szCs w:val="16"/>
              </w:rPr>
            </w:pPr>
            <w:r w:rsidRPr="002273A1">
              <w:rPr>
                <w:rFonts w:cs="Arial"/>
                <w:sz w:val="16"/>
                <w:szCs w:val="16"/>
              </w:rPr>
              <w:t>18,6</w:t>
            </w:r>
            <w:r w:rsidR="009A4127">
              <w:rPr>
                <w:rFonts w:cs="Arial"/>
                <w:sz w:val="16"/>
                <w:szCs w:val="16"/>
              </w:rPr>
              <w:t>2</w:t>
            </w:r>
          </w:p>
        </w:tc>
        <w:tc>
          <w:tcPr>
            <w:tcW w:w="703" w:type="dxa"/>
            <w:tcBorders>
              <w:top w:val="nil"/>
              <w:left w:val="nil"/>
              <w:bottom w:val="nil"/>
              <w:right w:val="nil"/>
            </w:tcBorders>
            <w:shd w:val="clear" w:color="auto" w:fill="auto"/>
            <w:noWrap/>
            <w:vAlign w:val="center"/>
            <w:hideMark/>
          </w:tcPr>
          <w:p w14:paraId="69247D2B"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18,52</w:t>
            </w:r>
          </w:p>
        </w:tc>
        <w:tc>
          <w:tcPr>
            <w:tcW w:w="703" w:type="dxa"/>
            <w:tcBorders>
              <w:top w:val="nil"/>
              <w:left w:val="nil"/>
              <w:bottom w:val="nil"/>
              <w:right w:val="nil"/>
            </w:tcBorders>
            <w:shd w:val="clear" w:color="auto" w:fill="auto"/>
            <w:noWrap/>
            <w:vAlign w:val="center"/>
            <w:hideMark/>
          </w:tcPr>
          <w:p w14:paraId="37E2DAD3"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19,90</w:t>
            </w:r>
          </w:p>
        </w:tc>
        <w:tc>
          <w:tcPr>
            <w:tcW w:w="703" w:type="dxa"/>
            <w:tcBorders>
              <w:top w:val="nil"/>
              <w:left w:val="nil"/>
              <w:bottom w:val="nil"/>
              <w:right w:val="nil"/>
            </w:tcBorders>
            <w:shd w:val="clear" w:color="000000" w:fill="FFFFFF"/>
            <w:noWrap/>
            <w:vAlign w:val="center"/>
            <w:hideMark/>
          </w:tcPr>
          <w:p w14:paraId="14F1A254"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21,42</w:t>
            </w:r>
          </w:p>
        </w:tc>
        <w:tc>
          <w:tcPr>
            <w:tcW w:w="703" w:type="dxa"/>
            <w:tcBorders>
              <w:top w:val="nil"/>
              <w:left w:val="nil"/>
              <w:bottom w:val="nil"/>
              <w:right w:val="nil"/>
            </w:tcBorders>
            <w:shd w:val="clear" w:color="auto" w:fill="auto"/>
            <w:noWrap/>
            <w:vAlign w:val="center"/>
            <w:hideMark/>
          </w:tcPr>
          <w:p w14:paraId="14ED238B"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20,26</w:t>
            </w:r>
          </w:p>
        </w:tc>
      </w:tr>
      <w:tr w:rsidR="002273A1" w:rsidRPr="002273A1" w14:paraId="3D860962" w14:textId="77777777" w:rsidTr="002273A1">
        <w:trPr>
          <w:trHeight w:val="285"/>
        </w:trPr>
        <w:tc>
          <w:tcPr>
            <w:tcW w:w="1934" w:type="dxa"/>
            <w:tcBorders>
              <w:top w:val="nil"/>
              <w:left w:val="nil"/>
              <w:bottom w:val="nil"/>
              <w:right w:val="nil"/>
            </w:tcBorders>
            <w:shd w:val="clear" w:color="auto" w:fill="auto"/>
            <w:noWrap/>
            <w:vAlign w:val="center"/>
            <w:hideMark/>
          </w:tcPr>
          <w:p w14:paraId="1273D9F6"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Zlínský kraj</w:t>
            </w:r>
          </w:p>
        </w:tc>
        <w:tc>
          <w:tcPr>
            <w:tcW w:w="703" w:type="dxa"/>
            <w:tcBorders>
              <w:top w:val="nil"/>
              <w:left w:val="nil"/>
              <w:bottom w:val="nil"/>
              <w:right w:val="nil"/>
            </w:tcBorders>
            <w:shd w:val="clear" w:color="auto" w:fill="auto"/>
            <w:noWrap/>
            <w:vAlign w:val="center"/>
            <w:hideMark/>
          </w:tcPr>
          <w:p w14:paraId="017D7E59" w14:textId="77777777" w:rsidR="002273A1" w:rsidRPr="002273A1" w:rsidRDefault="002273A1" w:rsidP="002273A1">
            <w:pPr>
              <w:spacing w:after="0" w:line="240" w:lineRule="auto"/>
              <w:jc w:val="right"/>
              <w:rPr>
                <w:rFonts w:cs="Arial"/>
                <w:sz w:val="16"/>
                <w:szCs w:val="16"/>
              </w:rPr>
            </w:pPr>
            <w:r w:rsidRPr="002273A1">
              <w:rPr>
                <w:rFonts w:cs="Arial"/>
                <w:sz w:val="16"/>
                <w:szCs w:val="16"/>
              </w:rPr>
              <w:t>17,43</w:t>
            </w:r>
          </w:p>
        </w:tc>
        <w:tc>
          <w:tcPr>
            <w:tcW w:w="703" w:type="dxa"/>
            <w:tcBorders>
              <w:top w:val="nil"/>
              <w:left w:val="nil"/>
              <w:bottom w:val="nil"/>
              <w:right w:val="nil"/>
            </w:tcBorders>
            <w:shd w:val="clear" w:color="auto" w:fill="auto"/>
            <w:noWrap/>
            <w:vAlign w:val="center"/>
            <w:hideMark/>
          </w:tcPr>
          <w:p w14:paraId="4664D6DA" w14:textId="77777777" w:rsidR="002273A1" w:rsidRPr="002273A1" w:rsidRDefault="002273A1" w:rsidP="002273A1">
            <w:pPr>
              <w:spacing w:after="0" w:line="240" w:lineRule="auto"/>
              <w:jc w:val="right"/>
              <w:rPr>
                <w:rFonts w:cs="Arial"/>
                <w:sz w:val="16"/>
                <w:szCs w:val="16"/>
              </w:rPr>
            </w:pPr>
            <w:r w:rsidRPr="002273A1">
              <w:rPr>
                <w:rFonts w:cs="Arial"/>
                <w:sz w:val="16"/>
                <w:szCs w:val="16"/>
              </w:rPr>
              <w:t>16,53</w:t>
            </w:r>
          </w:p>
        </w:tc>
        <w:tc>
          <w:tcPr>
            <w:tcW w:w="703" w:type="dxa"/>
            <w:tcBorders>
              <w:top w:val="nil"/>
              <w:left w:val="nil"/>
              <w:bottom w:val="nil"/>
              <w:right w:val="nil"/>
            </w:tcBorders>
            <w:shd w:val="clear" w:color="auto" w:fill="auto"/>
            <w:noWrap/>
            <w:vAlign w:val="center"/>
            <w:hideMark/>
          </w:tcPr>
          <w:p w14:paraId="25933DB8" w14:textId="77777777" w:rsidR="002273A1" w:rsidRPr="002273A1" w:rsidRDefault="002273A1" w:rsidP="002273A1">
            <w:pPr>
              <w:spacing w:after="0" w:line="240" w:lineRule="auto"/>
              <w:jc w:val="right"/>
              <w:rPr>
                <w:rFonts w:cs="Arial"/>
                <w:sz w:val="16"/>
                <w:szCs w:val="16"/>
              </w:rPr>
            </w:pPr>
            <w:r w:rsidRPr="002273A1">
              <w:rPr>
                <w:rFonts w:cs="Arial"/>
                <w:sz w:val="16"/>
                <w:szCs w:val="16"/>
              </w:rPr>
              <w:t>16,63</w:t>
            </w:r>
          </w:p>
        </w:tc>
        <w:tc>
          <w:tcPr>
            <w:tcW w:w="703" w:type="dxa"/>
            <w:tcBorders>
              <w:top w:val="nil"/>
              <w:left w:val="nil"/>
              <w:bottom w:val="nil"/>
              <w:right w:val="nil"/>
            </w:tcBorders>
            <w:shd w:val="clear" w:color="auto" w:fill="auto"/>
            <w:noWrap/>
            <w:vAlign w:val="center"/>
            <w:hideMark/>
          </w:tcPr>
          <w:p w14:paraId="1CB37697" w14:textId="77777777" w:rsidR="002273A1" w:rsidRPr="002273A1" w:rsidRDefault="002273A1" w:rsidP="002273A1">
            <w:pPr>
              <w:spacing w:after="0" w:line="240" w:lineRule="auto"/>
              <w:jc w:val="right"/>
              <w:rPr>
                <w:rFonts w:cs="Arial"/>
                <w:sz w:val="16"/>
                <w:szCs w:val="16"/>
              </w:rPr>
            </w:pPr>
            <w:r w:rsidRPr="002273A1">
              <w:rPr>
                <w:rFonts w:cs="Arial"/>
                <w:sz w:val="16"/>
                <w:szCs w:val="16"/>
              </w:rPr>
              <w:t>14,31</w:t>
            </w:r>
          </w:p>
        </w:tc>
        <w:tc>
          <w:tcPr>
            <w:tcW w:w="703" w:type="dxa"/>
            <w:tcBorders>
              <w:top w:val="nil"/>
              <w:left w:val="nil"/>
              <w:bottom w:val="nil"/>
              <w:right w:val="nil"/>
            </w:tcBorders>
            <w:shd w:val="clear" w:color="auto" w:fill="auto"/>
            <w:noWrap/>
            <w:vAlign w:val="center"/>
            <w:hideMark/>
          </w:tcPr>
          <w:p w14:paraId="2BD941EB" w14:textId="77777777" w:rsidR="002273A1" w:rsidRPr="002273A1" w:rsidRDefault="002273A1" w:rsidP="002273A1">
            <w:pPr>
              <w:spacing w:after="0" w:line="240" w:lineRule="auto"/>
              <w:jc w:val="right"/>
              <w:rPr>
                <w:rFonts w:cs="Arial"/>
                <w:sz w:val="16"/>
                <w:szCs w:val="16"/>
              </w:rPr>
            </w:pPr>
            <w:r w:rsidRPr="002273A1">
              <w:rPr>
                <w:rFonts w:cs="Arial"/>
                <w:sz w:val="16"/>
                <w:szCs w:val="16"/>
              </w:rPr>
              <w:t>17,40</w:t>
            </w:r>
          </w:p>
        </w:tc>
        <w:tc>
          <w:tcPr>
            <w:tcW w:w="703" w:type="dxa"/>
            <w:tcBorders>
              <w:top w:val="nil"/>
              <w:left w:val="nil"/>
              <w:bottom w:val="nil"/>
              <w:right w:val="nil"/>
            </w:tcBorders>
            <w:shd w:val="clear" w:color="auto" w:fill="auto"/>
            <w:noWrap/>
            <w:vAlign w:val="center"/>
            <w:hideMark/>
          </w:tcPr>
          <w:p w14:paraId="48C29DA7" w14:textId="77777777" w:rsidR="002273A1" w:rsidRPr="002273A1" w:rsidRDefault="002273A1" w:rsidP="002273A1">
            <w:pPr>
              <w:spacing w:after="0" w:line="240" w:lineRule="auto"/>
              <w:jc w:val="right"/>
              <w:rPr>
                <w:rFonts w:cs="Arial"/>
                <w:sz w:val="16"/>
                <w:szCs w:val="16"/>
              </w:rPr>
            </w:pPr>
            <w:r w:rsidRPr="002273A1">
              <w:rPr>
                <w:rFonts w:cs="Arial"/>
                <w:sz w:val="16"/>
                <w:szCs w:val="16"/>
              </w:rPr>
              <w:t>14,72</w:t>
            </w:r>
          </w:p>
        </w:tc>
        <w:tc>
          <w:tcPr>
            <w:tcW w:w="696" w:type="dxa"/>
            <w:tcBorders>
              <w:top w:val="nil"/>
              <w:left w:val="nil"/>
              <w:bottom w:val="nil"/>
              <w:right w:val="nil"/>
            </w:tcBorders>
            <w:shd w:val="clear" w:color="auto" w:fill="auto"/>
            <w:noWrap/>
            <w:vAlign w:val="center"/>
            <w:hideMark/>
          </w:tcPr>
          <w:p w14:paraId="6D26DBDE" w14:textId="4F5CEF14" w:rsidR="002273A1" w:rsidRPr="002273A1" w:rsidRDefault="002273A1" w:rsidP="002273A1">
            <w:pPr>
              <w:spacing w:after="0" w:line="240" w:lineRule="auto"/>
              <w:jc w:val="right"/>
              <w:rPr>
                <w:rFonts w:cs="Arial"/>
                <w:sz w:val="16"/>
                <w:szCs w:val="16"/>
              </w:rPr>
            </w:pPr>
            <w:r w:rsidRPr="002273A1">
              <w:rPr>
                <w:rFonts w:cs="Arial"/>
                <w:sz w:val="16"/>
                <w:szCs w:val="16"/>
              </w:rPr>
              <w:t>20,4</w:t>
            </w:r>
            <w:r w:rsidR="009A4127">
              <w:rPr>
                <w:rFonts w:cs="Arial"/>
                <w:sz w:val="16"/>
                <w:szCs w:val="16"/>
              </w:rPr>
              <w:t>1</w:t>
            </w:r>
          </w:p>
        </w:tc>
        <w:tc>
          <w:tcPr>
            <w:tcW w:w="703" w:type="dxa"/>
            <w:tcBorders>
              <w:top w:val="nil"/>
              <w:left w:val="nil"/>
              <w:bottom w:val="nil"/>
              <w:right w:val="nil"/>
            </w:tcBorders>
            <w:shd w:val="clear" w:color="auto" w:fill="auto"/>
            <w:noWrap/>
            <w:vAlign w:val="center"/>
            <w:hideMark/>
          </w:tcPr>
          <w:p w14:paraId="06CDC971"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19,69</w:t>
            </w:r>
          </w:p>
        </w:tc>
        <w:tc>
          <w:tcPr>
            <w:tcW w:w="703" w:type="dxa"/>
            <w:tcBorders>
              <w:top w:val="nil"/>
              <w:left w:val="nil"/>
              <w:bottom w:val="nil"/>
              <w:right w:val="nil"/>
            </w:tcBorders>
            <w:shd w:val="clear" w:color="auto" w:fill="auto"/>
            <w:noWrap/>
            <w:vAlign w:val="center"/>
            <w:hideMark/>
          </w:tcPr>
          <w:p w14:paraId="1FB595D9"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21,34</w:t>
            </w:r>
          </w:p>
        </w:tc>
        <w:tc>
          <w:tcPr>
            <w:tcW w:w="703" w:type="dxa"/>
            <w:tcBorders>
              <w:top w:val="nil"/>
              <w:left w:val="nil"/>
              <w:bottom w:val="nil"/>
              <w:right w:val="nil"/>
            </w:tcBorders>
            <w:shd w:val="clear" w:color="000000" w:fill="FFFFFF"/>
            <w:noWrap/>
            <w:vAlign w:val="center"/>
            <w:hideMark/>
          </w:tcPr>
          <w:p w14:paraId="1442563D"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22,11</w:t>
            </w:r>
          </w:p>
        </w:tc>
        <w:tc>
          <w:tcPr>
            <w:tcW w:w="703" w:type="dxa"/>
            <w:tcBorders>
              <w:top w:val="nil"/>
              <w:left w:val="nil"/>
              <w:bottom w:val="nil"/>
              <w:right w:val="nil"/>
            </w:tcBorders>
            <w:shd w:val="clear" w:color="auto" w:fill="auto"/>
            <w:noWrap/>
            <w:vAlign w:val="center"/>
            <w:hideMark/>
          </w:tcPr>
          <w:p w14:paraId="4FF322AC"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21,34</w:t>
            </w:r>
          </w:p>
        </w:tc>
      </w:tr>
      <w:tr w:rsidR="002273A1" w:rsidRPr="002273A1" w14:paraId="7942BDCC" w14:textId="77777777" w:rsidTr="002273A1">
        <w:trPr>
          <w:trHeight w:val="285"/>
        </w:trPr>
        <w:tc>
          <w:tcPr>
            <w:tcW w:w="1934" w:type="dxa"/>
            <w:tcBorders>
              <w:top w:val="nil"/>
              <w:left w:val="nil"/>
              <w:bottom w:val="nil"/>
              <w:right w:val="nil"/>
            </w:tcBorders>
            <w:shd w:val="clear" w:color="auto" w:fill="auto"/>
            <w:noWrap/>
            <w:vAlign w:val="center"/>
            <w:hideMark/>
          </w:tcPr>
          <w:p w14:paraId="5A22D9D4"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Moravskoslezský kraj</w:t>
            </w:r>
          </w:p>
        </w:tc>
        <w:tc>
          <w:tcPr>
            <w:tcW w:w="703" w:type="dxa"/>
            <w:tcBorders>
              <w:top w:val="nil"/>
              <w:left w:val="nil"/>
              <w:bottom w:val="nil"/>
              <w:right w:val="nil"/>
            </w:tcBorders>
            <w:shd w:val="clear" w:color="auto" w:fill="auto"/>
            <w:noWrap/>
            <w:vAlign w:val="center"/>
            <w:hideMark/>
          </w:tcPr>
          <w:p w14:paraId="060B8312" w14:textId="77777777" w:rsidR="002273A1" w:rsidRPr="002273A1" w:rsidRDefault="002273A1" w:rsidP="002273A1">
            <w:pPr>
              <w:spacing w:after="0" w:line="240" w:lineRule="auto"/>
              <w:jc w:val="right"/>
              <w:rPr>
                <w:rFonts w:cs="Arial"/>
                <w:sz w:val="16"/>
                <w:szCs w:val="16"/>
              </w:rPr>
            </w:pPr>
            <w:r w:rsidRPr="002273A1">
              <w:rPr>
                <w:rFonts w:cs="Arial"/>
                <w:sz w:val="16"/>
                <w:szCs w:val="16"/>
              </w:rPr>
              <w:t>17,34</w:t>
            </w:r>
          </w:p>
        </w:tc>
        <w:tc>
          <w:tcPr>
            <w:tcW w:w="703" w:type="dxa"/>
            <w:tcBorders>
              <w:top w:val="nil"/>
              <w:left w:val="nil"/>
              <w:bottom w:val="nil"/>
              <w:right w:val="nil"/>
            </w:tcBorders>
            <w:shd w:val="clear" w:color="auto" w:fill="auto"/>
            <w:noWrap/>
            <w:vAlign w:val="center"/>
            <w:hideMark/>
          </w:tcPr>
          <w:p w14:paraId="02AFEFFB" w14:textId="77777777" w:rsidR="002273A1" w:rsidRPr="002273A1" w:rsidRDefault="002273A1" w:rsidP="002273A1">
            <w:pPr>
              <w:spacing w:after="0" w:line="240" w:lineRule="auto"/>
              <w:jc w:val="right"/>
              <w:rPr>
                <w:rFonts w:cs="Arial"/>
                <w:sz w:val="16"/>
                <w:szCs w:val="16"/>
              </w:rPr>
            </w:pPr>
            <w:r w:rsidRPr="002273A1">
              <w:rPr>
                <w:rFonts w:cs="Arial"/>
                <w:sz w:val="16"/>
                <w:szCs w:val="16"/>
              </w:rPr>
              <w:t>17,10</w:t>
            </w:r>
          </w:p>
        </w:tc>
        <w:tc>
          <w:tcPr>
            <w:tcW w:w="703" w:type="dxa"/>
            <w:tcBorders>
              <w:top w:val="nil"/>
              <w:left w:val="nil"/>
              <w:bottom w:val="nil"/>
              <w:right w:val="nil"/>
            </w:tcBorders>
            <w:shd w:val="clear" w:color="auto" w:fill="auto"/>
            <w:noWrap/>
            <w:vAlign w:val="center"/>
            <w:hideMark/>
          </w:tcPr>
          <w:p w14:paraId="32962AA1" w14:textId="77777777" w:rsidR="002273A1" w:rsidRPr="002273A1" w:rsidRDefault="002273A1" w:rsidP="002273A1">
            <w:pPr>
              <w:spacing w:after="0" w:line="240" w:lineRule="auto"/>
              <w:jc w:val="right"/>
              <w:rPr>
                <w:rFonts w:cs="Arial"/>
                <w:sz w:val="16"/>
                <w:szCs w:val="16"/>
              </w:rPr>
            </w:pPr>
            <w:r w:rsidRPr="002273A1">
              <w:rPr>
                <w:rFonts w:cs="Arial"/>
                <w:sz w:val="16"/>
                <w:szCs w:val="16"/>
              </w:rPr>
              <w:t>17,69</w:t>
            </w:r>
          </w:p>
        </w:tc>
        <w:tc>
          <w:tcPr>
            <w:tcW w:w="703" w:type="dxa"/>
            <w:tcBorders>
              <w:top w:val="nil"/>
              <w:left w:val="nil"/>
              <w:bottom w:val="nil"/>
              <w:right w:val="nil"/>
            </w:tcBorders>
            <w:shd w:val="clear" w:color="auto" w:fill="auto"/>
            <w:noWrap/>
            <w:vAlign w:val="center"/>
            <w:hideMark/>
          </w:tcPr>
          <w:p w14:paraId="45EE300B" w14:textId="77777777" w:rsidR="002273A1" w:rsidRPr="002273A1" w:rsidRDefault="002273A1" w:rsidP="002273A1">
            <w:pPr>
              <w:spacing w:after="0" w:line="240" w:lineRule="auto"/>
              <w:jc w:val="right"/>
              <w:rPr>
                <w:rFonts w:cs="Arial"/>
                <w:sz w:val="16"/>
                <w:szCs w:val="16"/>
              </w:rPr>
            </w:pPr>
            <w:r w:rsidRPr="002273A1">
              <w:rPr>
                <w:rFonts w:cs="Arial"/>
                <w:sz w:val="16"/>
                <w:szCs w:val="16"/>
              </w:rPr>
              <w:t>14,82</w:t>
            </w:r>
          </w:p>
        </w:tc>
        <w:tc>
          <w:tcPr>
            <w:tcW w:w="703" w:type="dxa"/>
            <w:tcBorders>
              <w:top w:val="nil"/>
              <w:left w:val="nil"/>
              <w:bottom w:val="nil"/>
              <w:right w:val="nil"/>
            </w:tcBorders>
            <w:shd w:val="clear" w:color="auto" w:fill="auto"/>
            <w:noWrap/>
            <w:vAlign w:val="center"/>
            <w:hideMark/>
          </w:tcPr>
          <w:p w14:paraId="5DB5E066" w14:textId="77777777" w:rsidR="002273A1" w:rsidRPr="002273A1" w:rsidRDefault="002273A1" w:rsidP="002273A1">
            <w:pPr>
              <w:spacing w:after="0" w:line="240" w:lineRule="auto"/>
              <w:jc w:val="right"/>
              <w:rPr>
                <w:rFonts w:cs="Arial"/>
                <w:sz w:val="16"/>
                <w:szCs w:val="16"/>
              </w:rPr>
            </w:pPr>
            <w:r w:rsidRPr="002273A1">
              <w:rPr>
                <w:rFonts w:cs="Arial"/>
                <w:sz w:val="16"/>
                <w:szCs w:val="16"/>
              </w:rPr>
              <w:t>17,94</w:t>
            </w:r>
          </w:p>
        </w:tc>
        <w:tc>
          <w:tcPr>
            <w:tcW w:w="703" w:type="dxa"/>
            <w:tcBorders>
              <w:top w:val="nil"/>
              <w:left w:val="nil"/>
              <w:bottom w:val="nil"/>
              <w:right w:val="nil"/>
            </w:tcBorders>
            <w:shd w:val="clear" w:color="auto" w:fill="auto"/>
            <w:noWrap/>
            <w:vAlign w:val="center"/>
            <w:hideMark/>
          </w:tcPr>
          <w:p w14:paraId="256E910F" w14:textId="77777777" w:rsidR="002273A1" w:rsidRPr="002273A1" w:rsidRDefault="002273A1" w:rsidP="002273A1">
            <w:pPr>
              <w:spacing w:after="0" w:line="240" w:lineRule="auto"/>
              <w:jc w:val="right"/>
              <w:rPr>
                <w:rFonts w:cs="Arial"/>
                <w:sz w:val="16"/>
                <w:szCs w:val="16"/>
              </w:rPr>
            </w:pPr>
            <w:r w:rsidRPr="002273A1">
              <w:rPr>
                <w:rFonts w:cs="Arial"/>
                <w:sz w:val="16"/>
                <w:szCs w:val="16"/>
              </w:rPr>
              <w:t>15,34</w:t>
            </w:r>
          </w:p>
        </w:tc>
        <w:tc>
          <w:tcPr>
            <w:tcW w:w="696" w:type="dxa"/>
            <w:tcBorders>
              <w:top w:val="nil"/>
              <w:left w:val="nil"/>
              <w:bottom w:val="nil"/>
              <w:right w:val="nil"/>
            </w:tcBorders>
            <w:shd w:val="clear" w:color="auto" w:fill="auto"/>
            <w:noWrap/>
            <w:vAlign w:val="center"/>
            <w:hideMark/>
          </w:tcPr>
          <w:p w14:paraId="1DBFA46C" w14:textId="286A0CBC" w:rsidR="002273A1" w:rsidRPr="002273A1" w:rsidRDefault="002273A1" w:rsidP="002273A1">
            <w:pPr>
              <w:spacing w:after="0" w:line="240" w:lineRule="auto"/>
              <w:jc w:val="right"/>
              <w:rPr>
                <w:rFonts w:cs="Arial"/>
                <w:sz w:val="16"/>
                <w:szCs w:val="16"/>
              </w:rPr>
            </w:pPr>
            <w:r w:rsidRPr="002273A1">
              <w:rPr>
                <w:rFonts w:cs="Arial"/>
                <w:sz w:val="16"/>
                <w:szCs w:val="16"/>
              </w:rPr>
              <w:t>20,0</w:t>
            </w:r>
            <w:r w:rsidR="009A4127">
              <w:rPr>
                <w:rFonts w:cs="Arial"/>
                <w:sz w:val="16"/>
                <w:szCs w:val="16"/>
              </w:rPr>
              <w:t>2</w:t>
            </w:r>
          </w:p>
        </w:tc>
        <w:tc>
          <w:tcPr>
            <w:tcW w:w="703" w:type="dxa"/>
            <w:tcBorders>
              <w:top w:val="nil"/>
              <w:left w:val="nil"/>
              <w:bottom w:val="nil"/>
              <w:right w:val="nil"/>
            </w:tcBorders>
            <w:shd w:val="clear" w:color="auto" w:fill="auto"/>
            <w:noWrap/>
            <w:vAlign w:val="center"/>
            <w:hideMark/>
          </w:tcPr>
          <w:p w14:paraId="5C139102"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20,18</w:t>
            </w:r>
          </w:p>
        </w:tc>
        <w:tc>
          <w:tcPr>
            <w:tcW w:w="703" w:type="dxa"/>
            <w:tcBorders>
              <w:top w:val="nil"/>
              <w:left w:val="nil"/>
              <w:bottom w:val="nil"/>
              <w:right w:val="nil"/>
            </w:tcBorders>
            <w:shd w:val="clear" w:color="auto" w:fill="auto"/>
            <w:noWrap/>
            <w:vAlign w:val="center"/>
            <w:hideMark/>
          </w:tcPr>
          <w:p w14:paraId="75AEE865"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21,47</w:t>
            </w:r>
          </w:p>
        </w:tc>
        <w:tc>
          <w:tcPr>
            <w:tcW w:w="703" w:type="dxa"/>
            <w:tcBorders>
              <w:top w:val="nil"/>
              <w:left w:val="nil"/>
              <w:bottom w:val="nil"/>
              <w:right w:val="nil"/>
            </w:tcBorders>
            <w:shd w:val="clear" w:color="000000" w:fill="FFFFFF"/>
            <w:noWrap/>
            <w:vAlign w:val="center"/>
            <w:hideMark/>
          </w:tcPr>
          <w:p w14:paraId="52164F65"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23,12</w:t>
            </w:r>
          </w:p>
        </w:tc>
        <w:tc>
          <w:tcPr>
            <w:tcW w:w="703" w:type="dxa"/>
            <w:tcBorders>
              <w:top w:val="nil"/>
              <w:left w:val="nil"/>
              <w:bottom w:val="nil"/>
              <w:right w:val="nil"/>
            </w:tcBorders>
            <w:shd w:val="clear" w:color="auto" w:fill="auto"/>
            <w:noWrap/>
            <w:vAlign w:val="center"/>
            <w:hideMark/>
          </w:tcPr>
          <w:p w14:paraId="3CF0B454"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22,04</w:t>
            </w:r>
          </w:p>
        </w:tc>
      </w:tr>
    </w:tbl>
    <w:p w14:paraId="515E63CD" w14:textId="2B53ACAD" w:rsidR="000D3D37" w:rsidRPr="00E5050F" w:rsidRDefault="000D3D37" w:rsidP="00017C11">
      <w:pPr>
        <w:spacing w:before="120"/>
        <w:jc w:val="both"/>
        <w:rPr>
          <w:rFonts w:cs="Arial"/>
          <w:sz w:val="16"/>
          <w:szCs w:val="16"/>
        </w:rPr>
      </w:pPr>
      <w:r w:rsidRPr="00E5050F">
        <w:rPr>
          <w:rFonts w:cs="Arial"/>
          <w:sz w:val="16"/>
          <w:szCs w:val="16"/>
        </w:rPr>
        <w:t>Zdroj: ČSÚ</w:t>
      </w:r>
    </w:p>
    <w:p w14:paraId="6221A458" w14:textId="32FED5AF" w:rsidR="0021605D" w:rsidRDefault="00B30F55" w:rsidP="00017C11">
      <w:pPr>
        <w:jc w:val="both"/>
        <w:rPr>
          <w:rFonts w:cs="Arial"/>
        </w:rPr>
      </w:pPr>
      <w:r>
        <w:rPr>
          <w:rFonts w:cs="Arial"/>
        </w:rPr>
        <w:t>Z </w:t>
      </w:r>
      <w:r w:rsidR="0090503A">
        <w:rPr>
          <w:rFonts w:cs="Arial"/>
        </w:rPr>
        <w:t>hlediska</w:t>
      </w:r>
      <w:r>
        <w:rPr>
          <w:rFonts w:cs="Arial"/>
        </w:rPr>
        <w:t xml:space="preserve"> </w:t>
      </w:r>
      <w:r w:rsidRPr="0090503A">
        <w:rPr>
          <w:rFonts w:cs="Arial"/>
          <w:b/>
        </w:rPr>
        <w:t>velikosti podniku</w:t>
      </w:r>
      <w:r>
        <w:rPr>
          <w:rFonts w:cs="Arial"/>
        </w:rPr>
        <w:t xml:space="preserve"> </w:t>
      </w:r>
      <w:r w:rsidR="0090503A">
        <w:rPr>
          <w:rFonts w:cs="Arial"/>
        </w:rPr>
        <w:t>bylo nejvíce případů pracovní neschopnosti za 1. pol. 2019 evidováno u</w:t>
      </w:r>
      <w:r w:rsidR="005A0510">
        <w:rPr>
          <w:rFonts w:cs="Arial"/>
        </w:rPr>
        <w:t> </w:t>
      </w:r>
      <w:r w:rsidR="0090503A">
        <w:rPr>
          <w:rFonts w:cs="Arial"/>
        </w:rPr>
        <w:t xml:space="preserve">největších firem s 500 a více zaměstnanci, které zaznamenaly </w:t>
      </w:r>
      <w:r w:rsidR="001C59CA">
        <w:rPr>
          <w:rFonts w:cs="Arial"/>
        </w:rPr>
        <w:t>349</w:t>
      </w:r>
      <w:r w:rsidR="0090503A">
        <w:rPr>
          <w:rFonts w:cs="Arial"/>
        </w:rPr>
        <w:t xml:space="preserve"> tis. případů pracovní</w:t>
      </w:r>
      <w:r w:rsidR="001C59CA">
        <w:rPr>
          <w:rFonts w:cs="Arial"/>
        </w:rPr>
        <w:t xml:space="preserve"> neschopnosti, což představuje 36</w:t>
      </w:r>
      <w:r w:rsidR="0090503A">
        <w:rPr>
          <w:rFonts w:cs="Arial"/>
        </w:rPr>
        <w:t xml:space="preserve">% </w:t>
      </w:r>
      <w:r w:rsidR="00061D62">
        <w:rPr>
          <w:rFonts w:cs="Arial"/>
        </w:rPr>
        <w:t xml:space="preserve">podíl </w:t>
      </w:r>
      <w:r w:rsidR="0090503A">
        <w:rPr>
          <w:rFonts w:cs="Arial"/>
        </w:rPr>
        <w:t>na republikové hodnotě.</w:t>
      </w:r>
      <w:r w:rsidR="001C59CA">
        <w:rPr>
          <w:rFonts w:cs="Arial"/>
        </w:rPr>
        <w:t xml:space="preserve"> Hned za nimi se však umístily firmy s méně než 50</w:t>
      </w:r>
      <w:r w:rsidR="00614C38">
        <w:rPr>
          <w:rFonts w:cs="Arial"/>
        </w:rPr>
        <w:t> </w:t>
      </w:r>
      <w:r w:rsidR="001C59CA">
        <w:rPr>
          <w:rFonts w:cs="Arial"/>
        </w:rPr>
        <w:t xml:space="preserve">zaměstnanci, které nahlásily </w:t>
      </w:r>
      <w:r w:rsidR="00893138">
        <w:rPr>
          <w:rFonts w:cs="Arial"/>
        </w:rPr>
        <w:t>251</w:t>
      </w:r>
      <w:r w:rsidR="001C59CA">
        <w:rPr>
          <w:rFonts w:cs="Arial"/>
        </w:rPr>
        <w:t xml:space="preserve"> tis. případů a tvořily tak čtvrtinu všech hlášení. V relativním pojetí při přepočtu na 100</w:t>
      </w:r>
      <w:r w:rsidR="005A0510">
        <w:rPr>
          <w:rFonts w:cs="Arial"/>
        </w:rPr>
        <w:t> </w:t>
      </w:r>
      <w:r w:rsidR="001C59CA">
        <w:rPr>
          <w:rFonts w:cs="Arial"/>
        </w:rPr>
        <w:t>pojištěnců vykazovaly firmy mající 50 a více zaměstnanců 23 případů. Méně případ</w:t>
      </w:r>
      <w:r w:rsidR="00893138">
        <w:rPr>
          <w:rFonts w:cs="Arial"/>
        </w:rPr>
        <w:t>ů</w:t>
      </w:r>
      <w:r w:rsidR="001C59CA">
        <w:rPr>
          <w:rFonts w:cs="Arial"/>
        </w:rPr>
        <w:t xml:space="preserve"> bylo zaznamenáno v podnicích s méně než 50 zaměstnanci, a sice 17 na 100 pojištěnců. A zcela nejméně případů hlásili OSVČ, konkrétně 7 na 100 OSVČ platících nemocenské pojištění.</w:t>
      </w:r>
    </w:p>
    <w:p w14:paraId="6786F2C0" w14:textId="0DCA3E7C" w:rsidR="000B07F0" w:rsidRPr="00017C11" w:rsidRDefault="000B07F0" w:rsidP="00017C11">
      <w:pPr>
        <w:jc w:val="both"/>
        <w:rPr>
          <w:rFonts w:cs="Arial"/>
        </w:rPr>
      </w:pPr>
      <w:r w:rsidRPr="000C10D7">
        <w:rPr>
          <w:rFonts w:cs="Arial"/>
        </w:rPr>
        <w:t xml:space="preserve">Dalším kritériem, podle kterého lze hodnotit pracovní neschopnost nemocensky pojištěných, je rozdělení na </w:t>
      </w:r>
      <w:r w:rsidRPr="000C10D7">
        <w:rPr>
          <w:rFonts w:cs="Arial"/>
          <w:b/>
        </w:rPr>
        <w:t>podniky domácí</w:t>
      </w:r>
      <w:r w:rsidRPr="000C10D7">
        <w:rPr>
          <w:rFonts w:cs="Arial"/>
        </w:rPr>
        <w:t xml:space="preserve"> a ty </w:t>
      </w:r>
      <w:r w:rsidRPr="000C10D7">
        <w:rPr>
          <w:rFonts w:cs="Arial"/>
          <w:b/>
        </w:rPr>
        <w:t>pod zahraniční kontrolou</w:t>
      </w:r>
      <w:r w:rsidRPr="000C10D7">
        <w:rPr>
          <w:rFonts w:cs="Arial"/>
        </w:rPr>
        <w:t xml:space="preserve">. Např. v nefinančních podnicích, které v 1. pol. 2019 zaměstnávali </w:t>
      </w:r>
      <w:r w:rsidR="00A51E70" w:rsidRPr="000C10D7">
        <w:rPr>
          <w:rFonts w:cs="Arial"/>
        </w:rPr>
        <w:t>70</w:t>
      </w:r>
      <w:r w:rsidRPr="000C10D7">
        <w:rPr>
          <w:rFonts w:cs="Arial"/>
        </w:rPr>
        <w:t xml:space="preserve"> % všech nemocensky pojištěných osob, zaměstnanci v podnicích pod zahraniční kontrolou hlásili častěji pracovní neschopnost (</w:t>
      </w:r>
      <w:r w:rsidR="00A51E70" w:rsidRPr="000C10D7">
        <w:rPr>
          <w:rFonts w:cs="Arial"/>
        </w:rPr>
        <w:t>25</w:t>
      </w:r>
      <w:r w:rsidRPr="000C10D7">
        <w:rPr>
          <w:rFonts w:cs="Arial"/>
        </w:rPr>
        <w:t xml:space="preserve"> případů na 100 nemocensky pojištěných), na rozdíl od </w:t>
      </w:r>
      <w:r w:rsidR="00893138">
        <w:rPr>
          <w:rFonts w:cs="Arial"/>
        </w:rPr>
        <w:t>zaměstnanců</w:t>
      </w:r>
      <w:r w:rsidRPr="000C10D7">
        <w:rPr>
          <w:rFonts w:cs="Arial"/>
        </w:rPr>
        <w:t xml:space="preserve"> v domácích podnicích (</w:t>
      </w:r>
      <w:r w:rsidR="00A51E70" w:rsidRPr="000C10D7">
        <w:rPr>
          <w:rFonts w:cs="Arial"/>
        </w:rPr>
        <w:t>19,5</w:t>
      </w:r>
      <w:r w:rsidRPr="000C10D7">
        <w:rPr>
          <w:rFonts w:cs="Arial"/>
        </w:rPr>
        <w:t xml:space="preserve"> nahlášených incidentů). Pracovní neschopnost zaměstnanců v domácích podnicích </w:t>
      </w:r>
      <w:r w:rsidR="000C10D7" w:rsidRPr="000C10D7">
        <w:rPr>
          <w:rFonts w:cs="Arial"/>
        </w:rPr>
        <w:t xml:space="preserve">však </w:t>
      </w:r>
      <w:r w:rsidRPr="000C10D7">
        <w:rPr>
          <w:rFonts w:cs="Arial"/>
        </w:rPr>
        <w:t xml:space="preserve">trvala v průměru o </w:t>
      </w:r>
      <w:r w:rsidR="00A51E70" w:rsidRPr="000C10D7">
        <w:rPr>
          <w:rFonts w:cs="Arial"/>
        </w:rPr>
        <w:t>7</w:t>
      </w:r>
      <w:r w:rsidRPr="000C10D7">
        <w:rPr>
          <w:rFonts w:cs="Arial"/>
        </w:rPr>
        <w:t xml:space="preserve"> dní déle (</w:t>
      </w:r>
      <w:r w:rsidR="00A51E70" w:rsidRPr="000C10D7">
        <w:rPr>
          <w:rFonts w:cs="Arial"/>
        </w:rPr>
        <w:t>46</w:t>
      </w:r>
      <w:r w:rsidR="000C10D7" w:rsidRPr="000C10D7">
        <w:rPr>
          <w:rFonts w:cs="Arial"/>
        </w:rPr>
        <w:t xml:space="preserve"> dní</w:t>
      </w:r>
      <w:r w:rsidRPr="000C10D7">
        <w:rPr>
          <w:rFonts w:cs="Arial"/>
        </w:rPr>
        <w:t>) než u podniků pod zahraniční kontrolou (</w:t>
      </w:r>
      <w:r w:rsidR="00A51E70" w:rsidRPr="000C10D7">
        <w:rPr>
          <w:rFonts w:cs="Arial"/>
        </w:rPr>
        <w:t>39</w:t>
      </w:r>
      <w:r w:rsidRPr="000C10D7">
        <w:rPr>
          <w:rFonts w:cs="Arial"/>
        </w:rPr>
        <w:t xml:space="preserve"> dn</w:t>
      </w:r>
      <w:r w:rsidR="000C10D7" w:rsidRPr="000C10D7">
        <w:rPr>
          <w:rFonts w:cs="Arial"/>
        </w:rPr>
        <w:t>í</w:t>
      </w:r>
      <w:r w:rsidRPr="000C10D7">
        <w:rPr>
          <w:rFonts w:cs="Arial"/>
        </w:rPr>
        <w:t>).</w:t>
      </w:r>
    </w:p>
    <w:p w14:paraId="3FAAA5AD" w14:textId="77777777" w:rsidR="0047735C" w:rsidRDefault="003C629F" w:rsidP="006701EE">
      <w:pPr>
        <w:pStyle w:val="Nadpis3"/>
        <w:spacing w:after="100"/>
      </w:pPr>
      <w:bookmarkStart w:id="3" w:name="_Toc23318728"/>
      <w:r>
        <w:t>4.2.2. Délka trvání dočasné pracovní neschopnosti</w:t>
      </w:r>
      <w:bookmarkEnd w:id="3"/>
    </w:p>
    <w:p w14:paraId="4DE4E1E3" w14:textId="60FC4861" w:rsidR="00907B59" w:rsidRDefault="00FA436A" w:rsidP="00F711D4">
      <w:pPr>
        <w:jc w:val="both"/>
      </w:pPr>
      <w:r>
        <w:t xml:space="preserve">Pro posouzení vývoje pracovní neschopnosti je důležité nejen zjištění, </w:t>
      </w:r>
      <w:r w:rsidRPr="00FA436A">
        <w:t xml:space="preserve">jak často </w:t>
      </w:r>
      <w:r>
        <w:t>zaměstnanci</w:t>
      </w:r>
      <w:r w:rsidRPr="00FA436A">
        <w:t xml:space="preserve"> do pracovní neschopnosti nastupují, </w:t>
      </w:r>
      <w:r>
        <w:t xml:space="preserve">ale i to, </w:t>
      </w:r>
      <w:r w:rsidRPr="00FA436A">
        <w:t>jak dlouho v pracovní neschopnosti zůstávají.</w:t>
      </w:r>
    </w:p>
    <w:p w14:paraId="4C9EB5EC" w14:textId="66C1C186" w:rsidR="00A96047" w:rsidRPr="00A96047" w:rsidRDefault="00A96047" w:rsidP="007508FD">
      <w:pPr>
        <w:pStyle w:val="Box1"/>
        <w:jc w:val="both"/>
        <w:rPr>
          <w:i/>
        </w:rPr>
      </w:pPr>
      <w:r w:rsidRPr="00A96047">
        <w:rPr>
          <w:b/>
          <w:i/>
        </w:rPr>
        <w:lastRenderedPageBreak/>
        <w:t>Počet kalendářních dnů dočasné pracovní neschopnosti</w:t>
      </w:r>
      <w:r w:rsidRPr="00A96047">
        <w:rPr>
          <w:i/>
        </w:rPr>
        <w:t xml:space="preserve"> – ukazatel udává celkový počet kalendářních dnů, po které byli v daném období (</w:t>
      </w:r>
      <w:r w:rsidR="007523F4">
        <w:rPr>
          <w:i/>
        </w:rPr>
        <w:t>pololetí</w:t>
      </w:r>
      <w:r w:rsidRPr="00A96047">
        <w:rPr>
          <w:i/>
        </w:rPr>
        <w:t>) nemocensky pojištění zaměstnanci práce neschopni z příčin uvedených ve formuláři „Rozhodnutí o dočasné pracovní neschopnosti“. Počet kalendářních dnů strávených v pracovní neschopnosti je zjišťován na základě hlášení o vzniku a</w:t>
      </w:r>
      <w:r w:rsidR="005A0510">
        <w:rPr>
          <w:i/>
        </w:rPr>
        <w:t> </w:t>
      </w:r>
      <w:r w:rsidRPr="00A96047">
        <w:rPr>
          <w:i/>
        </w:rPr>
        <w:t>ukončení pracovní neschopnosti. Do počtu případů a počtu kalendářních dnů pracovní neschopnosti patří i pracovní neschopnost vzniklá po zániku pojištění v tzv. ochranné lhůtě sedmi kalendářních dnů.</w:t>
      </w:r>
    </w:p>
    <w:p w14:paraId="7FB5EDEE" w14:textId="77777777" w:rsidR="00A96047" w:rsidRPr="00A96047" w:rsidRDefault="00A96047" w:rsidP="007508FD">
      <w:pPr>
        <w:pStyle w:val="Box1"/>
        <w:jc w:val="both"/>
        <w:rPr>
          <w:i/>
        </w:rPr>
      </w:pPr>
    </w:p>
    <w:p w14:paraId="0175C371" w14:textId="77777777" w:rsidR="00A96047" w:rsidRPr="00A96047" w:rsidRDefault="00A96047" w:rsidP="007508FD">
      <w:pPr>
        <w:pStyle w:val="Box1"/>
        <w:jc w:val="both"/>
        <w:rPr>
          <w:i/>
        </w:rPr>
      </w:pPr>
      <w:r w:rsidRPr="00A96047">
        <w:rPr>
          <w:b/>
          <w:i/>
        </w:rPr>
        <w:t>Průměrná délka trvání pracovní neschopnosti ve dnech</w:t>
      </w:r>
      <w:r w:rsidRPr="00A96047">
        <w:rPr>
          <w:i/>
        </w:rPr>
        <w:t xml:space="preserve"> – ukazatel vyjadřuje, kolik kalendářních dnů pracovní neschopnosti v průměru připadá na jeden nově hlášený případ pracovní neschopnosti. </w:t>
      </w:r>
    </w:p>
    <w:p w14:paraId="1DD782D2" w14:textId="77777777" w:rsidR="00A96047" w:rsidRPr="00A96047" w:rsidRDefault="00A96047" w:rsidP="007508FD">
      <w:pPr>
        <w:pStyle w:val="Box1"/>
        <w:jc w:val="both"/>
        <w:rPr>
          <w:i/>
          <w:u w:val="single"/>
        </w:rPr>
      </w:pPr>
      <w:r w:rsidRPr="00A96047">
        <w:rPr>
          <w:i/>
          <w:u w:val="single"/>
        </w:rPr>
        <w:t>Způsob výpočtu:</w:t>
      </w:r>
    </w:p>
    <w:p w14:paraId="6FC271AD" w14:textId="77777777" w:rsidR="003C629F" w:rsidRPr="00A96047" w:rsidRDefault="00A96047" w:rsidP="007508FD">
      <w:pPr>
        <w:pStyle w:val="Box1"/>
        <w:jc w:val="both"/>
        <w:rPr>
          <w:i/>
        </w:rPr>
      </w:pPr>
      <w:r w:rsidRPr="00A96047">
        <w:rPr>
          <w:i/>
        </w:rPr>
        <w:t>Průměrná délka trvání pracovní neschopnosti ve dnech = počet kalendářních dnů dočasné pracovní neschopnosti / počet nově hlášených případů dočasné pracovní neschopnosti</w:t>
      </w:r>
      <w:r w:rsidR="003C629F" w:rsidRPr="00A96047">
        <w:rPr>
          <w:i/>
        </w:rPr>
        <w:t>.</w:t>
      </w:r>
    </w:p>
    <w:p w14:paraId="1747DA0C" w14:textId="5ED1ECC0" w:rsidR="000F4A29" w:rsidRDefault="008E657B" w:rsidP="008E657B">
      <w:pPr>
        <w:jc w:val="both"/>
      </w:pPr>
      <w:r w:rsidRPr="0047002D">
        <w:t>Počet kalendářních dnů dočasné pracovní neschopnosti</w:t>
      </w:r>
      <w:r>
        <w:rPr>
          <w:b/>
        </w:rPr>
        <w:t xml:space="preserve"> </w:t>
      </w:r>
      <w:r w:rsidRPr="00A977AC">
        <w:t xml:space="preserve">je dán součtem dnů, po </w:t>
      </w:r>
      <w:r w:rsidR="00C165EF" w:rsidRPr="00A977AC">
        <w:t>kter</w:t>
      </w:r>
      <w:r w:rsidR="00C165EF">
        <w:t>é</w:t>
      </w:r>
      <w:r w:rsidR="00C165EF" w:rsidRPr="00A977AC">
        <w:t xml:space="preserve"> </w:t>
      </w:r>
      <w:r w:rsidRPr="00A977AC">
        <w:t>trvala dočasná pracovní neschopnost všech</w:t>
      </w:r>
      <w:r w:rsidR="0047002D">
        <w:t xml:space="preserve"> nově</w:t>
      </w:r>
      <w:r w:rsidRPr="00A977AC">
        <w:t xml:space="preserve"> hlášených případů. </w:t>
      </w:r>
      <w:r w:rsidR="000F4A29">
        <w:t>Sledovaný</w:t>
      </w:r>
      <w:r w:rsidRPr="00A977AC">
        <w:t xml:space="preserve"> ukazatel</w:t>
      </w:r>
      <w:r>
        <w:rPr>
          <w:b/>
        </w:rPr>
        <w:t xml:space="preserve"> </w:t>
      </w:r>
      <w:r>
        <w:t>meziročně vrostl z</w:t>
      </w:r>
      <w:r w:rsidR="0047002D">
        <w:t>e</w:t>
      </w:r>
      <w:r>
        <w:t> </w:t>
      </w:r>
      <w:r w:rsidR="000F4A29">
        <w:t>40 624</w:t>
      </w:r>
      <w:r w:rsidR="0047002D">
        <w:t xml:space="preserve"> </w:t>
      </w:r>
      <w:r>
        <w:t>tis.</w:t>
      </w:r>
      <w:r>
        <w:rPr>
          <w:sz w:val="16"/>
          <w:szCs w:val="16"/>
        </w:rPr>
        <w:t xml:space="preserve"> </w:t>
      </w:r>
      <w:r w:rsidR="0047002D">
        <w:t>prostonaných dnů v</w:t>
      </w:r>
      <w:r w:rsidR="00CD2CF0">
        <w:t> 1. pol. 201</w:t>
      </w:r>
      <w:r w:rsidR="000F4A29">
        <w:t>8</w:t>
      </w:r>
      <w:r>
        <w:t xml:space="preserve"> na </w:t>
      </w:r>
      <w:r w:rsidR="000F4A29">
        <w:t xml:space="preserve">41 578 </w:t>
      </w:r>
      <w:r>
        <w:t xml:space="preserve">tis. </w:t>
      </w:r>
      <w:r w:rsidRPr="00C55B6D">
        <w:t>dnů v</w:t>
      </w:r>
      <w:r w:rsidR="00E2797D">
        <w:t> 1. pol.</w:t>
      </w:r>
      <w:r w:rsidRPr="00C55B6D">
        <w:t xml:space="preserve"> </w:t>
      </w:r>
      <w:r w:rsidR="00E2797D">
        <w:t>201</w:t>
      </w:r>
      <w:r w:rsidR="001B5048">
        <w:t>9</w:t>
      </w:r>
      <w:r w:rsidR="00E2797D">
        <w:t xml:space="preserve"> </w:t>
      </w:r>
      <w:r w:rsidRPr="00C55B6D">
        <w:t xml:space="preserve">(tj. o </w:t>
      </w:r>
      <w:r w:rsidR="000F4A29">
        <w:t>2,3</w:t>
      </w:r>
      <w:r w:rsidRPr="00C55B6D">
        <w:t xml:space="preserve"> %)</w:t>
      </w:r>
      <w:r w:rsidR="00531B19">
        <w:t xml:space="preserve"> a </w:t>
      </w:r>
      <w:r w:rsidR="00935C87">
        <w:t>v</w:t>
      </w:r>
      <w:r w:rsidR="000F4A29">
        <w:t>ětšina dní v pracovní neschopnosti (86,2</w:t>
      </w:r>
      <w:r w:rsidR="00B3736B">
        <w:t> </w:t>
      </w:r>
      <w:r w:rsidR="000F4A29">
        <w:t>%) za 1. pol. 2019 pramenila z </w:t>
      </w:r>
      <w:r w:rsidR="000F4A29" w:rsidRPr="000F4A29">
        <w:rPr>
          <w:b/>
        </w:rPr>
        <w:t>nemoci</w:t>
      </w:r>
      <w:r w:rsidR="000F4A29">
        <w:t xml:space="preserve">, v absolutním počtu </w:t>
      </w:r>
      <w:r w:rsidR="00CA2EB1">
        <w:t>35</w:t>
      </w:r>
      <w:r w:rsidRPr="00C55B6D">
        <w:t xml:space="preserve"> </w:t>
      </w:r>
      <w:r w:rsidR="000F4A29">
        <w:t>860</w:t>
      </w:r>
      <w:r w:rsidRPr="00C55B6D">
        <w:t xml:space="preserve"> tis. </w:t>
      </w:r>
      <w:r w:rsidR="00531B19">
        <w:t>d</w:t>
      </w:r>
      <w:r w:rsidRPr="002247CA">
        <w:t>nů</w:t>
      </w:r>
      <w:r w:rsidR="000F4A29">
        <w:t xml:space="preserve">. </w:t>
      </w:r>
      <w:r w:rsidR="000F4A29" w:rsidRPr="00531B19">
        <w:rPr>
          <w:b/>
        </w:rPr>
        <w:t>Mimopracovní úrazy</w:t>
      </w:r>
      <w:r w:rsidR="000F4A29">
        <w:t xml:space="preserve"> způsobily 4</w:t>
      </w:r>
      <w:r w:rsidR="005A0510">
        <w:t> </w:t>
      </w:r>
      <w:r w:rsidR="000F4A29">
        <w:t>392</w:t>
      </w:r>
      <w:r w:rsidR="005A0510">
        <w:t> </w:t>
      </w:r>
      <w:r w:rsidR="000F4A29">
        <w:t xml:space="preserve">tis. </w:t>
      </w:r>
      <w:r w:rsidR="00531B19">
        <w:t>p</w:t>
      </w:r>
      <w:r w:rsidR="000F4A29">
        <w:t xml:space="preserve">rostonaných dní (tj. 10,6 %) a </w:t>
      </w:r>
      <w:r w:rsidR="000F4A29" w:rsidRPr="00531B19">
        <w:rPr>
          <w:b/>
        </w:rPr>
        <w:t>pracovní úrazy</w:t>
      </w:r>
      <w:r w:rsidR="000F4A29">
        <w:t xml:space="preserve"> </w:t>
      </w:r>
      <w:r w:rsidR="00CA2EB1">
        <w:t>1</w:t>
      </w:r>
      <w:r w:rsidRPr="002247CA">
        <w:t xml:space="preserve"> </w:t>
      </w:r>
      <w:r w:rsidR="00CA2EB1">
        <w:t>3</w:t>
      </w:r>
      <w:r w:rsidR="000F4A29">
        <w:t>25</w:t>
      </w:r>
      <w:r w:rsidRPr="002247CA">
        <w:t xml:space="preserve"> tis. dnů </w:t>
      </w:r>
      <w:r w:rsidR="002247CA" w:rsidRPr="002247CA">
        <w:t>(3,</w:t>
      </w:r>
      <w:r w:rsidR="000C0175">
        <w:t>2</w:t>
      </w:r>
      <w:r w:rsidR="002247CA" w:rsidRPr="002247CA">
        <w:t xml:space="preserve"> %)</w:t>
      </w:r>
      <w:r w:rsidR="000F4A29">
        <w:t>.</w:t>
      </w:r>
      <w:r w:rsidR="00531B19">
        <w:t xml:space="preserve"> Zatímco počet dnů v pracovní neschopnosti z důvodu pracovních úrazů již od 1. pol. 2015 víceméně stagnuje, počty dnů pro nemoc a pro ostatní úrazy neustále narůstají. Ženy strávily v dočasné pracovní neschopnosti celkem 22 750 tis. dní, což je o 3 922 tis. dnů více než muži.</w:t>
      </w:r>
      <w:r w:rsidR="000F0675">
        <w:t xml:space="preserve"> V porovnání s 1. pol. 2012 počet dnů v pracovní neschopnosti vzrostl o 43,5 % (o 12,6 mil. dní).</w:t>
      </w:r>
    </w:p>
    <w:p w14:paraId="76862E78" w14:textId="2AC4CDC4" w:rsidR="00DE3224" w:rsidRPr="0021605D" w:rsidRDefault="006D5CEC" w:rsidP="0064109D">
      <w:pPr>
        <w:spacing w:after="120"/>
        <w:jc w:val="both"/>
        <w:rPr>
          <w:b/>
        </w:rPr>
      </w:pPr>
      <w:r>
        <w:rPr>
          <w:b/>
        </w:rPr>
        <w:t xml:space="preserve">Tab. 2.4: </w:t>
      </w:r>
      <w:r w:rsidRPr="006D5CEC">
        <w:rPr>
          <w:b/>
        </w:rPr>
        <w:t>Kalendářní dny dočasné pracovní neschopnosti podl</w:t>
      </w:r>
      <w:r w:rsidR="00040960">
        <w:rPr>
          <w:b/>
        </w:rPr>
        <w:t>e příčiny a pohlaví v</w:t>
      </w:r>
      <w:r w:rsidR="005A0510">
        <w:rPr>
          <w:b/>
        </w:rPr>
        <w:t> </w:t>
      </w:r>
      <w:r w:rsidRPr="006D5CEC">
        <w:rPr>
          <w:b/>
        </w:rPr>
        <w:t xml:space="preserve">1. pol. </w:t>
      </w:r>
      <w:r w:rsidR="0019246C">
        <w:rPr>
          <w:b/>
        </w:rPr>
        <w:br/>
      </w:r>
      <w:r w:rsidRPr="006D5CEC">
        <w:rPr>
          <w:b/>
        </w:rPr>
        <w:t>2008 – 1.</w:t>
      </w:r>
      <w:r w:rsidR="0019246C">
        <w:rPr>
          <w:b/>
        </w:rPr>
        <w:t> </w:t>
      </w:r>
      <w:r w:rsidRPr="006D5CEC">
        <w:rPr>
          <w:b/>
        </w:rPr>
        <w:t>pol.</w:t>
      </w:r>
      <w:r w:rsidR="005A0510">
        <w:rPr>
          <w:b/>
        </w:rPr>
        <w:t> </w:t>
      </w:r>
      <w:r w:rsidRPr="006D5CEC">
        <w:rPr>
          <w:b/>
        </w:rPr>
        <w:t>2019</w:t>
      </w:r>
    </w:p>
    <w:tbl>
      <w:tblPr>
        <w:tblW w:w="9520" w:type="dxa"/>
        <w:tblCellMar>
          <w:left w:w="70" w:type="dxa"/>
          <w:right w:w="70" w:type="dxa"/>
        </w:tblCellMar>
        <w:tblLook w:val="04A0" w:firstRow="1" w:lastRow="0" w:firstColumn="1" w:lastColumn="0" w:noHBand="0" w:noVBand="1"/>
      </w:tblPr>
      <w:tblGrid>
        <w:gridCol w:w="1019"/>
        <w:gridCol w:w="819"/>
        <w:gridCol w:w="652"/>
        <w:gridCol w:w="652"/>
        <w:gridCol w:w="822"/>
        <w:gridCol w:w="652"/>
        <w:gridCol w:w="652"/>
        <w:gridCol w:w="822"/>
        <w:gridCol w:w="652"/>
        <w:gridCol w:w="652"/>
        <w:gridCol w:w="822"/>
        <w:gridCol w:w="652"/>
        <w:gridCol w:w="652"/>
      </w:tblGrid>
      <w:tr w:rsidR="006D5CEC" w:rsidRPr="006D5CEC" w14:paraId="26282833" w14:textId="77777777" w:rsidTr="006D5CEC">
        <w:trPr>
          <w:trHeight w:val="300"/>
        </w:trPr>
        <w:tc>
          <w:tcPr>
            <w:tcW w:w="1019" w:type="dxa"/>
            <w:vMerge w:val="restart"/>
            <w:tcBorders>
              <w:top w:val="single" w:sz="4" w:space="0" w:color="auto"/>
              <w:left w:val="nil"/>
              <w:bottom w:val="single" w:sz="4" w:space="0" w:color="auto"/>
              <w:right w:val="single" w:sz="4" w:space="0" w:color="auto"/>
            </w:tcBorders>
            <w:shd w:val="clear" w:color="000000" w:fill="F5DADD"/>
            <w:vAlign w:val="center"/>
            <w:hideMark/>
          </w:tcPr>
          <w:p w14:paraId="475CC9AA" w14:textId="77777777" w:rsidR="006D5CEC" w:rsidRPr="006D5CEC" w:rsidRDefault="006D5CEC" w:rsidP="006D5CEC">
            <w:pPr>
              <w:spacing w:after="0" w:line="240" w:lineRule="auto"/>
              <w:jc w:val="center"/>
              <w:rPr>
                <w:rFonts w:cs="Arial"/>
                <w:sz w:val="16"/>
                <w:szCs w:val="16"/>
              </w:rPr>
            </w:pPr>
            <w:r w:rsidRPr="006D5CEC">
              <w:rPr>
                <w:rFonts w:cs="Arial"/>
                <w:sz w:val="16"/>
                <w:szCs w:val="16"/>
              </w:rPr>
              <w:t>Rok</w:t>
            </w:r>
          </w:p>
        </w:tc>
        <w:tc>
          <w:tcPr>
            <w:tcW w:w="8501" w:type="dxa"/>
            <w:gridSpan w:val="12"/>
            <w:tcBorders>
              <w:top w:val="single" w:sz="4" w:space="0" w:color="auto"/>
              <w:left w:val="nil"/>
              <w:bottom w:val="single" w:sz="4" w:space="0" w:color="auto"/>
              <w:right w:val="nil"/>
            </w:tcBorders>
            <w:shd w:val="clear" w:color="000000" w:fill="F2DBDB"/>
            <w:vAlign w:val="center"/>
            <w:hideMark/>
          </w:tcPr>
          <w:p w14:paraId="4DB14EC8" w14:textId="77777777" w:rsidR="006D5CEC" w:rsidRPr="006D5CEC" w:rsidRDefault="006D5CEC" w:rsidP="006D5CEC">
            <w:pPr>
              <w:spacing w:after="0" w:line="240" w:lineRule="auto"/>
              <w:jc w:val="center"/>
              <w:rPr>
                <w:rFonts w:cs="Arial"/>
                <w:sz w:val="16"/>
                <w:szCs w:val="16"/>
              </w:rPr>
            </w:pPr>
            <w:r w:rsidRPr="006D5CEC">
              <w:rPr>
                <w:rFonts w:cs="Arial"/>
                <w:sz w:val="16"/>
                <w:szCs w:val="16"/>
              </w:rPr>
              <w:t>Počet kalendářních dnů pracovní neschopnosti (v tis.)</w:t>
            </w:r>
          </w:p>
        </w:tc>
      </w:tr>
      <w:tr w:rsidR="006D5CEC" w:rsidRPr="006D5CEC" w14:paraId="2436BCD4" w14:textId="77777777" w:rsidTr="006D5CEC">
        <w:trPr>
          <w:trHeight w:val="480"/>
        </w:trPr>
        <w:tc>
          <w:tcPr>
            <w:tcW w:w="1019" w:type="dxa"/>
            <w:vMerge/>
            <w:tcBorders>
              <w:top w:val="single" w:sz="4" w:space="0" w:color="auto"/>
              <w:left w:val="nil"/>
              <w:bottom w:val="single" w:sz="4" w:space="0" w:color="auto"/>
              <w:right w:val="single" w:sz="4" w:space="0" w:color="auto"/>
            </w:tcBorders>
            <w:vAlign w:val="center"/>
            <w:hideMark/>
          </w:tcPr>
          <w:p w14:paraId="6D9AE253" w14:textId="77777777" w:rsidR="006D5CEC" w:rsidRPr="006D5CEC" w:rsidRDefault="006D5CEC" w:rsidP="006D5CEC">
            <w:pPr>
              <w:spacing w:after="0" w:line="240" w:lineRule="auto"/>
              <w:rPr>
                <w:rFonts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000000" w:fill="F2DBDB"/>
            <w:vAlign w:val="center"/>
            <w:hideMark/>
          </w:tcPr>
          <w:p w14:paraId="69E97406" w14:textId="77777777" w:rsidR="006D5CEC" w:rsidRPr="006D5CEC" w:rsidRDefault="006D5CEC" w:rsidP="006D5CEC">
            <w:pPr>
              <w:spacing w:after="0" w:line="240" w:lineRule="auto"/>
              <w:jc w:val="center"/>
              <w:rPr>
                <w:rFonts w:cs="Arial"/>
                <w:sz w:val="16"/>
                <w:szCs w:val="16"/>
              </w:rPr>
            </w:pPr>
            <w:r w:rsidRPr="006D5CEC">
              <w:rPr>
                <w:rFonts w:cs="Arial"/>
                <w:sz w:val="16"/>
                <w:szCs w:val="16"/>
              </w:rPr>
              <w:t>Celkem</w:t>
            </w:r>
          </w:p>
        </w:tc>
        <w:tc>
          <w:tcPr>
            <w:tcW w:w="1304" w:type="dxa"/>
            <w:gridSpan w:val="2"/>
            <w:tcBorders>
              <w:top w:val="single" w:sz="4" w:space="0" w:color="auto"/>
              <w:left w:val="nil"/>
              <w:bottom w:val="single" w:sz="4" w:space="0" w:color="auto"/>
              <w:right w:val="single" w:sz="4" w:space="0" w:color="auto"/>
            </w:tcBorders>
            <w:shd w:val="clear" w:color="000000" w:fill="F2DBDB"/>
            <w:vAlign w:val="center"/>
            <w:hideMark/>
          </w:tcPr>
          <w:p w14:paraId="3C14FD58" w14:textId="77777777" w:rsidR="006D5CEC" w:rsidRPr="006D5CEC" w:rsidRDefault="006D5CEC" w:rsidP="006D5CEC">
            <w:pPr>
              <w:spacing w:after="0" w:line="240" w:lineRule="auto"/>
              <w:jc w:val="center"/>
              <w:rPr>
                <w:rFonts w:cs="Arial"/>
                <w:sz w:val="16"/>
                <w:szCs w:val="16"/>
              </w:rPr>
            </w:pPr>
            <w:r w:rsidRPr="006D5CEC">
              <w:rPr>
                <w:rFonts w:cs="Arial"/>
                <w:sz w:val="16"/>
                <w:szCs w:val="16"/>
              </w:rPr>
              <w:t>podle pohlaví</w:t>
            </w:r>
          </w:p>
        </w:tc>
        <w:tc>
          <w:tcPr>
            <w:tcW w:w="822" w:type="dxa"/>
            <w:vMerge w:val="restart"/>
            <w:tcBorders>
              <w:top w:val="nil"/>
              <w:left w:val="single" w:sz="4" w:space="0" w:color="auto"/>
              <w:right w:val="single" w:sz="4" w:space="0" w:color="auto"/>
            </w:tcBorders>
            <w:shd w:val="clear" w:color="000000" w:fill="F2DBDB"/>
            <w:vAlign w:val="center"/>
            <w:hideMark/>
          </w:tcPr>
          <w:p w14:paraId="0C47F9C8" w14:textId="77777777" w:rsidR="006D5CEC" w:rsidRPr="006D5CEC" w:rsidRDefault="006D5CEC" w:rsidP="006D5CEC">
            <w:pPr>
              <w:spacing w:after="0" w:line="240" w:lineRule="auto"/>
              <w:jc w:val="center"/>
              <w:rPr>
                <w:rFonts w:cs="Arial"/>
                <w:sz w:val="16"/>
                <w:szCs w:val="16"/>
              </w:rPr>
            </w:pPr>
            <w:r w:rsidRPr="006D5CEC">
              <w:rPr>
                <w:rFonts w:cs="Arial"/>
                <w:sz w:val="16"/>
                <w:szCs w:val="16"/>
              </w:rPr>
              <w:t>Celkem pro nemoc</w:t>
            </w:r>
          </w:p>
        </w:tc>
        <w:tc>
          <w:tcPr>
            <w:tcW w:w="1304" w:type="dxa"/>
            <w:gridSpan w:val="2"/>
            <w:tcBorders>
              <w:top w:val="single" w:sz="4" w:space="0" w:color="auto"/>
              <w:left w:val="nil"/>
              <w:bottom w:val="single" w:sz="4" w:space="0" w:color="auto"/>
              <w:right w:val="single" w:sz="4" w:space="0" w:color="auto"/>
            </w:tcBorders>
            <w:shd w:val="clear" w:color="000000" w:fill="F2DBDB"/>
            <w:vAlign w:val="center"/>
            <w:hideMark/>
          </w:tcPr>
          <w:p w14:paraId="404614D8" w14:textId="77777777" w:rsidR="006D5CEC" w:rsidRPr="006D5CEC" w:rsidRDefault="006D5CEC" w:rsidP="006D5CEC">
            <w:pPr>
              <w:spacing w:after="0" w:line="240" w:lineRule="auto"/>
              <w:jc w:val="center"/>
              <w:rPr>
                <w:rFonts w:cs="Arial"/>
                <w:sz w:val="16"/>
                <w:szCs w:val="16"/>
              </w:rPr>
            </w:pPr>
            <w:r w:rsidRPr="006D5CEC">
              <w:rPr>
                <w:rFonts w:cs="Arial"/>
                <w:sz w:val="16"/>
                <w:szCs w:val="16"/>
              </w:rPr>
              <w:t>podle pohlaví</w:t>
            </w:r>
          </w:p>
        </w:tc>
        <w:tc>
          <w:tcPr>
            <w:tcW w:w="822" w:type="dxa"/>
            <w:vMerge w:val="restart"/>
            <w:tcBorders>
              <w:top w:val="nil"/>
              <w:left w:val="single" w:sz="4" w:space="0" w:color="auto"/>
              <w:right w:val="single" w:sz="4" w:space="0" w:color="auto"/>
            </w:tcBorders>
            <w:shd w:val="clear" w:color="000000" w:fill="F2DBDB"/>
            <w:vAlign w:val="center"/>
            <w:hideMark/>
          </w:tcPr>
          <w:p w14:paraId="5B9A7C3B" w14:textId="77777777" w:rsidR="006D5CEC" w:rsidRPr="006D5CEC" w:rsidRDefault="006D5CEC" w:rsidP="006D5CEC">
            <w:pPr>
              <w:spacing w:after="0" w:line="240" w:lineRule="auto"/>
              <w:jc w:val="center"/>
              <w:rPr>
                <w:rFonts w:cs="Arial"/>
                <w:sz w:val="16"/>
                <w:szCs w:val="16"/>
              </w:rPr>
            </w:pPr>
            <w:r w:rsidRPr="006D5CEC">
              <w:rPr>
                <w:rFonts w:cs="Arial"/>
                <w:sz w:val="16"/>
                <w:szCs w:val="16"/>
              </w:rPr>
              <w:t>Celkem pro pracovní úrazy</w:t>
            </w:r>
          </w:p>
        </w:tc>
        <w:tc>
          <w:tcPr>
            <w:tcW w:w="1304" w:type="dxa"/>
            <w:gridSpan w:val="2"/>
            <w:tcBorders>
              <w:top w:val="single" w:sz="4" w:space="0" w:color="auto"/>
              <w:left w:val="nil"/>
              <w:bottom w:val="single" w:sz="4" w:space="0" w:color="auto"/>
              <w:right w:val="single" w:sz="4" w:space="0" w:color="auto"/>
            </w:tcBorders>
            <w:shd w:val="clear" w:color="000000" w:fill="F2DBDB"/>
            <w:vAlign w:val="center"/>
            <w:hideMark/>
          </w:tcPr>
          <w:p w14:paraId="509CD480" w14:textId="77777777" w:rsidR="006D5CEC" w:rsidRPr="006D5CEC" w:rsidRDefault="006D5CEC" w:rsidP="006D5CEC">
            <w:pPr>
              <w:spacing w:after="0" w:line="240" w:lineRule="auto"/>
              <w:jc w:val="center"/>
              <w:rPr>
                <w:rFonts w:cs="Arial"/>
                <w:sz w:val="16"/>
                <w:szCs w:val="16"/>
              </w:rPr>
            </w:pPr>
            <w:r w:rsidRPr="006D5CEC">
              <w:rPr>
                <w:rFonts w:cs="Arial"/>
                <w:sz w:val="16"/>
                <w:szCs w:val="16"/>
              </w:rPr>
              <w:t>podle pohlaví</w:t>
            </w:r>
          </w:p>
        </w:tc>
        <w:tc>
          <w:tcPr>
            <w:tcW w:w="822" w:type="dxa"/>
            <w:vMerge w:val="restart"/>
            <w:tcBorders>
              <w:top w:val="nil"/>
              <w:left w:val="single" w:sz="4" w:space="0" w:color="auto"/>
              <w:right w:val="single" w:sz="4" w:space="0" w:color="auto"/>
            </w:tcBorders>
            <w:shd w:val="clear" w:color="000000" w:fill="F2DBDB"/>
            <w:vAlign w:val="center"/>
            <w:hideMark/>
          </w:tcPr>
          <w:p w14:paraId="2B911003" w14:textId="77777777" w:rsidR="006D5CEC" w:rsidRPr="006D5CEC" w:rsidRDefault="006D5CEC" w:rsidP="006D5CEC">
            <w:pPr>
              <w:spacing w:after="0" w:line="240" w:lineRule="auto"/>
              <w:jc w:val="center"/>
              <w:rPr>
                <w:rFonts w:cs="Arial"/>
                <w:sz w:val="16"/>
                <w:szCs w:val="16"/>
              </w:rPr>
            </w:pPr>
            <w:r w:rsidRPr="006D5CEC">
              <w:rPr>
                <w:rFonts w:cs="Arial"/>
                <w:sz w:val="16"/>
                <w:szCs w:val="16"/>
              </w:rPr>
              <w:t>Celkem pro ostatní úrazy</w:t>
            </w:r>
          </w:p>
        </w:tc>
        <w:tc>
          <w:tcPr>
            <w:tcW w:w="1304" w:type="dxa"/>
            <w:gridSpan w:val="2"/>
            <w:tcBorders>
              <w:top w:val="single" w:sz="4" w:space="0" w:color="auto"/>
              <w:left w:val="nil"/>
              <w:bottom w:val="single" w:sz="4" w:space="0" w:color="auto"/>
            </w:tcBorders>
            <w:shd w:val="clear" w:color="000000" w:fill="F2DBDB"/>
            <w:vAlign w:val="center"/>
            <w:hideMark/>
          </w:tcPr>
          <w:p w14:paraId="772010F0" w14:textId="77777777" w:rsidR="006D5CEC" w:rsidRPr="006D5CEC" w:rsidRDefault="006D5CEC" w:rsidP="006D5CEC">
            <w:pPr>
              <w:spacing w:after="0" w:line="240" w:lineRule="auto"/>
              <w:jc w:val="center"/>
              <w:rPr>
                <w:rFonts w:cs="Arial"/>
                <w:sz w:val="16"/>
                <w:szCs w:val="16"/>
              </w:rPr>
            </w:pPr>
            <w:r w:rsidRPr="006D5CEC">
              <w:rPr>
                <w:rFonts w:cs="Arial"/>
                <w:sz w:val="16"/>
                <w:szCs w:val="16"/>
              </w:rPr>
              <w:t>podle pohlaví</w:t>
            </w:r>
          </w:p>
        </w:tc>
      </w:tr>
      <w:tr w:rsidR="006D5CEC" w:rsidRPr="006D5CEC" w14:paraId="6CE27C5A" w14:textId="77777777" w:rsidTr="006D5CEC">
        <w:trPr>
          <w:trHeight w:val="525"/>
        </w:trPr>
        <w:tc>
          <w:tcPr>
            <w:tcW w:w="1019" w:type="dxa"/>
            <w:vMerge/>
            <w:tcBorders>
              <w:top w:val="single" w:sz="4" w:space="0" w:color="auto"/>
              <w:left w:val="nil"/>
              <w:bottom w:val="single" w:sz="4" w:space="0" w:color="auto"/>
              <w:right w:val="single" w:sz="4" w:space="0" w:color="auto"/>
            </w:tcBorders>
            <w:vAlign w:val="center"/>
            <w:hideMark/>
          </w:tcPr>
          <w:p w14:paraId="62F6CB62" w14:textId="77777777" w:rsidR="006D5CEC" w:rsidRPr="006D5CEC" w:rsidRDefault="006D5CEC" w:rsidP="006D5CEC">
            <w:pPr>
              <w:spacing w:after="0" w:line="240" w:lineRule="auto"/>
              <w:rPr>
                <w:rFonts w:cs="Arial"/>
                <w:sz w:val="16"/>
                <w:szCs w:val="16"/>
              </w:rPr>
            </w:pPr>
          </w:p>
        </w:tc>
        <w:tc>
          <w:tcPr>
            <w:tcW w:w="819" w:type="dxa"/>
            <w:vMerge/>
            <w:tcBorders>
              <w:top w:val="nil"/>
              <w:left w:val="single" w:sz="4" w:space="0" w:color="auto"/>
              <w:bottom w:val="single" w:sz="4" w:space="0" w:color="auto"/>
              <w:right w:val="single" w:sz="4" w:space="0" w:color="auto"/>
            </w:tcBorders>
            <w:vAlign w:val="center"/>
            <w:hideMark/>
          </w:tcPr>
          <w:p w14:paraId="30E55B8C" w14:textId="77777777" w:rsidR="006D5CEC" w:rsidRPr="006D5CEC" w:rsidRDefault="006D5CEC" w:rsidP="006D5CEC">
            <w:pPr>
              <w:spacing w:after="0" w:line="240" w:lineRule="auto"/>
              <w:rPr>
                <w:rFonts w:cs="Arial"/>
                <w:sz w:val="16"/>
                <w:szCs w:val="16"/>
              </w:rPr>
            </w:pPr>
          </w:p>
        </w:tc>
        <w:tc>
          <w:tcPr>
            <w:tcW w:w="652" w:type="dxa"/>
            <w:tcBorders>
              <w:top w:val="nil"/>
              <w:left w:val="nil"/>
              <w:bottom w:val="nil"/>
              <w:right w:val="single" w:sz="4" w:space="0" w:color="auto"/>
            </w:tcBorders>
            <w:shd w:val="clear" w:color="000000" w:fill="F2DBDB"/>
            <w:vAlign w:val="center"/>
            <w:hideMark/>
          </w:tcPr>
          <w:p w14:paraId="69F5E7BE" w14:textId="77777777" w:rsidR="006D5CEC" w:rsidRPr="006D5CEC" w:rsidRDefault="006D5CEC" w:rsidP="006D5CEC">
            <w:pPr>
              <w:spacing w:after="0" w:line="240" w:lineRule="auto"/>
              <w:jc w:val="center"/>
              <w:rPr>
                <w:rFonts w:cs="Arial"/>
                <w:sz w:val="16"/>
                <w:szCs w:val="16"/>
              </w:rPr>
            </w:pPr>
            <w:r w:rsidRPr="006D5CEC">
              <w:rPr>
                <w:rFonts w:cs="Arial"/>
                <w:sz w:val="16"/>
                <w:szCs w:val="16"/>
              </w:rPr>
              <w:t>muži</w:t>
            </w:r>
          </w:p>
        </w:tc>
        <w:tc>
          <w:tcPr>
            <w:tcW w:w="652" w:type="dxa"/>
            <w:tcBorders>
              <w:top w:val="nil"/>
              <w:left w:val="nil"/>
              <w:bottom w:val="nil"/>
              <w:right w:val="single" w:sz="4" w:space="0" w:color="auto"/>
            </w:tcBorders>
            <w:shd w:val="clear" w:color="000000" w:fill="F2DBDB"/>
            <w:vAlign w:val="center"/>
            <w:hideMark/>
          </w:tcPr>
          <w:p w14:paraId="19C854B8" w14:textId="77777777" w:rsidR="006D5CEC" w:rsidRPr="006D5CEC" w:rsidRDefault="006D5CEC" w:rsidP="006D5CEC">
            <w:pPr>
              <w:spacing w:after="0" w:line="240" w:lineRule="auto"/>
              <w:jc w:val="center"/>
              <w:rPr>
                <w:rFonts w:cs="Arial"/>
                <w:sz w:val="16"/>
                <w:szCs w:val="16"/>
              </w:rPr>
            </w:pPr>
            <w:r w:rsidRPr="006D5CEC">
              <w:rPr>
                <w:rFonts w:cs="Arial"/>
                <w:sz w:val="16"/>
                <w:szCs w:val="16"/>
              </w:rPr>
              <w:t>ženy</w:t>
            </w:r>
          </w:p>
        </w:tc>
        <w:tc>
          <w:tcPr>
            <w:tcW w:w="822" w:type="dxa"/>
            <w:vMerge/>
            <w:tcBorders>
              <w:left w:val="single" w:sz="4" w:space="0" w:color="auto"/>
              <w:bottom w:val="single" w:sz="4" w:space="0" w:color="auto"/>
              <w:right w:val="single" w:sz="4" w:space="0" w:color="auto"/>
            </w:tcBorders>
            <w:vAlign w:val="center"/>
            <w:hideMark/>
          </w:tcPr>
          <w:p w14:paraId="3566D183" w14:textId="77777777" w:rsidR="006D5CEC" w:rsidRPr="006D5CEC" w:rsidRDefault="006D5CEC" w:rsidP="006D5CEC">
            <w:pPr>
              <w:spacing w:after="0" w:line="240" w:lineRule="auto"/>
              <w:rPr>
                <w:rFonts w:cs="Arial"/>
                <w:sz w:val="16"/>
                <w:szCs w:val="16"/>
              </w:rPr>
            </w:pPr>
          </w:p>
        </w:tc>
        <w:tc>
          <w:tcPr>
            <w:tcW w:w="652" w:type="dxa"/>
            <w:tcBorders>
              <w:top w:val="nil"/>
              <w:left w:val="nil"/>
              <w:bottom w:val="nil"/>
              <w:right w:val="single" w:sz="4" w:space="0" w:color="auto"/>
            </w:tcBorders>
            <w:shd w:val="clear" w:color="000000" w:fill="F2DBDB"/>
            <w:vAlign w:val="center"/>
            <w:hideMark/>
          </w:tcPr>
          <w:p w14:paraId="4480710C" w14:textId="77777777" w:rsidR="006D5CEC" w:rsidRPr="006D5CEC" w:rsidRDefault="006D5CEC" w:rsidP="006D5CEC">
            <w:pPr>
              <w:spacing w:after="0" w:line="240" w:lineRule="auto"/>
              <w:jc w:val="center"/>
              <w:rPr>
                <w:rFonts w:cs="Arial"/>
                <w:sz w:val="16"/>
                <w:szCs w:val="16"/>
              </w:rPr>
            </w:pPr>
            <w:r w:rsidRPr="006D5CEC">
              <w:rPr>
                <w:rFonts w:cs="Arial"/>
                <w:sz w:val="16"/>
                <w:szCs w:val="16"/>
              </w:rPr>
              <w:t>muži</w:t>
            </w:r>
          </w:p>
        </w:tc>
        <w:tc>
          <w:tcPr>
            <w:tcW w:w="652" w:type="dxa"/>
            <w:tcBorders>
              <w:top w:val="nil"/>
              <w:left w:val="nil"/>
              <w:bottom w:val="nil"/>
              <w:right w:val="single" w:sz="4" w:space="0" w:color="auto"/>
            </w:tcBorders>
            <w:shd w:val="clear" w:color="000000" w:fill="F2DBDB"/>
            <w:vAlign w:val="center"/>
            <w:hideMark/>
          </w:tcPr>
          <w:p w14:paraId="0E7DA6C3" w14:textId="77777777" w:rsidR="006D5CEC" w:rsidRPr="006D5CEC" w:rsidRDefault="006D5CEC" w:rsidP="006D5CEC">
            <w:pPr>
              <w:spacing w:after="0" w:line="240" w:lineRule="auto"/>
              <w:jc w:val="center"/>
              <w:rPr>
                <w:rFonts w:cs="Arial"/>
                <w:sz w:val="16"/>
                <w:szCs w:val="16"/>
              </w:rPr>
            </w:pPr>
            <w:r w:rsidRPr="006D5CEC">
              <w:rPr>
                <w:rFonts w:cs="Arial"/>
                <w:sz w:val="16"/>
                <w:szCs w:val="16"/>
              </w:rPr>
              <w:t>ženy</w:t>
            </w:r>
          </w:p>
        </w:tc>
        <w:tc>
          <w:tcPr>
            <w:tcW w:w="822" w:type="dxa"/>
            <w:vMerge/>
            <w:tcBorders>
              <w:left w:val="single" w:sz="4" w:space="0" w:color="auto"/>
              <w:bottom w:val="single" w:sz="4" w:space="0" w:color="auto"/>
              <w:right w:val="single" w:sz="4" w:space="0" w:color="auto"/>
            </w:tcBorders>
            <w:vAlign w:val="center"/>
            <w:hideMark/>
          </w:tcPr>
          <w:p w14:paraId="057352AC" w14:textId="77777777" w:rsidR="006D5CEC" w:rsidRPr="006D5CEC" w:rsidRDefault="006D5CEC" w:rsidP="006D5CEC">
            <w:pPr>
              <w:spacing w:after="0" w:line="240" w:lineRule="auto"/>
              <w:rPr>
                <w:rFonts w:cs="Arial"/>
                <w:sz w:val="16"/>
                <w:szCs w:val="16"/>
              </w:rPr>
            </w:pPr>
          </w:p>
        </w:tc>
        <w:tc>
          <w:tcPr>
            <w:tcW w:w="652" w:type="dxa"/>
            <w:tcBorders>
              <w:top w:val="nil"/>
              <w:left w:val="nil"/>
              <w:bottom w:val="nil"/>
              <w:right w:val="single" w:sz="4" w:space="0" w:color="auto"/>
            </w:tcBorders>
            <w:shd w:val="clear" w:color="000000" w:fill="F2DBDB"/>
            <w:vAlign w:val="center"/>
            <w:hideMark/>
          </w:tcPr>
          <w:p w14:paraId="34373D11" w14:textId="77777777" w:rsidR="006D5CEC" w:rsidRPr="006D5CEC" w:rsidRDefault="006D5CEC" w:rsidP="006D5CEC">
            <w:pPr>
              <w:spacing w:after="0" w:line="240" w:lineRule="auto"/>
              <w:jc w:val="center"/>
              <w:rPr>
                <w:rFonts w:cs="Arial"/>
                <w:sz w:val="16"/>
                <w:szCs w:val="16"/>
              </w:rPr>
            </w:pPr>
            <w:r w:rsidRPr="006D5CEC">
              <w:rPr>
                <w:rFonts w:cs="Arial"/>
                <w:sz w:val="16"/>
                <w:szCs w:val="16"/>
              </w:rPr>
              <w:t>muži</w:t>
            </w:r>
          </w:p>
        </w:tc>
        <w:tc>
          <w:tcPr>
            <w:tcW w:w="652" w:type="dxa"/>
            <w:tcBorders>
              <w:top w:val="nil"/>
              <w:left w:val="nil"/>
              <w:bottom w:val="nil"/>
              <w:right w:val="nil"/>
            </w:tcBorders>
            <w:shd w:val="clear" w:color="000000" w:fill="F2DBDB"/>
            <w:vAlign w:val="center"/>
            <w:hideMark/>
          </w:tcPr>
          <w:p w14:paraId="462E91F0" w14:textId="77777777" w:rsidR="006D5CEC" w:rsidRPr="006D5CEC" w:rsidRDefault="006D5CEC" w:rsidP="006D5CEC">
            <w:pPr>
              <w:spacing w:after="0" w:line="240" w:lineRule="auto"/>
              <w:jc w:val="center"/>
              <w:rPr>
                <w:rFonts w:cs="Arial"/>
                <w:sz w:val="16"/>
                <w:szCs w:val="16"/>
              </w:rPr>
            </w:pPr>
            <w:r w:rsidRPr="006D5CEC">
              <w:rPr>
                <w:rFonts w:cs="Arial"/>
                <w:sz w:val="16"/>
                <w:szCs w:val="16"/>
              </w:rPr>
              <w:t>ženy</w:t>
            </w:r>
          </w:p>
        </w:tc>
        <w:tc>
          <w:tcPr>
            <w:tcW w:w="822" w:type="dxa"/>
            <w:vMerge/>
            <w:tcBorders>
              <w:left w:val="single" w:sz="4" w:space="0" w:color="auto"/>
              <w:bottom w:val="single" w:sz="4" w:space="0" w:color="auto"/>
              <w:right w:val="single" w:sz="4" w:space="0" w:color="auto"/>
            </w:tcBorders>
            <w:vAlign w:val="center"/>
            <w:hideMark/>
          </w:tcPr>
          <w:p w14:paraId="03A17916" w14:textId="77777777" w:rsidR="006D5CEC" w:rsidRPr="006D5CEC" w:rsidRDefault="006D5CEC" w:rsidP="006D5CEC">
            <w:pPr>
              <w:spacing w:after="0" w:line="240" w:lineRule="auto"/>
              <w:rPr>
                <w:rFonts w:cs="Arial"/>
                <w:sz w:val="16"/>
                <w:szCs w:val="16"/>
              </w:rPr>
            </w:pPr>
          </w:p>
        </w:tc>
        <w:tc>
          <w:tcPr>
            <w:tcW w:w="652" w:type="dxa"/>
            <w:tcBorders>
              <w:top w:val="nil"/>
              <w:left w:val="nil"/>
              <w:bottom w:val="nil"/>
              <w:right w:val="single" w:sz="4" w:space="0" w:color="auto"/>
            </w:tcBorders>
            <w:shd w:val="clear" w:color="000000" w:fill="F2DBDB"/>
            <w:vAlign w:val="center"/>
            <w:hideMark/>
          </w:tcPr>
          <w:p w14:paraId="64AEECC0" w14:textId="77777777" w:rsidR="006D5CEC" w:rsidRPr="006D5CEC" w:rsidRDefault="006D5CEC" w:rsidP="006D5CEC">
            <w:pPr>
              <w:spacing w:after="0" w:line="240" w:lineRule="auto"/>
              <w:jc w:val="center"/>
              <w:rPr>
                <w:rFonts w:cs="Arial"/>
                <w:sz w:val="16"/>
                <w:szCs w:val="16"/>
              </w:rPr>
            </w:pPr>
            <w:r w:rsidRPr="006D5CEC">
              <w:rPr>
                <w:rFonts w:cs="Arial"/>
                <w:sz w:val="16"/>
                <w:szCs w:val="16"/>
              </w:rPr>
              <w:t>muži</w:t>
            </w:r>
          </w:p>
        </w:tc>
        <w:tc>
          <w:tcPr>
            <w:tcW w:w="652" w:type="dxa"/>
            <w:tcBorders>
              <w:top w:val="nil"/>
              <w:left w:val="nil"/>
              <w:bottom w:val="nil"/>
              <w:right w:val="nil"/>
            </w:tcBorders>
            <w:shd w:val="clear" w:color="000000" w:fill="F2DBDB"/>
            <w:vAlign w:val="center"/>
            <w:hideMark/>
          </w:tcPr>
          <w:p w14:paraId="25BD5E97" w14:textId="77777777" w:rsidR="006D5CEC" w:rsidRPr="006D5CEC" w:rsidRDefault="006D5CEC" w:rsidP="006D5CEC">
            <w:pPr>
              <w:spacing w:after="0" w:line="240" w:lineRule="auto"/>
              <w:jc w:val="center"/>
              <w:rPr>
                <w:rFonts w:cs="Arial"/>
                <w:sz w:val="16"/>
                <w:szCs w:val="16"/>
              </w:rPr>
            </w:pPr>
            <w:r w:rsidRPr="006D5CEC">
              <w:rPr>
                <w:rFonts w:cs="Arial"/>
                <w:sz w:val="16"/>
                <w:szCs w:val="16"/>
              </w:rPr>
              <w:t>ženy</w:t>
            </w:r>
          </w:p>
        </w:tc>
      </w:tr>
      <w:tr w:rsidR="006D5CEC" w:rsidRPr="006D5CEC" w14:paraId="17C34493" w14:textId="77777777" w:rsidTr="00531B19">
        <w:trPr>
          <w:trHeight w:val="300"/>
        </w:trPr>
        <w:tc>
          <w:tcPr>
            <w:tcW w:w="1019" w:type="dxa"/>
            <w:tcBorders>
              <w:top w:val="single" w:sz="4" w:space="0" w:color="auto"/>
              <w:left w:val="nil"/>
              <w:bottom w:val="nil"/>
              <w:right w:val="single" w:sz="4" w:space="0" w:color="auto"/>
            </w:tcBorders>
            <w:shd w:val="clear" w:color="auto" w:fill="auto"/>
            <w:vAlign w:val="center"/>
            <w:hideMark/>
          </w:tcPr>
          <w:p w14:paraId="47C97D0F"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2008</w:t>
            </w:r>
          </w:p>
        </w:tc>
        <w:tc>
          <w:tcPr>
            <w:tcW w:w="819" w:type="dxa"/>
            <w:tcBorders>
              <w:top w:val="single" w:sz="4" w:space="0" w:color="auto"/>
              <w:left w:val="nil"/>
              <w:bottom w:val="nil"/>
              <w:right w:val="nil"/>
            </w:tcBorders>
            <w:shd w:val="clear" w:color="auto" w:fill="auto"/>
            <w:vAlign w:val="center"/>
            <w:hideMark/>
          </w:tcPr>
          <w:p w14:paraId="17CF85BD" w14:textId="77777777" w:rsidR="006D5CEC" w:rsidRPr="006D5CEC" w:rsidRDefault="006D5CEC" w:rsidP="00531B19">
            <w:pPr>
              <w:spacing w:after="0" w:line="240" w:lineRule="auto"/>
              <w:jc w:val="right"/>
              <w:rPr>
                <w:rFonts w:cs="Arial"/>
                <w:sz w:val="16"/>
                <w:szCs w:val="16"/>
              </w:rPr>
            </w:pPr>
            <w:r w:rsidRPr="006D5CEC">
              <w:rPr>
                <w:rFonts w:cs="Arial"/>
                <w:sz w:val="16"/>
                <w:szCs w:val="16"/>
              </w:rPr>
              <w:t>42 928</w:t>
            </w:r>
          </w:p>
        </w:tc>
        <w:tc>
          <w:tcPr>
            <w:tcW w:w="652" w:type="dxa"/>
            <w:tcBorders>
              <w:top w:val="single" w:sz="4" w:space="0" w:color="auto"/>
              <w:left w:val="nil"/>
              <w:bottom w:val="nil"/>
              <w:right w:val="nil"/>
            </w:tcBorders>
            <w:shd w:val="clear" w:color="auto" w:fill="auto"/>
            <w:vAlign w:val="center"/>
            <w:hideMark/>
          </w:tcPr>
          <w:p w14:paraId="0F4A5C9C" w14:textId="77777777" w:rsidR="006D5CEC" w:rsidRPr="006D5CEC" w:rsidRDefault="006D5CEC" w:rsidP="00531B19">
            <w:pPr>
              <w:spacing w:after="0" w:line="240" w:lineRule="auto"/>
              <w:jc w:val="right"/>
              <w:rPr>
                <w:rFonts w:cs="Arial"/>
                <w:sz w:val="16"/>
                <w:szCs w:val="16"/>
              </w:rPr>
            </w:pPr>
            <w:r w:rsidRPr="006D5CEC">
              <w:rPr>
                <w:rFonts w:cs="Arial"/>
                <w:sz w:val="16"/>
                <w:szCs w:val="16"/>
              </w:rPr>
              <w:t>19 883</w:t>
            </w:r>
          </w:p>
        </w:tc>
        <w:tc>
          <w:tcPr>
            <w:tcW w:w="652" w:type="dxa"/>
            <w:tcBorders>
              <w:top w:val="single" w:sz="4" w:space="0" w:color="auto"/>
              <w:left w:val="nil"/>
              <w:bottom w:val="nil"/>
              <w:right w:val="single" w:sz="4" w:space="0" w:color="auto"/>
            </w:tcBorders>
            <w:shd w:val="clear" w:color="auto" w:fill="auto"/>
            <w:vAlign w:val="center"/>
            <w:hideMark/>
          </w:tcPr>
          <w:p w14:paraId="32CF81F2" w14:textId="77777777" w:rsidR="006D5CEC" w:rsidRPr="006D5CEC" w:rsidRDefault="006D5CEC" w:rsidP="00531B19">
            <w:pPr>
              <w:spacing w:after="0" w:line="240" w:lineRule="auto"/>
              <w:jc w:val="right"/>
              <w:rPr>
                <w:rFonts w:cs="Arial"/>
                <w:sz w:val="16"/>
                <w:szCs w:val="16"/>
              </w:rPr>
            </w:pPr>
            <w:r w:rsidRPr="006D5CEC">
              <w:rPr>
                <w:rFonts w:cs="Arial"/>
                <w:sz w:val="16"/>
                <w:szCs w:val="16"/>
              </w:rPr>
              <w:t>23 045</w:t>
            </w:r>
          </w:p>
        </w:tc>
        <w:tc>
          <w:tcPr>
            <w:tcW w:w="822" w:type="dxa"/>
            <w:tcBorders>
              <w:top w:val="single" w:sz="4" w:space="0" w:color="auto"/>
              <w:left w:val="nil"/>
              <w:bottom w:val="nil"/>
              <w:right w:val="nil"/>
            </w:tcBorders>
            <w:shd w:val="clear" w:color="auto" w:fill="auto"/>
            <w:vAlign w:val="center"/>
            <w:hideMark/>
          </w:tcPr>
          <w:p w14:paraId="5DB9005F" w14:textId="77777777" w:rsidR="006D5CEC" w:rsidRPr="006D5CEC" w:rsidRDefault="006D5CEC" w:rsidP="00531B19">
            <w:pPr>
              <w:spacing w:after="0" w:line="240" w:lineRule="auto"/>
              <w:jc w:val="right"/>
              <w:rPr>
                <w:rFonts w:cs="Arial"/>
                <w:sz w:val="16"/>
                <w:szCs w:val="16"/>
              </w:rPr>
            </w:pPr>
            <w:r w:rsidRPr="006D5CEC">
              <w:rPr>
                <w:rFonts w:cs="Arial"/>
                <w:sz w:val="16"/>
                <w:szCs w:val="16"/>
              </w:rPr>
              <w:t>38 671</w:t>
            </w:r>
          </w:p>
        </w:tc>
        <w:tc>
          <w:tcPr>
            <w:tcW w:w="652" w:type="dxa"/>
            <w:tcBorders>
              <w:top w:val="single" w:sz="4" w:space="0" w:color="auto"/>
              <w:left w:val="nil"/>
              <w:bottom w:val="nil"/>
              <w:right w:val="nil"/>
            </w:tcBorders>
            <w:shd w:val="clear" w:color="auto" w:fill="auto"/>
            <w:vAlign w:val="center"/>
            <w:hideMark/>
          </w:tcPr>
          <w:p w14:paraId="1D502617" w14:textId="77777777" w:rsidR="006D5CEC" w:rsidRPr="006D5CEC" w:rsidRDefault="006D5CEC" w:rsidP="00531B19">
            <w:pPr>
              <w:spacing w:after="0" w:line="240" w:lineRule="auto"/>
              <w:jc w:val="right"/>
              <w:rPr>
                <w:rFonts w:cs="Arial"/>
                <w:sz w:val="16"/>
                <w:szCs w:val="16"/>
              </w:rPr>
            </w:pPr>
            <w:r w:rsidRPr="006D5CEC">
              <w:rPr>
                <w:rFonts w:cs="Arial"/>
                <w:sz w:val="16"/>
                <w:szCs w:val="16"/>
              </w:rPr>
              <w:t>16 918</w:t>
            </w:r>
          </w:p>
        </w:tc>
        <w:tc>
          <w:tcPr>
            <w:tcW w:w="652" w:type="dxa"/>
            <w:tcBorders>
              <w:top w:val="single" w:sz="4" w:space="0" w:color="auto"/>
              <w:left w:val="nil"/>
              <w:bottom w:val="nil"/>
              <w:right w:val="single" w:sz="4" w:space="0" w:color="auto"/>
            </w:tcBorders>
            <w:shd w:val="clear" w:color="auto" w:fill="auto"/>
            <w:vAlign w:val="center"/>
            <w:hideMark/>
          </w:tcPr>
          <w:p w14:paraId="26D1F136" w14:textId="77777777" w:rsidR="006D5CEC" w:rsidRPr="006D5CEC" w:rsidRDefault="006D5CEC" w:rsidP="00531B19">
            <w:pPr>
              <w:spacing w:after="0" w:line="240" w:lineRule="auto"/>
              <w:jc w:val="right"/>
              <w:rPr>
                <w:rFonts w:cs="Arial"/>
                <w:sz w:val="16"/>
                <w:szCs w:val="16"/>
              </w:rPr>
            </w:pPr>
            <w:r w:rsidRPr="006D5CEC">
              <w:rPr>
                <w:rFonts w:cs="Arial"/>
                <w:sz w:val="16"/>
                <w:szCs w:val="16"/>
              </w:rPr>
              <w:t>21 752</w:t>
            </w:r>
          </w:p>
        </w:tc>
        <w:tc>
          <w:tcPr>
            <w:tcW w:w="822" w:type="dxa"/>
            <w:tcBorders>
              <w:top w:val="single" w:sz="4" w:space="0" w:color="auto"/>
              <w:left w:val="nil"/>
              <w:bottom w:val="nil"/>
              <w:right w:val="nil"/>
            </w:tcBorders>
            <w:shd w:val="clear" w:color="auto" w:fill="auto"/>
            <w:vAlign w:val="center"/>
            <w:hideMark/>
          </w:tcPr>
          <w:p w14:paraId="5F1F6893" w14:textId="77777777" w:rsidR="006D5CEC" w:rsidRPr="006D5CEC" w:rsidRDefault="006D5CEC" w:rsidP="00531B19">
            <w:pPr>
              <w:spacing w:after="0" w:line="240" w:lineRule="auto"/>
              <w:jc w:val="right"/>
              <w:rPr>
                <w:rFonts w:cs="Arial"/>
                <w:sz w:val="16"/>
                <w:szCs w:val="16"/>
              </w:rPr>
            </w:pPr>
            <w:r w:rsidRPr="006D5CEC">
              <w:rPr>
                <w:rFonts w:cs="Arial"/>
                <w:sz w:val="16"/>
                <w:szCs w:val="16"/>
              </w:rPr>
              <w:t>1 709</w:t>
            </w:r>
          </w:p>
        </w:tc>
        <w:tc>
          <w:tcPr>
            <w:tcW w:w="652" w:type="dxa"/>
            <w:tcBorders>
              <w:top w:val="single" w:sz="4" w:space="0" w:color="auto"/>
              <w:left w:val="nil"/>
              <w:bottom w:val="nil"/>
              <w:right w:val="nil"/>
            </w:tcBorders>
            <w:shd w:val="clear" w:color="auto" w:fill="auto"/>
            <w:vAlign w:val="center"/>
            <w:hideMark/>
          </w:tcPr>
          <w:p w14:paraId="52FBC5F0" w14:textId="77777777" w:rsidR="006D5CEC" w:rsidRPr="006D5CEC" w:rsidRDefault="006D5CEC" w:rsidP="00531B19">
            <w:pPr>
              <w:spacing w:after="0" w:line="240" w:lineRule="auto"/>
              <w:jc w:val="right"/>
              <w:rPr>
                <w:rFonts w:cs="Arial"/>
                <w:sz w:val="16"/>
                <w:szCs w:val="16"/>
              </w:rPr>
            </w:pPr>
            <w:r w:rsidRPr="006D5CEC">
              <w:rPr>
                <w:rFonts w:cs="Arial"/>
                <w:sz w:val="16"/>
                <w:szCs w:val="16"/>
              </w:rPr>
              <w:t>1 250</w:t>
            </w:r>
          </w:p>
        </w:tc>
        <w:tc>
          <w:tcPr>
            <w:tcW w:w="652" w:type="dxa"/>
            <w:tcBorders>
              <w:top w:val="single" w:sz="4" w:space="0" w:color="auto"/>
              <w:left w:val="nil"/>
              <w:bottom w:val="nil"/>
              <w:right w:val="single" w:sz="4" w:space="0" w:color="auto"/>
            </w:tcBorders>
            <w:shd w:val="clear" w:color="auto" w:fill="auto"/>
            <w:vAlign w:val="center"/>
            <w:hideMark/>
          </w:tcPr>
          <w:p w14:paraId="1FE56FAA" w14:textId="77777777" w:rsidR="006D5CEC" w:rsidRPr="006D5CEC" w:rsidRDefault="006D5CEC" w:rsidP="00531B19">
            <w:pPr>
              <w:spacing w:after="0" w:line="240" w:lineRule="auto"/>
              <w:jc w:val="right"/>
              <w:rPr>
                <w:rFonts w:cs="Arial"/>
                <w:sz w:val="16"/>
                <w:szCs w:val="16"/>
              </w:rPr>
            </w:pPr>
            <w:r w:rsidRPr="006D5CEC">
              <w:rPr>
                <w:rFonts w:cs="Arial"/>
                <w:sz w:val="16"/>
                <w:szCs w:val="16"/>
              </w:rPr>
              <w:t>459</w:t>
            </w:r>
          </w:p>
        </w:tc>
        <w:tc>
          <w:tcPr>
            <w:tcW w:w="822" w:type="dxa"/>
            <w:tcBorders>
              <w:top w:val="single" w:sz="4" w:space="0" w:color="auto"/>
              <w:left w:val="nil"/>
              <w:bottom w:val="nil"/>
              <w:right w:val="nil"/>
            </w:tcBorders>
            <w:shd w:val="clear" w:color="auto" w:fill="auto"/>
            <w:vAlign w:val="center"/>
            <w:hideMark/>
          </w:tcPr>
          <w:p w14:paraId="3FF9A0AE" w14:textId="77777777" w:rsidR="006D5CEC" w:rsidRPr="006D5CEC" w:rsidRDefault="006D5CEC" w:rsidP="00531B19">
            <w:pPr>
              <w:spacing w:after="0" w:line="240" w:lineRule="auto"/>
              <w:jc w:val="right"/>
              <w:rPr>
                <w:rFonts w:cs="Arial"/>
                <w:sz w:val="16"/>
                <w:szCs w:val="16"/>
              </w:rPr>
            </w:pPr>
            <w:r w:rsidRPr="006D5CEC">
              <w:rPr>
                <w:rFonts w:cs="Arial"/>
                <w:sz w:val="16"/>
                <w:szCs w:val="16"/>
              </w:rPr>
              <w:t>2 548</w:t>
            </w:r>
          </w:p>
        </w:tc>
        <w:tc>
          <w:tcPr>
            <w:tcW w:w="652" w:type="dxa"/>
            <w:tcBorders>
              <w:top w:val="single" w:sz="4" w:space="0" w:color="auto"/>
              <w:left w:val="nil"/>
              <w:bottom w:val="nil"/>
              <w:right w:val="nil"/>
            </w:tcBorders>
            <w:shd w:val="clear" w:color="auto" w:fill="auto"/>
            <w:vAlign w:val="center"/>
            <w:hideMark/>
          </w:tcPr>
          <w:p w14:paraId="6695F778" w14:textId="77777777" w:rsidR="006D5CEC" w:rsidRPr="006D5CEC" w:rsidRDefault="006D5CEC" w:rsidP="00531B19">
            <w:pPr>
              <w:spacing w:after="0" w:line="240" w:lineRule="auto"/>
              <w:jc w:val="right"/>
              <w:rPr>
                <w:rFonts w:cs="Arial"/>
                <w:sz w:val="16"/>
                <w:szCs w:val="16"/>
              </w:rPr>
            </w:pPr>
            <w:r w:rsidRPr="006D5CEC">
              <w:rPr>
                <w:rFonts w:cs="Arial"/>
                <w:sz w:val="16"/>
                <w:szCs w:val="16"/>
              </w:rPr>
              <w:t>1 715</w:t>
            </w:r>
          </w:p>
        </w:tc>
        <w:tc>
          <w:tcPr>
            <w:tcW w:w="652" w:type="dxa"/>
            <w:tcBorders>
              <w:top w:val="single" w:sz="4" w:space="0" w:color="auto"/>
              <w:left w:val="nil"/>
              <w:bottom w:val="nil"/>
              <w:right w:val="nil"/>
            </w:tcBorders>
            <w:shd w:val="clear" w:color="auto" w:fill="auto"/>
            <w:vAlign w:val="center"/>
            <w:hideMark/>
          </w:tcPr>
          <w:p w14:paraId="2243A2A4" w14:textId="77777777" w:rsidR="006D5CEC" w:rsidRPr="006D5CEC" w:rsidRDefault="006D5CEC" w:rsidP="00531B19">
            <w:pPr>
              <w:spacing w:after="0" w:line="240" w:lineRule="auto"/>
              <w:jc w:val="right"/>
              <w:rPr>
                <w:rFonts w:cs="Arial"/>
                <w:sz w:val="16"/>
                <w:szCs w:val="16"/>
              </w:rPr>
            </w:pPr>
            <w:r w:rsidRPr="006D5CEC">
              <w:rPr>
                <w:rFonts w:cs="Arial"/>
                <w:sz w:val="16"/>
                <w:szCs w:val="16"/>
              </w:rPr>
              <w:t>833</w:t>
            </w:r>
          </w:p>
        </w:tc>
      </w:tr>
      <w:tr w:rsidR="006D5CEC" w:rsidRPr="006D5CEC" w14:paraId="30FBEFD3"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392A6A75"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2009</w:t>
            </w:r>
          </w:p>
        </w:tc>
        <w:tc>
          <w:tcPr>
            <w:tcW w:w="819" w:type="dxa"/>
            <w:tcBorders>
              <w:top w:val="nil"/>
              <w:left w:val="nil"/>
              <w:bottom w:val="nil"/>
              <w:right w:val="nil"/>
            </w:tcBorders>
            <w:shd w:val="clear" w:color="auto" w:fill="auto"/>
            <w:vAlign w:val="center"/>
            <w:hideMark/>
          </w:tcPr>
          <w:p w14:paraId="2B42E70B" w14:textId="77777777" w:rsidR="006D5CEC" w:rsidRPr="006D5CEC" w:rsidRDefault="006D5CEC" w:rsidP="00531B19">
            <w:pPr>
              <w:spacing w:after="0" w:line="240" w:lineRule="auto"/>
              <w:jc w:val="right"/>
              <w:rPr>
                <w:rFonts w:cs="Arial"/>
                <w:sz w:val="16"/>
                <w:szCs w:val="16"/>
              </w:rPr>
            </w:pPr>
            <w:r w:rsidRPr="006D5CEC">
              <w:rPr>
                <w:rFonts w:cs="Arial"/>
                <w:sz w:val="16"/>
                <w:szCs w:val="16"/>
              </w:rPr>
              <w:t>34 202</w:t>
            </w:r>
          </w:p>
        </w:tc>
        <w:tc>
          <w:tcPr>
            <w:tcW w:w="652" w:type="dxa"/>
            <w:tcBorders>
              <w:top w:val="nil"/>
              <w:left w:val="nil"/>
              <w:bottom w:val="nil"/>
              <w:right w:val="nil"/>
            </w:tcBorders>
            <w:shd w:val="clear" w:color="auto" w:fill="auto"/>
            <w:vAlign w:val="center"/>
            <w:hideMark/>
          </w:tcPr>
          <w:p w14:paraId="40A650FC" w14:textId="77777777" w:rsidR="006D5CEC" w:rsidRPr="006D5CEC" w:rsidRDefault="006D5CEC" w:rsidP="00531B19">
            <w:pPr>
              <w:spacing w:after="0" w:line="240" w:lineRule="auto"/>
              <w:jc w:val="right"/>
              <w:rPr>
                <w:rFonts w:cs="Arial"/>
                <w:sz w:val="16"/>
                <w:szCs w:val="16"/>
              </w:rPr>
            </w:pPr>
            <w:r w:rsidRPr="006D5CEC">
              <w:rPr>
                <w:rFonts w:cs="Arial"/>
                <w:sz w:val="16"/>
                <w:szCs w:val="16"/>
              </w:rPr>
              <w:t>15 833</w:t>
            </w:r>
          </w:p>
        </w:tc>
        <w:tc>
          <w:tcPr>
            <w:tcW w:w="652" w:type="dxa"/>
            <w:tcBorders>
              <w:top w:val="nil"/>
              <w:left w:val="nil"/>
              <w:bottom w:val="nil"/>
              <w:right w:val="single" w:sz="4" w:space="0" w:color="auto"/>
            </w:tcBorders>
            <w:shd w:val="clear" w:color="auto" w:fill="auto"/>
            <w:vAlign w:val="center"/>
            <w:hideMark/>
          </w:tcPr>
          <w:p w14:paraId="477DB208" w14:textId="77777777" w:rsidR="006D5CEC" w:rsidRPr="006D5CEC" w:rsidRDefault="006D5CEC" w:rsidP="00531B19">
            <w:pPr>
              <w:spacing w:after="0" w:line="240" w:lineRule="auto"/>
              <w:jc w:val="right"/>
              <w:rPr>
                <w:rFonts w:cs="Arial"/>
                <w:sz w:val="16"/>
                <w:szCs w:val="16"/>
              </w:rPr>
            </w:pPr>
            <w:r w:rsidRPr="006D5CEC">
              <w:rPr>
                <w:rFonts w:cs="Arial"/>
                <w:sz w:val="16"/>
                <w:szCs w:val="16"/>
              </w:rPr>
              <w:t>18 369</w:t>
            </w:r>
          </w:p>
        </w:tc>
        <w:tc>
          <w:tcPr>
            <w:tcW w:w="822" w:type="dxa"/>
            <w:tcBorders>
              <w:top w:val="nil"/>
              <w:left w:val="nil"/>
              <w:bottom w:val="nil"/>
              <w:right w:val="nil"/>
            </w:tcBorders>
            <w:shd w:val="clear" w:color="auto" w:fill="auto"/>
            <w:vAlign w:val="center"/>
            <w:hideMark/>
          </w:tcPr>
          <w:p w14:paraId="3C23B89E" w14:textId="77777777" w:rsidR="006D5CEC" w:rsidRPr="006D5CEC" w:rsidRDefault="006D5CEC" w:rsidP="00531B19">
            <w:pPr>
              <w:spacing w:after="0" w:line="240" w:lineRule="auto"/>
              <w:jc w:val="right"/>
              <w:rPr>
                <w:rFonts w:cs="Arial"/>
                <w:sz w:val="16"/>
                <w:szCs w:val="16"/>
              </w:rPr>
            </w:pPr>
            <w:r w:rsidRPr="006D5CEC">
              <w:rPr>
                <w:rFonts w:cs="Arial"/>
                <w:sz w:val="16"/>
                <w:szCs w:val="16"/>
              </w:rPr>
              <w:t>30 394</w:t>
            </w:r>
          </w:p>
        </w:tc>
        <w:tc>
          <w:tcPr>
            <w:tcW w:w="652" w:type="dxa"/>
            <w:tcBorders>
              <w:top w:val="nil"/>
              <w:left w:val="nil"/>
              <w:bottom w:val="nil"/>
              <w:right w:val="nil"/>
            </w:tcBorders>
            <w:shd w:val="clear" w:color="auto" w:fill="auto"/>
            <w:vAlign w:val="center"/>
            <w:hideMark/>
          </w:tcPr>
          <w:p w14:paraId="416E6BD3" w14:textId="77777777" w:rsidR="006D5CEC" w:rsidRPr="006D5CEC" w:rsidRDefault="006D5CEC" w:rsidP="00531B19">
            <w:pPr>
              <w:spacing w:after="0" w:line="240" w:lineRule="auto"/>
              <w:jc w:val="right"/>
              <w:rPr>
                <w:rFonts w:cs="Arial"/>
                <w:sz w:val="16"/>
                <w:szCs w:val="16"/>
              </w:rPr>
            </w:pPr>
            <w:r w:rsidRPr="006D5CEC">
              <w:rPr>
                <w:rFonts w:cs="Arial"/>
                <w:sz w:val="16"/>
                <w:szCs w:val="16"/>
              </w:rPr>
              <w:t>13 238</w:t>
            </w:r>
          </w:p>
        </w:tc>
        <w:tc>
          <w:tcPr>
            <w:tcW w:w="652" w:type="dxa"/>
            <w:tcBorders>
              <w:top w:val="nil"/>
              <w:left w:val="nil"/>
              <w:bottom w:val="nil"/>
              <w:right w:val="single" w:sz="4" w:space="0" w:color="auto"/>
            </w:tcBorders>
            <w:shd w:val="clear" w:color="auto" w:fill="auto"/>
            <w:vAlign w:val="center"/>
            <w:hideMark/>
          </w:tcPr>
          <w:p w14:paraId="442B631B" w14:textId="77777777" w:rsidR="006D5CEC" w:rsidRPr="006D5CEC" w:rsidRDefault="006D5CEC" w:rsidP="00531B19">
            <w:pPr>
              <w:spacing w:after="0" w:line="240" w:lineRule="auto"/>
              <w:jc w:val="right"/>
              <w:rPr>
                <w:rFonts w:cs="Arial"/>
                <w:sz w:val="16"/>
                <w:szCs w:val="16"/>
              </w:rPr>
            </w:pPr>
            <w:r w:rsidRPr="006D5CEC">
              <w:rPr>
                <w:rFonts w:cs="Arial"/>
                <w:sz w:val="16"/>
                <w:szCs w:val="16"/>
              </w:rPr>
              <w:t>17 155</w:t>
            </w:r>
          </w:p>
        </w:tc>
        <w:tc>
          <w:tcPr>
            <w:tcW w:w="822" w:type="dxa"/>
            <w:tcBorders>
              <w:top w:val="nil"/>
              <w:left w:val="nil"/>
              <w:bottom w:val="nil"/>
              <w:right w:val="nil"/>
            </w:tcBorders>
            <w:shd w:val="clear" w:color="auto" w:fill="auto"/>
            <w:vAlign w:val="center"/>
            <w:hideMark/>
          </w:tcPr>
          <w:p w14:paraId="4F85DA66" w14:textId="77777777" w:rsidR="006D5CEC" w:rsidRPr="006D5CEC" w:rsidRDefault="006D5CEC" w:rsidP="00531B19">
            <w:pPr>
              <w:spacing w:after="0" w:line="240" w:lineRule="auto"/>
              <w:jc w:val="right"/>
              <w:rPr>
                <w:rFonts w:cs="Arial"/>
                <w:sz w:val="16"/>
                <w:szCs w:val="16"/>
              </w:rPr>
            </w:pPr>
            <w:r w:rsidRPr="006D5CEC">
              <w:rPr>
                <w:rFonts w:cs="Arial"/>
                <w:sz w:val="16"/>
                <w:szCs w:val="16"/>
              </w:rPr>
              <w:t>1 410</w:t>
            </w:r>
          </w:p>
        </w:tc>
        <w:tc>
          <w:tcPr>
            <w:tcW w:w="652" w:type="dxa"/>
            <w:tcBorders>
              <w:top w:val="nil"/>
              <w:left w:val="nil"/>
              <w:bottom w:val="nil"/>
              <w:right w:val="nil"/>
            </w:tcBorders>
            <w:shd w:val="clear" w:color="auto" w:fill="auto"/>
            <w:vAlign w:val="center"/>
            <w:hideMark/>
          </w:tcPr>
          <w:p w14:paraId="5D1861DB" w14:textId="77777777" w:rsidR="006D5CEC" w:rsidRPr="006D5CEC" w:rsidRDefault="006D5CEC" w:rsidP="00531B19">
            <w:pPr>
              <w:spacing w:after="0" w:line="240" w:lineRule="auto"/>
              <w:jc w:val="right"/>
              <w:rPr>
                <w:rFonts w:cs="Arial"/>
                <w:sz w:val="16"/>
                <w:szCs w:val="16"/>
              </w:rPr>
            </w:pPr>
            <w:r w:rsidRPr="006D5CEC">
              <w:rPr>
                <w:rFonts w:cs="Arial"/>
                <w:sz w:val="16"/>
                <w:szCs w:val="16"/>
              </w:rPr>
              <w:t>1 009</w:t>
            </w:r>
          </w:p>
        </w:tc>
        <w:tc>
          <w:tcPr>
            <w:tcW w:w="652" w:type="dxa"/>
            <w:tcBorders>
              <w:top w:val="nil"/>
              <w:left w:val="nil"/>
              <w:bottom w:val="nil"/>
              <w:right w:val="single" w:sz="4" w:space="0" w:color="auto"/>
            </w:tcBorders>
            <w:shd w:val="clear" w:color="auto" w:fill="auto"/>
            <w:vAlign w:val="center"/>
            <w:hideMark/>
          </w:tcPr>
          <w:p w14:paraId="0B6EF07E" w14:textId="77777777" w:rsidR="006D5CEC" w:rsidRPr="006D5CEC" w:rsidRDefault="006D5CEC" w:rsidP="00531B19">
            <w:pPr>
              <w:spacing w:after="0" w:line="240" w:lineRule="auto"/>
              <w:jc w:val="right"/>
              <w:rPr>
                <w:rFonts w:cs="Arial"/>
                <w:sz w:val="16"/>
                <w:szCs w:val="16"/>
              </w:rPr>
            </w:pPr>
            <w:r w:rsidRPr="006D5CEC">
              <w:rPr>
                <w:rFonts w:cs="Arial"/>
                <w:sz w:val="16"/>
                <w:szCs w:val="16"/>
              </w:rPr>
              <w:t>401</w:t>
            </w:r>
          </w:p>
        </w:tc>
        <w:tc>
          <w:tcPr>
            <w:tcW w:w="822" w:type="dxa"/>
            <w:tcBorders>
              <w:top w:val="nil"/>
              <w:left w:val="nil"/>
              <w:bottom w:val="nil"/>
              <w:right w:val="nil"/>
            </w:tcBorders>
            <w:shd w:val="clear" w:color="auto" w:fill="auto"/>
            <w:vAlign w:val="center"/>
            <w:hideMark/>
          </w:tcPr>
          <w:p w14:paraId="3A0CD4C3" w14:textId="77777777" w:rsidR="006D5CEC" w:rsidRPr="006D5CEC" w:rsidRDefault="006D5CEC" w:rsidP="00531B19">
            <w:pPr>
              <w:spacing w:after="0" w:line="240" w:lineRule="auto"/>
              <w:jc w:val="right"/>
              <w:rPr>
                <w:rFonts w:cs="Arial"/>
                <w:sz w:val="16"/>
                <w:szCs w:val="16"/>
              </w:rPr>
            </w:pPr>
            <w:r w:rsidRPr="006D5CEC">
              <w:rPr>
                <w:rFonts w:cs="Arial"/>
                <w:sz w:val="16"/>
                <w:szCs w:val="16"/>
              </w:rPr>
              <w:t>2 396</w:t>
            </w:r>
          </w:p>
        </w:tc>
        <w:tc>
          <w:tcPr>
            <w:tcW w:w="652" w:type="dxa"/>
            <w:tcBorders>
              <w:top w:val="nil"/>
              <w:left w:val="nil"/>
              <w:bottom w:val="nil"/>
              <w:right w:val="nil"/>
            </w:tcBorders>
            <w:shd w:val="clear" w:color="auto" w:fill="auto"/>
            <w:vAlign w:val="center"/>
            <w:hideMark/>
          </w:tcPr>
          <w:p w14:paraId="194AFF27" w14:textId="77777777" w:rsidR="006D5CEC" w:rsidRPr="006D5CEC" w:rsidRDefault="006D5CEC" w:rsidP="00531B19">
            <w:pPr>
              <w:spacing w:after="0" w:line="240" w:lineRule="auto"/>
              <w:jc w:val="right"/>
              <w:rPr>
                <w:rFonts w:cs="Arial"/>
                <w:sz w:val="16"/>
                <w:szCs w:val="16"/>
              </w:rPr>
            </w:pPr>
            <w:r w:rsidRPr="006D5CEC">
              <w:rPr>
                <w:rFonts w:cs="Arial"/>
                <w:sz w:val="16"/>
                <w:szCs w:val="16"/>
              </w:rPr>
              <w:t>1 584</w:t>
            </w:r>
          </w:p>
        </w:tc>
        <w:tc>
          <w:tcPr>
            <w:tcW w:w="652" w:type="dxa"/>
            <w:tcBorders>
              <w:top w:val="nil"/>
              <w:left w:val="nil"/>
              <w:bottom w:val="nil"/>
              <w:right w:val="nil"/>
            </w:tcBorders>
            <w:shd w:val="clear" w:color="auto" w:fill="auto"/>
            <w:vAlign w:val="center"/>
            <w:hideMark/>
          </w:tcPr>
          <w:p w14:paraId="6D2B4B7D" w14:textId="77777777" w:rsidR="006D5CEC" w:rsidRPr="006D5CEC" w:rsidRDefault="006D5CEC" w:rsidP="00531B19">
            <w:pPr>
              <w:spacing w:after="0" w:line="240" w:lineRule="auto"/>
              <w:jc w:val="right"/>
              <w:rPr>
                <w:rFonts w:cs="Arial"/>
                <w:sz w:val="16"/>
                <w:szCs w:val="16"/>
              </w:rPr>
            </w:pPr>
            <w:r w:rsidRPr="006D5CEC">
              <w:rPr>
                <w:rFonts w:cs="Arial"/>
                <w:sz w:val="16"/>
                <w:szCs w:val="16"/>
              </w:rPr>
              <w:t>812</w:t>
            </w:r>
          </w:p>
        </w:tc>
      </w:tr>
      <w:tr w:rsidR="006D5CEC" w:rsidRPr="006D5CEC" w14:paraId="300933E2"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4C2C3D68"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2010</w:t>
            </w:r>
          </w:p>
        </w:tc>
        <w:tc>
          <w:tcPr>
            <w:tcW w:w="819" w:type="dxa"/>
            <w:tcBorders>
              <w:top w:val="nil"/>
              <w:left w:val="nil"/>
              <w:bottom w:val="nil"/>
              <w:right w:val="nil"/>
            </w:tcBorders>
            <w:shd w:val="clear" w:color="auto" w:fill="auto"/>
            <w:vAlign w:val="center"/>
            <w:hideMark/>
          </w:tcPr>
          <w:p w14:paraId="583C8AC2" w14:textId="77777777" w:rsidR="006D5CEC" w:rsidRPr="006D5CEC" w:rsidRDefault="006D5CEC" w:rsidP="00531B19">
            <w:pPr>
              <w:spacing w:after="0" w:line="240" w:lineRule="auto"/>
              <w:jc w:val="right"/>
              <w:rPr>
                <w:rFonts w:cs="Arial"/>
                <w:sz w:val="16"/>
                <w:szCs w:val="16"/>
              </w:rPr>
            </w:pPr>
            <w:r w:rsidRPr="006D5CEC">
              <w:rPr>
                <w:rFonts w:cs="Arial"/>
                <w:sz w:val="16"/>
                <w:szCs w:val="16"/>
              </w:rPr>
              <w:t>31 321</w:t>
            </w:r>
          </w:p>
        </w:tc>
        <w:tc>
          <w:tcPr>
            <w:tcW w:w="652" w:type="dxa"/>
            <w:tcBorders>
              <w:top w:val="nil"/>
              <w:left w:val="nil"/>
              <w:bottom w:val="nil"/>
              <w:right w:val="nil"/>
            </w:tcBorders>
            <w:shd w:val="clear" w:color="auto" w:fill="auto"/>
            <w:vAlign w:val="center"/>
            <w:hideMark/>
          </w:tcPr>
          <w:p w14:paraId="25A4155C" w14:textId="77777777" w:rsidR="006D5CEC" w:rsidRPr="006D5CEC" w:rsidRDefault="006D5CEC" w:rsidP="00531B19">
            <w:pPr>
              <w:spacing w:after="0" w:line="240" w:lineRule="auto"/>
              <w:jc w:val="right"/>
              <w:rPr>
                <w:rFonts w:cs="Arial"/>
                <w:sz w:val="16"/>
                <w:szCs w:val="16"/>
              </w:rPr>
            </w:pPr>
            <w:r w:rsidRPr="006D5CEC">
              <w:rPr>
                <w:rFonts w:cs="Arial"/>
                <w:sz w:val="16"/>
                <w:szCs w:val="16"/>
              </w:rPr>
              <w:t>14 923</w:t>
            </w:r>
          </w:p>
        </w:tc>
        <w:tc>
          <w:tcPr>
            <w:tcW w:w="652" w:type="dxa"/>
            <w:tcBorders>
              <w:top w:val="nil"/>
              <w:left w:val="nil"/>
              <w:bottom w:val="nil"/>
              <w:right w:val="single" w:sz="4" w:space="0" w:color="auto"/>
            </w:tcBorders>
            <w:shd w:val="clear" w:color="auto" w:fill="auto"/>
            <w:vAlign w:val="center"/>
            <w:hideMark/>
          </w:tcPr>
          <w:p w14:paraId="22D43EF1" w14:textId="77777777" w:rsidR="006D5CEC" w:rsidRPr="006D5CEC" w:rsidRDefault="006D5CEC" w:rsidP="00531B19">
            <w:pPr>
              <w:spacing w:after="0" w:line="240" w:lineRule="auto"/>
              <w:jc w:val="right"/>
              <w:rPr>
                <w:rFonts w:cs="Arial"/>
                <w:sz w:val="16"/>
                <w:szCs w:val="16"/>
              </w:rPr>
            </w:pPr>
            <w:r w:rsidRPr="006D5CEC">
              <w:rPr>
                <w:rFonts w:cs="Arial"/>
                <w:sz w:val="16"/>
                <w:szCs w:val="16"/>
              </w:rPr>
              <w:t>16 397</w:t>
            </w:r>
          </w:p>
        </w:tc>
        <w:tc>
          <w:tcPr>
            <w:tcW w:w="822" w:type="dxa"/>
            <w:tcBorders>
              <w:top w:val="nil"/>
              <w:left w:val="nil"/>
              <w:bottom w:val="nil"/>
              <w:right w:val="nil"/>
            </w:tcBorders>
            <w:shd w:val="clear" w:color="auto" w:fill="auto"/>
            <w:vAlign w:val="center"/>
            <w:hideMark/>
          </w:tcPr>
          <w:p w14:paraId="437F7932" w14:textId="77777777" w:rsidR="006D5CEC" w:rsidRPr="006D5CEC" w:rsidRDefault="006D5CEC" w:rsidP="00531B19">
            <w:pPr>
              <w:spacing w:after="0" w:line="240" w:lineRule="auto"/>
              <w:jc w:val="right"/>
              <w:rPr>
                <w:rFonts w:cs="Arial"/>
                <w:sz w:val="16"/>
                <w:szCs w:val="16"/>
              </w:rPr>
            </w:pPr>
            <w:r w:rsidRPr="006D5CEC">
              <w:rPr>
                <w:rFonts w:cs="Arial"/>
                <w:sz w:val="16"/>
                <w:szCs w:val="16"/>
              </w:rPr>
              <w:t>27 481</w:t>
            </w:r>
          </w:p>
        </w:tc>
        <w:tc>
          <w:tcPr>
            <w:tcW w:w="652" w:type="dxa"/>
            <w:tcBorders>
              <w:top w:val="nil"/>
              <w:left w:val="nil"/>
              <w:bottom w:val="nil"/>
              <w:right w:val="nil"/>
            </w:tcBorders>
            <w:shd w:val="clear" w:color="auto" w:fill="auto"/>
            <w:vAlign w:val="center"/>
            <w:hideMark/>
          </w:tcPr>
          <w:p w14:paraId="0C593E3F" w14:textId="77777777" w:rsidR="006D5CEC" w:rsidRPr="006D5CEC" w:rsidRDefault="006D5CEC" w:rsidP="00531B19">
            <w:pPr>
              <w:spacing w:after="0" w:line="240" w:lineRule="auto"/>
              <w:jc w:val="right"/>
              <w:rPr>
                <w:rFonts w:cs="Arial"/>
                <w:sz w:val="16"/>
                <w:szCs w:val="16"/>
              </w:rPr>
            </w:pPr>
            <w:r w:rsidRPr="006D5CEC">
              <w:rPr>
                <w:rFonts w:cs="Arial"/>
                <w:sz w:val="16"/>
                <w:szCs w:val="16"/>
              </w:rPr>
              <w:t>12 349</w:t>
            </w:r>
          </w:p>
        </w:tc>
        <w:tc>
          <w:tcPr>
            <w:tcW w:w="652" w:type="dxa"/>
            <w:tcBorders>
              <w:top w:val="nil"/>
              <w:left w:val="nil"/>
              <w:bottom w:val="nil"/>
              <w:right w:val="single" w:sz="4" w:space="0" w:color="auto"/>
            </w:tcBorders>
            <w:shd w:val="clear" w:color="auto" w:fill="auto"/>
            <w:vAlign w:val="center"/>
            <w:hideMark/>
          </w:tcPr>
          <w:p w14:paraId="56B5AA83" w14:textId="77777777" w:rsidR="006D5CEC" w:rsidRPr="006D5CEC" w:rsidRDefault="006D5CEC" w:rsidP="00531B19">
            <w:pPr>
              <w:spacing w:after="0" w:line="240" w:lineRule="auto"/>
              <w:jc w:val="right"/>
              <w:rPr>
                <w:rFonts w:cs="Arial"/>
                <w:sz w:val="16"/>
                <w:szCs w:val="16"/>
              </w:rPr>
            </w:pPr>
            <w:r w:rsidRPr="006D5CEC">
              <w:rPr>
                <w:rFonts w:cs="Arial"/>
                <w:sz w:val="16"/>
                <w:szCs w:val="16"/>
              </w:rPr>
              <w:t>15 131</w:t>
            </w:r>
          </w:p>
        </w:tc>
        <w:tc>
          <w:tcPr>
            <w:tcW w:w="822" w:type="dxa"/>
            <w:tcBorders>
              <w:top w:val="nil"/>
              <w:left w:val="nil"/>
              <w:bottom w:val="nil"/>
              <w:right w:val="nil"/>
            </w:tcBorders>
            <w:shd w:val="clear" w:color="auto" w:fill="auto"/>
            <w:vAlign w:val="center"/>
            <w:hideMark/>
          </w:tcPr>
          <w:p w14:paraId="125B4334" w14:textId="77777777" w:rsidR="006D5CEC" w:rsidRPr="006D5CEC" w:rsidRDefault="006D5CEC" w:rsidP="00531B19">
            <w:pPr>
              <w:spacing w:after="0" w:line="240" w:lineRule="auto"/>
              <w:jc w:val="right"/>
              <w:rPr>
                <w:rFonts w:cs="Arial"/>
                <w:sz w:val="16"/>
                <w:szCs w:val="16"/>
              </w:rPr>
            </w:pPr>
            <w:r w:rsidRPr="006D5CEC">
              <w:rPr>
                <w:rFonts w:cs="Arial"/>
                <w:sz w:val="16"/>
                <w:szCs w:val="16"/>
              </w:rPr>
              <w:t>1 375</w:t>
            </w:r>
          </w:p>
        </w:tc>
        <w:tc>
          <w:tcPr>
            <w:tcW w:w="652" w:type="dxa"/>
            <w:tcBorders>
              <w:top w:val="nil"/>
              <w:left w:val="nil"/>
              <w:bottom w:val="nil"/>
              <w:right w:val="nil"/>
            </w:tcBorders>
            <w:shd w:val="clear" w:color="auto" w:fill="auto"/>
            <w:vAlign w:val="center"/>
            <w:hideMark/>
          </w:tcPr>
          <w:p w14:paraId="522DCCAD" w14:textId="77777777" w:rsidR="006D5CEC" w:rsidRPr="006D5CEC" w:rsidRDefault="006D5CEC" w:rsidP="00531B19">
            <w:pPr>
              <w:spacing w:after="0" w:line="240" w:lineRule="auto"/>
              <w:jc w:val="right"/>
              <w:rPr>
                <w:rFonts w:cs="Arial"/>
                <w:sz w:val="16"/>
                <w:szCs w:val="16"/>
              </w:rPr>
            </w:pPr>
            <w:r w:rsidRPr="006D5CEC">
              <w:rPr>
                <w:rFonts w:cs="Arial"/>
                <w:sz w:val="16"/>
                <w:szCs w:val="16"/>
              </w:rPr>
              <w:t>975</w:t>
            </w:r>
          </w:p>
        </w:tc>
        <w:tc>
          <w:tcPr>
            <w:tcW w:w="652" w:type="dxa"/>
            <w:tcBorders>
              <w:top w:val="nil"/>
              <w:left w:val="nil"/>
              <w:bottom w:val="nil"/>
              <w:right w:val="single" w:sz="4" w:space="0" w:color="auto"/>
            </w:tcBorders>
            <w:shd w:val="clear" w:color="auto" w:fill="auto"/>
            <w:vAlign w:val="center"/>
            <w:hideMark/>
          </w:tcPr>
          <w:p w14:paraId="4211D7D3" w14:textId="77777777" w:rsidR="006D5CEC" w:rsidRPr="006D5CEC" w:rsidRDefault="006D5CEC" w:rsidP="00531B19">
            <w:pPr>
              <w:spacing w:after="0" w:line="240" w:lineRule="auto"/>
              <w:jc w:val="right"/>
              <w:rPr>
                <w:rFonts w:cs="Arial"/>
                <w:sz w:val="16"/>
                <w:szCs w:val="16"/>
              </w:rPr>
            </w:pPr>
            <w:r w:rsidRPr="006D5CEC">
              <w:rPr>
                <w:rFonts w:cs="Arial"/>
                <w:sz w:val="16"/>
                <w:szCs w:val="16"/>
              </w:rPr>
              <w:t>400</w:t>
            </w:r>
          </w:p>
        </w:tc>
        <w:tc>
          <w:tcPr>
            <w:tcW w:w="822" w:type="dxa"/>
            <w:tcBorders>
              <w:top w:val="nil"/>
              <w:left w:val="nil"/>
              <w:bottom w:val="nil"/>
              <w:right w:val="nil"/>
            </w:tcBorders>
            <w:shd w:val="clear" w:color="auto" w:fill="auto"/>
            <w:vAlign w:val="center"/>
            <w:hideMark/>
          </w:tcPr>
          <w:p w14:paraId="41917E5D" w14:textId="77777777" w:rsidR="006D5CEC" w:rsidRPr="006D5CEC" w:rsidRDefault="006D5CEC" w:rsidP="00531B19">
            <w:pPr>
              <w:spacing w:after="0" w:line="240" w:lineRule="auto"/>
              <w:jc w:val="right"/>
              <w:rPr>
                <w:rFonts w:cs="Arial"/>
                <w:sz w:val="16"/>
                <w:szCs w:val="16"/>
              </w:rPr>
            </w:pPr>
            <w:r w:rsidRPr="006D5CEC">
              <w:rPr>
                <w:rFonts w:cs="Arial"/>
                <w:sz w:val="16"/>
                <w:szCs w:val="16"/>
              </w:rPr>
              <w:t>2 465</w:t>
            </w:r>
          </w:p>
        </w:tc>
        <w:tc>
          <w:tcPr>
            <w:tcW w:w="652" w:type="dxa"/>
            <w:tcBorders>
              <w:top w:val="nil"/>
              <w:left w:val="nil"/>
              <w:bottom w:val="nil"/>
              <w:right w:val="nil"/>
            </w:tcBorders>
            <w:shd w:val="clear" w:color="auto" w:fill="auto"/>
            <w:vAlign w:val="center"/>
            <w:hideMark/>
          </w:tcPr>
          <w:p w14:paraId="05A97EEB" w14:textId="77777777" w:rsidR="006D5CEC" w:rsidRPr="006D5CEC" w:rsidRDefault="006D5CEC" w:rsidP="00531B19">
            <w:pPr>
              <w:spacing w:after="0" w:line="240" w:lineRule="auto"/>
              <w:jc w:val="right"/>
              <w:rPr>
                <w:rFonts w:cs="Arial"/>
                <w:sz w:val="16"/>
                <w:szCs w:val="16"/>
              </w:rPr>
            </w:pPr>
            <w:r w:rsidRPr="006D5CEC">
              <w:rPr>
                <w:rFonts w:cs="Arial"/>
                <w:sz w:val="16"/>
                <w:szCs w:val="16"/>
              </w:rPr>
              <w:t>1 600</w:t>
            </w:r>
          </w:p>
        </w:tc>
        <w:tc>
          <w:tcPr>
            <w:tcW w:w="652" w:type="dxa"/>
            <w:tcBorders>
              <w:top w:val="nil"/>
              <w:left w:val="nil"/>
              <w:bottom w:val="nil"/>
              <w:right w:val="nil"/>
            </w:tcBorders>
            <w:shd w:val="clear" w:color="auto" w:fill="auto"/>
            <w:vAlign w:val="center"/>
            <w:hideMark/>
          </w:tcPr>
          <w:p w14:paraId="5276BBA3" w14:textId="77777777" w:rsidR="006D5CEC" w:rsidRPr="006D5CEC" w:rsidRDefault="006D5CEC" w:rsidP="00531B19">
            <w:pPr>
              <w:spacing w:after="0" w:line="240" w:lineRule="auto"/>
              <w:jc w:val="right"/>
              <w:rPr>
                <w:rFonts w:cs="Arial"/>
                <w:sz w:val="16"/>
                <w:szCs w:val="16"/>
              </w:rPr>
            </w:pPr>
            <w:r w:rsidRPr="006D5CEC">
              <w:rPr>
                <w:rFonts w:cs="Arial"/>
                <w:sz w:val="16"/>
                <w:szCs w:val="16"/>
              </w:rPr>
              <w:t>866</w:t>
            </w:r>
          </w:p>
        </w:tc>
      </w:tr>
      <w:tr w:rsidR="006D5CEC" w:rsidRPr="006D5CEC" w14:paraId="7AAB9F88"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6C182C82"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2011</w:t>
            </w:r>
          </w:p>
        </w:tc>
        <w:tc>
          <w:tcPr>
            <w:tcW w:w="819" w:type="dxa"/>
            <w:tcBorders>
              <w:top w:val="nil"/>
              <w:left w:val="nil"/>
              <w:bottom w:val="nil"/>
              <w:right w:val="nil"/>
            </w:tcBorders>
            <w:shd w:val="clear" w:color="auto" w:fill="auto"/>
            <w:vAlign w:val="center"/>
            <w:hideMark/>
          </w:tcPr>
          <w:p w14:paraId="76705509" w14:textId="77777777" w:rsidR="006D5CEC" w:rsidRPr="006D5CEC" w:rsidRDefault="006D5CEC" w:rsidP="00531B19">
            <w:pPr>
              <w:spacing w:after="0" w:line="240" w:lineRule="auto"/>
              <w:jc w:val="right"/>
              <w:rPr>
                <w:rFonts w:cs="Arial"/>
                <w:sz w:val="16"/>
                <w:szCs w:val="16"/>
              </w:rPr>
            </w:pPr>
            <w:r w:rsidRPr="006D5CEC">
              <w:rPr>
                <w:rFonts w:cs="Arial"/>
                <w:sz w:val="16"/>
                <w:szCs w:val="16"/>
              </w:rPr>
              <w:t>30 388</w:t>
            </w:r>
          </w:p>
        </w:tc>
        <w:tc>
          <w:tcPr>
            <w:tcW w:w="652" w:type="dxa"/>
            <w:tcBorders>
              <w:top w:val="nil"/>
              <w:left w:val="nil"/>
              <w:bottom w:val="nil"/>
              <w:right w:val="nil"/>
            </w:tcBorders>
            <w:shd w:val="clear" w:color="auto" w:fill="auto"/>
            <w:vAlign w:val="center"/>
            <w:hideMark/>
          </w:tcPr>
          <w:p w14:paraId="4E7B23FE" w14:textId="77777777" w:rsidR="006D5CEC" w:rsidRPr="006D5CEC" w:rsidRDefault="006D5CEC" w:rsidP="00531B19">
            <w:pPr>
              <w:spacing w:after="0" w:line="240" w:lineRule="auto"/>
              <w:jc w:val="right"/>
              <w:rPr>
                <w:rFonts w:cs="Arial"/>
                <w:sz w:val="16"/>
                <w:szCs w:val="16"/>
              </w:rPr>
            </w:pPr>
            <w:r w:rsidRPr="006D5CEC">
              <w:rPr>
                <w:rFonts w:cs="Arial"/>
                <w:sz w:val="16"/>
                <w:szCs w:val="16"/>
              </w:rPr>
              <w:t>14 270</w:t>
            </w:r>
          </w:p>
        </w:tc>
        <w:tc>
          <w:tcPr>
            <w:tcW w:w="652" w:type="dxa"/>
            <w:tcBorders>
              <w:top w:val="nil"/>
              <w:left w:val="nil"/>
              <w:bottom w:val="nil"/>
              <w:right w:val="single" w:sz="4" w:space="0" w:color="auto"/>
            </w:tcBorders>
            <w:shd w:val="clear" w:color="auto" w:fill="auto"/>
            <w:vAlign w:val="center"/>
            <w:hideMark/>
          </w:tcPr>
          <w:p w14:paraId="6520AC80" w14:textId="77777777" w:rsidR="006D5CEC" w:rsidRPr="006D5CEC" w:rsidRDefault="006D5CEC" w:rsidP="00531B19">
            <w:pPr>
              <w:spacing w:after="0" w:line="240" w:lineRule="auto"/>
              <w:jc w:val="right"/>
              <w:rPr>
                <w:rFonts w:cs="Arial"/>
                <w:sz w:val="16"/>
                <w:szCs w:val="16"/>
              </w:rPr>
            </w:pPr>
            <w:r w:rsidRPr="006D5CEC">
              <w:rPr>
                <w:rFonts w:cs="Arial"/>
                <w:sz w:val="16"/>
                <w:szCs w:val="16"/>
              </w:rPr>
              <w:t>16 118</w:t>
            </w:r>
          </w:p>
        </w:tc>
        <w:tc>
          <w:tcPr>
            <w:tcW w:w="822" w:type="dxa"/>
            <w:tcBorders>
              <w:top w:val="nil"/>
              <w:left w:val="nil"/>
              <w:bottom w:val="nil"/>
              <w:right w:val="nil"/>
            </w:tcBorders>
            <w:shd w:val="clear" w:color="auto" w:fill="auto"/>
            <w:vAlign w:val="center"/>
            <w:hideMark/>
          </w:tcPr>
          <w:p w14:paraId="3186938D" w14:textId="77777777" w:rsidR="006D5CEC" w:rsidRPr="006D5CEC" w:rsidRDefault="006D5CEC" w:rsidP="00531B19">
            <w:pPr>
              <w:spacing w:after="0" w:line="240" w:lineRule="auto"/>
              <w:jc w:val="right"/>
              <w:rPr>
                <w:rFonts w:cs="Arial"/>
                <w:sz w:val="16"/>
                <w:szCs w:val="16"/>
              </w:rPr>
            </w:pPr>
            <w:r w:rsidRPr="006D5CEC">
              <w:rPr>
                <w:rFonts w:cs="Arial"/>
                <w:sz w:val="16"/>
                <w:szCs w:val="16"/>
              </w:rPr>
              <w:t>26 746</w:t>
            </w:r>
          </w:p>
        </w:tc>
        <w:tc>
          <w:tcPr>
            <w:tcW w:w="652" w:type="dxa"/>
            <w:tcBorders>
              <w:top w:val="nil"/>
              <w:left w:val="nil"/>
              <w:bottom w:val="nil"/>
              <w:right w:val="nil"/>
            </w:tcBorders>
            <w:shd w:val="clear" w:color="auto" w:fill="auto"/>
            <w:vAlign w:val="center"/>
            <w:hideMark/>
          </w:tcPr>
          <w:p w14:paraId="12D75507" w14:textId="77777777" w:rsidR="006D5CEC" w:rsidRPr="006D5CEC" w:rsidRDefault="006D5CEC" w:rsidP="00531B19">
            <w:pPr>
              <w:spacing w:after="0" w:line="240" w:lineRule="auto"/>
              <w:jc w:val="right"/>
              <w:rPr>
                <w:rFonts w:cs="Arial"/>
                <w:sz w:val="16"/>
                <w:szCs w:val="16"/>
              </w:rPr>
            </w:pPr>
            <w:r w:rsidRPr="006D5CEC">
              <w:rPr>
                <w:rFonts w:cs="Arial"/>
                <w:sz w:val="16"/>
                <w:szCs w:val="16"/>
              </w:rPr>
              <w:t>11 835</w:t>
            </w:r>
          </w:p>
        </w:tc>
        <w:tc>
          <w:tcPr>
            <w:tcW w:w="652" w:type="dxa"/>
            <w:tcBorders>
              <w:top w:val="nil"/>
              <w:left w:val="nil"/>
              <w:bottom w:val="nil"/>
              <w:right w:val="single" w:sz="4" w:space="0" w:color="auto"/>
            </w:tcBorders>
            <w:shd w:val="clear" w:color="auto" w:fill="auto"/>
            <w:vAlign w:val="center"/>
            <w:hideMark/>
          </w:tcPr>
          <w:p w14:paraId="69E5A7FC" w14:textId="77777777" w:rsidR="006D5CEC" w:rsidRPr="006D5CEC" w:rsidRDefault="006D5CEC" w:rsidP="00531B19">
            <w:pPr>
              <w:spacing w:after="0" w:line="240" w:lineRule="auto"/>
              <w:jc w:val="right"/>
              <w:rPr>
                <w:rFonts w:cs="Arial"/>
                <w:sz w:val="16"/>
                <w:szCs w:val="16"/>
              </w:rPr>
            </w:pPr>
            <w:r w:rsidRPr="006D5CEC">
              <w:rPr>
                <w:rFonts w:cs="Arial"/>
                <w:sz w:val="16"/>
                <w:szCs w:val="16"/>
              </w:rPr>
              <w:t>14 910</w:t>
            </w:r>
          </w:p>
        </w:tc>
        <w:tc>
          <w:tcPr>
            <w:tcW w:w="822" w:type="dxa"/>
            <w:tcBorders>
              <w:top w:val="nil"/>
              <w:left w:val="nil"/>
              <w:bottom w:val="nil"/>
              <w:right w:val="nil"/>
            </w:tcBorders>
            <w:shd w:val="clear" w:color="auto" w:fill="auto"/>
            <w:vAlign w:val="center"/>
            <w:hideMark/>
          </w:tcPr>
          <w:p w14:paraId="2A6A6276" w14:textId="77777777" w:rsidR="006D5CEC" w:rsidRPr="006D5CEC" w:rsidRDefault="006D5CEC" w:rsidP="00531B19">
            <w:pPr>
              <w:spacing w:after="0" w:line="240" w:lineRule="auto"/>
              <w:jc w:val="right"/>
              <w:rPr>
                <w:rFonts w:cs="Arial"/>
                <w:sz w:val="16"/>
                <w:szCs w:val="16"/>
              </w:rPr>
            </w:pPr>
            <w:r w:rsidRPr="006D5CEC">
              <w:rPr>
                <w:rFonts w:cs="Arial"/>
                <w:sz w:val="16"/>
                <w:szCs w:val="16"/>
              </w:rPr>
              <w:t>1 331</w:t>
            </w:r>
          </w:p>
        </w:tc>
        <w:tc>
          <w:tcPr>
            <w:tcW w:w="652" w:type="dxa"/>
            <w:tcBorders>
              <w:top w:val="nil"/>
              <w:left w:val="nil"/>
              <w:bottom w:val="nil"/>
              <w:right w:val="nil"/>
            </w:tcBorders>
            <w:shd w:val="clear" w:color="auto" w:fill="auto"/>
            <w:vAlign w:val="center"/>
            <w:hideMark/>
          </w:tcPr>
          <w:p w14:paraId="4E5022A1" w14:textId="77777777" w:rsidR="006D5CEC" w:rsidRPr="006D5CEC" w:rsidRDefault="006D5CEC" w:rsidP="00531B19">
            <w:pPr>
              <w:spacing w:after="0" w:line="240" w:lineRule="auto"/>
              <w:jc w:val="right"/>
              <w:rPr>
                <w:rFonts w:cs="Arial"/>
                <w:sz w:val="16"/>
                <w:szCs w:val="16"/>
              </w:rPr>
            </w:pPr>
            <w:r w:rsidRPr="006D5CEC">
              <w:rPr>
                <w:rFonts w:cs="Arial"/>
                <w:sz w:val="16"/>
                <w:szCs w:val="16"/>
              </w:rPr>
              <w:t>942</w:t>
            </w:r>
          </w:p>
        </w:tc>
        <w:tc>
          <w:tcPr>
            <w:tcW w:w="652" w:type="dxa"/>
            <w:tcBorders>
              <w:top w:val="nil"/>
              <w:left w:val="nil"/>
              <w:bottom w:val="nil"/>
              <w:right w:val="single" w:sz="4" w:space="0" w:color="auto"/>
            </w:tcBorders>
            <w:shd w:val="clear" w:color="auto" w:fill="auto"/>
            <w:vAlign w:val="center"/>
            <w:hideMark/>
          </w:tcPr>
          <w:p w14:paraId="734D6B8D" w14:textId="77777777" w:rsidR="006D5CEC" w:rsidRPr="006D5CEC" w:rsidRDefault="006D5CEC" w:rsidP="00531B19">
            <w:pPr>
              <w:spacing w:after="0" w:line="240" w:lineRule="auto"/>
              <w:jc w:val="right"/>
              <w:rPr>
                <w:rFonts w:cs="Arial"/>
                <w:sz w:val="16"/>
                <w:szCs w:val="16"/>
              </w:rPr>
            </w:pPr>
            <w:r w:rsidRPr="006D5CEC">
              <w:rPr>
                <w:rFonts w:cs="Arial"/>
                <w:sz w:val="16"/>
                <w:szCs w:val="16"/>
              </w:rPr>
              <w:t>389</w:t>
            </w:r>
          </w:p>
        </w:tc>
        <w:tc>
          <w:tcPr>
            <w:tcW w:w="822" w:type="dxa"/>
            <w:tcBorders>
              <w:top w:val="nil"/>
              <w:left w:val="nil"/>
              <w:bottom w:val="nil"/>
              <w:right w:val="nil"/>
            </w:tcBorders>
            <w:shd w:val="clear" w:color="auto" w:fill="auto"/>
            <w:vAlign w:val="center"/>
            <w:hideMark/>
          </w:tcPr>
          <w:p w14:paraId="7C240418" w14:textId="77777777" w:rsidR="006D5CEC" w:rsidRPr="006D5CEC" w:rsidRDefault="006D5CEC" w:rsidP="00531B19">
            <w:pPr>
              <w:spacing w:after="0" w:line="240" w:lineRule="auto"/>
              <w:jc w:val="right"/>
              <w:rPr>
                <w:rFonts w:cs="Arial"/>
                <w:sz w:val="16"/>
                <w:szCs w:val="16"/>
              </w:rPr>
            </w:pPr>
            <w:r w:rsidRPr="006D5CEC">
              <w:rPr>
                <w:rFonts w:cs="Arial"/>
                <w:sz w:val="16"/>
                <w:szCs w:val="16"/>
              </w:rPr>
              <w:t>2 311</w:t>
            </w:r>
          </w:p>
        </w:tc>
        <w:tc>
          <w:tcPr>
            <w:tcW w:w="652" w:type="dxa"/>
            <w:tcBorders>
              <w:top w:val="nil"/>
              <w:left w:val="nil"/>
              <w:bottom w:val="nil"/>
              <w:right w:val="nil"/>
            </w:tcBorders>
            <w:shd w:val="clear" w:color="auto" w:fill="auto"/>
            <w:vAlign w:val="center"/>
            <w:hideMark/>
          </w:tcPr>
          <w:p w14:paraId="0CBE00F0" w14:textId="77777777" w:rsidR="006D5CEC" w:rsidRPr="006D5CEC" w:rsidRDefault="006D5CEC" w:rsidP="00531B19">
            <w:pPr>
              <w:spacing w:after="0" w:line="240" w:lineRule="auto"/>
              <w:jc w:val="right"/>
              <w:rPr>
                <w:rFonts w:cs="Arial"/>
                <w:sz w:val="16"/>
                <w:szCs w:val="16"/>
              </w:rPr>
            </w:pPr>
            <w:r w:rsidRPr="006D5CEC">
              <w:rPr>
                <w:rFonts w:cs="Arial"/>
                <w:sz w:val="16"/>
                <w:szCs w:val="16"/>
              </w:rPr>
              <w:t>1 492</w:t>
            </w:r>
          </w:p>
        </w:tc>
        <w:tc>
          <w:tcPr>
            <w:tcW w:w="652" w:type="dxa"/>
            <w:tcBorders>
              <w:top w:val="nil"/>
              <w:left w:val="nil"/>
              <w:bottom w:val="nil"/>
              <w:right w:val="nil"/>
            </w:tcBorders>
            <w:shd w:val="clear" w:color="auto" w:fill="auto"/>
            <w:vAlign w:val="center"/>
            <w:hideMark/>
          </w:tcPr>
          <w:p w14:paraId="7036A02C" w14:textId="77777777" w:rsidR="006D5CEC" w:rsidRPr="006D5CEC" w:rsidRDefault="006D5CEC" w:rsidP="00531B19">
            <w:pPr>
              <w:spacing w:after="0" w:line="240" w:lineRule="auto"/>
              <w:jc w:val="right"/>
              <w:rPr>
                <w:rFonts w:cs="Arial"/>
                <w:sz w:val="16"/>
                <w:szCs w:val="16"/>
              </w:rPr>
            </w:pPr>
            <w:r w:rsidRPr="006D5CEC">
              <w:rPr>
                <w:rFonts w:cs="Arial"/>
                <w:sz w:val="16"/>
                <w:szCs w:val="16"/>
              </w:rPr>
              <w:t>819</w:t>
            </w:r>
          </w:p>
        </w:tc>
      </w:tr>
      <w:tr w:rsidR="006D5CEC" w:rsidRPr="006D5CEC" w14:paraId="6F27A4CF"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251425CF"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2012</w:t>
            </w:r>
          </w:p>
        </w:tc>
        <w:tc>
          <w:tcPr>
            <w:tcW w:w="819" w:type="dxa"/>
            <w:tcBorders>
              <w:top w:val="nil"/>
              <w:left w:val="nil"/>
              <w:bottom w:val="nil"/>
              <w:right w:val="nil"/>
            </w:tcBorders>
            <w:shd w:val="clear" w:color="auto" w:fill="auto"/>
            <w:vAlign w:val="center"/>
            <w:hideMark/>
          </w:tcPr>
          <w:p w14:paraId="10FB445A" w14:textId="77777777" w:rsidR="006D5CEC" w:rsidRPr="006D5CEC" w:rsidRDefault="006D5CEC" w:rsidP="00531B19">
            <w:pPr>
              <w:spacing w:after="0" w:line="240" w:lineRule="auto"/>
              <w:jc w:val="right"/>
              <w:rPr>
                <w:rFonts w:cs="Arial"/>
                <w:sz w:val="16"/>
                <w:szCs w:val="16"/>
              </w:rPr>
            </w:pPr>
            <w:r w:rsidRPr="006D5CEC">
              <w:rPr>
                <w:rFonts w:cs="Arial"/>
                <w:sz w:val="16"/>
                <w:szCs w:val="16"/>
              </w:rPr>
              <w:t>28 973</w:t>
            </w:r>
          </w:p>
        </w:tc>
        <w:tc>
          <w:tcPr>
            <w:tcW w:w="652" w:type="dxa"/>
            <w:tcBorders>
              <w:top w:val="nil"/>
              <w:left w:val="nil"/>
              <w:bottom w:val="nil"/>
              <w:right w:val="nil"/>
            </w:tcBorders>
            <w:shd w:val="clear" w:color="auto" w:fill="auto"/>
            <w:vAlign w:val="center"/>
            <w:hideMark/>
          </w:tcPr>
          <w:p w14:paraId="1279F57C" w14:textId="77777777" w:rsidR="006D5CEC" w:rsidRPr="006D5CEC" w:rsidRDefault="006D5CEC" w:rsidP="00531B19">
            <w:pPr>
              <w:spacing w:after="0" w:line="240" w:lineRule="auto"/>
              <w:jc w:val="right"/>
              <w:rPr>
                <w:rFonts w:cs="Arial"/>
                <w:sz w:val="16"/>
                <w:szCs w:val="16"/>
              </w:rPr>
            </w:pPr>
            <w:r w:rsidRPr="006D5CEC">
              <w:rPr>
                <w:rFonts w:cs="Arial"/>
                <w:sz w:val="16"/>
                <w:szCs w:val="16"/>
              </w:rPr>
              <w:t>13 410</w:t>
            </w:r>
          </w:p>
        </w:tc>
        <w:tc>
          <w:tcPr>
            <w:tcW w:w="652" w:type="dxa"/>
            <w:tcBorders>
              <w:top w:val="nil"/>
              <w:left w:val="nil"/>
              <w:bottom w:val="nil"/>
              <w:right w:val="single" w:sz="4" w:space="0" w:color="auto"/>
            </w:tcBorders>
            <w:shd w:val="clear" w:color="auto" w:fill="auto"/>
            <w:vAlign w:val="center"/>
            <w:hideMark/>
          </w:tcPr>
          <w:p w14:paraId="6BCB3FC8" w14:textId="77777777" w:rsidR="006D5CEC" w:rsidRPr="006D5CEC" w:rsidRDefault="006D5CEC" w:rsidP="00531B19">
            <w:pPr>
              <w:spacing w:after="0" w:line="240" w:lineRule="auto"/>
              <w:jc w:val="right"/>
              <w:rPr>
                <w:rFonts w:cs="Arial"/>
                <w:sz w:val="16"/>
                <w:szCs w:val="16"/>
              </w:rPr>
            </w:pPr>
            <w:r w:rsidRPr="006D5CEC">
              <w:rPr>
                <w:rFonts w:cs="Arial"/>
                <w:sz w:val="16"/>
                <w:szCs w:val="16"/>
              </w:rPr>
              <w:t>15 562</w:t>
            </w:r>
          </w:p>
        </w:tc>
        <w:tc>
          <w:tcPr>
            <w:tcW w:w="822" w:type="dxa"/>
            <w:tcBorders>
              <w:top w:val="nil"/>
              <w:left w:val="nil"/>
              <w:bottom w:val="nil"/>
              <w:right w:val="nil"/>
            </w:tcBorders>
            <w:shd w:val="clear" w:color="auto" w:fill="auto"/>
            <w:vAlign w:val="center"/>
            <w:hideMark/>
          </w:tcPr>
          <w:p w14:paraId="6F5ABC29" w14:textId="77777777" w:rsidR="006D5CEC" w:rsidRPr="006D5CEC" w:rsidRDefault="006D5CEC" w:rsidP="00531B19">
            <w:pPr>
              <w:spacing w:after="0" w:line="240" w:lineRule="auto"/>
              <w:jc w:val="right"/>
              <w:rPr>
                <w:rFonts w:cs="Arial"/>
                <w:sz w:val="16"/>
                <w:szCs w:val="16"/>
              </w:rPr>
            </w:pPr>
            <w:r w:rsidRPr="006D5CEC">
              <w:rPr>
                <w:rFonts w:cs="Arial"/>
                <w:sz w:val="16"/>
                <w:szCs w:val="16"/>
              </w:rPr>
              <w:t>24 670</w:t>
            </w:r>
          </w:p>
        </w:tc>
        <w:tc>
          <w:tcPr>
            <w:tcW w:w="652" w:type="dxa"/>
            <w:tcBorders>
              <w:top w:val="nil"/>
              <w:left w:val="nil"/>
              <w:bottom w:val="nil"/>
              <w:right w:val="nil"/>
            </w:tcBorders>
            <w:shd w:val="clear" w:color="auto" w:fill="auto"/>
            <w:vAlign w:val="center"/>
            <w:hideMark/>
          </w:tcPr>
          <w:p w14:paraId="06F16F4D" w14:textId="77777777" w:rsidR="006D5CEC" w:rsidRPr="006D5CEC" w:rsidRDefault="006D5CEC" w:rsidP="00531B19">
            <w:pPr>
              <w:spacing w:after="0" w:line="240" w:lineRule="auto"/>
              <w:jc w:val="right"/>
              <w:rPr>
                <w:rFonts w:cs="Arial"/>
                <w:sz w:val="16"/>
                <w:szCs w:val="16"/>
              </w:rPr>
            </w:pPr>
            <w:r w:rsidRPr="006D5CEC">
              <w:rPr>
                <w:rFonts w:cs="Arial"/>
                <w:sz w:val="16"/>
                <w:szCs w:val="16"/>
              </w:rPr>
              <w:t>10 595</w:t>
            </w:r>
          </w:p>
        </w:tc>
        <w:tc>
          <w:tcPr>
            <w:tcW w:w="652" w:type="dxa"/>
            <w:tcBorders>
              <w:top w:val="nil"/>
              <w:left w:val="nil"/>
              <w:bottom w:val="nil"/>
              <w:right w:val="single" w:sz="4" w:space="0" w:color="auto"/>
            </w:tcBorders>
            <w:shd w:val="clear" w:color="auto" w:fill="auto"/>
            <w:noWrap/>
            <w:vAlign w:val="center"/>
            <w:hideMark/>
          </w:tcPr>
          <w:p w14:paraId="7747A0EE" w14:textId="77777777" w:rsidR="006D5CEC" w:rsidRPr="006D5CEC" w:rsidRDefault="006D5CEC" w:rsidP="00531B19">
            <w:pPr>
              <w:spacing w:after="0" w:line="240" w:lineRule="auto"/>
              <w:jc w:val="right"/>
              <w:rPr>
                <w:rFonts w:cs="Arial"/>
                <w:sz w:val="16"/>
                <w:szCs w:val="16"/>
              </w:rPr>
            </w:pPr>
            <w:r w:rsidRPr="006D5CEC">
              <w:rPr>
                <w:rFonts w:cs="Arial"/>
                <w:sz w:val="16"/>
                <w:szCs w:val="16"/>
              </w:rPr>
              <w:t>14 075</w:t>
            </w:r>
          </w:p>
        </w:tc>
        <w:tc>
          <w:tcPr>
            <w:tcW w:w="822" w:type="dxa"/>
            <w:tcBorders>
              <w:top w:val="nil"/>
              <w:left w:val="nil"/>
              <w:bottom w:val="nil"/>
              <w:right w:val="nil"/>
            </w:tcBorders>
            <w:shd w:val="clear" w:color="auto" w:fill="auto"/>
            <w:vAlign w:val="center"/>
            <w:hideMark/>
          </w:tcPr>
          <w:p w14:paraId="11F5C100" w14:textId="77777777" w:rsidR="006D5CEC" w:rsidRPr="006D5CEC" w:rsidRDefault="006D5CEC" w:rsidP="00531B19">
            <w:pPr>
              <w:spacing w:after="0" w:line="240" w:lineRule="auto"/>
              <w:jc w:val="right"/>
              <w:rPr>
                <w:rFonts w:cs="Arial"/>
                <w:sz w:val="16"/>
                <w:szCs w:val="16"/>
              </w:rPr>
            </w:pPr>
            <w:r w:rsidRPr="006D5CEC">
              <w:rPr>
                <w:rFonts w:cs="Arial"/>
                <w:sz w:val="16"/>
                <w:szCs w:val="16"/>
              </w:rPr>
              <w:t>1 256</w:t>
            </w:r>
          </w:p>
        </w:tc>
        <w:tc>
          <w:tcPr>
            <w:tcW w:w="652" w:type="dxa"/>
            <w:tcBorders>
              <w:top w:val="nil"/>
              <w:left w:val="nil"/>
              <w:bottom w:val="nil"/>
              <w:right w:val="nil"/>
            </w:tcBorders>
            <w:shd w:val="clear" w:color="auto" w:fill="auto"/>
            <w:vAlign w:val="center"/>
            <w:hideMark/>
          </w:tcPr>
          <w:p w14:paraId="1BF9DE44" w14:textId="77777777" w:rsidR="006D5CEC" w:rsidRPr="006D5CEC" w:rsidRDefault="006D5CEC" w:rsidP="00531B19">
            <w:pPr>
              <w:spacing w:after="0" w:line="240" w:lineRule="auto"/>
              <w:jc w:val="right"/>
              <w:rPr>
                <w:rFonts w:cs="Arial"/>
                <w:sz w:val="16"/>
                <w:szCs w:val="16"/>
              </w:rPr>
            </w:pPr>
            <w:r w:rsidRPr="006D5CEC">
              <w:rPr>
                <w:rFonts w:cs="Arial"/>
                <w:sz w:val="16"/>
                <w:szCs w:val="16"/>
              </w:rPr>
              <w:t>899</w:t>
            </w:r>
          </w:p>
        </w:tc>
        <w:tc>
          <w:tcPr>
            <w:tcW w:w="652" w:type="dxa"/>
            <w:tcBorders>
              <w:top w:val="nil"/>
              <w:left w:val="nil"/>
              <w:bottom w:val="nil"/>
              <w:right w:val="single" w:sz="4" w:space="0" w:color="auto"/>
            </w:tcBorders>
            <w:shd w:val="clear" w:color="auto" w:fill="auto"/>
            <w:vAlign w:val="center"/>
            <w:hideMark/>
          </w:tcPr>
          <w:p w14:paraId="5BD09232" w14:textId="77777777" w:rsidR="006D5CEC" w:rsidRPr="006D5CEC" w:rsidRDefault="006D5CEC" w:rsidP="00531B19">
            <w:pPr>
              <w:spacing w:after="0" w:line="240" w:lineRule="auto"/>
              <w:jc w:val="right"/>
              <w:rPr>
                <w:rFonts w:cs="Arial"/>
                <w:sz w:val="16"/>
                <w:szCs w:val="16"/>
              </w:rPr>
            </w:pPr>
            <w:r w:rsidRPr="006D5CEC">
              <w:rPr>
                <w:rFonts w:cs="Arial"/>
                <w:sz w:val="16"/>
                <w:szCs w:val="16"/>
              </w:rPr>
              <w:t>358</w:t>
            </w:r>
          </w:p>
        </w:tc>
        <w:tc>
          <w:tcPr>
            <w:tcW w:w="822" w:type="dxa"/>
            <w:tcBorders>
              <w:top w:val="nil"/>
              <w:left w:val="nil"/>
              <w:bottom w:val="nil"/>
              <w:right w:val="nil"/>
            </w:tcBorders>
            <w:shd w:val="clear" w:color="auto" w:fill="auto"/>
            <w:vAlign w:val="center"/>
            <w:hideMark/>
          </w:tcPr>
          <w:p w14:paraId="6B856A8B" w14:textId="77777777" w:rsidR="006D5CEC" w:rsidRPr="006D5CEC" w:rsidRDefault="006D5CEC" w:rsidP="00531B19">
            <w:pPr>
              <w:spacing w:after="0" w:line="240" w:lineRule="auto"/>
              <w:jc w:val="right"/>
              <w:rPr>
                <w:rFonts w:cs="Arial"/>
                <w:sz w:val="16"/>
                <w:szCs w:val="16"/>
              </w:rPr>
            </w:pPr>
            <w:r w:rsidRPr="006D5CEC">
              <w:rPr>
                <w:rFonts w:cs="Arial"/>
                <w:sz w:val="16"/>
                <w:szCs w:val="16"/>
              </w:rPr>
              <w:t>3 046</w:t>
            </w:r>
          </w:p>
        </w:tc>
        <w:tc>
          <w:tcPr>
            <w:tcW w:w="652" w:type="dxa"/>
            <w:tcBorders>
              <w:top w:val="nil"/>
              <w:left w:val="nil"/>
              <w:bottom w:val="nil"/>
              <w:right w:val="nil"/>
            </w:tcBorders>
            <w:shd w:val="clear" w:color="auto" w:fill="auto"/>
            <w:vAlign w:val="center"/>
            <w:hideMark/>
          </w:tcPr>
          <w:p w14:paraId="7855434A" w14:textId="77777777" w:rsidR="006D5CEC" w:rsidRPr="006D5CEC" w:rsidRDefault="006D5CEC" w:rsidP="00531B19">
            <w:pPr>
              <w:spacing w:after="0" w:line="240" w:lineRule="auto"/>
              <w:jc w:val="right"/>
              <w:rPr>
                <w:rFonts w:cs="Arial"/>
                <w:sz w:val="16"/>
                <w:szCs w:val="16"/>
              </w:rPr>
            </w:pPr>
            <w:r w:rsidRPr="006D5CEC">
              <w:rPr>
                <w:rFonts w:cs="Arial"/>
                <w:sz w:val="16"/>
                <w:szCs w:val="16"/>
              </w:rPr>
              <w:t>1 917</w:t>
            </w:r>
          </w:p>
        </w:tc>
        <w:tc>
          <w:tcPr>
            <w:tcW w:w="652" w:type="dxa"/>
            <w:tcBorders>
              <w:top w:val="nil"/>
              <w:left w:val="nil"/>
              <w:bottom w:val="nil"/>
              <w:right w:val="nil"/>
            </w:tcBorders>
            <w:shd w:val="clear" w:color="auto" w:fill="auto"/>
            <w:vAlign w:val="center"/>
            <w:hideMark/>
          </w:tcPr>
          <w:p w14:paraId="7A036431" w14:textId="77777777" w:rsidR="006D5CEC" w:rsidRPr="006D5CEC" w:rsidRDefault="006D5CEC" w:rsidP="00531B19">
            <w:pPr>
              <w:spacing w:after="0" w:line="240" w:lineRule="auto"/>
              <w:jc w:val="right"/>
              <w:rPr>
                <w:rFonts w:cs="Arial"/>
                <w:sz w:val="16"/>
                <w:szCs w:val="16"/>
              </w:rPr>
            </w:pPr>
            <w:r w:rsidRPr="006D5CEC">
              <w:rPr>
                <w:rFonts w:cs="Arial"/>
                <w:sz w:val="16"/>
                <w:szCs w:val="16"/>
              </w:rPr>
              <w:t>1 129</w:t>
            </w:r>
          </w:p>
        </w:tc>
      </w:tr>
      <w:tr w:rsidR="006D5CEC" w:rsidRPr="006D5CEC" w14:paraId="2CCFC189"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5EEA8086"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2013</w:t>
            </w:r>
          </w:p>
        </w:tc>
        <w:tc>
          <w:tcPr>
            <w:tcW w:w="819" w:type="dxa"/>
            <w:tcBorders>
              <w:top w:val="nil"/>
              <w:left w:val="nil"/>
              <w:bottom w:val="nil"/>
              <w:right w:val="nil"/>
            </w:tcBorders>
            <w:shd w:val="clear" w:color="auto" w:fill="auto"/>
            <w:vAlign w:val="center"/>
            <w:hideMark/>
          </w:tcPr>
          <w:p w14:paraId="65518119" w14:textId="77777777" w:rsidR="006D5CEC" w:rsidRPr="006D5CEC" w:rsidRDefault="006D5CEC" w:rsidP="00531B19">
            <w:pPr>
              <w:spacing w:after="0" w:line="240" w:lineRule="auto"/>
              <w:jc w:val="right"/>
              <w:rPr>
                <w:rFonts w:cs="Arial"/>
                <w:sz w:val="16"/>
                <w:szCs w:val="16"/>
              </w:rPr>
            </w:pPr>
            <w:r w:rsidRPr="006D5CEC">
              <w:rPr>
                <w:rFonts w:cs="Arial"/>
                <w:sz w:val="16"/>
                <w:szCs w:val="16"/>
              </w:rPr>
              <w:t>31 875</w:t>
            </w:r>
          </w:p>
        </w:tc>
        <w:tc>
          <w:tcPr>
            <w:tcW w:w="652" w:type="dxa"/>
            <w:tcBorders>
              <w:top w:val="nil"/>
              <w:left w:val="nil"/>
              <w:bottom w:val="nil"/>
              <w:right w:val="nil"/>
            </w:tcBorders>
            <w:shd w:val="clear" w:color="auto" w:fill="auto"/>
            <w:vAlign w:val="center"/>
            <w:hideMark/>
          </w:tcPr>
          <w:p w14:paraId="02D295EB" w14:textId="77777777" w:rsidR="006D5CEC" w:rsidRPr="006D5CEC" w:rsidRDefault="006D5CEC" w:rsidP="00531B19">
            <w:pPr>
              <w:spacing w:after="0" w:line="240" w:lineRule="auto"/>
              <w:jc w:val="right"/>
              <w:rPr>
                <w:rFonts w:cs="Arial"/>
                <w:sz w:val="16"/>
                <w:szCs w:val="16"/>
              </w:rPr>
            </w:pPr>
            <w:r w:rsidRPr="006D5CEC">
              <w:rPr>
                <w:rFonts w:cs="Arial"/>
                <w:sz w:val="16"/>
                <w:szCs w:val="16"/>
              </w:rPr>
              <w:t>14 774</w:t>
            </w:r>
          </w:p>
        </w:tc>
        <w:tc>
          <w:tcPr>
            <w:tcW w:w="652" w:type="dxa"/>
            <w:tcBorders>
              <w:top w:val="nil"/>
              <w:left w:val="nil"/>
              <w:bottom w:val="nil"/>
              <w:right w:val="single" w:sz="4" w:space="0" w:color="auto"/>
            </w:tcBorders>
            <w:shd w:val="clear" w:color="auto" w:fill="auto"/>
            <w:vAlign w:val="center"/>
            <w:hideMark/>
          </w:tcPr>
          <w:p w14:paraId="63CE192F" w14:textId="77777777" w:rsidR="006D5CEC" w:rsidRPr="006D5CEC" w:rsidRDefault="006D5CEC" w:rsidP="00531B19">
            <w:pPr>
              <w:spacing w:after="0" w:line="240" w:lineRule="auto"/>
              <w:jc w:val="right"/>
              <w:rPr>
                <w:rFonts w:cs="Arial"/>
                <w:sz w:val="16"/>
                <w:szCs w:val="16"/>
              </w:rPr>
            </w:pPr>
            <w:r w:rsidRPr="006D5CEC">
              <w:rPr>
                <w:rFonts w:cs="Arial"/>
                <w:sz w:val="16"/>
                <w:szCs w:val="16"/>
              </w:rPr>
              <w:t>17 102</w:t>
            </w:r>
          </w:p>
        </w:tc>
        <w:tc>
          <w:tcPr>
            <w:tcW w:w="822" w:type="dxa"/>
            <w:tcBorders>
              <w:top w:val="nil"/>
              <w:left w:val="nil"/>
              <w:bottom w:val="nil"/>
              <w:right w:val="nil"/>
            </w:tcBorders>
            <w:shd w:val="clear" w:color="auto" w:fill="auto"/>
            <w:vAlign w:val="center"/>
            <w:hideMark/>
          </w:tcPr>
          <w:p w14:paraId="74A8FE7C" w14:textId="77777777" w:rsidR="006D5CEC" w:rsidRPr="006D5CEC" w:rsidRDefault="006D5CEC" w:rsidP="00531B19">
            <w:pPr>
              <w:spacing w:after="0" w:line="240" w:lineRule="auto"/>
              <w:jc w:val="right"/>
              <w:rPr>
                <w:rFonts w:cs="Arial"/>
                <w:sz w:val="16"/>
                <w:szCs w:val="16"/>
              </w:rPr>
            </w:pPr>
            <w:r w:rsidRPr="006D5CEC">
              <w:rPr>
                <w:rFonts w:cs="Arial"/>
                <w:sz w:val="16"/>
                <w:szCs w:val="16"/>
              </w:rPr>
              <w:t>27 253</w:t>
            </w:r>
          </w:p>
        </w:tc>
        <w:tc>
          <w:tcPr>
            <w:tcW w:w="652" w:type="dxa"/>
            <w:tcBorders>
              <w:top w:val="nil"/>
              <w:left w:val="nil"/>
              <w:bottom w:val="nil"/>
              <w:right w:val="nil"/>
            </w:tcBorders>
            <w:shd w:val="clear" w:color="auto" w:fill="auto"/>
            <w:vAlign w:val="center"/>
            <w:hideMark/>
          </w:tcPr>
          <w:p w14:paraId="1237C6CC" w14:textId="77777777" w:rsidR="006D5CEC" w:rsidRPr="006D5CEC" w:rsidRDefault="006D5CEC" w:rsidP="00531B19">
            <w:pPr>
              <w:spacing w:after="0" w:line="240" w:lineRule="auto"/>
              <w:jc w:val="right"/>
              <w:rPr>
                <w:rFonts w:cs="Arial"/>
                <w:sz w:val="16"/>
                <w:szCs w:val="16"/>
              </w:rPr>
            </w:pPr>
            <w:r w:rsidRPr="006D5CEC">
              <w:rPr>
                <w:rFonts w:cs="Arial"/>
                <w:sz w:val="16"/>
                <w:szCs w:val="16"/>
              </w:rPr>
              <w:t>11 805</w:t>
            </w:r>
          </w:p>
        </w:tc>
        <w:tc>
          <w:tcPr>
            <w:tcW w:w="652" w:type="dxa"/>
            <w:tcBorders>
              <w:top w:val="nil"/>
              <w:left w:val="nil"/>
              <w:bottom w:val="nil"/>
              <w:right w:val="single" w:sz="4" w:space="0" w:color="auto"/>
            </w:tcBorders>
            <w:shd w:val="clear" w:color="auto" w:fill="auto"/>
            <w:vAlign w:val="center"/>
            <w:hideMark/>
          </w:tcPr>
          <w:p w14:paraId="00D23B62" w14:textId="77777777" w:rsidR="006D5CEC" w:rsidRPr="006D5CEC" w:rsidRDefault="006D5CEC" w:rsidP="00531B19">
            <w:pPr>
              <w:spacing w:after="0" w:line="240" w:lineRule="auto"/>
              <w:jc w:val="right"/>
              <w:rPr>
                <w:rFonts w:cs="Arial"/>
                <w:sz w:val="16"/>
                <w:szCs w:val="16"/>
              </w:rPr>
            </w:pPr>
            <w:r w:rsidRPr="006D5CEC">
              <w:rPr>
                <w:rFonts w:cs="Arial"/>
                <w:sz w:val="16"/>
                <w:szCs w:val="16"/>
              </w:rPr>
              <w:t>15 448</w:t>
            </w:r>
          </w:p>
        </w:tc>
        <w:tc>
          <w:tcPr>
            <w:tcW w:w="822" w:type="dxa"/>
            <w:tcBorders>
              <w:top w:val="nil"/>
              <w:left w:val="nil"/>
              <w:bottom w:val="nil"/>
              <w:right w:val="nil"/>
            </w:tcBorders>
            <w:shd w:val="clear" w:color="auto" w:fill="auto"/>
            <w:vAlign w:val="center"/>
            <w:hideMark/>
          </w:tcPr>
          <w:p w14:paraId="1C3CC5B7" w14:textId="77777777" w:rsidR="006D5CEC" w:rsidRPr="006D5CEC" w:rsidRDefault="006D5CEC" w:rsidP="00531B19">
            <w:pPr>
              <w:spacing w:after="0" w:line="240" w:lineRule="auto"/>
              <w:jc w:val="right"/>
              <w:rPr>
                <w:rFonts w:cs="Arial"/>
                <w:sz w:val="16"/>
                <w:szCs w:val="16"/>
              </w:rPr>
            </w:pPr>
            <w:r w:rsidRPr="006D5CEC">
              <w:rPr>
                <w:rFonts w:cs="Arial"/>
                <w:sz w:val="16"/>
                <w:szCs w:val="16"/>
              </w:rPr>
              <w:t>1 237</w:t>
            </w:r>
          </w:p>
        </w:tc>
        <w:tc>
          <w:tcPr>
            <w:tcW w:w="652" w:type="dxa"/>
            <w:tcBorders>
              <w:top w:val="nil"/>
              <w:left w:val="nil"/>
              <w:bottom w:val="nil"/>
              <w:right w:val="nil"/>
            </w:tcBorders>
            <w:shd w:val="clear" w:color="auto" w:fill="auto"/>
            <w:vAlign w:val="center"/>
            <w:hideMark/>
          </w:tcPr>
          <w:p w14:paraId="6279D047" w14:textId="77777777" w:rsidR="006D5CEC" w:rsidRPr="006D5CEC" w:rsidRDefault="006D5CEC" w:rsidP="00531B19">
            <w:pPr>
              <w:spacing w:after="0" w:line="240" w:lineRule="auto"/>
              <w:jc w:val="right"/>
              <w:rPr>
                <w:rFonts w:cs="Arial"/>
                <w:sz w:val="16"/>
                <w:szCs w:val="16"/>
              </w:rPr>
            </w:pPr>
            <w:r w:rsidRPr="006D5CEC">
              <w:rPr>
                <w:rFonts w:cs="Arial"/>
                <w:sz w:val="16"/>
                <w:szCs w:val="16"/>
              </w:rPr>
              <w:t>866</w:t>
            </w:r>
          </w:p>
        </w:tc>
        <w:tc>
          <w:tcPr>
            <w:tcW w:w="652" w:type="dxa"/>
            <w:tcBorders>
              <w:top w:val="nil"/>
              <w:left w:val="nil"/>
              <w:bottom w:val="nil"/>
              <w:right w:val="single" w:sz="4" w:space="0" w:color="auto"/>
            </w:tcBorders>
            <w:shd w:val="clear" w:color="auto" w:fill="auto"/>
            <w:vAlign w:val="center"/>
            <w:hideMark/>
          </w:tcPr>
          <w:p w14:paraId="76380E1E" w14:textId="77777777" w:rsidR="006D5CEC" w:rsidRPr="006D5CEC" w:rsidRDefault="006D5CEC" w:rsidP="00531B19">
            <w:pPr>
              <w:spacing w:after="0" w:line="240" w:lineRule="auto"/>
              <w:jc w:val="right"/>
              <w:rPr>
                <w:rFonts w:cs="Arial"/>
                <w:sz w:val="16"/>
                <w:szCs w:val="16"/>
              </w:rPr>
            </w:pPr>
            <w:r w:rsidRPr="006D5CEC">
              <w:rPr>
                <w:rFonts w:cs="Arial"/>
                <w:sz w:val="16"/>
                <w:szCs w:val="16"/>
              </w:rPr>
              <w:t>371</w:t>
            </w:r>
          </w:p>
        </w:tc>
        <w:tc>
          <w:tcPr>
            <w:tcW w:w="822" w:type="dxa"/>
            <w:tcBorders>
              <w:top w:val="nil"/>
              <w:left w:val="nil"/>
              <w:bottom w:val="nil"/>
              <w:right w:val="nil"/>
            </w:tcBorders>
            <w:shd w:val="clear" w:color="auto" w:fill="auto"/>
            <w:noWrap/>
            <w:vAlign w:val="center"/>
            <w:hideMark/>
          </w:tcPr>
          <w:p w14:paraId="5F8280A5" w14:textId="77777777" w:rsidR="006D5CEC" w:rsidRPr="006D5CEC" w:rsidRDefault="006D5CEC" w:rsidP="00531B19">
            <w:pPr>
              <w:spacing w:after="0" w:line="240" w:lineRule="auto"/>
              <w:jc w:val="right"/>
              <w:rPr>
                <w:rFonts w:cs="Arial"/>
                <w:sz w:val="16"/>
                <w:szCs w:val="16"/>
              </w:rPr>
            </w:pPr>
            <w:r w:rsidRPr="006D5CEC">
              <w:rPr>
                <w:rFonts w:cs="Arial"/>
                <w:sz w:val="16"/>
                <w:szCs w:val="16"/>
              </w:rPr>
              <w:t>3 385</w:t>
            </w:r>
          </w:p>
        </w:tc>
        <w:tc>
          <w:tcPr>
            <w:tcW w:w="652" w:type="dxa"/>
            <w:tcBorders>
              <w:top w:val="nil"/>
              <w:left w:val="nil"/>
              <w:bottom w:val="nil"/>
              <w:right w:val="nil"/>
            </w:tcBorders>
            <w:shd w:val="clear" w:color="auto" w:fill="auto"/>
            <w:vAlign w:val="center"/>
            <w:hideMark/>
          </w:tcPr>
          <w:p w14:paraId="2C8E1B93" w14:textId="77777777" w:rsidR="006D5CEC" w:rsidRPr="006D5CEC" w:rsidRDefault="006D5CEC" w:rsidP="00531B19">
            <w:pPr>
              <w:spacing w:after="0" w:line="240" w:lineRule="auto"/>
              <w:jc w:val="right"/>
              <w:rPr>
                <w:rFonts w:cs="Arial"/>
                <w:sz w:val="16"/>
                <w:szCs w:val="16"/>
              </w:rPr>
            </w:pPr>
            <w:r w:rsidRPr="006D5CEC">
              <w:rPr>
                <w:rFonts w:cs="Arial"/>
                <w:sz w:val="16"/>
                <w:szCs w:val="16"/>
              </w:rPr>
              <w:t>2 102</w:t>
            </w:r>
          </w:p>
        </w:tc>
        <w:tc>
          <w:tcPr>
            <w:tcW w:w="652" w:type="dxa"/>
            <w:tcBorders>
              <w:top w:val="nil"/>
              <w:left w:val="nil"/>
              <w:bottom w:val="nil"/>
              <w:right w:val="nil"/>
            </w:tcBorders>
            <w:shd w:val="clear" w:color="auto" w:fill="auto"/>
            <w:vAlign w:val="center"/>
            <w:hideMark/>
          </w:tcPr>
          <w:p w14:paraId="62C4A3E0" w14:textId="77777777" w:rsidR="006D5CEC" w:rsidRPr="006D5CEC" w:rsidRDefault="006D5CEC" w:rsidP="00531B19">
            <w:pPr>
              <w:spacing w:after="0" w:line="240" w:lineRule="auto"/>
              <w:jc w:val="right"/>
              <w:rPr>
                <w:rFonts w:cs="Arial"/>
                <w:sz w:val="16"/>
                <w:szCs w:val="16"/>
              </w:rPr>
            </w:pPr>
            <w:r w:rsidRPr="006D5CEC">
              <w:rPr>
                <w:rFonts w:cs="Arial"/>
                <w:sz w:val="16"/>
                <w:szCs w:val="16"/>
              </w:rPr>
              <w:t>1 283</w:t>
            </w:r>
          </w:p>
        </w:tc>
      </w:tr>
      <w:tr w:rsidR="006D5CEC" w:rsidRPr="006D5CEC" w14:paraId="5C5F5AC1"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39407398"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2014</w:t>
            </w:r>
          </w:p>
        </w:tc>
        <w:tc>
          <w:tcPr>
            <w:tcW w:w="819" w:type="dxa"/>
            <w:tcBorders>
              <w:top w:val="nil"/>
              <w:left w:val="nil"/>
              <w:bottom w:val="nil"/>
              <w:right w:val="nil"/>
            </w:tcBorders>
            <w:shd w:val="clear" w:color="auto" w:fill="auto"/>
            <w:vAlign w:val="center"/>
            <w:hideMark/>
          </w:tcPr>
          <w:p w14:paraId="789F6B5A" w14:textId="77777777" w:rsidR="006D5CEC" w:rsidRPr="006D5CEC" w:rsidRDefault="006D5CEC" w:rsidP="00531B19">
            <w:pPr>
              <w:spacing w:after="0" w:line="240" w:lineRule="auto"/>
              <w:jc w:val="right"/>
              <w:rPr>
                <w:rFonts w:cs="Arial"/>
                <w:sz w:val="16"/>
                <w:szCs w:val="16"/>
              </w:rPr>
            </w:pPr>
            <w:r w:rsidRPr="006D5CEC">
              <w:rPr>
                <w:rFonts w:cs="Arial"/>
                <w:sz w:val="16"/>
                <w:szCs w:val="16"/>
              </w:rPr>
              <w:t>30 512</w:t>
            </w:r>
          </w:p>
        </w:tc>
        <w:tc>
          <w:tcPr>
            <w:tcW w:w="652" w:type="dxa"/>
            <w:tcBorders>
              <w:top w:val="nil"/>
              <w:left w:val="nil"/>
              <w:bottom w:val="nil"/>
              <w:right w:val="nil"/>
            </w:tcBorders>
            <w:shd w:val="clear" w:color="auto" w:fill="auto"/>
            <w:vAlign w:val="center"/>
            <w:hideMark/>
          </w:tcPr>
          <w:p w14:paraId="16E6536F" w14:textId="77777777" w:rsidR="006D5CEC" w:rsidRPr="006D5CEC" w:rsidRDefault="006D5CEC" w:rsidP="00531B19">
            <w:pPr>
              <w:spacing w:after="0" w:line="240" w:lineRule="auto"/>
              <w:jc w:val="right"/>
              <w:rPr>
                <w:rFonts w:cs="Arial"/>
                <w:sz w:val="16"/>
                <w:szCs w:val="16"/>
              </w:rPr>
            </w:pPr>
            <w:r w:rsidRPr="006D5CEC">
              <w:rPr>
                <w:rFonts w:cs="Arial"/>
                <w:sz w:val="16"/>
                <w:szCs w:val="16"/>
              </w:rPr>
              <w:t>13 910</w:t>
            </w:r>
          </w:p>
        </w:tc>
        <w:tc>
          <w:tcPr>
            <w:tcW w:w="652" w:type="dxa"/>
            <w:tcBorders>
              <w:top w:val="nil"/>
              <w:left w:val="nil"/>
              <w:bottom w:val="nil"/>
              <w:right w:val="single" w:sz="4" w:space="0" w:color="auto"/>
            </w:tcBorders>
            <w:shd w:val="clear" w:color="auto" w:fill="auto"/>
            <w:vAlign w:val="center"/>
            <w:hideMark/>
          </w:tcPr>
          <w:p w14:paraId="1D1B86FE" w14:textId="77777777" w:rsidR="006D5CEC" w:rsidRPr="006D5CEC" w:rsidRDefault="006D5CEC" w:rsidP="00531B19">
            <w:pPr>
              <w:spacing w:after="0" w:line="240" w:lineRule="auto"/>
              <w:jc w:val="right"/>
              <w:rPr>
                <w:rFonts w:cs="Arial"/>
                <w:sz w:val="16"/>
                <w:szCs w:val="16"/>
              </w:rPr>
            </w:pPr>
            <w:r w:rsidRPr="006D5CEC">
              <w:rPr>
                <w:rFonts w:cs="Arial"/>
                <w:sz w:val="16"/>
                <w:szCs w:val="16"/>
              </w:rPr>
              <w:t>16 603</w:t>
            </w:r>
          </w:p>
        </w:tc>
        <w:tc>
          <w:tcPr>
            <w:tcW w:w="822" w:type="dxa"/>
            <w:tcBorders>
              <w:top w:val="nil"/>
              <w:left w:val="nil"/>
              <w:bottom w:val="nil"/>
              <w:right w:val="nil"/>
            </w:tcBorders>
            <w:shd w:val="clear" w:color="auto" w:fill="auto"/>
            <w:vAlign w:val="center"/>
            <w:hideMark/>
          </w:tcPr>
          <w:p w14:paraId="4416848E" w14:textId="77777777" w:rsidR="006D5CEC" w:rsidRPr="006D5CEC" w:rsidRDefault="006D5CEC" w:rsidP="00531B19">
            <w:pPr>
              <w:spacing w:after="0" w:line="240" w:lineRule="auto"/>
              <w:jc w:val="right"/>
              <w:rPr>
                <w:rFonts w:cs="Arial"/>
                <w:sz w:val="16"/>
                <w:szCs w:val="16"/>
              </w:rPr>
            </w:pPr>
            <w:r w:rsidRPr="006D5CEC">
              <w:rPr>
                <w:rFonts w:cs="Arial"/>
                <w:sz w:val="16"/>
                <w:szCs w:val="16"/>
              </w:rPr>
              <w:t>26 003</w:t>
            </w:r>
          </w:p>
        </w:tc>
        <w:tc>
          <w:tcPr>
            <w:tcW w:w="652" w:type="dxa"/>
            <w:tcBorders>
              <w:top w:val="nil"/>
              <w:left w:val="nil"/>
              <w:bottom w:val="nil"/>
              <w:right w:val="nil"/>
            </w:tcBorders>
            <w:shd w:val="clear" w:color="auto" w:fill="auto"/>
            <w:vAlign w:val="center"/>
            <w:hideMark/>
          </w:tcPr>
          <w:p w14:paraId="2EE823F6" w14:textId="77777777" w:rsidR="006D5CEC" w:rsidRPr="006D5CEC" w:rsidRDefault="006D5CEC" w:rsidP="00531B19">
            <w:pPr>
              <w:spacing w:after="0" w:line="240" w:lineRule="auto"/>
              <w:jc w:val="right"/>
              <w:rPr>
                <w:rFonts w:cs="Arial"/>
                <w:sz w:val="16"/>
                <w:szCs w:val="16"/>
              </w:rPr>
            </w:pPr>
            <w:r w:rsidRPr="006D5CEC">
              <w:rPr>
                <w:rFonts w:cs="Arial"/>
                <w:sz w:val="16"/>
                <w:szCs w:val="16"/>
              </w:rPr>
              <w:t>10 966</w:t>
            </w:r>
          </w:p>
        </w:tc>
        <w:tc>
          <w:tcPr>
            <w:tcW w:w="652" w:type="dxa"/>
            <w:tcBorders>
              <w:top w:val="nil"/>
              <w:left w:val="nil"/>
              <w:bottom w:val="nil"/>
              <w:right w:val="single" w:sz="4" w:space="0" w:color="auto"/>
            </w:tcBorders>
            <w:shd w:val="clear" w:color="auto" w:fill="auto"/>
            <w:vAlign w:val="center"/>
            <w:hideMark/>
          </w:tcPr>
          <w:p w14:paraId="1AB86F2F" w14:textId="77777777" w:rsidR="006D5CEC" w:rsidRPr="006D5CEC" w:rsidRDefault="006D5CEC" w:rsidP="00531B19">
            <w:pPr>
              <w:spacing w:after="0" w:line="240" w:lineRule="auto"/>
              <w:jc w:val="right"/>
              <w:rPr>
                <w:rFonts w:cs="Arial"/>
                <w:sz w:val="16"/>
                <w:szCs w:val="16"/>
              </w:rPr>
            </w:pPr>
            <w:r w:rsidRPr="006D5CEC">
              <w:rPr>
                <w:rFonts w:cs="Arial"/>
                <w:sz w:val="16"/>
                <w:szCs w:val="16"/>
              </w:rPr>
              <w:t>15 037</w:t>
            </w:r>
          </w:p>
        </w:tc>
        <w:tc>
          <w:tcPr>
            <w:tcW w:w="822" w:type="dxa"/>
            <w:tcBorders>
              <w:top w:val="nil"/>
              <w:left w:val="nil"/>
              <w:bottom w:val="nil"/>
              <w:right w:val="nil"/>
            </w:tcBorders>
            <w:shd w:val="clear" w:color="auto" w:fill="auto"/>
            <w:vAlign w:val="center"/>
            <w:hideMark/>
          </w:tcPr>
          <w:p w14:paraId="308E173F" w14:textId="77777777" w:rsidR="006D5CEC" w:rsidRPr="006D5CEC" w:rsidRDefault="006D5CEC" w:rsidP="00531B19">
            <w:pPr>
              <w:spacing w:after="0" w:line="240" w:lineRule="auto"/>
              <w:jc w:val="right"/>
              <w:rPr>
                <w:rFonts w:cs="Arial"/>
                <w:sz w:val="16"/>
                <w:szCs w:val="16"/>
              </w:rPr>
            </w:pPr>
            <w:r w:rsidRPr="006D5CEC">
              <w:rPr>
                <w:rFonts w:cs="Arial"/>
                <w:sz w:val="16"/>
                <w:szCs w:val="16"/>
              </w:rPr>
              <w:t>1 192</w:t>
            </w:r>
          </w:p>
        </w:tc>
        <w:tc>
          <w:tcPr>
            <w:tcW w:w="652" w:type="dxa"/>
            <w:tcBorders>
              <w:top w:val="nil"/>
              <w:left w:val="nil"/>
              <w:bottom w:val="nil"/>
              <w:right w:val="nil"/>
            </w:tcBorders>
            <w:shd w:val="clear" w:color="auto" w:fill="auto"/>
            <w:vAlign w:val="center"/>
            <w:hideMark/>
          </w:tcPr>
          <w:p w14:paraId="561E9611" w14:textId="77777777" w:rsidR="006D5CEC" w:rsidRPr="006D5CEC" w:rsidRDefault="006D5CEC" w:rsidP="00531B19">
            <w:pPr>
              <w:spacing w:after="0" w:line="240" w:lineRule="auto"/>
              <w:jc w:val="right"/>
              <w:rPr>
                <w:rFonts w:cs="Arial"/>
                <w:sz w:val="16"/>
                <w:szCs w:val="16"/>
              </w:rPr>
            </w:pPr>
            <w:r w:rsidRPr="006D5CEC">
              <w:rPr>
                <w:rFonts w:cs="Arial"/>
                <w:sz w:val="16"/>
                <w:szCs w:val="16"/>
              </w:rPr>
              <w:t>840</w:t>
            </w:r>
          </w:p>
        </w:tc>
        <w:tc>
          <w:tcPr>
            <w:tcW w:w="652" w:type="dxa"/>
            <w:tcBorders>
              <w:top w:val="nil"/>
              <w:left w:val="nil"/>
              <w:bottom w:val="nil"/>
              <w:right w:val="single" w:sz="4" w:space="0" w:color="auto"/>
            </w:tcBorders>
            <w:shd w:val="clear" w:color="auto" w:fill="auto"/>
            <w:vAlign w:val="center"/>
            <w:hideMark/>
          </w:tcPr>
          <w:p w14:paraId="6E6FDD45" w14:textId="77777777" w:rsidR="006D5CEC" w:rsidRPr="006D5CEC" w:rsidRDefault="006D5CEC" w:rsidP="00531B19">
            <w:pPr>
              <w:spacing w:after="0" w:line="240" w:lineRule="auto"/>
              <w:jc w:val="right"/>
              <w:rPr>
                <w:rFonts w:cs="Arial"/>
                <w:sz w:val="16"/>
                <w:szCs w:val="16"/>
              </w:rPr>
            </w:pPr>
            <w:r w:rsidRPr="006D5CEC">
              <w:rPr>
                <w:rFonts w:cs="Arial"/>
                <w:sz w:val="16"/>
                <w:szCs w:val="16"/>
              </w:rPr>
              <w:t>352</w:t>
            </w:r>
          </w:p>
        </w:tc>
        <w:tc>
          <w:tcPr>
            <w:tcW w:w="822" w:type="dxa"/>
            <w:tcBorders>
              <w:top w:val="nil"/>
              <w:left w:val="nil"/>
              <w:bottom w:val="nil"/>
              <w:right w:val="nil"/>
            </w:tcBorders>
            <w:shd w:val="clear" w:color="auto" w:fill="auto"/>
            <w:vAlign w:val="center"/>
            <w:hideMark/>
          </w:tcPr>
          <w:p w14:paraId="54888AC3" w14:textId="77777777" w:rsidR="006D5CEC" w:rsidRPr="006D5CEC" w:rsidRDefault="006D5CEC" w:rsidP="00531B19">
            <w:pPr>
              <w:spacing w:after="0" w:line="240" w:lineRule="auto"/>
              <w:jc w:val="right"/>
              <w:rPr>
                <w:rFonts w:cs="Arial"/>
                <w:sz w:val="16"/>
                <w:szCs w:val="16"/>
              </w:rPr>
            </w:pPr>
            <w:r w:rsidRPr="006D5CEC">
              <w:rPr>
                <w:rFonts w:cs="Arial"/>
                <w:sz w:val="16"/>
                <w:szCs w:val="16"/>
              </w:rPr>
              <w:t>3 318</w:t>
            </w:r>
          </w:p>
        </w:tc>
        <w:tc>
          <w:tcPr>
            <w:tcW w:w="652" w:type="dxa"/>
            <w:tcBorders>
              <w:top w:val="nil"/>
              <w:left w:val="nil"/>
              <w:bottom w:val="nil"/>
              <w:right w:val="nil"/>
            </w:tcBorders>
            <w:shd w:val="clear" w:color="auto" w:fill="auto"/>
            <w:vAlign w:val="center"/>
            <w:hideMark/>
          </w:tcPr>
          <w:p w14:paraId="15404DDC" w14:textId="77777777" w:rsidR="006D5CEC" w:rsidRPr="006D5CEC" w:rsidRDefault="006D5CEC" w:rsidP="00531B19">
            <w:pPr>
              <w:spacing w:after="0" w:line="240" w:lineRule="auto"/>
              <w:jc w:val="right"/>
              <w:rPr>
                <w:rFonts w:cs="Arial"/>
                <w:sz w:val="16"/>
                <w:szCs w:val="16"/>
              </w:rPr>
            </w:pPr>
            <w:r w:rsidRPr="006D5CEC">
              <w:rPr>
                <w:rFonts w:cs="Arial"/>
                <w:sz w:val="16"/>
                <w:szCs w:val="16"/>
              </w:rPr>
              <w:t>2 104</w:t>
            </w:r>
          </w:p>
        </w:tc>
        <w:tc>
          <w:tcPr>
            <w:tcW w:w="652" w:type="dxa"/>
            <w:tcBorders>
              <w:top w:val="nil"/>
              <w:left w:val="nil"/>
              <w:bottom w:val="nil"/>
              <w:right w:val="nil"/>
            </w:tcBorders>
            <w:shd w:val="clear" w:color="auto" w:fill="auto"/>
            <w:vAlign w:val="center"/>
            <w:hideMark/>
          </w:tcPr>
          <w:p w14:paraId="5EF79D6D" w14:textId="77777777" w:rsidR="006D5CEC" w:rsidRPr="006D5CEC" w:rsidRDefault="006D5CEC" w:rsidP="00531B19">
            <w:pPr>
              <w:spacing w:after="0" w:line="240" w:lineRule="auto"/>
              <w:jc w:val="right"/>
              <w:rPr>
                <w:rFonts w:cs="Arial"/>
                <w:sz w:val="16"/>
                <w:szCs w:val="16"/>
              </w:rPr>
            </w:pPr>
            <w:r w:rsidRPr="006D5CEC">
              <w:rPr>
                <w:rFonts w:cs="Arial"/>
                <w:sz w:val="16"/>
                <w:szCs w:val="16"/>
              </w:rPr>
              <w:t>1 214</w:t>
            </w:r>
          </w:p>
        </w:tc>
      </w:tr>
      <w:tr w:rsidR="006D5CEC" w:rsidRPr="006D5CEC" w14:paraId="37E77FE2"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51297721"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2015</w:t>
            </w:r>
          </w:p>
        </w:tc>
        <w:tc>
          <w:tcPr>
            <w:tcW w:w="819" w:type="dxa"/>
            <w:tcBorders>
              <w:top w:val="nil"/>
              <w:left w:val="nil"/>
              <w:bottom w:val="nil"/>
              <w:right w:val="nil"/>
            </w:tcBorders>
            <w:shd w:val="clear" w:color="auto" w:fill="auto"/>
            <w:vAlign w:val="center"/>
            <w:hideMark/>
          </w:tcPr>
          <w:p w14:paraId="3ECBFEBC" w14:textId="77777777" w:rsidR="006D5CEC" w:rsidRPr="006D5CEC" w:rsidRDefault="006D5CEC" w:rsidP="00531B19">
            <w:pPr>
              <w:spacing w:after="0" w:line="240" w:lineRule="auto"/>
              <w:jc w:val="right"/>
              <w:rPr>
                <w:rFonts w:cs="Arial"/>
                <w:sz w:val="16"/>
                <w:szCs w:val="16"/>
              </w:rPr>
            </w:pPr>
            <w:r w:rsidRPr="006D5CEC">
              <w:rPr>
                <w:rFonts w:cs="Arial"/>
                <w:sz w:val="16"/>
                <w:szCs w:val="16"/>
              </w:rPr>
              <w:t>35 052</w:t>
            </w:r>
          </w:p>
        </w:tc>
        <w:tc>
          <w:tcPr>
            <w:tcW w:w="652" w:type="dxa"/>
            <w:tcBorders>
              <w:top w:val="nil"/>
              <w:left w:val="nil"/>
              <w:bottom w:val="nil"/>
              <w:right w:val="nil"/>
            </w:tcBorders>
            <w:shd w:val="clear" w:color="auto" w:fill="auto"/>
            <w:vAlign w:val="center"/>
            <w:hideMark/>
          </w:tcPr>
          <w:p w14:paraId="32F852A8" w14:textId="77777777" w:rsidR="006D5CEC" w:rsidRPr="006D5CEC" w:rsidRDefault="006D5CEC" w:rsidP="00531B19">
            <w:pPr>
              <w:spacing w:after="0" w:line="240" w:lineRule="auto"/>
              <w:jc w:val="right"/>
              <w:rPr>
                <w:rFonts w:cs="Arial"/>
                <w:sz w:val="16"/>
                <w:szCs w:val="16"/>
              </w:rPr>
            </w:pPr>
            <w:r w:rsidRPr="006D5CEC">
              <w:rPr>
                <w:rFonts w:cs="Arial"/>
                <w:sz w:val="16"/>
                <w:szCs w:val="16"/>
              </w:rPr>
              <w:t>15 885</w:t>
            </w:r>
          </w:p>
        </w:tc>
        <w:tc>
          <w:tcPr>
            <w:tcW w:w="652" w:type="dxa"/>
            <w:tcBorders>
              <w:top w:val="nil"/>
              <w:left w:val="nil"/>
              <w:bottom w:val="nil"/>
              <w:right w:val="single" w:sz="4" w:space="0" w:color="auto"/>
            </w:tcBorders>
            <w:shd w:val="clear" w:color="auto" w:fill="auto"/>
            <w:vAlign w:val="center"/>
            <w:hideMark/>
          </w:tcPr>
          <w:p w14:paraId="7B87C122" w14:textId="77777777" w:rsidR="006D5CEC" w:rsidRPr="006D5CEC" w:rsidRDefault="006D5CEC" w:rsidP="00531B19">
            <w:pPr>
              <w:spacing w:after="0" w:line="240" w:lineRule="auto"/>
              <w:jc w:val="right"/>
              <w:rPr>
                <w:rFonts w:cs="Arial"/>
                <w:sz w:val="16"/>
                <w:szCs w:val="16"/>
              </w:rPr>
            </w:pPr>
            <w:r w:rsidRPr="006D5CEC">
              <w:rPr>
                <w:rFonts w:cs="Arial"/>
                <w:sz w:val="16"/>
                <w:szCs w:val="16"/>
              </w:rPr>
              <w:t>19 167</w:t>
            </w:r>
          </w:p>
        </w:tc>
        <w:tc>
          <w:tcPr>
            <w:tcW w:w="822" w:type="dxa"/>
            <w:tcBorders>
              <w:top w:val="nil"/>
              <w:left w:val="nil"/>
              <w:bottom w:val="nil"/>
              <w:right w:val="nil"/>
            </w:tcBorders>
            <w:shd w:val="clear" w:color="auto" w:fill="auto"/>
            <w:vAlign w:val="center"/>
            <w:hideMark/>
          </w:tcPr>
          <w:p w14:paraId="220927D8" w14:textId="77777777" w:rsidR="006D5CEC" w:rsidRPr="006D5CEC" w:rsidRDefault="006D5CEC" w:rsidP="00531B19">
            <w:pPr>
              <w:spacing w:after="0" w:line="240" w:lineRule="auto"/>
              <w:jc w:val="right"/>
              <w:rPr>
                <w:rFonts w:cs="Arial"/>
                <w:sz w:val="16"/>
                <w:szCs w:val="16"/>
              </w:rPr>
            </w:pPr>
            <w:r w:rsidRPr="006D5CEC">
              <w:rPr>
                <w:rFonts w:cs="Arial"/>
                <w:sz w:val="16"/>
                <w:szCs w:val="16"/>
              </w:rPr>
              <w:t>30 184</w:t>
            </w:r>
          </w:p>
        </w:tc>
        <w:tc>
          <w:tcPr>
            <w:tcW w:w="652" w:type="dxa"/>
            <w:tcBorders>
              <w:top w:val="nil"/>
              <w:left w:val="nil"/>
              <w:bottom w:val="nil"/>
              <w:right w:val="nil"/>
            </w:tcBorders>
            <w:shd w:val="clear" w:color="auto" w:fill="auto"/>
            <w:vAlign w:val="center"/>
            <w:hideMark/>
          </w:tcPr>
          <w:p w14:paraId="544A51EC" w14:textId="77777777" w:rsidR="006D5CEC" w:rsidRPr="006D5CEC" w:rsidRDefault="006D5CEC" w:rsidP="00531B19">
            <w:pPr>
              <w:spacing w:after="0" w:line="240" w:lineRule="auto"/>
              <w:jc w:val="right"/>
              <w:rPr>
                <w:rFonts w:cs="Arial"/>
                <w:sz w:val="16"/>
                <w:szCs w:val="16"/>
              </w:rPr>
            </w:pPr>
            <w:r w:rsidRPr="006D5CEC">
              <w:rPr>
                <w:rFonts w:cs="Arial"/>
                <w:sz w:val="16"/>
                <w:szCs w:val="16"/>
              </w:rPr>
              <w:t>12 792</w:t>
            </w:r>
          </w:p>
        </w:tc>
        <w:tc>
          <w:tcPr>
            <w:tcW w:w="652" w:type="dxa"/>
            <w:tcBorders>
              <w:top w:val="nil"/>
              <w:left w:val="nil"/>
              <w:bottom w:val="nil"/>
              <w:right w:val="single" w:sz="4" w:space="0" w:color="auto"/>
            </w:tcBorders>
            <w:shd w:val="clear" w:color="auto" w:fill="auto"/>
            <w:vAlign w:val="center"/>
            <w:hideMark/>
          </w:tcPr>
          <w:p w14:paraId="4235BD60" w14:textId="77777777" w:rsidR="006D5CEC" w:rsidRPr="006D5CEC" w:rsidRDefault="006D5CEC" w:rsidP="00531B19">
            <w:pPr>
              <w:spacing w:after="0" w:line="240" w:lineRule="auto"/>
              <w:jc w:val="right"/>
              <w:rPr>
                <w:rFonts w:cs="Arial"/>
                <w:sz w:val="16"/>
                <w:szCs w:val="16"/>
              </w:rPr>
            </w:pPr>
            <w:r w:rsidRPr="006D5CEC">
              <w:rPr>
                <w:rFonts w:cs="Arial"/>
                <w:sz w:val="16"/>
                <w:szCs w:val="16"/>
              </w:rPr>
              <w:t>17 392</w:t>
            </w:r>
          </w:p>
        </w:tc>
        <w:tc>
          <w:tcPr>
            <w:tcW w:w="822" w:type="dxa"/>
            <w:tcBorders>
              <w:top w:val="nil"/>
              <w:left w:val="nil"/>
              <w:bottom w:val="nil"/>
              <w:right w:val="nil"/>
            </w:tcBorders>
            <w:shd w:val="clear" w:color="auto" w:fill="auto"/>
            <w:vAlign w:val="center"/>
            <w:hideMark/>
          </w:tcPr>
          <w:p w14:paraId="22AEE245" w14:textId="77777777" w:rsidR="006D5CEC" w:rsidRPr="006D5CEC" w:rsidRDefault="006D5CEC" w:rsidP="00531B19">
            <w:pPr>
              <w:spacing w:after="0" w:line="240" w:lineRule="auto"/>
              <w:jc w:val="right"/>
              <w:rPr>
                <w:rFonts w:cs="Arial"/>
                <w:sz w:val="16"/>
                <w:szCs w:val="16"/>
              </w:rPr>
            </w:pPr>
            <w:r w:rsidRPr="006D5CEC">
              <w:rPr>
                <w:rFonts w:cs="Arial"/>
                <w:sz w:val="16"/>
                <w:szCs w:val="16"/>
              </w:rPr>
              <w:t>1 304</w:t>
            </w:r>
          </w:p>
        </w:tc>
        <w:tc>
          <w:tcPr>
            <w:tcW w:w="652" w:type="dxa"/>
            <w:tcBorders>
              <w:top w:val="nil"/>
              <w:left w:val="nil"/>
              <w:bottom w:val="nil"/>
              <w:right w:val="nil"/>
            </w:tcBorders>
            <w:shd w:val="clear" w:color="auto" w:fill="auto"/>
            <w:vAlign w:val="center"/>
            <w:hideMark/>
          </w:tcPr>
          <w:p w14:paraId="2A2B351A" w14:textId="77777777" w:rsidR="006D5CEC" w:rsidRPr="006D5CEC" w:rsidRDefault="006D5CEC" w:rsidP="00531B19">
            <w:pPr>
              <w:spacing w:after="0" w:line="240" w:lineRule="auto"/>
              <w:jc w:val="right"/>
              <w:rPr>
                <w:rFonts w:cs="Arial"/>
                <w:sz w:val="16"/>
                <w:szCs w:val="16"/>
              </w:rPr>
            </w:pPr>
            <w:r w:rsidRPr="006D5CEC">
              <w:rPr>
                <w:rFonts w:cs="Arial"/>
                <w:sz w:val="16"/>
                <w:szCs w:val="16"/>
              </w:rPr>
              <w:t>895</w:t>
            </w:r>
          </w:p>
        </w:tc>
        <w:tc>
          <w:tcPr>
            <w:tcW w:w="652" w:type="dxa"/>
            <w:tcBorders>
              <w:top w:val="nil"/>
              <w:left w:val="nil"/>
              <w:bottom w:val="nil"/>
              <w:right w:val="single" w:sz="4" w:space="0" w:color="auto"/>
            </w:tcBorders>
            <w:shd w:val="clear" w:color="auto" w:fill="auto"/>
            <w:vAlign w:val="center"/>
            <w:hideMark/>
          </w:tcPr>
          <w:p w14:paraId="56A0FD96" w14:textId="77777777" w:rsidR="006D5CEC" w:rsidRPr="006D5CEC" w:rsidRDefault="006D5CEC" w:rsidP="00531B19">
            <w:pPr>
              <w:spacing w:after="0" w:line="240" w:lineRule="auto"/>
              <w:jc w:val="right"/>
              <w:rPr>
                <w:rFonts w:cs="Arial"/>
                <w:sz w:val="16"/>
                <w:szCs w:val="16"/>
              </w:rPr>
            </w:pPr>
            <w:r w:rsidRPr="006D5CEC">
              <w:rPr>
                <w:rFonts w:cs="Arial"/>
                <w:sz w:val="16"/>
                <w:szCs w:val="16"/>
              </w:rPr>
              <w:t>409</w:t>
            </w:r>
          </w:p>
        </w:tc>
        <w:tc>
          <w:tcPr>
            <w:tcW w:w="822" w:type="dxa"/>
            <w:tcBorders>
              <w:top w:val="nil"/>
              <w:left w:val="nil"/>
              <w:bottom w:val="nil"/>
              <w:right w:val="nil"/>
            </w:tcBorders>
            <w:shd w:val="clear" w:color="auto" w:fill="auto"/>
            <w:vAlign w:val="center"/>
            <w:hideMark/>
          </w:tcPr>
          <w:p w14:paraId="792D46D8" w14:textId="77777777" w:rsidR="006D5CEC" w:rsidRPr="006D5CEC" w:rsidRDefault="006D5CEC" w:rsidP="00531B19">
            <w:pPr>
              <w:spacing w:after="0" w:line="240" w:lineRule="auto"/>
              <w:jc w:val="right"/>
              <w:rPr>
                <w:rFonts w:cs="Arial"/>
                <w:sz w:val="16"/>
                <w:szCs w:val="16"/>
              </w:rPr>
            </w:pPr>
            <w:r w:rsidRPr="006D5CEC">
              <w:rPr>
                <w:rFonts w:cs="Arial"/>
                <w:sz w:val="16"/>
                <w:szCs w:val="16"/>
              </w:rPr>
              <w:t>3 563</w:t>
            </w:r>
          </w:p>
        </w:tc>
        <w:tc>
          <w:tcPr>
            <w:tcW w:w="652" w:type="dxa"/>
            <w:tcBorders>
              <w:top w:val="nil"/>
              <w:left w:val="nil"/>
              <w:bottom w:val="nil"/>
              <w:right w:val="nil"/>
            </w:tcBorders>
            <w:shd w:val="clear" w:color="auto" w:fill="auto"/>
            <w:vAlign w:val="center"/>
            <w:hideMark/>
          </w:tcPr>
          <w:p w14:paraId="5903C720" w14:textId="77777777" w:rsidR="006D5CEC" w:rsidRPr="006D5CEC" w:rsidRDefault="006D5CEC" w:rsidP="00531B19">
            <w:pPr>
              <w:spacing w:after="0" w:line="240" w:lineRule="auto"/>
              <w:jc w:val="right"/>
              <w:rPr>
                <w:rFonts w:cs="Arial"/>
                <w:sz w:val="16"/>
                <w:szCs w:val="16"/>
              </w:rPr>
            </w:pPr>
            <w:r w:rsidRPr="006D5CEC">
              <w:rPr>
                <w:rFonts w:cs="Arial"/>
                <w:sz w:val="16"/>
                <w:szCs w:val="16"/>
              </w:rPr>
              <w:t>2 198</w:t>
            </w:r>
          </w:p>
        </w:tc>
        <w:tc>
          <w:tcPr>
            <w:tcW w:w="652" w:type="dxa"/>
            <w:tcBorders>
              <w:top w:val="nil"/>
              <w:left w:val="nil"/>
              <w:bottom w:val="nil"/>
              <w:right w:val="nil"/>
            </w:tcBorders>
            <w:shd w:val="clear" w:color="auto" w:fill="auto"/>
            <w:vAlign w:val="center"/>
            <w:hideMark/>
          </w:tcPr>
          <w:p w14:paraId="00FAFDCE" w14:textId="77777777" w:rsidR="006D5CEC" w:rsidRPr="006D5CEC" w:rsidRDefault="006D5CEC" w:rsidP="00531B19">
            <w:pPr>
              <w:spacing w:after="0" w:line="240" w:lineRule="auto"/>
              <w:jc w:val="right"/>
              <w:rPr>
                <w:rFonts w:cs="Arial"/>
                <w:sz w:val="16"/>
                <w:szCs w:val="16"/>
              </w:rPr>
            </w:pPr>
            <w:r w:rsidRPr="006D5CEC">
              <w:rPr>
                <w:rFonts w:cs="Arial"/>
                <w:sz w:val="16"/>
                <w:szCs w:val="16"/>
              </w:rPr>
              <w:t>1 365</w:t>
            </w:r>
          </w:p>
        </w:tc>
      </w:tr>
      <w:tr w:rsidR="006D5CEC" w:rsidRPr="006D5CEC" w14:paraId="687065DC"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4721D5D9"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2016</w:t>
            </w:r>
          </w:p>
        </w:tc>
        <w:tc>
          <w:tcPr>
            <w:tcW w:w="819" w:type="dxa"/>
            <w:tcBorders>
              <w:top w:val="nil"/>
              <w:left w:val="nil"/>
              <w:bottom w:val="nil"/>
              <w:right w:val="nil"/>
            </w:tcBorders>
            <w:shd w:val="clear" w:color="auto" w:fill="auto"/>
            <w:vAlign w:val="center"/>
            <w:hideMark/>
          </w:tcPr>
          <w:p w14:paraId="7815B57A" w14:textId="77777777" w:rsidR="006D5CEC" w:rsidRPr="006D5CEC" w:rsidRDefault="006D5CEC" w:rsidP="00531B19">
            <w:pPr>
              <w:spacing w:after="0" w:line="240" w:lineRule="auto"/>
              <w:jc w:val="right"/>
              <w:rPr>
                <w:rFonts w:cs="Arial"/>
                <w:sz w:val="16"/>
                <w:szCs w:val="16"/>
              </w:rPr>
            </w:pPr>
            <w:r w:rsidRPr="006D5CEC">
              <w:rPr>
                <w:rFonts w:cs="Arial"/>
                <w:sz w:val="16"/>
                <w:szCs w:val="16"/>
              </w:rPr>
              <w:t>36 787</w:t>
            </w:r>
          </w:p>
        </w:tc>
        <w:tc>
          <w:tcPr>
            <w:tcW w:w="652" w:type="dxa"/>
            <w:tcBorders>
              <w:top w:val="nil"/>
              <w:left w:val="nil"/>
              <w:bottom w:val="nil"/>
              <w:right w:val="nil"/>
            </w:tcBorders>
            <w:shd w:val="clear" w:color="auto" w:fill="auto"/>
            <w:vAlign w:val="center"/>
            <w:hideMark/>
          </w:tcPr>
          <w:p w14:paraId="73E00CBE" w14:textId="77777777" w:rsidR="006D5CEC" w:rsidRPr="006D5CEC" w:rsidRDefault="006D5CEC" w:rsidP="00531B19">
            <w:pPr>
              <w:spacing w:after="0" w:line="240" w:lineRule="auto"/>
              <w:jc w:val="right"/>
              <w:rPr>
                <w:rFonts w:cs="Arial"/>
                <w:sz w:val="16"/>
                <w:szCs w:val="16"/>
              </w:rPr>
            </w:pPr>
            <w:r w:rsidRPr="006D5CEC">
              <w:rPr>
                <w:rFonts w:cs="Arial"/>
                <w:sz w:val="16"/>
                <w:szCs w:val="16"/>
              </w:rPr>
              <w:t>16 662</w:t>
            </w:r>
          </w:p>
        </w:tc>
        <w:tc>
          <w:tcPr>
            <w:tcW w:w="652" w:type="dxa"/>
            <w:tcBorders>
              <w:top w:val="nil"/>
              <w:left w:val="nil"/>
              <w:bottom w:val="nil"/>
              <w:right w:val="single" w:sz="4" w:space="0" w:color="auto"/>
            </w:tcBorders>
            <w:shd w:val="clear" w:color="auto" w:fill="auto"/>
            <w:vAlign w:val="center"/>
            <w:hideMark/>
          </w:tcPr>
          <w:p w14:paraId="7555C5F0" w14:textId="77777777" w:rsidR="006D5CEC" w:rsidRPr="006D5CEC" w:rsidRDefault="006D5CEC" w:rsidP="00531B19">
            <w:pPr>
              <w:spacing w:after="0" w:line="240" w:lineRule="auto"/>
              <w:jc w:val="right"/>
              <w:rPr>
                <w:rFonts w:cs="Arial"/>
                <w:sz w:val="16"/>
                <w:szCs w:val="16"/>
              </w:rPr>
            </w:pPr>
            <w:r w:rsidRPr="006D5CEC">
              <w:rPr>
                <w:rFonts w:cs="Arial"/>
                <w:sz w:val="16"/>
                <w:szCs w:val="16"/>
              </w:rPr>
              <w:t>20 125</w:t>
            </w:r>
          </w:p>
        </w:tc>
        <w:tc>
          <w:tcPr>
            <w:tcW w:w="822" w:type="dxa"/>
            <w:tcBorders>
              <w:top w:val="nil"/>
              <w:left w:val="nil"/>
              <w:bottom w:val="nil"/>
              <w:right w:val="nil"/>
            </w:tcBorders>
            <w:shd w:val="clear" w:color="auto" w:fill="auto"/>
            <w:vAlign w:val="center"/>
            <w:hideMark/>
          </w:tcPr>
          <w:p w14:paraId="76977E32" w14:textId="77777777" w:rsidR="006D5CEC" w:rsidRPr="006D5CEC" w:rsidRDefault="006D5CEC" w:rsidP="00531B19">
            <w:pPr>
              <w:spacing w:after="0" w:line="240" w:lineRule="auto"/>
              <w:jc w:val="right"/>
              <w:rPr>
                <w:rFonts w:cs="Arial"/>
                <w:sz w:val="16"/>
                <w:szCs w:val="16"/>
              </w:rPr>
            </w:pPr>
            <w:r w:rsidRPr="006D5CEC">
              <w:rPr>
                <w:rFonts w:cs="Arial"/>
                <w:sz w:val="16"/>
                <w:szCs w:val="16"/>
              </w:rPr>
              <w:t>31 662</w:t>
            </w:r>
          </w:p>
        </w:tc>
        <w:tc>
          <w:tcPr>
            <w:tcW w:w="652" w:type="dxa"/>
            <w:tcBorders>
              <w:top w:val="nil"/>
              <w:left w:val="nil"/>
              <w:bottom w:val="nil"/>
              <w:right w:val="nil"/>
            </w:tcBorders>
            <w:shd w:val="clear" w:color="auto" w:fill="auto"/>
            <w:vAlign w:val="center"/>
            <w:hideMark/>
          </w:tcPr>
          <w:p w14:paraId="2CD147AA" w14:textId="77777777" w:rsidR="006D5CEC" w:rsidRPr="006D5CEC" w:rsidRDefault="006D5CEC" w:rsidP="00531B19">
            <w:pPr>
              <w:spacing w:after="0" w:line="240" w:lineRule="auto"/>
              <w:jc w:val="right"/>
              <w:rPr>
                <w:rFonts w:cs="Arial"/>
                <w:sz w:val="16"/>
                <w:szCs w:val="16"/>
              </w:rPr>
            </w:pPr>
            <w:r w:rsidRPr="006D5CEC">
              <w:rPr>
                <w:rFonts w:cs="Arial"/>
                <w:sz w:val="16"/>
                <w:szCs w:val="16"/>
              </w:rPr>
              <w:t>13 413</w:t>
            </w:r>
          </w:p>
        </w:tc>
        <w:tc>
          <w:tcPr>
            <w:tcW w:w="652" w:type="dxa"/>
            <w:tcBorders>
              <w:top w:val="nil"/>
              <w:left w:val="nil"/>
              <w:bottom w:val="nil"/>
              <w:right w:val="single" w:sz="4" w:space="0" w:color="auto"/>
            </w:tcBorders>
            <w:shd w:val="clear" w:color="auto" w:fill="auto"/>
            <w:vAlign w:val="center"/>
            <w:hideMark/>
          </w:tcPr>
          <w:p w14:paraId="73B71634" w14:textId="77777777" w:rsidR="006D5CEC" w:rsidRPr="006D5CEC" w:rsidRDefault="006D5CEC" w:rsidP="00531B19">
            <w:pPr>
              <w:spacing w:after="0" w:line="240" w:lineRule="auto"/>
              <w:jc w:val="right"/>
              <w:rPr>
                <w:rFonts w:cs="Arial"/>
                <w:sz w:val="16"/>
                <w:szCs w:val="16"/>
              </w:rPr>
            </w:pPr>
            <w:r w:rsidRPr="006D5CEC">
              <w:rPr>
                <w:rFonts w:cs="Arial"/>
                <w:sz w:val="16"/>
                <w:szCs w:val="16"/>
              </w:rPr>
              <w:t>18 249</w:t>
            </w:r>
          </w:p>
        </w:tc>
        <w:tc>
          <w:tcPr>
            <w:tcW w:w="822" w:type="dxa"/>
            <w:tcBorders>
              <w:top w:val="nil"/>
              <w:left w:val="nil"/>
              <w:bottom w:val="nil"/>
              <w:right w:val="nil"/>
            </w:tcBorders>
            <w:shd w:val="clear" w:color="auto" w:fill="auto"/>
            <w:vAlign w:val="center"/>
            <w:hideMark/>
          </w:tcPr>
          <w:p w14:paraId="51DBB3BD" w14:textId="77777777" w:rsidR="006D5CEC" w:rsidRPr="006D5CEC" w:rsidRDefault="006D5CEC" w:rsidP="00531B19">
            <w:pPr>
              <w:spacing w:after="0" w:line="240" w:lineRule="auto"/>
              <w:jc w:val="right"/>
              <w:rPr>
                <w:rFonts w:cs="Arial"/>
                <w:sz w:val="16"/>
                <w:szCs w:val="16"/>
              </w:rPr>
            </w:pPr>
            <w:r w:rsidRPr="006D5CEC">
              <w:rPr>
                <w:rFonts w:cs="Arial"/>
                <w:sz w:val="16"/>
                <w:szCs w:val="16"/>
              </w:rPr>
              <w:t>1 320</w:t>
            </w:r>
          </w:p>
        </w:tc>
        <w:tc>
          <w:tcPr>
            <w:tcW w:w="652" w:type="dxa"/>
            <w:tcBorders>
              <w:top w:val="nil"/>
              <w:left w:val="nil"/>
              <w:bottom w:val="nil"/>
              <w:right w:val="nil"/>
            </w:tcBorders>
            <w:shd w:val="clear" w:color="auto" w:fill="auto"/>
            <w:vAlign w:val="center"/>
            <w:hideMark/>
          </w:tcPr>
          <w:p w14:paraId="748B3465" w14:textId="77777777" w:rsidR="006D5CEC" w:rsidRPr="006D5CEC" w:rsidRDefault="006D5CEC" w:rsidP="00531B19">
            <w:pPr>
              <w:spacing w:after="0" w:line="240" w:lineRule="auto"/>
              <w:jc w:val="right"/>
              <w:rPr>
                <w:rFonts w:cs="Arial"/>
                <w:sz w:val="16"/>
                <w:szCs w:val="16"/>
              </w:rPr>
            </w:pPr>
            <w:r w:rsidRPr="006D5CEC">
              <w:rPr>
                <w:rFonts w:cs="Arial"/>
                <w:sz w:val="16"/>
                <w:szCs w:val="16"/>
              </w:rPr>
              <w:t>900</w:t>
            </w:r>
          </w:p>
        </w:tc>
        <w:tc>
          <w:tcPr>
            <w:tcW w:w="652" w:type="dxa"/>
            <w:tcBorders>
              <w:top w:val="nil"/>
              <w:left w:val="nil"/>
              <w:bottom w:val="nil"/>
              <w:right w:val="single" w:sz="4" w:space="0" w:color="auto"/>
            </w:tcBorders>
            <w:shd w:val="clear" w:color="auto" w:fill="auto"/>
            <w:vAlign w:val="center"/>
            <w:hideMark/>
          </w:tcPr>
          <w:p w14:paraId="1B66059F" w14:textId="77777777" w:rsidR="006D5CEC" w:rsidRPr="006D5CEC" w:rsidRDefault="006D5CEC" w:rsidP="00531B19">
            <w:pPr>
              <w:spacing w:after="0" w:line="240" w:lineRule="auto"/>
              <w:jc w:val="right"/>
              <w:rPr>
                <w:rFonts w:cs="Arial"/>
                <w:sz w:val="16"/>
                <w:szCs w:val="16"/>
              </w:rPr>
            </w:pPr>
            <w:r w:rsidRPr="006D5CEC">
              <w:rPr>
                <w:rFonts w:cs="Arial"/>
                <w:sz w:val="16"/>
                <w:szCs w:val="16"/>
              </w:rPr>
              <w:t>421</w:t>
            </w:r>
          </w:p>
        </w:tc>
        <w:tc>
          <w:tcPr>
            <w:tcW w:w="822" w:type="dxa"/>
            <w:tcBorders>
              <w:top w:val="nil"/>
              <w:left w:val="nil"/>
              <w:bottom w:val="nil"/>
              <w:right w:val="nil"/>
            </w:tcBorders>
            <w:shd w:val="clear" w:color="auto" w:fill="auto"/>
            <w:vAlign w:val="center"/>
            <w:hideMark/>
          </w:tcPr>
          <w:p w14:paraId="33F27336" w14:textId="77777777" w:rsidR="006D5CEC" w:rsidRPr="006D5CEC" w:rsidRDefault="006D5CEC" w:rsidP="00531B19">
            <w:pPr>
              <w:spacing w:after="0" w:line="240" w:lineRule="auto"/>
              <w:jc w:val="right"/>
              <w:rPr>
                <w:rFonts w:cs="Arial"/>
                <w:sz w:val="16"/>
                <w:szCs w:val="16"/>
              </w:rPr>
            </w:pPr>
            <w:r w:rsidRPr="006D5CEC">
              <w:rPr>
                <w:rFonts w:cs="Arial"/>
                <w:sz w:val="16"/>
                <w:szCs w:val="16"/>
              </w:rPr>
              <w:t>3 805</w:t>
            </w:r>
          </w:p>
        </w:tc>
        <w:tc>
          <w:tcPr>
            <w:tcW w:w="652" w:type="dxa"/>
            <w:tcBorders>
              <w:top w:val="nil"/>
              <w:left w:val="nil"/>
              <w:bottom w:val="nil"/>
              <w:right w:val="nil"/>
            </w:tcBorders>
            <w:shd w:val="clear" w:color="auto" w:fill="auto"/>
            <w:vAlign w:val="center"/>
            <w:hideMark/>
          </w:tcPr>
          <w:p w14:paraId="773ABF46" w14:textId="77777777" w:rsidR="006D5CEC" w:rsidRPr="006D5CEC" w:rsidRDefault="006D5CEC" w:rsidP="00531B19">
            <w:pPr>
              <w:spacing w:after="0" w:line="240" w:lineRule="auto"/>
              <w:jc w:val="right"/>
              <w:rPr>
                <w:rFonts w:cs="Arial"/>
                <w:sz w:val="16"/>
                <w:szCs w:val="16"/>
              </w:rPr>
            </w:pPr>
            <w:r w:rsidRPr="006D5CEC">
              <w:rPr>
                <w:rFonts w:cs="Arial"/>
                <w:sz w:val="16"/>
                <w:szCs w:val="16"/>
              </w:rPr>
              <w:t>2 349</w:t>
            </w:r>
          </w:p>
        </w:tc>
        <w:tc>
          <w:tcPr>
            <w:tcW w:w="652" w:type="dxa"/>
            <w:tcBorders>
              <w:top w:val="nil"/>
              <w:left w:val="nil"/>
              <w:bottom w:val="nil"/>
              <w:right w:val="nil"/>
            </w:tcBorders>
            <w:shd w:val="clear" w:color="auto" w:fill="auto"/>
            <w:vAlign w:val="center"/>
            <w:hideMark/>
          </w:tcPr>
          <w:p w14:paraId="23C8C669" w14:textId="77777777" w:rsidR="006D5CEC" w:rsidRPr="006D5CEC" w:rsidRDefault="006D5CEC" w:rsidP="00531B19">
            <w:pPr>
              <w:spacing w:after="0" w:line="240" w:lineRule="auto"/>
              <w:jc w:val="right"/>
              <w:rPr>
                <w:rFonts w:cs="Arial"/>
                <w:sz w:val="16"/>
                <w:szCs w:val="16"/>
              </w:rPr>
            </w:pPr>
            <w:r w:rsidRPr="006D5CEC">
              <w:rPr>
                <w:rFonts w:cs="Arial"/>
                <w:sz w:val="16"/>
                <w:szCs w:val="16"/>
              </w:rPr>
              <w:t>1 455</w:t>
            </w:r>
          </w:p>
        </w:tc>
      </w:tr>
      <w:tr w:rsidR="006D5CEC" w:rsidRPr="006D5CEC" w14:paraId="579B3316"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3B00A035"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2017</w:t>
            </w:r>
          </w:p>
        </w:tc>
        <w:tc>
          <w:tcPr>
            <w:tcW w:w="819" w:type="dxa"/>
            <w:tcBorders>
              <w:top w:val="nil"/>
              <w:left w:val="nil"/>
              <w:bottom w:val="nil"/>
              <w:right w:val="nil"/>
            </w:tcBorders>
            <w:shd w:val="clear" w:color="auto" w:fill="auto"/>
            <w:vAlign w:val="center"/>
            <w:hideMark/>
          </w:tcPr>
          <w:p w14:paraId="220EF1B0" w14:textId="77777777" w:rsidR="006D5CEC" w:rsidRPr="006D5CEC" w:rsidRDefault="006D5CEC" w:rsidP="00531B19">
            <w:pPr>
              <w:spacing w:after="0" w:line="240" w:lineRule="auto"/>
              <w:jc w:val="right"/>
              <w:rPr>
                <w:rFonts w:cs="Arial"/>
                <w:sz w:val="16"/>
                <w:szCs w:val="16"/>
              </w:rPr>
            </w:pPr>
            <w:r w:rsidRPr="006D5CEC">
              <w:rPr>
                <w:rFonts w:cs="Arial"/>
                <w:sz w:val="16"/>
                <w:szCs w:val="16"/>
              </w:rPr>
              <w:t>38 709</w:t>
            </w:r>
          </w:p>
        </w:tc>
        <w:tc>
          <w:tcPr>
            <w:tcW w:w="652" w:type="dxa"/>
            <w:tcBorders>
              <w:top w:val="nil"/>
              <w:left w:val="nil"/>
              <w:bottom w:val="nil"/>
              <w:right w:val="nil"/>
            </w:tcBorders>
            <w:shd w:val="clear" w:color="auto" w:fill="auto"/>
            <w:vAlign w:val="center"/>
            <w:hideMark/>
          </w:tcPr>
          <w:p w14:paraId="325ABE03" w14:textId="77777777" w:rsidR="006D5CEC" w:rsidRPr="006D5CEC" w:rsidRDefault="006D5CEC" w:rsidP="00531B19">
            <w:pPr>
              <w:spacing w:after="0" w:line="240" w:lineRule="auto"/>
              <w:jc w:val="right"/>
              <w:rPr>
                <w:rFonts w:cs="Arial"/>
                <w:sz w:val="16"/>
                <w:szCs w:val="16"/>
              </w:rPr>
            </w:pPr>
            <w:r w:rsidRPr="006D5CEC">
              <w:rPr>
                <w:rFonts w:cs="Arial"/>
                <w:sz w:val="16"/>
                <w:szCs w:val="16"/>
              </w:rPr>
              <w:t>17 570</w:t>
            </w:r>
          </w:p>
        </w:tc>
        <w:tc>
          <w:tcPr>
            <w:tcW w:w="652" w:type="dxa"/>
            <w:tcBorders>
              <w:top w:val="nil"/>
              <w:left w:val="nil"/>
              <w:bottom w:val="nil"/>
              <w:right w:val="single" w:sz="4" w:space="0" w:color="auto"/>
            </w:tcBorders>
            <w:shd w:val="clear" w:color="auto" w:fill="auto"/>
            <w:vAlign w:val="center"/>
            <w:hideMark/>
          </w:tcPr>
          <w:p w14:paraId="5E384118" w14:textId="77777777" w:rsidR="006D5CEC" w:rsidRPr="006D5CEC" w:rsidRDefault="006D5CEC" w:rsidP="00531B19">
            <w:pPr>
              <w:spacing w:after="0" w:line="240" w:lineRule="auto"/>
              <w:jc w:val="right"/>
              <w:rPr>
                <w:rFonts w:cs="Arial"/>
                <w:sz w:val="16"/>
                <w:szCs w:val="16"/>
              </w:rPr>
            </w:pPr>
            <w:r w:rsidRPr="006D5CEC">
              <w:rPr>
                <w:rFonts w:cs="Arial"/>
                <w:sz w:val="16"/>
                <w:szCs w:val="16"/>
              </w:rPr>
              <w:t>21 138</w:t>
            </w:r>
          </w:p>
        </w:tc>
        <w:tc>
          <w:tcPr>
            <w:tcW w:w="822" w:type="dxa"/>
            <w:tcBorders>
              <w:top w:val="nil"/>
              <w:left w:val="nil"/>
              <w:bottom w:val="nil"/>
              <w:right w:val="nil"/>
            </w:tcBorders>
            <w:shd w:val="clear" w:color="auto" w:fill="auto"/>
            <w:vAlign w:val="center"/>
            <w:hideMark/>
          </w:tcPr>
          <w:p w14:paraId="2F2624EA" w14:textId="77777777" w:rsidR="006D5CEC" w:rsidRPr="006D5CEC" w:rsidRDefault="006D5CEC" w:rsidP="00531B19">
            <w:pPr>
              <w:spacing w:after="0" w:line="240" w:lineRule="auto"/>
              <w:jc w:val="right"/>
              <w:rPr>
                <w:rFonts w:cs="Arial"/>
                <w:sz w:val="16"/>
                <w:szCs w:val="16"/>
              </w:rPr>
            </w:pPr>
            <w:r w:rsidRPr="006D5CEC">
              <w:rPr>
                <w:rFonts w:cs="Arial"/>
                <w:sz w:val="16"/>
                <w:szCs w:val="16"/>
              </w:rPr>
              <w:t>33 259</w:t>
            </w:r>
          </w:p>
        </w:tc>
        <w:tc>
          <w:tcPr>
            <w:tcW w:w="652" w:type="dxa"/>
            <w:tcBorders>
              <w:top w:val="nil"/>
              <w:left w:val="nil"/>
              <w:bottom w:val="nil"/>
              <w:right w:val="nil"/>
            </w:tcBorders>
            <w:shd w:val="clear" w:color="auto" w:fill="auto"/>
            <w:vAlign w:val="center"/>
            <w:hideMark/>
          </w:tcPr>
          <w:p w14:paraId="6562EDC3" w14:textId="77777777" w:rsidR="006D5CEC" w:rsidRPr="006D5CEC" w:rsidRDefault="006D5CEC" w:rsidP="00531B19">
            <w:pPr>
              <w:spacing w:after="0" w:line="240" w:lineRule="auto"/>
              <w:jc w:val="right"/>
              <w:rPr>
                <w:rFonts w:cs="Arial"/>
                <w:sz w:val="16"/>
                <w:szCs w:val="16"/>
              </w:rPr>
            </w:pPr>
            <w:r w:rsidRPr="006D5CEC">
              <w:rPr>
                <w:rFonts w:cs="Arial"/>
                <w:sz w:val="16"/>
                <w:szCs w:val="16"/>
              </w:rPr>
              <w:t>14 211</w:t>
            </w:r>
          </w:p>
        </w:tc>
        <w:tc>
          <w:tcPr>
            <w:tcW w:w="652" w:type="dxa"/>
            <w:tcBorders>
              <w:top w:val="nil"/>
              <w:left w:val="nil"/>
              <w:bottom w:val="nil"/>
              <w:right w:val="single" w:sz="4" w:space="0" w:color="auto"/>
            </w:tcBorders>
            <w:shd w:val="clear" w:color="auto" w:fill="auto"/>
            <w:vAlign w:val="center"/>
            <w:hideMark/>
          </w:tcPr>
          <w:p w14:paraId="1F4839FE" w14:textId="77777777" w:rsidR="006D5CEC" w:rsidRPr="006D5CEC" w:rsidRDefault="006D5CEC" w:rsidP="00531B19">
            <w:pPr>
              <w:spacing w:after="0" w:line="240" w:lineRule="auto"/>
              <w:jc w:val="right"/>
              <w:rPr>
                <w:rFonts w:cs="Arial"/>
                <w:sz w:val="16"/>
                <w:szCs w:val="16"/>
              </w:rPr>
            </w:pPr>
            <w:r w:rsidRPr="006D5CEC">
              <w:rPr>
                <w:rFonts w:cs="Arial"/>
                <w:sz w:val="16"/>
                <w:szCs w:val="16"/>
              </w:rPr>
              <w:t>19 048</w:t>
            </w:r>
          </w:p>
        </w:tc>
        <w:tc>
          <w:tcPr>
            <w:tcW w:w="822" w:type="dxa"/>
            <w:tcBorders>
              <w:top w:val="nil"/>
              <w:left w:val="nil"/>
              <w:bottom w:val="nil"/>
              <w:right w:val="nil"/>
            </w:tcBorders>
            <w:shd w:val="clear" w:color="auto" w:fill="auto"/>
            <w:vAlign w:val="center"/>
            <w:hideMark/>
          </w:tcPr>
          <w:p w14:paraId="30E58B2F" w14:textId="77777777" w:rsidR="006D5CEC" w:rsidRPr="006D5CEC" w:rsidRDefault="006D5CEC" w:rsidP="00531B19">
            <w:pPr>
              <w:spacing w:after="0" w:line="240" w:lineRule="auto"/>
              <w:jc w:val="right"/>
              <w:rPr>
                <w:rFonts w:cs="Arial"/>
                <w:sz w:val="16"/>
                <w:szCs w:val="16"/>
              </w:rPr>
            </w:pPr>
            <w:r w:rsidRPr="006D5CEC">
              <w:rPr>
                <w:rFonts w:cs="Arial"/>
                <w:sz w:val="16"/>
                <w:szCs w:val="16"/>
              </w:rPr>
              <w:t>1 343</w:t>
            </w:r>
          </w:p>
        </w:tc>
        <w:tc>
          <w:tcPr>
            <w:tcW w:w="652" w:type="dxa"/>
            <w:tcBorders>
              <w:top w:val="nil"/>
              <w:left w:val="nil"/>
              <w:bottom w:val="nil"/>
              <w:right w:val="nil"/>
            </w:tcBorders>
            <w:shd w:val="clear" w:color="auto" w:fill="auto"/>
            <w:vAlign w:val="center"/>
            <w:hideMark/>
          </w:tcPr>
          <w:p w14:paraId="71194F9B" w14:textId="77777777" w:rsidR="006D5CEC" w:rsidRPr="006D5CEC" w:rsidRDefault="006D5CEC" w:rsidP="00531B19">
            <w:pPr>
              <w:spacing w:after="0" w:line="240" w:lineRule="auto"/>
              <w:jc w:val="right"/>
              <w:rPr>
                <w:rFonts w:cs="Arial"/>
                <w:sz w:val="16"/>
                <w:szCs w:val="16"/>
              </w:rPr>
            </w:pPr>
            <w:r w:rsidRPr="006D5CEC">
              <w:rPr>
                <w:rFonts w:cs="Arial"/>
                <w:sz w:val="16"/>
                <w:szCs w:val="16"/>
              </w:rPr>
              <w:t>914</w:t>
            </w:r>
          </w:p>
        </w:tc>
        <w:tc>
          <w:tcPr>
            <w:tcW w:w="652" w:type="dxa"/>
            <w:tcBorders>
              <w:top w:val="nil"/>
              <w:left w:val="nil"/>
              <w:bottom w:val="nil"/>
              <w:right w:val="single" w:sz="4" w:space="0" w:color="auto"/>
            </w:tcBorders>
            <w:shd w:val="clear" w:color="auto" w:fill="auto"/>
            <w:vAlign w:val="center"/>
            <w:hideMark/>
          </w:tcPr>
          <w:p w14:paraId="730FDCB9" w14:textId="77777777" w:rsidR="006D5CEC" w:rsidRPr="006D5CEC" w:rsidRDefault="006D5CEC" w:rsidP="00531B19">
            <w:pPr>
              <w:spacing w:after="0" w:line="240" w:lineRule="auto"/>
              <w:jc w:val="right"/>
              <w:rPr>
                <w:rFonts w:cs="Arial"/>
                <w:sz w:val="16"/>
                <w:szCs w:val="16"/>
              </w:rPr>
            </w:pPr>
            <w:r w:rsidRPr="006D5CEC">
              <w:rPr>
                <w:rFonts w:cs="Arial"/>
                <w:sz w:val="16"/>
                <w:szCs w:val="16"/>
              </w:rPr>
              <w:t>428</w:t>
            </w:r>
          </w:p>
        </w:tc>
        <w:tc>
          <w:tcPr>
            <w:tcW w:w="822" w:type="dxa"/>
            <w:tcBorders>
              <w:top w:val="nil"/>
              <w:left w:val="nil"/>
              <w:bottom w:val="nil"/>
              <w:right w:val="nil"/>
            </w:tcBorders>
            <w:shd w:val="clear" w:color="auto" w:fill="auto"/>
            <w:vAlign w:val="center"/>
            <w:hideMark/>
          </w:tcPr>
          <w:p w14:paraId="4293A94E" w14:textId="77777777" w:rsidR="006D5CEC" w:rsidRPr="006D5CEC" w:rsidRDefault="006D5CEC" w:rsidP="00531B19">
            <w:pPr>
              <w:spacing w:after="0" w:line="240" w:lineRule="auto"/>
              <w:jc w:val="right"/>
              <w:rPr>
                <w:rFonts w:cs="Arial"/>
                <w:sz w:val="16"/>
                <w:szCs w:val="16"/>
              </w:rPr>
            </w:pPr>
            <w:r w:rsidRPr="006D5CEC">
              <w:rPr>
                <w:rFonts w:cs="Arial"/>
                <w:sz w:val="16"/>
                <w:szCs w:val="16"/>
              </w:rPr>
              <w:t>4 107</w:t>
            </w:r>
          </w:p>
        </w:tc>
        <w:tc>
          <w:tcPr>
            <w:tcW w:w="652" w:type="dxa"/>
            <w:tcBorders>
              <w:top w:val="nil"/>
              <w:left w:val="nil"/>
              <w:bottom w:val="nil"/>
              <w:right w:val="nil"/>
            </w:tcBorders>
            <w:shd w:val="clear" w:color="auto" w:fill="auto"/>
            <w:vAlign w:val="center"/>
            <w:hideMark/>
          </w:tcPr>
          <w:p w14:paraId="35D2F82B" w14:textId="77777777" w:rsidR="006D5CEC" w:rsidRPr="006D5CEC" w:rsidRDefault="006D5CEC" w:rsidP="00531B19">
            <w:pPr>
              <w:spacing w:after="0" w:line="240" w:lineRule="auto"/>
              <w:jc w:val="right"/>
              <w:rPr>
                <w:rFonts w:cs="Arial"/>
                <w:sz w:val="16"/>
                <w:szCs w:val="16"/>
              </w:rPr>
            </w:pPr>
            <w:r w:rsidRPr="006D5CEC">
              <w:rPr>
                <w:rFonts w:cs="Arial"/>
                <w:sz w:val="16"/>
                <w:szCs w:val="16"/>
              </w:rPr>
              <w:t>2 445</w:t>
            </w:r>
          </w:p>
        </w:tc>
        <w:tc>
          <w:tcPr>
            <w:tcW w:w="652" w:type="dxa"/>
            <w:tcBorders>
              <w:top w:val="nil"/>
              <w:left w:val="nil"/>
              <w:bottom w:val="nil"/>
              <w:right w:val="nil"/>
            </w:tcBorders>
            <w:shd w:val="clear" w:color="auto" w:fill="auto"/>
            <w:vAlign w:val="center"/>
            <w:hideMark/>
          </w:tcPr>
          <w:p w14:paraId="7987537F" w14:textId="77777777" w:rsidR="006D5CEC" w:rsidRPr="006D5CEC" w:rsidRDefault="006D5CEC" w:rsidP="00531B19">
            <w:pPr>
              <w:spacing w:after="0" w:line="240" w:lineRule="auto"/>
              <w:jc w:val="right"/>
              <w:rPr>
                <w:rFonts w:cs="Arial"/>
                <w:sz w:val="16"/>
                <w:szCs w:val="16"/>
              </w:rPr>
            </w:pPr>
            <w:r w:rsidRPr="006D5CEC">
              <w:rPr>
                <w:rFonts w:cs="Arial"/>
                <w:sz w:val="16"/>
                <w:szCs w:val="16"/>
              </w:rPr>
              <w:t>1 662</w:t>
            </w:r>
          </w:p>
        </w:tc>
      </w:tr>
      <w:tr w:rsidR="006D5CEC" w:rsidRPr="006D5CEC" w14:paraId="1D6A4148"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7803A7E2"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2018</w:t>
            </w:r>
          </w:p>
        </w:tc>
        <w:tc>
          <w:tcPr>
            <w:tcW w:w="819" w:type="dxa"/>
            <w:tcBorders>
              <w:top w:val="nil"/>
              <w:left w:val="nil"/>
              <w:bottom w:val="nil"/>
              <w:right w:val="nil"/>
            </w:tcBorders>
            <w:shd w:val="clear" w:color="auto" w:fill="auto"/>
            <w:vAlign w:val="center"/>
            <w:hideMark/>
          </w:tcPr>
          <w:p w14:paraId="3F4C8196" w14:textId="77777777" w:rsidR="006D5CEC" w:rsidRPr="006D5CEC" w:rsidRDefault="006D5CEC" w:rsidP="00531B19">
            <w:pPr>
              <w:spacing w:after="0" w:line="240" w:lineRule="auto"/>
              <w:jc w:val="right"/>
              <w:rPr>
                <w:rFonts w:cs="Arial"/>
                <w:sz w:val="16"/>
                <w:szCs w:val="16"/>
              </w:rPr>
            </w:pPr>
            <w:r w:rsidRPr="006D5CEC">
              <w:rPr>
                <w:rFonts w:cs="Arial"/>
                <w:sz w:val="16"/>
                <w:szCs w:val="16"/>
              </w:rPr>
              <w:t>40 624</w:t>
            </w:r>
          </w:p>
        </w:tc>
        <w:tc>
          <w:tcPr>
            <w:tcW w:w="652" w:type="dxa"/>
            <w:tcBorders>
              <w:top w:val="nil"/>
              <w:left w:val="nil"/>
              <w:bottom w:val="nil"/>
              <w:right w:val="nil"/>
            </w:tcBorders>
            <w:shd w:val="clear" w:color="auto" w:fill="auto"/>
            <w:vAlign w:val="center"/>
            <w:hideMark/>
          </w:tcPr>
          <w:p w14:paraId="75143453" w14:textId="77777777" w:rsidR="006D5CEC" w:rsidRPr="006D5CEC" w:rsidRDefault="006D5CEC" w:rsidP="00531B19">
            <w:pPr>
              <w:spacing w:after="0" w:line="240" w:lineRule="auto"/>
              <w:jc w:val="right"/>
              <w:rPr>
                <w:rFonts w:cs="Arial"/>
                <w:sz w:val="16"/>
                <w:szCs w:val="16"/>
              </w:rPr>
            </w:pPr>
            <w:r w:rsidRPr="006D5CEC">
              <w:rPr>
                <w:rFonts w:cs="Arial"/>
                <w:sz w:val="16"/>
                <w:szCs w:val="16"/>
              </w:rPr>
              <w:t>18 437</w:t>
            </w:r>
          </w:p>
        </w:tc>
        <w:tc>
          <w:tcPr>
            <w:tcW w:w="652" w:type="dxa"/>
            <w:tcBorders>
              <w:top w:val="nil"/>
              <w:left w:val="nil"/>
              <w:bottom w:val="nil"/>
              <w:right w:val="single" w:sz="4" w:space="0" w:color="auto"/>
            </w:tcBorders>
            <w:shd w:val="clear" w:color="auto" w:fill="auto"/>
            <w:vAlign w:val="center"/>
            <w:hideMark/>
          </w:tcPr>
          <w:p w14:paraId="23285661" w14:textId="77777777" w:rsidR="006D5CEC" w:rsidRPr="006D5CEC" w:rsidRDefault="006D5CEC" w:rsidP="00531B19">
            <w:pPr>
              <w:spacing w:after="0" w:line="240" w:lineRule="auto"/>
              <w:jc w:val="right"/>
              <w:rPr>
                <w:rFonts w:cs="Arial"/>
                <w:sz w:val="16"/>
                <w:szCs w:val="16"/>
              </w:rPr>
            </w:pPr>
            <w:r w:rsidRPr="006D5CEC">
              <w:rPr>
                <w:rFonts w:cs="Arial"/>
                <w:sz w:val="16"/>
                <w:szCs w:val="16"/>
              </w:rPr>
              <w:t>22 187</w:t>
            </w:r>
          </w:p>
        </w:tc>
        <w:tc>
          <w:tcPr>
            <w:tcW w:w="822" w:type="dxa"/>
            <w:tcBorders>
              <w:top w:val="nil"/>
              <w:left w:val="nil"/>
              <w:bottom w:val="nil"/>
              <w:right w:val="nil"/>
            </w:tcBorders>
            <w:shd w:val="clear" w:color="auto" w:fill="auto"/>
            <w:vAlign w:val="center"/>
            <w:hideMark/>
          </w:tcPr>
          <w:p w14:paraId="5D869563" w14:textId="77777777" w:rsidR="006D5CEC" w:rsidRPr="006D5CEC" w:rsidRDefault="006D5CEC" w:rsidP="00531B19">
            <w:pPr>
              <w:spacing w:after="0" w:line="240" w:lineRule="auto"/>
              <w:jc w:val="right"/>
              <w:rPr>
                <w:rFonts w:cs="Arial"/>
                <w:sz w:val="16"/>
                <w:szCs w:val="16"/>
              </w:rPr>
            </w:pPr>
            <w:r w:rsidRPr="006D5CEC">
              <w:rPr>
                <w:rFonts w:cs="Arial"/>
                <w:sz w:val="16"/>
                <w:szCs w:val="16"/>
              </w:rPr>
              <w:t>35 167</w:t>
            </w:r>
          </w:p>
        </w:tc>
        <w:tc>
          <w:tcPr>
            <w:tcW w:w="652" w:type="dxa"/>
            <w:tcBorders>
              <w:top w:val="nil"/>
              <w:left w:val="nil"/>
              <w:bottom w:val="nil"/>
              <w:right w:val="nil"/>
            </w:tcBorders>
            <w:shd w:val="clear" w:color="auto" w:fill="auto"/>
            <w:vAlign w:val="center"/>
            <w:hideMark/>
          </w:tcPr>
          <w:p w14:paraId="0F1DE21E" w14:textId="77777777" w:rsidR="006D5CEC" w:rsidRPr="006D5CEC" w:rsidRDefault="006D5CEC" w:rsidP="00531B19">
            <w:pPr>
              <w:spacing w:after="0" w:line="240" w:lineRule="auto"/>
              <w:jc w:val="right"/>
              <w:rPr>
                <w:rFonts w:cs="Arial"/>
                <w:sz w:val="16"/>
                <w:szCs w:val="16"/>
              </w:rPr>
            </w:pPr>
            <w:r w:rsidRPr="006D5CEC">
              <w:rPr>
                <w:rFonts w:cs="Arial"/>
                <w:sz w:val="16"/>
                <w:szCs w:val="16"/>
              </w:rPr>
              <w:t>15 078</w:t>
            </w:r>
          </w:p>
        </w:tc>
        <w:tc>
          <w:tcPr>
            <w:tcW w:w="652" w:type="dxa"/>
            <w:tcBorders>
              <w:top w:val="nil"/>
              <w:left w:val="nil"/>
              <w:bottom w:val="nil"/>
              <w:right w:val="single" w:sz="4" w:space="0" w:color="auto"/>
            </w:tcBorders>
            <w:shd w:val="clear" w:color="auto" w:fill="auto"/>
            <w:vAlign w:val="center"/>
            <w:hideMark/>
          </w:tcPr>
          <w:p w14:paraId="087842A3" w14:textId="77777777" w:rsidR="006D5CEC" w:rsidRPr="006D5CEC" w:rsidRDefault="006D5CEC" w:rsidP="00531B19">
            <w:pPr>
              <w:spacing w:after="0" w:line="240" w:lineRule="auto"/>
              <w:jc w:val="right"/>
              <w:rPr>
                <w:rFonts w:cs="Arial"/>
                <w:sz w:val="16"/>
                <w:szCs w:val="16"/>
              </w:rPr>
            </w:pPr>
            <w:r w:rsidRPr="006D5CEC">
              <w:rPr>
                <w:rFonts w:cs="Arial"/>
                <w:sz w:val="16"/>
                <w:szCs w:val="16"/>
              </w:rPr>
              <w:t>20 089</w:t>
            </w:r>
          </w:p>
        </w:tc>
        <w:tc>
          <w:tcPr>
            <w:tcW w:w="822" w:type="dxa"/>
            <w:tcBorders>
              <w:top w:val="nil"/>
              <w:left w:val="nil"/>
              <w:bottom w:val="nil"/>
              <w:right w:val="nil"/>
            </w:tcBorders>
            <w:shd w:val="clear" w:color="auto" w:fill="auto"/>
            <w:vAlign w:val="center"/>
            <w:hideMark/>
          </w:tcPr>
          <w:p w14:paraId="08A1215D" w14:textId="77777777" w:rsidR="006D5CEC" w:rsidRPr="006D5CEC" w:rsidRDefault="006D5CEC" w:rsidP="00531B19">
            <w:pPr>
              <w:spacing w:after="0" w:line="240" w:lineRule="auto"/>
              <w:jc w:val="right"/>
              <w:rPr>
                <w:rFonts w:cs="Arial"/>
                <w:sz w:val="16"/>
                <w:szCs w:val="16"/>
              </w:rPr>
            </w:pPr>
            <w:r w:rsidRPr="006D5CEC">
              <w:rPr>
                <w:rFonts w:cs="Arial"/>
                <w:sz w:val="16"/>
                <w:szCs w:val="16"/>
              </w:rPr>
              <w:t>1 312</w:t>
            </w:r>
          </w:p>
        </w:tc>
        <w:tc>
          <w:tcPr>
            <w:tcW w:w="652" w:type="dxa"/>
            <w:tcBorders>
              <w:top w:val="nil"/>
              <w:left w:val="nil"/>
              <w:bottom w:val="nil"/>
              <w:right w:val="nil"/>
            </w:tcBorders>
            <w:shd w:val="clear" w:color="auto" w:fill="auto"/>
            <w:vAlign w:val="center"/>
            <w:hideMark/>
          </w:tcPr>
          <w:p w14:paraId="28899E77" w14:textId="77777777" w:rsidR="006D5CEC" w:rsidRPr="006D5CEC" w:rsidRDefault="006D5CEC" w:rsidP="00531B19">
            <w:pPr>
              <w:spacing w:after="0" w:line="240" w:lineRule="auto"/>
              <w:jc w:val="right"/>
              <w:rPr>
                <w:rFonts w:cs="Arial"/>
                <w:sz w:val="16"/>
                <w:szCs w:val="16"/>
              </w:rPr>
            </w:pPr>
            <w:r w:rsidRPr="006D5CEC">
              <w:rPr>
                <w:rFonts w:cs="Arial"/>
                <w:sz w:val="16"/>
                <w:szCs w:val="16"/>
              </w:rPr>
              <w:t>882</w:t>
            </w:r>
          </w:p>
        </w:tc>
        <w:tc>
          <w:tcPr>
            <w:tcW w:w="652" w:type="dxa"/>
            <w:tcBorders>
              <w:top w:val="nil"/>
              <w:left w:val="nil"/>
              <w:bottom w:val="nil"/>
              <w:right w:val="single" w:sz="4" w:space="0" w:color="auto"/>
            </w:tcBorders>
            <w:shd w:val="clear" w:color="auto" w:fill="auto"/>
            <w:vAlign w:val="center"/>
            <w:hideMark/>
          </w:tcPr>
          <w:p w14:paraId="4290FF1E" w14:textId="77777777" w:rsidR="006D5CEC" w:rsidRPr="006D5CEC" w:rsidRDefault="006D5CEC" w:rsidP="00531B19">
            <w:pPr>
              <w:spacing w:after="0" w:line="240" w:lineRule="auto"/>
              <w:jc w:val="right"/>
              <w:rPr>
                <w:rFonts w:cs="Arial"/>
                <w:sz w:val="16"/>
                <w:szCs w:val="16"/>
              </w:rPr>
            </w:pPr>
            <w:r w:rsidRPr="006D5CEC">
              <w:rPr>
                <w:rFonts w:cs="Arial"/>
                <w:sz w:val="16"/>
                <w:szCs w:val="16"/>
              </w:rPr>
              <w:t>430</w:t>
            </w:r>
          </w:p>
        </w:tc>
        <w:tc>
          <w:tcPr>
            <w:tcW w:w="822" w:type="dxa"/>
            <w:tcBorders>
              <w:top w:val="nil"/>
              <w:left w:val="nil"/>
              <w:bottom w:val="nil"/>
              <w:right w:val="nil"/>
            </w:tcBorders>
            <w:shd w:val="clear" w:color="auto" w:fill="auto"/>
            <w:vAlign w:val="center"/>
            <w:hideMark/>
          </w:tcPr>
          <w:p w14:paraId="4F97EB1A" w14:textId="77777777" w:rsidR="006D5CEC" w:rsidRPr="006D5CEC" w:rsidRDefault="006D5CEC" w:rsidP="00531B19">
            <w:pPr>
              <w:spacing w:after="0" w:line="240" w:lineRule="auto"/>
              <w:jc w:val="right"/>
              <w:rPr>
                <w:rFonts w:cs="Arial"/>
                <w:sz w:val="16"/>
                <w:szCs w:val="16"/>
              </w:rPr>
            </w:pPr>
            <w:r w:rsidRPr="006D5CEC">
              <w:rPr>
                <w:rFonts w:cs="Arial"/>
                <w:sz w:val="16"/>
                <w:szCs w:val="16"/>
              </w:rPr>
              <w:t>4 144</w:t>
            </w:r>
          </w:p>
        </w:tc>
        <w:tc>
          <w:tcPr>
            <w:tcW w:w="652" w:type="dxa"/>
            <w:tcBorders>
              <w:top w:val="nil"/>
              <w:left w:val="nil"/>
              <w:bottom w:val="nil"/>
              <w:right w:val="nil"/>
            </w:tcBorders>
            <w:shd w:val="clear" w:color="auto" w:fill="auto"/>
            <w:vAlign w:val="center"/>
            <w:hideMark/>
          </w:tcPr>
          <w:p w14:paraId="1223300C" w14:textId="77777777" w:rsidR="006D5CEC" w:rsidRPr="006D5CEC" w:rsidRDefault="006D5CEC" w:rsidP="00531B19">
            <w:pPr>
              <w:spacing w:after="0" w:line="240" w:lineRule="auto"/>
              <w:jc w:val="right"/>
              <w:rPr>
                <w:rFonts w:cs="Arial"/>
                <w:sz w:val="16"/>
                <w:szCs w:val="16"/>
              </w:rPr>
            </w:pPr>
            <w:r w:rsidRPr="006D5CEC">
              <w:rPr>
                <w:rFonts w:cs="Arial"/>
                <w:sz w:val="16"/>
                <w:szCs w:val="16"/>
              </w:rPr>
              <w:t>2 477</w:t>
            </w:r>
          </w:p>
        </w:tc>
        <w:tc>
          <w:tcPr>
            <w:tcW w:w="652" w:type="dxa"/>
            <w:tcBorders>
              <w:top w:val="nil"/>
              <w:left w:val="nil"/>
              <w:bottom w:val="nil"/>
              <w:right w:val="nil"/>
            </w:tcBorders>
            <w:shd w:val="clear" w:color="auto" w:fill="auto"/>
            <w:vAlign w:val="center"/>
            <w:hideMark/>
          </w:tcPr>
          <w:p w14:paraId="6AF6E98A" w14:textId="77777777" w:rsidR="006D5CEC" w:rsidRPr="006D5CEC" w:rsidRDefault="006D5CEC" w:rsidP="00531B19">
            <w:pPr>
              <w:spacing w:after="0" w:line="240" w:lineRule="auto"/>
              <w:jc w:val="right"/>
              <w:rPr>
                <w:rFonts w:cs="Arial"/>
                <w:sz w:val="16"/>
                <w:szCs w:val="16"/>
              </w:rPr>
            </w:pPr>
            <w:r w:rsidRPr="006D5CEC">
              <w:rPr>
                <w:rFonts w:cs="Arial"/>
                <w:sz w:val="16"/>
                <w:szCs w:val="16"/>
              </w:rPr>
              <w:t>1 667</w:t>
            </w:r>
          </w:p>
        </w:tc>
      </w:tr>
      <w:tr w:rsidR="006D5CEC" w:rsidRPr="006D5CEC" w14:paraId="06AAA4EB"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10571B3C"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2019</w:t>
            </w:r>
          </w:p>
        </w:tc>
        <w:tc>
          <w:tcPr>
            <w:tcW w:w="819" w:type="dxa"/>
            <w:tcBorders>
              <w:top w:val="nil"/>
              <w:left w:val="nil"/>
              <w:bottom w:val="nil"/>
              <w:right w:val="nil"/>
            </w:tcBorders>
            <w:shd w:val="clear" w:color="auto" w:fill="auto"/>
            <w:vAlign w:val="center"/>
            <w:hideMark/>
          </w:tcPr>
          <w:p w14:paraId="78BC897C" w14:textId="77777777" w:rsidR="006D5CEC" w:rsidRPr="006D5CEC" w:rsidRDefault="006D5CEC" w:rsidP="00531B19">
            <w:pPr>
              <w:spacing w:after="0" w:line="240" w:lineRule="auto"/>
              <w:jc w:val="right"/>
              <w:rPr>
                <w:rFonts w:cs="Arial"/>
                <w:sz w:val="16"/>
                <w:szCs w:val="16"/>
              </w:rPr>
            </w:pPr>
            <w:r w:rsidRPr="006D5CEC">
              <w:rPr>
                <w:rFonts w:cs="Arial"/>
                <w:sz w:val="16"/>
                <w:szCs w:val="16"/>
              </w:rPr>
              <w:t>41 578</w:t>
            </w:r>
          </w:p>
        </w:tc>
        <w:tc>
          <w:tcPr>
            <w:tcW w:w="652" w:type="dxa"/>
            <w:tcBorders>
              <w:top w:val="nil"/>
              <w:left w:val="nil"/>
              <w:bottom w:val="nil"/>
              <w:right w:val="nil"/>
            </w:tcBorders>
            <w:shd w:val="clear" w:color="auto" w:fill="auto"/>
            <w:vAlign w:val="center"/>
            <w:hideMark/>
          </w:tcPr>
          <w:p w14:paraId="73F35F31" w14:textId="77777777" w:rsidR="006D5CEC" w:rsidRPr="006D5CEC" w:rsidRDefault="006D5CEC" w:rsidP="00531B19">
            <w:pPr>
              <w:spacing w:after="0" w:line="240" w:lineRule="auto"/>
              <w:jc w:val="right"/>
              <w:rPr>
                <w:rFonts w:cs="Arial"/>
                <w:sz w:val="16"/>
                <w:szCs w:val="16"/>
              </w:rPr>
            </w:pPr>
            <w:r w:rsidRPr="006D5CEC">
              <w:rPr>
                <w:rFonts w:cs="Arial"/>
                <w:sz w:val="16"/>
                <w:szCs w:val="16"/>
              </w:rPr>
              <w:t>18 828</w:t>
            </w:r>
          </w:p>
        </w:tc>
        <w:tc>
          <w:tcPr>
            <w:tcW w:w="652" w:type="dxa"/>
            <w:tcBorders>
              <w:top w:val="nil"/>
              <w:left w:val="nil"/>
              <w:bottom w:val="nil"/>
              <w:right w:val="single" w:sz="4" w:space="0" w:color="auto"/>
            </w:tcBorders>
            <w:shd w:val="clear" w:color="auto" w:fill="auto"/>
            <w:vAlign w:val="center"/>
            <w:hideMark/>
          </w:tcPr>
          <w:p w14:paraId="5A97D276" w14:textId="77777777" w:rsidR="006D5CEC" w:rsidRPr="006D5CEC" w:rsidRDefault="006D5CEC" w:rsidP="00531B19">
            <w:pPr>
              <w:spacing w:after="0" w:line="240" w:lineRule="auto"/>
              <w:jc w:val="right"/>
              <w:rPr>
                <w:rFonts w:cs="Arial"/>
                <w:sz w:val="16"/>
                <w:szCs w:val="16"/>
              </w:rPr>
            </w:pPr>
            <w:r w:rsidRPr="006D5CEC">
              <w:rPr>
                <w:rFonts w:cs="Arial"/>
                <w:sz w:val="16"/>
                <w:szCs w:val="16"/>
              </w:rPr>
              <w:t>22 750</w:t>
            </w:r>
          </w:p>
        </w:tc>
        <w:tc>
          <w:tcPr>
            <w:tcW w:w="822" w:type="dxa"/>
            <w:tcBorders>
              <w:top w:val="nil"/>
              <w:left w:val="nil"/>
              <w:bottom w:val="nil"/>
              <w:right w:val="nil"/>
            </w:tcBorders>
            <w:shd w:val="clear" w:color="auto" w:fill="auto"/>
            <w:vAlign w:val="center"/>
            <w:hideMark/>
          </w:tcPr>
          <w:p w14:paraId="0D71D5DB" w14:textId="77777777" w:rsidR="006D5CEC" w:rsidRPr="006D5CEC" w:rsidRDefault="006D5CEC" w:rsidP="00531B19">
            <w:pPr>
              <w:spacing w:after="0" w:line="240" w:lineRule="auto"/>
              <w:jc w:val="right"/>
              <w:rPr>
                <w:rFonts w:cs="Arial"/>
                <w:sz w:val="16"/>
                <w:szCs w:val="16"/>
              </w:rPr>
            </w:pPr>
            <w:r w:rsidRPr="006D5CEC">
              <w:rPr>
                <w:rFonts w:cs="Arial"/>
                <w:sz w:val="16"/>
                <w:szCs w:val="16"/>
              </w:rPr>
              <w:t>35 860</w:t>
            </w:r>
          </w:p>
        </w:tc>
        <w:tc>
          <w:tcPr>
            <w:tcW w:w="652" w:type="dxa"/>
            <w:tcBorders>
              <w:top w:val="nil"/>
              <w:left w:val="nil"/>
              <w:bottom w:val="nil"/>
              <w:right w:val="nil"/>
            </w:tcBorders>
            <w:shd w:val="clear" w:color="auto" w:fill="auto"/>
            <w:vAlign w:val="center"/>
            <w:hideMark/>
          </w:tcPr>
          <w:p w14:paraId="6325F5FE" w14:textId="77777777" w:rsidR="006D5CEC" w:rsidRPr="006D5CEC" w:rsidRDefault="006D5CEC" w:rsidP="00531B19">
            <w:pPr>
              <w:spacing w:after="0" w:line="240" w:lineRule="auto"/>
              <w:jc w:val="right"/>
              <w:rPr>
                <w:rFonts w:cs="Arial"/>
                <w:sz w:val="16"/>
                <w:szCs w:val="16"/>
              </w:rPr>
            </w:pPr>
            <w:r w:rsidRPr="006D5CEC">
              <w:rPr>
                <w:rFonts w:cs="Arial"/>
                <w:sz w:val="16"/>
                <w:szCs w:val="16"/>
              </w:rPr>
              <w:t>15 325</w:t>
            </w:r>
          </w:p>
        </w:tc>
        <w:tc>
          <w:tcPr>
            <w:tcW w:w="652" w:type="dxa"/>
            <w:tcBorders>
              <w:top w:val="nil"/>
              <w:left w:val="nil"/>
              <w:bottom w:val="nil"/>
              <w:right w:val="single" w:sz="4" w:space="0" w:color="auto"/>
            </w:tcBorders>
            <w:shd w:val="clear" w:color="auto" w:fill="auto"/>
            <w:vAlign w:val="center"/>
            <w:hideMark/>
          </w:tcPr>
          <w:p w14:paraId="425AFD65" w14:textId="77777777" w:rsidR="006D5CEC" w:rsidRPr="006D5CEC" w:rsidRDefault="006D5CEC" w:rsidP="00531B19">
            <w:pPr>
              <w:spacing w:after="0" w:line="240" w:lineRule="auto"/>
              <w:jc w:val="right"/>
              <w:rPr>
                <w:rFonts w:cs="Arial"/>
                <w:sz w:val="16"/>
                <w:szCs w:val="16"/>
              </w:rPr>
            </w:pPr>
            <w:r w:rsidRPr="006D5CEC">
              <w:rPr>
                <w:rFonts w:cs="Arial"/>
                <w:sz w:val="16"/>
                <w:szCs w:val="16"/>
              </w:rPr>
              <w:t>20 536</w:t>
            </w:r>
          </w:p>
        </w:tc>
        <w:tc>
          <w:tcPr>
            <w:tcW w:w="822" w:type="dxa"/>
            <w:tcBorders>
              <w:top w:val="nil"/>
              <w:left w:val="nil"/>
              <w:bottom w:val="nil"/>
              <w:right w:val="nil"/>
            </w:tcBorders>
            <w:shd w:val="clear" w:color="auto" w:fill="auto"/>
            <w:vAlign w:val="center"/>
            <w:hideMark/>
          </w:tcPr>
          <w:p w14:paraId="37B7E9A7" w14:textId="77777777" w:rsidR="006D5CEC" w:rsidRPr="006D5CEC" w:rsidRDefault="006D5CEC" w:rsidP="00531B19">
            <w:pPr>
              <w:spacing w:after="0" w:line="240" w:lineRule="auto"/>
              <w:jc w:val="right"/>
              <w:rPr>
                <w:rFonts w:cs="Arial"/>
                <w:sz w:val="16"/>
                <w:szCs w:val="16"/>
              </w:rPr>
            </w:pPr>
            <w:r w:rsidRPr="006D5CEC">
              <w:rPr>
                <w:rFonts w:cs="Arial"/>
                <w:sz w:val="16"/>
                <w:szCs w:val="16"/>
              </w:rPr>
              <w:t>1 325</w:t>
            </w:r>
          </w:p>
        </w:tc>
        <w:tc>
          <w:tcPr>
            <w:tcW w:w="652" w:type="dxa"/>
            <w:tcBorders>
              <w:top w:val="nil"/>
              <w:left w:val="nil"/>
              <w:bottom w:val="nil"/>
              <w:right w:val="nil"/>
            </w:tcBorders>
            <w:shd w:val="clear" w:color="auto" w:fill="auto"/>
            <w:vAlign w:val="center"/>
            <w:hideMark/>
          </w:tcPr>
          <w:p w14:paraId="258B7CF8" w14:textId="77777777" w:rsidR="006D5CEC" w:rsidRPr="006D5CEC" w:rsidRDefault="006D5CEC" w:rsidP="00531B19">
            <w:pPr>
              <w:spacing w:after="0" w:line="240" w:lineRule="auto"/>
              <w:jc w:val="right"/>
              <w:rPr>
                <w:rFonts w:cs="Arial"/>
                <w:sz w:val="16"/>
                <w:szCs w:val="16"/>
              </w:rPr>
            </w:pPr>
            <w:r w:rsidRPr="006D5CEC">
              <w:rPr>
                <w:rFonts w:cs="Arial"/>
                <w:sz w:val="16"/>
                <w:szCs w:val="16"/>
              </w:rPr>
              <w:t>888</w:t>
            </w:r>
          </w:p>
        </w:tc>
        <w:tc>
          <w:tcPr>
            <w:tcW w:w="652" w:type="dxa"/>
            <w:tcBorders>
              <w:top w:val="nil"/>
              <w:left w:val="nil"/>
              <w:bottom w:val="nil"/>
              <w:right w:val="single" w:sz="4" w:space="0" w:color="auto"/>
            </w:tcBorders>
            <w:shd w:val="clear" w:color="auto" w:fill="auto"/>
            <w:vAlign w:val="center"/>
            <w:hideMark/>
          </w:tcPr>
          <w:p w14:paraId="7345ECA4" w14:textId="77777777" w:rsidR="006D5CEC" w:rsidRPr="006D5CEC" w:rsidRDefault="006D5CEC" w:rsidP="00531B19">
            <w:pPr>
              <w:spacing w:after="0" w:line="240" w:lineRule="auto"/>
              <w:jc w:val="right"/>
              <w:rPr>
                <w:rFonts w:cs="Arial"/>
                <w:sz w:val="16"/>
                <w:szCs w:val="16"/>
              </w:rPr>
            </w:pPr>
            <w:r w:rsidRPr="006D5CEC">
              <w:rPr>
                <w:rFonts w:cs="Arial"/>
                <w:sz w:val="16"/>
                <w:szCs w:val="16"/>
              </w:rPr>
              <w:t>437</w:t>
            </w:r>
          </w:p>
        </w:tc>
        <w:tc>
          <w:tcPr>
            <w:tcW w:w="822" w:type="dxa"/>
            <w:tcBorders>
              <w:top w:val="nil"/>
              <w:left w:val="nil"/>
              <w:bottom w:val="nil"/>
              <w:right w:val="nil"/>
            </w:tcBorders>
            <w:shd w:val="clear" w:color="auto" w:fill="auto"/>
            <w:vAlign w:val="center"/>
            <w:hideMark/>
          </w:tcPr>
          <w:p w14:paraId="5C943268" w14:textId="77777777" w:rsidR="006D5CEC" w:rsidRPr="006D5CEC" w:rsidRDefault="006D5CEC" w:rsidP="00531B19">
            <w:pPr>
              <w:spacing w:after="0" w:line="240" w:lineRule="auto"/>
              <w:jc w:val="right"/>
              <w:rPr>
                <w:rFonts w:cs="Arial"/>
                <w:sz w:val="16"/>
                <w:szCs w:val="16"/>
              </w:rPr>
            </w:pPr>
            <w:r w:rsidRPr="006D5CEC">
              <w:rPr>
                <w:rFonts w:cs="Arial"/>
                <w:sz w:val="16"/>
                <w:szCs w:val="16"/>
              </w:rPr>
              <w:t>4 392</w:t>
            </w:r>
          </w:p>
        </w:tc>
        <w:tc>
          <w:tcPr>
            <w:tcW w:w="652" w:type="dxa"/>
            <w:tcBorders>
              <w:top w:val="nil"/>
              <w:left w:val="nil"/>
              <w:bottom w:val="nil"/>
              <w:right w:val="nil"/>
            </w:tcBorders>
            <w:shd w:val="clear" w:color="auto" w:fill="auto"/>
            <w:vAlign w:val="center"/>
            <w:hideMark/>
          </w:tcPr>
          <w:p w14:paraId="3C5EB019" w14:textId="77777777" w:rsidR="006D5CEC" w:rsidRPr="006D5CEC" w:rsidRDefault="006D5CEC" w:rsidP="00531B19">
            <w:pPr>
              <w:spacing w:after="0" w:line="240" w:lineRule="auto"/>
              <w:jc w:val="right"/>
              <w:rPr>
                <w:rFonts w:cs="Arial"/>
                <w:sz w:val="16"/>
                <w:szCs w:val="16"/>
              </w:rPr>
            </w:pPr>
            <w:r w:rsidRPr="006D5CEC">
              <w:rPr>
                <w:rFonts w:cs="Arial"/>
                <w:sz w:val="16"/>
                <w:szCs w:val="16"/>
              </w:rPr>
              <w:t>2 615</w:t>
            </w:r>
          </w:p>
        </w:tc>
        <w:tc>
          <w:tcPr>
            <w:tcW w:w="652" w:type="dxa"/>
            <w:tcBorders>
              <w:top w:val="nil"/>
              <w:left w:val="nil"/>
              <w:bottom w:val="nil"/>
              <w:right w:val="nil"/>
            </w:tcBorders>
            <w:shd w:val="clear" w:color="auto" w:fill="auto"/>
            <w:vAlign w:val="center"/>
            <w:hideMark/>
          </w:tcPr>
          <w:p w14:paraId="179693A3" w14:textId="77777777" w:rsidR="006D5CEC" w:rsidRPr="006D5CEC" w:rsidRDefault="006D5CEC" w:rsidP="00531B19">
            <w:pPr>
              <w:spacing w:after="0" w:line="240" w:lineRule="auto"/>
              <w:jc w:val="right"/>
              <w:rPr>
                <w:rFonts w:cs="Arial"/>
                <w:sz w:val="16"/>
                <w:szCs w:val="16"/>
              </w:rPr>
            </w:pPr>
            <w:r w:rsidRPr="006D5CEC">
              <w:rPr>
                <w:rFonts w:cs="Arial"/>
                <w:sz w:val="16"/>
                <w:szCs w:val="16"/>
              </w:rPr>
              <w:t>1 777</w:t>
            </w:r>
          </w:p>
        </w:tc>
      </w:tr>
    </w:tbl>
    <w:p w14:paraId="0012D008" w14:textId="77777777" w:rsidR="00DE3224" w:rsidRPr="001338A0" w:rsidRDefault="00DE3224" w:rsidP="00F022F9">
      <w:pPr>
        <w:spacing w:before="120"/>
        <w:jc w:val="both"/>
        <w:rPr>
          <w:rFonts w:cs="Arial"/>
          <w:sz w:val="16"/>
          <w:szCs w:val="16"/>
        </w:rPr>
      </w:pPr>
      <w:r>
        <w:rPr>
          <w:rFonts w:cs="Arial"/>
          <w:sz w:val="16"/>
          <w:szCs w:val="16"/>
        </w:rPr>
        <w:t>Zdroj: ČSÚ</w:t>
      </w:r>
    </w:p>
    <w:p w14:paraId="24652126" w14:textId="2FE5331A" w:rsidR="00907B59" w:rsidRDefault="00907B59" w:rsidP="00907B59">
      <w:pPr>
        <w:jc w:val="both"/>
      </w:pPr>
      <w:r>
        <w:t>Průměrná délka trvání případ</w:t>
      </w:r>
      <w:r w:rsidR="00922112">
        <w:t>u</w:t>
      </w:r>
      <w:r>
        <w:t xml:space="preserve"> pracovní neschopnosti žen se meziročně zvýšila ze 40 dnů v 1. pol. 2018 na 43,</w:t>
      </w:r>
      <w:r w:rsidR="005A19F6">
        <w:t>7</w:t>
      </w:r>
      <w:r>
        <w:t xml:space="preserve"> dne v 1. pol. 2019. V případě mužů vzrostla ze 38 dnů v 1. pol. 2018 na 41 dnů za stejné období o rok později.</w:t>
      </w:r>
    </w:p>
    <w:p w14:paraId="56B5626E" w14:textId="289F903D" w:rsidR="00907B59" w:rsidRDefault="00907B59" w:rsidP="00907B59">
      <w:pPr>
        <w:jc w:val="both"/>
      </w:pPr>
      <w:r>
        <w:t xml:space="preserve">To, že pracovní neschopnost u </w:t>
      </w:r>
      <w:r w:rsidRPr="005A55A7">
        <w:rPr>
          <w:b/>
        </w:rPr>
        <w:t>žen</w:t>
      </w:r>
      <w:r>
        <w:t xml:space="preserve"> trvá déle, potvrzuje i dlouhodobější vývoj znázorněný v grafu 2.5. Ačkoliv vlivem legislativních změn došlo v roce 2009 jak k propadu počtu případů pracovní neschopnosti (o 32 % </w:t>
      </w:r>
      <w:r>
        <w:lastRenderedPageBreak/>
        <w:t xml:space="preserve">méně za 1. pol. 2009 oproti stejnému období v předchozím roce), tak ke snížení počtu dní strávených na neschopence (o 20,3 %), průměrná délka případu pracovní neschopnosti meziročně vzrostla. Od roku 2008 se více než zdvojnásobil počet dnů, které ženy strávily na neschopence z důvodu </w:t>
      </w:r>
      <w:r w:rsidR="007133EA">
        <w:t xml:space="preserve">jiných než </w:t>
      </w:r>
      <w:r>
        <w:t>pracovní</w:t>
      </w:r>
      <w:r w:rsidR="005A19F6">
        <w:t>c</w:t>
      </w:r>
      <w:r>
        <w:t>h úraz</w:t>
      </w:r>
      <w:r w:rsidR="005A19F6">
        <w:t>ů</w:t>
      </w:r>
      <w:r>
        <w:t xml:space="preserve">. Zatímco v 1. pol. 2008 ženy zaznamenaly 833 tis. dnů, v 1. pol. 2019 to bylo </w:t>
      </w:r>
      <w:r w:rsidR="005A19F6">
        <w:t xml:space="preserve">již </w:t>
      </w:r>
      <w:r>
        <w:t xml:space="preserve">1 777 tis. dnů. </w:t>
      </w:r>
    </w:p>
    <w:p w14:paraId="5D8BA59B" w14:textId="51C0DB01" w:rsidR="00744332" w:rsidRPr="007617E8" w:rsidRDefault="00907B59" w:rsidP="00907B59">
      <w:pPr>
        <w:jc w:val="both"/>
      </w:pPr>
      <w:r w:rsidRPr="00E56175">
        <w:rPr>
          <w:b/>
        </w:rPr>
        <w:t>Průměrná délka</w:t>
      </w:r>
      <w:r>
        <w:t xml:space="preserve"> jednoho </w:t>
      </w:r>
      <w:r w:rsidRPr="00E56175">
        <w:rPr>
          <w:b/>
        </w:rPr>
        <w:t>případu</w:t>
      </w:r>
      <w:r>
        <w:t xml:space="preserve"> dočasné pracovní neschopnosti meziročně za 1. pol. 2019 vzrostla ze 39 dnů v 1. pol. 2018 na 42,7 dne. </w:t>
      </w:r>
      <w:r w:rsidRPr="00E56175">
        <w:rPr>
          <w:b/>
        </w:rPr>
        <w:t>Nemoc</w:t>
      </w:r>
      <w:r>
        <w:t xml:space="preserve"> způsobila pracovní neschopnost o průměrné délce 41 dnů, neschopnost pro </w:t>
      </w:r>
      <w:r w:rsidRPr="007617E8">
        <w:rPr>
          <w:b/>
        </w:rPr>
        <w:t>pracovní úraz</w:t>
      </w:r>
      <w:r>
        <w:t xml:space="preserve"> trvala v průměru 57,1 dne a z důvodu </w:t>
      </w:r>
      <w:r w:rsidRPr="007617E8">
        <w:rPr>
          <w:b/>
        </w:rPr>
        <w:t>ostatních úrazů</w:t>
      </w:r>
      <w:r>
        <w:t xml:space="preserve"> 55,6 dne. Průměrná délka trvání případu pracovní neschopnosti v 1. pol. 2019 byla na podobné úrovni jak</w:t>
      </w:r>
      <w:r w:rsidR="00744332">
        <w:t xml:space="preserve">o v pololetích let 2011 a 2013. </w:t>
      </w:r>
    </w:p>
    <w:p w14:paraId="1C1B5BB9" w14:textId="5E651BD3" w:rsidR="005A0510" w:rsidRDefault="006973FE" w:rsidP="0019246C">
      <w:pPr>
        <w:spacing w:after="120"/>
        <w:jc w:val="both"/>
        <w:rPr>
          <w:b/>
        </w:rPr>
      </w:pPr>
      <w:r w:rsidRPr="006973FE">
        <w:rPr>
          <w:b/>
        </w:rPr>
        <w:t xml:space="preserve">Graf 2.5: Průměrná délka trvání </w:t>
      </w:r>
      <w:r w:rsidR="00EA35EB">
        <w:rPr>
          <w:b/>
        </w:rPr>
        <w:t xml:space="preserve">případu </w:t>
      </w:r>
      <w:r w:rsidRPr="006973FE">
        <w:rPr>
          <w:b/>
        </w:rPr>
        <w:t>dočasné pracovní neschopnosti podle pohlaví</w:t>
      </w:r>
      <w:r w:rsidR="0019246C">
        <w:rPr>
          <w:b/>
        </w:rPr>
        <w:t xml:space="preserve"> </w:t>
      </w:r>
      <w:r w:rsidR="005A0510">
        <w:rPr>
          <w:b/>
        </w:rPr>
        <w:t xml:space="preserve">v 1. pol. </w:t>
      </w:r>
      <w:r w:rsidR="0019246C">
        <w:rPr>
          <w:b/>
        </w:rPr>
        <w:br/>
      </w:r>
      <w:r w:rsidR="005A0510">
        <w:rPr>
          <w:b/>
        </w:rPr>
        <w:t>2008 – 1. pol. 2019</w:t>
      </w:r>
    </w:p>
    <w:p w14:paraId="786E1BF1" w14:textId="6B9DB450" w:rsidR="00085DD0" w:rsidRPr="00E91FAA" w:rsidRDefault="006973FE" w:rsidP="00E075C7">
      <w:pPr>
        <w:jc w:val="both"/>
        <w:rPr>
          <w:b/>
        </w:rPr>
      </w:pPr>
      <w:r>
        <w:rPr>
          <w:noProof/>
        </w:rPr>
        <w:drawing>
          <wp:inline distT="0" distB="0" distL="0" distR="0" wp14:anchorId="3BDCF4BD" wp14:editId="0C49C3DF">
            <wp:extent cx="6134100" cy="2838450"/>
            <wp:effectExtent l="0" t="0" r="0" b="0"/>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85DD0">
        <w:rPr>
          <w:rFonts w:cs="Arial"/>
          <w:sz w:val="16"/>
          <w:szCs w:val="16"/>
        </w:rPr>
        <w:t>Zdroj: ČSÚ</w:t>
      </w:r>
    </w:p>
    <w:p w14:paraId="10E980E1" w14:textId="5C1BF657" w:rsidR="006973FE" w:rsidRDefault="006973FE" w:rsidP="0019246C">
      <w:pPr>
        <w:spacing w:after="120"/>
        <w:jc w:val="both"/>
        <w:rPr>
          <w:b/>
        </w:rPr>
      </w:pPr>
      <w:r w:rsidRPr="006973FE">
        <w:rPr>
          <w:b/>
        </w:rPr>
        <w:t>Graf 2.6: Nově hlášené případy dočasné pracovní neschopnosti na 100 pojištěnců a pr</w:t>
      </w:r>
      <w:r w:rsidR="00040960">
        <w:rPr>
          <w:b/>
        </w:rPr>
        <w:t xml:space="preserve">ůměrná délka </w:t>
      </w:r>
      <w:r w:rsidR="00EA35EB">
        <w:rPr>
          <w:b/>
        </w:rPr>
        <w:t>trvání případu</w:t>
      </w:r>
      <w:r w:rsidR="00040960">
        <w:rPr>
          <w:b/>
        </w:rPr>
        <w:t xml:space="preserve"> v </w:t>
      </w:r>
      <w:r w:rsidRPr="006973FE">
        <w:rPr>
          <w:b/>
        </w:rPr>
        <w:t>1. pol. 2008 – 1. pol. 2019</w:t>
      </w:r>
    </w:p>
    <w:p w14:paraId="37C658AC" w14:textId="633593E0" w:rsidR="00922112" w:rsidRDefault="00922112" w:rsidP="0064109D">
      <w:pPr>
        <w:spacing w:after="120"/>
        <w:rPr>
          <w:b/>
        </w:rPr>
      </w:pPr>
      <w:r>
        <w:rPr>
          <w:noProof/>
        </w:rPr>
        <w:drawing>
          <wp:inline distT="0" distB="0" distL="0" distR="0" wp14:anchorId="1976E04E" wp14:editId="182B5492">
            <wp:extent cx="6057900" cy="2914650"/>
            <wp:effectExtent l="0" t="0" r="0" b="0"/>
            <wp:docPr id="20" name="Graf 20">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8C06C2" w14:textId="7903094D" w:rsidR="00891046" w:rsidRDefault="00891046" w:rsidP="0089057B">
      <w:pPr>
        <w:rPr>
          <w:rFonts w:cs="Arial"/>
          <w:sz w:val="16"/>
          <w:szCs w:val="16"/>
        </w:rPr>
      </w:pPr>
      <w:r>
        <w:rPr>
          <w:rFonts w:cs="Arial"/>
          <w:sz w:val="16"/>
          <w:szCs w:val="16"/>
        </w:rPr>
        <w:t>Z</w:t>
      </w:r>
      <w:r w:rsidR="00052494">
        <w:rPr>
          <w:rFonts w:cs="Arial"/>
          <w:sz w:val="16"/>
          <w:szCs w:val="16"/>
        </w:rPr>
        <w:t>droj: ČSÚ</w:t>
      </w:r>
    </w:p>
    <w:p w14:paraId="0FA0D2C4" w14:textId="77777777" w:rsidR="00F711D4" w:rsidRDefault="00F711D4">
      <w:pPr>
        <w:spacing w:after="0" w:line="240" w:lineRule="auto"/>
        <w:rPr>
          <w:b/>
        </w:rPr>
      </w:pPr>
      <w:r>
        <w:rPr>
          <w:b/>
        </w:rPr>
        <w:lastRenderedPageBreak/>
        <w:br w:type="page"/>
      </w:r>
    </w:p>
    <w:p w14:paraId="5CF6DE7A" w14:textId="4A8FF46D" w:rsidR="003D5B71" w:rsidRDefault="00170240" w:rsidP="0064109D">
      <w:pPr>
        <w:spacing w:after="120"/>
        <w:jc w:val="both"/>
        <w:rPr>
          <w:b/>
        </w:rPr>
      </w:pPr>
      <w:bookmarkStart w:id="4" w:name="_GoBack"/>
      <w:bookmarkEnd w:id="4"/>
      <w:r w:rsidRPr="00170240">
        <w:rPr>
          <w:b/>
        </w:rPr>
        <w:t>Graf 2.7: Průměrná délka trvání případu dočasné pracovní neschopnosti dle odvětví ekonomické činnosti (sekcí CZ</w:t>
      </w:r>
      <w:r w:rsidR="005A0510">
        <w:rPr>
          <w:b/>
        </w:rPr>
        <w:t>-</w:t>
      </w:r>
      <w:r w:rsidRPr="00170240">
        <w:rPr>
          <w:b/>
        </w:rPr>
        <w:t>NACE) v 1. pol. 2019</w:t>
      </w:r>
    </w:p>
    <w:p w14:paraId="4D9FEE81" w14:textId="1EF57E24" w:rsidR="00B47D35" w:rsidRPr="00E075C7" w:rsidRDefault="0047242F" w:rsidP="00B47D35">
      <w:pPr>
        <w:jc w:val="both"/>
      </w:pPr>
      <w:r>
        <w:rPr>
          <w:noProof/>
        </w:rPr>
        <w:drawing>
          <wp:inline distT="0" distB="0" distL="0" distR="0" wp14:anchorId="4AF4E931" wp14:editId="79A7F41D">
            <wp:extent cx="6096000" cy="5343525"/>
            <wp:effectExtent l="0" t="0" r="0" b="0"/>
            <wp:docPr id="21" name="Graf 21">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47D35">
        <w:rPr>
          <w:rFonts w:cs="Arial"/>
          <w:sz w:val="16"/>
          <w:szCs w:val="16"/>
        </w:rPr>
        <w:t>Zdroj: ČSÚ</w:t>
      </w:r>
    </w:p>
    <w:p w14:paraId="0B8DB7D0" w14:textId="3CA8FA1D" w:rsidR="00B47D35" w:rsidRDefault="00B47D35" w:rsidP="00B47D35">
      <w:pPr>
        <w:jc w:val="both"/>
      </w:pPr>
      <w:r w:rsidRPr="00C55B6D">
        <w:t xml:space="preserve">Nejvíce dnů dočasné pracovní neschopnosti </w:t>
      </w:r>
      <w:r w:rsidR="00191074">
        <w:t>v 1. pol. 201</w:t>
      </w:r>
      <w:r w:rsidR="001C03A1">
        <w:t>9</w:t>
      </w:r>
      <w:r w:rsidR="00191074">
        <w:t xml:space="preserve"> </w:t>
      </w:r>
      <w:r w:rsidRPr="00C55B6D">
        <w:t xml:space="preserve">bylo </w:t>
      </w:r>
      <w:r w:rsidR="005572D3">
        <w:t xml:space="preserve">zaznamenáno </w:t>
      </w:r>
      <w:r w:rsidRPr="00C55B6D">
        <w:t>v </w:t>
      </w:r>
      <w:r w:rsidRPr="005572D3">
        <w:rPr>
          <w:b/>
        </w:rPr>
        <w:t>odvětví</w:t>
      </w:r>
      <w:r w:rsidRPr="00C55B6D">
        <w:t xml:space="preserve"> Zpracovatelský průmysl, a to jak celkem</w:t>
      </w:r>
      <w:r w:rsidR="00EA35EB">
        <w:t xml:space="preserve"> </w:t>
      </w:r>
      <w:r w:rsidR="00EA35EB" w:rsidRPr="00C55B6D">
        <w:t>(</w:t>
      </w:r>
      <w:r w:rsidR="00EA35EB" w:rsidRPr="005572D3">
        <w:t>14</w:t>
      </w:r>
      <w:r w:rsidR="00EA35EB">
        <w:t xml:space="preserve"> </w:t>
      </w:r>
      <w:r w:rsidR="00EA35EB" w:rsidRPr="005572D3">
        <w:t>06</w:t>
      </w:r>
      <w:r w:rsidR="00EA35EB">
        <w:t xml:space="preserve">9 </w:t>
      </w:r>
      <w:r w:rsidR="00EA35EB" w:rsidRPr="00C55B6D">
        <w:t>tis.)</w:t>
      </w:r>
      <w:r w:rsidRPr="00C55B6D">
        <w:t>, tak v jednotlivých kategoriích – pro nemoc (</w:t>
      </w:r>
      <w:r w:rsidR="005572D3" w:rsidRPr="005572D3">
        <w:t>11</w:t>
      </w:r>
      <w:r w:rsidR="005572D3">
        <w:t xml:space="preserve"> </w:t>
      </w:r>
      <w:r w:rsidR="005572D3" w:rsidRPr="005572D3">
        <w:t>996</w:t>
      </w:r>
      <w:r w:rsidR="005572D3">
        <w:t xml:space="preserve"> </w:t>
      </w:r>
      <w:r w:rsidRPr="00C55B6D">
        <w:t>tis.), pro pracovní úrazy (</w:t>
      </w:r>
      <w:r w:rsidR="005572D3">
        <w:t>498</w:t>
      </w:r>
      <w:r w:rsidRPr="00C55B6D">
        <w:t xml:space="preserve"> tis.) a pro ostatní úrazy (</w:t>
      </w:r>
      <w:r w:rsidR="005572D3" w:rsidRPr="005572D3">
        <w:t>1</w:t>
      </w:r>
      <w:r w:rsidR="005572D3">
        <w:t xml:space="preserve"> </w:t>
      </w:r>
      <w:r w:rsidR="00B34EAF">
        <w:t>575</w:t>
      </w:r>
      <w:r w:rsidR="005572D3">
        <w:t xml:space="preserve"> </w:t>
      </w:r>
      <w:r w:rsidRPr="00C55B6D">
        <w:t xml:space="preserve">tis.). Naopak </w:t>
      </w:r>
      <w:r w:rsidR="005506C4">
        <w:t>nejnižší</w:t>
      </w:r>
      <w:r w:rsidRPr="00C55B6D">
        <w:t xml:space="preserve"> počet dnů pracovní neschopnosti byl hlášen v</w:t>
      </w:r>
      <w:r w:rsidR="005A0510">
        <w:t> </w:t>
      </w:r>
      <w:r w:rsidRPr="00C55B6D">
        <w:t>oblasti Výrob</w:t>
      </w:r>
      <w:r w:rsidR="00BC2EE6">
        <w:t>a a</w:t>
      </w:r>
      <w:r w:rsidRPr="00C55B6D">
        <w:t> rozvod elektřiny a jiných energií (</w:t>
      </w:r>
      <w:r w:rsidR="00CA774F">
        <w:t>2</w:t>
      </w:r>
      <w:r w:rsidR="005572D3">
        <w:t xml:space="preserve">29 </w:t>
      </w:r>
      <w:r w:rsidRPr="00C55B6D">
        <w:t>tis</w:t>
      </w:r>
      <w:r>
        <w:t>.), kde bylo evidováno i nejméně dnů pracovní neschopnosti pro nemoc (</w:t>
      </w:r>
      <w:r w:rsidR="00CA774F">
        <w:t>1</w:t>
      </w:r>
      <w:r w:rsidR="005572D3">
        <w:t>98</w:t>
      </w:r>
      <w:r>
        <w:t xml:space="preserve"> tis.</w:t>
      </w:r>
      <w:r w:rsidR="00EA35EB">
        <w:t>)</w:t>
      </w:r>
      <w:r w:rsidR="007C6070">
        <w:t xml:space="preserve"> </w:t>
      </w:r>
      <w:r>
        <w:t>a pro ostatní úrazy (</w:t>
      </w:r>
      <w:r w:rsidR="00CA774F">
        <w:t>2</w:t>
      </w:r>
      <w:r w:rsidR="005572D3">
        <w:t>6</w:t>
      </w:r>
      <w:r>
        <w:t> tis.).</w:t>
      </w:r>
      <w:r w:rsidR="007C6070">
        <w:t xml:space="preserve"> Nejméně dnů pracovní neschopnosti z důvodu pracovních úrazů vykazovalo odvětví Peněžnictví a pojišťovnictví (2,6 tis.) a Informační a komunikační činnosti (3,3 tis.).</w:t>
      </w:r>
    </w:p>
    <w:p w14:paraId="3720A414" w14:textId="74F780CC" w:rsidR="007C6070" w:rsidRDefault="00716C1C" w:rsidP="00B47D35">
      <w:pPr>
        <w:jc w:val="both"/>
      </w:pPr>
      <w:r>
        <w:t xml:space="preserve">Jak již bylo zmíněno výše, dočasná pracovní neschopnost trvala v 1. pol. 2019 </w:t>
      </w:r>
      <w:r w:rsidRPr="003D5B71">
        <w:rPr>
          <w:b/>
        </w:rPr>
        <w:t>v průměru</w:t>
      </w:r>
      <w:r>
        <w:t xml:space="preserve"> 42,7 dne</w:t>
      </w:r>
      <w:r w:rsidR="003D5B71">
        <w:t xml:space="preserve"> </w:t>
      </w:r>
      <w:r w:rsidR="003D5B71" w:rsidRPr="003D5B71">
        <w:rPr>
          <w:b/>
        </w:rPr>
        <w:t>na</w:t>
      </w:r>
      <w:r w:rsidR="003D5B71">
        <w:t xml:space="preserve"> jeden </w:t>
      </w:r>
      <w:r w:rsidR="003D5B71" w:rsidRPr="003D5B71">
        <w:rPr>
          <w:b/>
        </w:rPr>
        <w:t>případ</w:t>
      </w:r>
      <w:r>
        <w:t xml:space="preserve">. Odvětvími </w:t>
      </w:r>
      <w:r w:rsidR="003D5B71">
        <w:t>v průměru s nejdelším</w:t>
      </w:r>
      <w:r>
        <w:t xml:space="preserve"> trvání</w:t>
      </w:r>
      <w:r w:rsidR="003D5B71">
        <w:t xml:space="preserve">m neschopnosti </w:t>
      </w:r>
      <w:r>
        <w:t>bylo Zemědělství, lesnictví a rybářství (58,3</w:t>
      </w:r>
      <w:r w:rsidR="005A0510">
        <w:t> </w:t>
      </w:r>
      <w:r>
        <w:t>dne), Stavebnictví (55 dnů)</w:t>
      </w:r>
      <w:r w:rsidR="003D5B71">
        <w:t xml:space="preserve"> a Ubytování, stravování a pohostinství (54,6 dne). </w:t>
      </w:r>
      <w:r w:rsidR="003D5B71" w:rsidRPr="008C5C6B">
        <w:t xml:space="preserve">Dlouhodobější pracovní neschopností se tedy v převážné míře vyznačují odvětví se sezónní výrobou či odvětví vysoce riziková. </w:t>
      </w:r>
      <w:r w:rsidR="003D5B71">
        <w:t>Poloviční doba (26,4 dne) představovala průměr</w:t>
      </w:r>
      <w:r w:rsidR="00B75D15">
        <w:t xml:space="preserve"> za</w:t>
      </w:r>
      <w:r w:rsidR="003D5B71">
        <w:t> odvětví Informační a komunikační činnosti, což znamenalo zcela nejnižší hodnotu v rámci národního hospodářství. Dalšími odvětvími s kratší dobou trvání pracovní neschopnosti byly oblasti Vzdělávání (30,4 dne) a Peněžnictví a pojišťovnictví (33,1 dne). Podrobněji viz graf 2.7 a tab. 2.5.</w:t>
      </w:r>
    </w:p>
    <w:p w14:paraId="1101DC96" w14:textId="3ADAACAE" w:rsidR="00170240" w:rsidRDefault="00170240" w:rsidP="005A0510">
      <w:pPr>
        <w:spacing w:after="120"/>
        <w:jc w:val="both"/>
        <w:rPr>
          <w:b/>
        </w:rPr>
      </w:pPr>
      <w:r>
        <w:rPr>
          <w:b/>
        </w:rPr>
        <w:lastRenderedPageBreak/>
        <w:t xml:space="preserve">Tab. 2.5: </w:t>
      </w:r>
      <w:r w:rsidRPr="00170240">
        <w:rPr>
          <w:b/>
        </w:rPr>
        <w:t>Průměrná délka trvání případu dočasné pracovní neschopnosti dle odvětví ekonomické činnosti</w:t>
      </w:r>
      <w:r>
        <w:rPr>
          <w:b/>
        </w:rPr>
        <w:t xml:space="preserve"> (sekcí CZ-NACE)</w:t>
      </w:r>
      <w:r w:rsidRPr="00170240">
        <w:rPr>
          <w:b/>
        </w:rPr>
        <w:t xml:space="preserve"> v 1. pol. 2010 – 1.</w:t>
      </w:r>
      <w:r>
        <w:rPr>
          <w:b/>
        </w:rPr>
        <w:t xml:space="preserve"> </w:t>
      </w:r>
      <w:r w:rsidRPr="00170240">
        <w:rPr>
          <w:b/>
        </w:rPr>
        <w:t>pol. 2019</w:t>
      </w:r>
    </w:p>
    <w:tbl>
      <w:tblPr>
        <w:tblW w:w="9605" w:type="dxa"/>
        <w:tblCellMar>
          <w:left w:w="70" w:type="dxa"/>
          <w:right w:w="70" w:type="dxa"/>
        </w:tblCellMar>
        <w:tblLook w:val="04A0" w:firstRow="1" w:lastRow="0" w:firstColumn="1" w:lastColumn="0" w:noHBand="0" w:noVBand="1"/>
      </w:tblPr>
      <w:tblGrid>
        <w:gridCol w:w="3237"/>
        <w:gridCol w:w="630"/>
        <w:gridCol w:w="630"/>
        <w:gridCol w:w="630"/>
        <w:gridCol w:w="630"/>
        <w:gridCol w:w="662"/>
        <w:gridCol w:w="630"/>
        <w:gridCol w:w="662"/>
        <w:gridCol w:w="630"/>
        <w:gridCol w:w="630"/>
        <w:gridCol w:w="634"/>
      </w:tblGrid>
      <w:tr w:rsidR="00170240" w:rsidRPr="00170240" w14:paraId="79E20EC5" w14:textId="77777777" w:rsidTr="00355A67">
        <w:trPr>
          <w:trHeight w:val="306"/>
        </w:trPr>
        <w:tc>
          <w:tcPr>
            <w:tcW w:w="3237" w:type="dxa"/>
            <w:vMerge w:val="restart"/>
            <w:tcBorders>
              <w:top w:val="single" w:sz="4" w:space="0" w:color="auto"/>
              <w:left w:val="nil"/>
              <w:bottom w:val="single" w:sz="4" w:space="0" w:color="000000"/>
              <w:right w:val="single" w:sz="4" w:space="0" w:color="auto"/>
            </w:tcBorders>
            <w:shd w:val="clear" w:color="000000" w:fill="F2DCDB"/>
            <w:vAlign w:val="center"/>
            <w:hideMark/>
          </w:tcPr>
          <w:p w14:paraId="06C521FD" w14:textId="77777777" w:rsidR="00170240" w:rsidRPr="00170240" w:rsidRDefault="00170240" w:rsidP="00170240">
            <w:pPr>
              <w:spacing w:after="0" w:line="240" w:lineRule="auto"/>
              <w:jc w:val="center"/>
              <w:rPr>
                <w:rFonts w:ascii="Arial CE" w:hAnsi="Arial CE" w:cs="Arial CE"/>
                <w:sz w:val="16"/>
                <w:szCs w:val="16"/>
              </w:rPr>
            </w:pPr>
            <w:r w:rsidRPr="00170240">
              <w:rPr>
                <w:rFonts w:ascii="Arial CE" w:hAnsi="Arial CE" w:cs="Arial CE"/>
                <w:sz w:val="16"/>
                <w:szCs w:val="16"/>
              </w:rPr>
              <w:t>Sekce CZ-NACE</w:t>
            </w:r>
          </w:p>
        </w:tc>
        <w:tc>
          <w:tcPr>
            <w:tcW w:w="6368" w:type="dxa"/>
            <w:gridSpan w:val="10"/>
            <w:tcBorders>
              <w:top w:val="single" w:sz="4" w:space="0" w:color="auto"/>
              <w:left w:val="single" w:sz="4" w:space="0" w:color="auto"/>
              <w:bottom w:val="single" w:sz="4" w:space="0" w:color="auto"/>
              <w:right w:val="nil"/>
            </w:tcBorders>
            <w:shd w:val="clear" w:color="000000" w:fill="F2DCDB"/>
            <w:vAlign w:val="center"/>
            <w:hideMark/>
          </w:tcPr>
          <w:p w14:paraId="53B5A0AE" w14:textId="1C2CC5EB" w:rsidR="00170240" w:rsidRPr="00170240" w:rsidRDefault="00B75D15" w:rsidP="00B75D15">
            <w:pPr>
              <w:spacing w:after="0" w:line="240" w:lineRule="auto"/>
              <w:jc w:val="center"/>
              <w:rPr>
                <w:rFonts w:ascii="Arial CE" w:hAnsi="Arial CE" w:cs="Arial CE"/>
                <w:sz w:val="16"/>
                <w:szCs w:val="16"/>
              </w:rPr>
            </w:pPr>
            <w:r>
              <w:rPr>
                <w:rFonts w:ascii="Arial CE" w:hAnsi="Arial CE" w:cs="Arial CE"/>
                <w:sz w:val="16"/>
                <w:szCs w:val="16"/>
              </w:rPr>
              <w:t xml:space="preserve">Průměrná délka trvání </w:t>
            </w:r>
            <w:r w:rsidR="00170240" w:rsidRPr="00170240">
              <w:rPr>
                <w:rFonts w:ascii="Arial CE" w:hAnsi="Arial CE" w:cs="Arial CE"/>
                <w:sz w:val="16"/>
                <w:szCs w:val="16"/>
              </w:rPr>
              <w:t>případu DPN (dny)</w:t>
            </w:r>
          </w:p>
        </w:tc>
      </w:tr>
      <w:tr w:rsidR="00170240" w:rsidRPr="00170240" w14:paraId="6EA1027C" w14:textId="77777777" w:rsidTr="00B3736B">
        <w:trPr>
          <w:trHeight w:val="460"/>
        </w:trPr>
        <w:tc>
          <w:tcPr>
            <w:tcW w:w="3237" w:type="dxa"/>
            <w:vMerge/>
            <w:tcBorders>
              <w:top w:val="single" w:sz="4" w:space="0" w:color="auto"/>
              <w:left w:val="nil"/>
              <w:bottom w:val="single" w:sz="4" w:space="0" w:color="000000"/>
              <w:right w:val="single" w:sz="4" w:space="0" w:color="auto"/>
            </w:tcBorders>
            <w:vAlign w:val="center"/>
            <w:hideMark/>
          </w:tcPr>
          <w:p w14:paraId="705D9A6B" w14:textId="77777777" w:rsidR="00170240" w:rsidRPr="00170240" w:rsidRDefault="00170240" w:rsidP="00170240">
            <w:pPr>
              <w:spacing w:after="0" w:line="240" w:lineRule="auto"/>
              <w:rPr>
                <w:rFonts w:ascii="Arial CE" w:hAnsi="Arial CE" w:cs="Arial CE"/>
                <w:sz w:val="16"/>
                <w:szCs w:val="16"/>
              </w:rPr>
            </w:pPr>
          </w:p>
        </w:tc>
        <w:tc>
          <w:tcPr>
            <w:tcW w:w="630" w:type="dxa"/>
            <w:tcBorders>
              <w:top w:val="nil"/>
              <w:left w:val="single" w:sz="4" w:space="0" w:color="auto"/>
              <w:bottom w:val="single" w:sz="4" w:space="0" w:color="auto"/>
              <w:right w:val="single" w:sz="4" w:space="0" w:color="auto"/>
            </w:tcBorders>
            <w:shd w:val="clear" w:color="000000" w:fill="F2DCDB"/>
            <w:vAlign w:val="center"/>
            <w:hideMark/>
          </w:tcPr>
          <w:p w14:paraId="51F9E8A4"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2010</w:t>
            </w:r>
          </w:p>
        </w:tc>
        <w:tc>
          <w:tcPr>
            <w:tcW w:w="630" w:type="dxa"/>
            <w:tcBorders>
              <w:top w:val="nil"/>
              <w:left w:val="nil"/>
              <w:bottom w:val="single" w:sz="4" w:space="0" w:color="auto"/>
              <w:right w:val="single" w:sz="4" w:space="0" w:color="auto"/>
            </w:tcBorders>
            <w:shd w:val="clear" w:color="000000" w:fill="F2DCDB"/>
            <w:vAlign w:val="center"/>
            <w:hideMark/>
          </w:tcPr>
          <w:p w14:paraId="7B5EB976"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2011</w:t>
            </w:r>
          </w:p>
        </w:tc>
        <w:tc>
          <w:tcPr>
            <w:tcW w:w="630" w:type="dxa"/>
            <w:tcBorders>
              <w:top w:val="nil"/>
              <w:left w:val="nil"/>
              <w:bottom w:val="single" w:sz="4" w:space="0" w:color="auto"/>
              <w:right w:val="single" w:sz="4" w:space="0" w:color="auto"/>
            </w:tcBorders>
            <w:shd w:val="clear" w:color="000000" w:fill="F2DCDB"/>
            <w:vAlign w:val="center"/>
            <w:hideMark/>
          </w:tcPr>
          <w:p w14:paraId="7BFDD48E"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2012</w:t>
            </w:r>
          </w:p>
        </w:tc>
        <w:tc>
          <w:tcPr>
            <w:tcW w:w="630" w:type="dxa"/>
            <w:tcBorders>
              <w:top w:val="nil"/>
              <w:left w:val="nil"/>
              <w:bottom w:val="single" w:sz="4" w:space="0" w:color="auto"/>
              <w:right w:val="single" w:sz="4" w:space="0" w:color="auto"/>
            </w:tcBorders>
            <w:shd w:val="clear" w:color="000000" w:fill="F2DCDB"/>
            <w:vAlign w:val="center"/>
            <w:hideMark/>
          </w:tcPr>
          <w:p w14:paraId="53D052FB"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2013</w:t>
            </w:r>
          </w:p>
        </w:tc>
        <w:tc>
          <w:tcPr>
            <w:tcW w:w="662" w:type="dxa"/>
            <w:tcBorders>
              <w:top w:val="nil"/>
              <w:left w:val="nil"/>
              <w:bottom w:val="single" w:sz="4" w:space="0" w:color="auto"/>
              <w:right w:val="single" w:sz="4" w:space="0" w:color="auto"/>
            </w:tcBorders>
            <w:shd w:val="clear" w:color="000000" w:fill="F2DCDB"/>
            <w:vAlign w:val="center"/>
            <w:hideMark/>
          </w:tcPr>
          <w:p w14:paraId="7A0C49B6"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2014</w:t>
            </w:r>
          </w:p>
        </w:tc>
        <w:tc>
          <w:tcPr>
            <w:tcW w:w="630" w:type="dxa"/>
            <w:tcBorders>
              <w:top w:val="nil"/>
              <w:left w:val="nil"/>
              <w:bottom w:val="single" w:sz="4" w:space="0" w:color="auto"/>
              <w:right w:val="single" w:sz="4" w:space="0" w:color="auto"/>
            </w:tcBorders>
            <w:shd w:val="clear" w:color="000000" w:fill="F2DCDB"/>
            <w:vAlign w:val="center"/>
            <w:hideMark/>
          </w:tcPr>
          <w:p w14:paraId="4474C5DA"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2015</w:t>
            </w:r>
          </w:p>
        </w:tc>
        <w:tc>
          <w:tcPr>
            <w:tcW w:w="662" w:type="dxa"/>
            <w:tcBorders>
              <w:top w:val="nil"/>
              <w:left w:val="nil"/>
              <w:bottom w:val="single" w:sz="4" w:space="0" w:color="auto"/>
              <w:right w:val="single" w:sz="4" w:space="0" w:color="auto"/>
            </w:tcBorders>
            <w:shd w:val="clear" w:color="000000" w:fill="F2DCDB"/>
            <w:vAlign w:val="center"/>
            <w:hideMark/>
          </w:tcPr>
          <w:p w14:paraId="4ED7040D"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2016</w:t>
            </w:r>
          </w:p>
        </w:tc>
        <w:tc>
          <w:tcPr>
            <w:tcW w:w="630" w:type="dxa"/>
            <w:tcBorders>
              <w:top w:val="nil"/>
              <w:left w:val="nil"/>
              <w:bottom w:val="single" w:sz="4" w:space="0" w:color="auto"/>
              <w:right w:val="single" w:sz="4" w:space="0" w:color="auto"/>
            </w:tcBorders>
            <w:shd w:val="clear" w:color="000000" w:fill="F2DCDB"/>
            <w:vAlign w:val="center"/>
            <w:hideMark/>
          </w:tcPr>
          <w:p w14:paraId="29C347FB"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2017</w:t>
            </w:r>
          </w:p>
        </w:tc>
        <w:tc>
          <w:tcPr>
            <w:tcW w:w="630" w:type="dxa"/>
            <w:tcBorders>
              <w:top w:val="nil"/>
              <w:left w:val="nil"/>
              <w:bottom w:val="single" w:sz="4" w:space="0" w:color="auto"/>
              <w:right w:val="nil"/>
            </w:tcBorders>
            <w:shd w:val="clear" w:color="000000" w:fill="F2DCDB"/>
            <w:vAlign w:val="center"/>
            <w:hideMark/>
          </w:tcPr>
          <w:p w14:paraId="43AD392E"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2018</w:t>
            </w:r>
          </w:p>
        </w:tc>
        <w:tc>
          <w:tcPr>
            <w:tcW w:w="634" w:type="dxa"/>
            <w:tcBorders>
              <w:top w:val="nil"/>
              <w:left w:val="single" w:sz="4" w:space="0" w:color="auto"/>
              <w:bottom w:val="single" w:sz="4" w:space="0" w:color="auto"/>
              <w:right w:val="nil"/>
            </w:tcBorders>
            <w:shd w:val="clear" w:color="000000" w:fill="F2DCDB"/>
            <w:vAlign w:val="center"/>
            <w:hideMark/>
          </w:tcPr>
          <w:p w14:paraId="6777811C" w14:textId="77777777" w:rsidR="00170240" w:rsidRPr="00170240" w:rsidRDefault="00170240" w:rsidP="0027197F">
            <w:pPr>
              <w:spacing w:after="0" w:line="240" w:lineRule="auto"/>
              <w:jc w:val="center"/>
              <w:rPr>
                <w:rFonts w:cs="Arial"/>
                <w:sz w:val="16"/>
                <w:szCs w:val="16"/>
              </w:rPr>
            </w:pPr>
            <w:r w:rsidRPr="00170240">
              <w:rPr>
                <w:rFonts w:cs="Arial"/>
                <w:sz w:val="16"/>
                <w:szCs w:val="16"/>
              </w:rPr>
              <w:t>1. pol. 2019</w:t>
            </w:r>
          </w:p>
        </w:tc>
      </w:tr>
      <w:tr w:rsidR="009A4127" w:rsidRPr="00170240" w14:paraId="555E76B0" w14:textId="77777777" w:rsidTr="00B3736B">
        <w:trPr>
          <w:trHeight w:val="291"/>
        </w:trPr>
        <w:tc>
          <w:tcPr>
            <w:tcW w:w="3237" w:type="dxa"/>
            <w:tcBorders>
              <w:top w:val="nil"/>
              <w:left w:val="nil"/>
              <w:bottom w:val="nil"/>
              <w:right w:val="nil"/>
            </w:tcBorders>
            <w:shd w:val="clear" w:color="auto" w:fill="auto"/>
            <w:vAlign w:val="center"/>
            <w:hideMark/>
          </w:tcPr>
          <w:p w14:paraId="31E93DCB" w14:textId="3826BA4B" w:rsidR="009A4127" w:rsidRPr="00170240" w:rsidRDefault="009A4127" w:rsidP="009A4127">
            <w:pPr>
              <w:spacing w:after="0" w:line="240" w:lineRule="auto"/>
              <w:rPr>
                <w:rFonts w:ascii="Arial CE" w:hAnsi="Arial CE" w:cs="Arial CE"/>
                <w:b/>
                <w:bCs/>
                <w:sz w:val="16"/>
                <w:szCs w:val="16"/>
              </w:rPr>
            </w:pPr>
            <w:r>
              <w:rPr>
                <w:rFonts w:ascii="Arial CE" w:hAnsi="Arial CE" w:cs="Arial CE"/>
                <w:b/>
                <w:bCs/>
                <w:sz w:val="16"/>
                <w:szCs w:val="16"/>
              </w:rPr>
              <w:t>Celkem</w:t>
            </w:r>
          </w:p>
        </w:tc>
        <w:tc>
          <w:tcPr>
            <w:tcW w:w="630" w:type="dxa"/>
            <w:tcBorders>
              <w:top w:val="nil"/>
              <w:left w:val="nil"/>
              <w:bottom w:val="nil"/>
              <w:right w:val="nil"/>
            </w:tcBorders>
            <w:shd w:val="clear" w:color="auto" w:fill="auto"/>
            <w:noWrap/>
            <w:vAlign w:val="center"/>
            <w:hideMark/>
          </w:tcPr>
          <w:p w14:paraId="5BF45A34" w14:textId="77777777" w:rsidR="009A4127" w:rsidRPr="00170240" w:rsidRDefault="009A4127" w:rsidP="009A4127">
            <w:pPr>
              <w:spacing w:after="0" w:line="240" w:lineRule="auto"/>
              <w:jc w:val="right"/>
              <w:rPr>
                <w:rFonts w:cs="Arial"/>
                <w:b/>
                <w:bCs/>
                <w:sz w:val="16"/>
                <w:szCs w:val="16"/>
              </w:rPr>
            </w:pPr>
            <w:r w:rsidRPr="00170240">
              <w:rPr>
                <w:rFonts w:cs="Arial"/>
                <w:b/>
                <w:bCs/>
                <w:sz w:val="16"/>
                <w:szCs w:val="16"/>
              </w:rPr>
              <w:t>44,57</w:t>
            </w:r>
          </w:p>
        </w:tc>
        <w:tc>
          <w:tcPr>
            <w:tcW w:w="630" w:type="dxa"/>
            <w:tcBorders>
              <w:top w:val="nil"/>
              <w:left w:val="nil"/>
              <w:bottom w:val="nil"/>
              <w:right w:val="nil"/>
            </w:tcBorders>
            <w:shd w:val="clear" w:color="auto" w:fill="auto"/>
            <w:noWrap/>
            <w:vAlign w:val="center"/>
            <w:hideMark/>
          </w:tcPr>
          <w:p w14:paraId="48356557" w14:textId="77777777" w:rsidR="009A4127" w:rsidRPr="00170240" w:rsidRDefault="009A4127" w:rsidP="009A4127">
            <w:pPr>
              <w:spacing w:after="0" w:line="240" w:lineRule="auto"/>
              <w:jc w:val="right"/>
              <w:rPr>
                <w:rFonts w:cs="Arial"/>
                <w:b/>
                <w:bCs/>
                <w:sz w:val="16"/>
                <w:szCs w:val="16"/>
              </w:rPr>
            </w:pPr>
            <w:r w:rsidRPr="00170240">
              <w:rPr>
                <w:rFonts w:cs="Arial"/>
                <w:b/>
                <w:bCs/>
                <w:sz w:val="16"/>
                <w:szCs w:val="16"/>
              </w:rPr>
              <w:t>42,77</w:t>
            </w:r>
          </w:p>
        </w:tc>
        <w:tc>
          <w:tcPr>
            <w:tcW w:w="630" w:type="dxa"/>
            <w:tcBorders>
              <w:top w:val="nil"/>
              <w:left w:val="nil"/>
              <w:bottom w:val="nil"/>
              <w:right w:val="nil"/>
            </w:tcBorders>
            <w:shd w:val="clear" w:color="auto" w:fill="auto"/>
            <w:noWrap/>
            <w:vAlign w:val="center"/>
            <w:hideMark/>
          </w:tcPr>
          <w:p w14:paraId="437D9C63" w14:textId="77777777" w:rsidR="009A4127" w:rsidRPr="00170240" w:rsidRDefault="009A4127" w:rsidP="009A4127">
            <w:pPr>
              <w:spacing w:after="0" w:line="240" w:lineRule="auto"/>
              <w:jc w:val="right"/>
              <w:rPr>
                <w:rFonts w:cs="Arial"/>
                <w:b/>
                <w:bCs/>
                <w:sz w:val="16"/>
                <w:szCs w:val="16"/>
              </w:rPr>
            </w:pPr>
            <w:r w:rsidRPr="00170240">
              <w:rPr>
                <w:rFonts w:cs="Arial"/>
                <w:b/>
                <w:bCs/>
                <w:sz w:val="16"/>
                <w:szCs w:val="16"/>
              </w:rPr>
              <w:t>47,70</w:t>
            </w:r>
          </w:p>
        </w:tc>
        <w:tc>
          <w:tcPr>
            <w:tcW w:w="630" w:type="dxa"/>
            <w:tcBorders>
              <w:top w:val="nil"/>
              <w:left w:val="nil"/>
              <w:bottom w:val="nil"/>
              <w:right w:val="nil"/>
            </w:tcBorders>
            <w:shd w:val="clear" w:color="auto" w:fill="auto"/>
            <w:noWrap/>
            <w:vAlign w:val="center"/>
            <w:hideMark/>
          </w:tcPr>
          <w:p w14:paraId="44E55D61" w14:textId="77777777" w:rsidR="009A4127" w:rsidRPr="00170240" w:rsidRDefault="009A4127" w:rsidP="009A4127">
            <w:pPr>
              <w:spacing w:after="0" w:line="240" w:lineRule="auto"/>
              <w:jc w:val="right"/>
              <w:rPr>
                <w:rFonts w:cs="Arial"/>
                <w:b/>
                <w:bCs/>
                <w:sz w:val="16"/>
                <w:szCs w:val="16"/>
              </w:rPr>
            </w:pPr>
            <w:r w:rsidRPr="00170240">
              <w:rPr>
                <w:rFonts w:cs="Arial"/>
                <w:b/>
                <w:bCs/>
                <w:sz w:val="16"/>
                <w:szCs w:val="16"/>
              </w:rPr>
              <w:t>42,24</w:t>
            </w:r>
          </w:p>
        </w:tc>
        <w:tc>
          <w:tcPr>
            <w:tcW w:w="662" w:type="dxa"/>
            <w:tcBorders>
              <w:top w:val="nil"/>
              <w:left w:val="nil"/>
              <w:bottom w:val="nil"/>
              <w:right w:val="nil"/>
            </w:tcBorders>
            <w:shd w:val="clear" w:color="auto" w:fill="auto"/>
            <w:noWrap/>
            <w:vAlign w:val="center"/>
            <w:hideMark/>
          </w:tcPr>
          <w:p w14:paraId="2E3C1CCB" w14:textId="77777777" w:rsidR="009A4127" w:rsidRPr="00170240" w:rsidRDefault="009A4127" w:rsidP="009A4127">
            <w:pPr>
              <w:spacing w:after="0" w:line="240" w:lineRule="auto"/>
              <w:jc w:val="right"/>
              <w:rPr>
                <w:rFonts w:cs="Arial"/>
                <w:b/>
                <w:bCs/>
                <w:sz w:val="16"/>
                <w:szCs w:val="16"/>
              </w:rPr>
            </w:pPr>
            <w:r w:rsidRPr="00170240">
              <w:rPr>
                <w:rFonts w:cs="Arial"/>
                <w:b/>
                <w:bCs/>
                <w:sz w:val="16"/>
                <w:szCs w:val="16"/>
              </w:rPr>
              <w:t>45,94</w:t>
            </w:r>
          </w:p>
        </w:tc>
        <w:tc>
          <w:tcPr>
            <w:tcW w:w="630" w:type="dxa"/>
            <w:tcBorders>
              <w:top w:val="nil"/>
              <w:left w:val="nil"/>
              <w:bottom w:val="nil"/>
              <w:right w:val="nil"/>
            </w:tcBorders>
            <w:shd w:val="clear" w:color="auto" w:fill="auto"/>
            <w:noWrap/>
            <w:vAlign w:val="center"/>
            <w:hideMark/>
          </w:tcPr>
          <w:p w14:paraId="53296752" w14:textId="0F39FB76" w:rsidR="009A4127" w:rsidRPr="00170240" w:rsidRDefault="009A4127" w:rsidP="009A4127">
            <w:pPr>
              <w:spacing w:after="0" w:line="240" w:lineRule="auto"/>
              <w:jc w:val="right"/>
              <w:rPr>
                <w:rFonts w:cs="Arial"/>
                <w:b/>
                <w:bCs/>
                <w:sz w:val="16"/>
                <w:szCs w:val="16"/>
              </w:rPr>
            </w:pPr>
            <w:r>
              <w:rPr>
                <w:rFonts w:cs="Arial"/>
                <w:b/>
                <w:bCs/>
                <w:sz w:val="16"/>
                <w:szCs w:val="16"/>
              </w:rPr>
              <w:t>40,11</w:t>
            </w:r>
          </w:p>
        </w:tc>
        <w:tc>
          <w:tcPr>
            <w:tcW w:w="662" w:type="dxa"/>
            <w:tcBorders>
              <w:top w:val="nil"/>
              <w:left w:val="nil"/>
              <w:bottom w:val="nil"/>
              <w:right w:val="nil"/>
            </w:tcBorders>
            <w:shd w:val="clear" w:color="auto" w:fill="auto"/>
            <w:noWrap/>
            <w:vAlign w:val="center"/>
            <w:hideMark/>
          </w:tcPr>
          <w:p w14:paraId="766D8AE1" w14:textId="77777777" w:rsidR="009A4127" w:rsidRPr="00170240" w:rsidRDefault="009A4127" w:rsidP="009A4127">
            <w:pPr>
              <w:spacing w:after="0" w:line="240" w:lineRule="auto"/>
              <w:jc w:val="right"/>
              <w:rPr>
                <w:rFonts w:cs="Arial"/>
                <w:b/>
                <w:bCs/>
                <w:color w:val="000000"/>
                <w:sz w:val="16"/>
                <w:szCs w:val="16"/>
              </w:rPr>
            </w:pPr>
            <w:r w:rsidRPr="00170240">
              <w:rPr>
                <w:rFonts w:cs="Arial"/>
                <w:b/>
                <w:bCs/>
                <w:color w:val="000000"/>
                <w:sz w:val="16"/>
                <w:szCs w:val="16"/>
              </w:rPr>
              <w:t>41,97</w:t>
            </w:r>
          </w:p>
        </w:tc>
        <w:tc>
          <w:tcPr>
            <w:tcW w:w="630" w:type="dxa"/>
            <w:tcBorders>
              <w:top w:val="nil"/>
              <w:left w:val="nil"/>
              <w:bottom w:val="nil"/>
              <w:right w:val="nil"/>
            </w:tcBorders>
            <w:shd w:val="clear" w:color="auto" w:fill="auto"/>
            <w:noWrap/>
            <w:vAlign w:val="center"/>
            <w:hideMark/>
          </w:tcPr>
          <w:p w14:paraId="6375CEA0" w14:textId="77777777" w:rsidR="009A4127" w:rsidRPr="00170240" w:rsidRDefault="009A4127" w:rsidP="009A4127">
            <w:pPr>
              <w:spacing w:after="0" w:line="240" w:lineRule="auto"/>
              <w:jc w:val="right"/>
              <w:rPr>
                <w:rFonts w:cs="Arial"/>
                <w:b/>
                <w:bCs/>
                <w:color w:val="000000"/>
                <w:sz w:val="16"/>
                <w:szCs w:val="16"/>
              </w:rPr>
            </w:pPr>
            <w:r w:rsidRPr="00170240">
              <w:rPr>
                <w:rFonts w:cs="Arial"/>
                <w:b/>
                <w:bCs/>
                <w:color w:val="000000"/>
                <w:sz w:val="16"/>
                <w:szCs w:val="16"/>
              </w:rPr>
              <w:t>40,97</w:t>
            </w:r>
          </w:p>
        </w:tc>
        <w:tc>
          <w:tcPr>
            <w:tcW w:w="630" w:type="dxa"/>
            <w:tcBorders>
              <w:top w:val="nil"/>
              <w:left w:val="nil"/>
              <w:bottom w:val="nil"/>
              <w:right w:val="nil"/>
            </w:tcBorders>
            <w:shd w:val="clear" w:color="000000" w:fill="FFFFFF"/>
            <w:noWrap/>
            <w:vAlign w:val="center"/>
            <w:hideMark/>
          </w:tcPr>
          <w:p w14:paraId="3984B7C0" w14:textId="77777777" w:rsidR="009A4127" w:rsidRPr="00170240" w:rsidRDefault="009A4127" w:rsidP="009A4127">
            <w:pPr>
              <w:spacing w:after="0" w:line="240" w:lineRule="auto"/>
              <w:jc w:val="right"/>
              <w:rPr>
                <w:rFonts w:cs="Arial"/>
                <w:b/>
                <w:bCs/>
                <w:color w:val="000000"/>
                <w:sz w:val="16"/>
                <w:szCs w:val="16"/>
              </w:rPr>
            </w:pPr>
            <w:r w:rsidRPr="00170240">
              <w:rPr>
                <w:rFonts w:cs="Arial"/>
                <w:b/>
                <w:bCs/>
                <w:color w:val="000000"/>
                <w:sz w:val="16"/>
                <w:szCs w:val="16"/>
              </w:rPr>
              <w:t>39,05</w:t>
            </w:r>
          </w:p>
        </w:tc>
        <w:tc>
          <w:tcPr>
            <w:tcW w:w="634" w:type="dxa"/>
            <w:tcBorders>
              <w:top w:val="nil"/>
              <w:left w:val="nil"/>
              <w:bottom w:val="nil"/>
              <w:right w:val="nil"/>
            </w:tcBorders>
            <w:shd w:val="clear" w:color="auto" w:fill="auto"/>
            <w:noWrap/>
            <w:vAlign w:val="center"/>
            <w:hideMark/>
          </w:tcPr>
          <w:p w14:paraId="338A229C" w14:textId="77777777" w:rsidR="009A4127" w:rsidRPr="00170240" w:rsidRDefault="009A4127" w:rsidP="009A4127">
            <w:pPr>
              <w:spacing w:after="0" w:line="240" w:lineRule="auto"/>
              <w:jc w:val="right"/>
              <w:rPr>
                <w:rFonts w:cs="Arial"/>
                <w:b/>
                <w:bCs/>
                <w:color w:val="000000"/>
                <w:sz w:val="16"/>
                <w:szCs w:val="16"/>
              </w:rPr>
            </w:pPr>
            <w:r w:rsidRPr="00170240">
              <w:rPr>
                <w:rFonts w:cs="Arial"/>
                <w:b/>
                <w:bCs/>
                <w:color w:val="000000"/>
                <w:sz w:val="16"/>
                <w:szCs w:val="16"/>
              </w:rPr>
              <w:t>42,65</w:t>
            </w:r>
          </w:p>
        </w:tc>
      </w:tr>
      <w:tr w:rsidR="009A4127" w:rsidRPr="00170240" w14:paraId="3888D06A" w14:textId="77777777" w:rsidTr="00B3736B">
        <w:trPr>
          <w:trHeight w:val="291"/>
        </w:trPr>
        <w:tc>
          <w:tcPr>
            <w:tcW w:w="3237" w:type="dxa"/>
            <w:tcBorders>
              <w:top w:val="nil"/>
              <w:left w:val="nil"/>
              <w:bottom w:val="nil"/>
              <w:right w:val="nil"/>
            </w:tcBorders>
            <w:shd w:val="clear" w:color="auto" w:fill="auto"/>
            <w:vAlign w:val="center"/>
            <w:hideMark/>
          </w:tcPr>
          <w:p w14:paraId="23FC2ABC"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A – Zemědělství, lesnictví a rybářství</w:t>
            </w:r>
          </w:p>
        </w:tc>
        <w:tc>
          <w:tcPr>
            <w:tcW w:w="630" w:type="dxa"/>
            <w:tcBorders>
              <w:top w:val="nil"/>
              <w:left w:val="nil"/>
              <w:bottom w:val="nil"/>
              <w:right w:val="nil"/>
            </w:tcBorders>
            <w:shd w:val="clear" w:color="auto" w:fill="auto"/>
            <w:noWrap/>
            <w:vAlign w:val="center"/>
            <w:hideMark/>
          </w:tcPr>
          <w:p w14:paraId="1C003E3F" w14:textId="77777777" w:rsidR="009A4127" w:rsidRPr="00170240" w:rsidRDefault="009A4127" w:rsidP="009A4127">
            <w:pPr>
              <w:spacing w:after="0" w:line="240" w:lineRule="auto"/>
              <w:jc w:val="right"/>
              <w:rPr>
                <w:rFonts w:cs="Arial"/>
                <w:sz w:val="16"/>
                <w:szCs w:val="16"/>
              </w:rPr>
            </w:pPr>
            <w:r w:rsidRPr="00170240">
              <w:rPr>
                <w:rFonts w:cs="Arial"/>
                <w:sz w:val="16"/>
                <w:szCs w:val="16"/>
              </w:rPr>
              <w:t>61,34</w:t>
            </w:r>
          </w:p>
        </w:tc>
        <w:tc>
          <w:tcPr>
            <w:tcW w:w="630" w:type="dxa"/>
            <w:tcBorders>
              <w:top w:val="nil"/>
              <w:left w:val="nil"/>
              <w:bottom w:val="nil"/>
              <w:right w:val="nil"/>
            </w:tcBorders>
            <w:shd w:val="clear" w:color="auto" w:fill="auto"/>
            <w:noWrap/>
            <w:vAlign w:val="center"/>
            <w:hideMark/>
          </w:tcPr>
          <w:p w14:paraId="5060C975" w14:textId="77777777" w:rsidR="009A4127" w:rsidRPr="00170240" w:rsidRDefault="009A4127" w:rsidP="009A4127">
            <w:pPr>
              <w:spacing w:after="0" w:line="240" w:lineRule="auto"/>
              <w:jc w:val="right"/>
              <w:rPr>
                <w:rFonts w:cs="Arial"/>
                <w:sz w:val="16"/>
                <w:szCs w:val="16"/>
              </w:rPr>
            </w:pPr>
            <w:r w:rsidRPr="00170240">
              <w:rPr>
                <w:rFonts w:cs="Arial"/>
                <w:sz w:val="16"/>
                <w:szCs w:val="16"/>
              </w:rPr>
              <w:t>62,12</w:t>
            </w:r>
          </w:p>
        </w:tc>
        <w:tc>
          <w:tcPr>
            <w:tcW w:w="630" w:type="dxa"/>
            <w:tcBorders>
              <w:top w:val="nil"/>
              <w:left w:val="nil"/>
              <w:bottom w:val="nil"/>
              <w:right w:val="nil"/>
            </w:tcBorders>
            <w:shd w:val="clear" w:color="auto" w:fill="auto"/>
            <w:noWrap/>
            <w:vAlign w:val="center"/>
            <w:hideMark/>
          </w:tcPr>
          <w:p w14:paraId="2C1D6DCA" w14:textId="77777777" w:rsidR="009A4127" w:rsidRPr="00170240" w:rsidRDefault="009A4127" w:rsidP="009A4127">
            <w:pPr>
              <w:spacing w:after="0" w:line="240" w:lineRule="auto"/>
              <w:jc w:val="right"/>
              <w:rPr>
                <w:rFonts w:cs="Arial"/>
                <w:sz w:val="16"/>
                <w:szCs w:val="16"/>
              </w:rPr>
            </w:pPr>
            <w:r w:rsidRPr="00170240">
              <w:rPr>
                <w:rFonts w:cs="Arial"/>
                <w:sz w:val="16"/>
                <w:szCs w:val="16"/>
              </w:rPr>
              <w:t>63,80</w:t>
            </w:r>
          </w:p>
        </w:tc>
        <w:tc>
          <w:tcPr>
            <w:tcW w:w="630" w:type="dxa"/>
            <w:tcBorders>
              <w:top w:val="nil"/>
              <w:left w:val="nil"/>
              <w:bottom w:val="nil"/>
              <w:right w:val="nil"/>
            </w:tcBorders>
            <w:shd w:val="clear" w:color="auto" w:fill="auto"/>
            <w:noWrap/>
            <w:vAlign w:val="center"/>
            <w:hideMark/>
          </w:tcPr>
          <w:p w14:paraId="0009A186" w14:textId="77777777" w:rsidR="009A4127" w:rsidRPr="00170240" w:rsidRDefault="009A4127" w:rsidP="009A4127">
            <w:pPr>
              <w:spacing w:after="0" w:line="240" w:lineRule="auto"/>
              <w:jc w:val="right"/>
              <w:rPr>
                <w:rFonts w:cs="Arial"/>
                <w:sz w:val="16"/>
                <w:szCs w:val="16"/>
              </w:rPr>
            </w:pPr>
            <w:r w:rsidRPr="00170240">
              <w:rPr>
                <w:rFonts w:cs="Arial"/>
                <w:sz w:val="16"/>
                <w:szCs w:val="16"/>
              </w:rPr>
              <w:t>57,77</w:t>
            </w:r>
          </w:p>
        </w:tc>
        <w:tc>
          <w:tcPr>
            <w:tcW w:w="662" w:type="dxa"/>
            <w:tcBorders>
              <w:top w:val="nil"/>
              <w:left w:val="nil"/>
              <w:bottom w:val="nil"/>
              <w:right w:val="nil"/>
            </w:tcBorders>
            <w:shd w:val="clear" w:color="auto" w:fill="auto"/>
            <w:noWrap/>
            <w:vAlign w:val="center"/>
            <w:hideMark/>
          </w:tcPr>
          <w:p w14:paraId="0C863B91" w14:textId="77777777" w:rsidR="009A4127" w:rsidRPr="00170240" w:rsidRDefault="009A4127" w:rsidP="009A4127">
            <w:pPr>
              <w:spacing w:after="0" w:line="240" w:lineRule="auto"/>
              <w:jc w:val="right"/>
              <w:rPr>
                <w:rFonts w:cs="Arial"/>
                <w:sz w:val="16"/>
                <w:szCs w:val="16"/>
              </w:rPr>
            </w:pPr>
            <w:r w:rsidRPr="00170240">
              <w:rPr>
                <w:rFonts w:cs="Arial"/>
                <w:sz w:val="16"/>
                <w:szCs w:val="16"/>
              </w:rPr>
              <w:t>62,02</w:t>
            </w:r>
          </w:p>
        </w:tc>
        <w:tc>
          <w:tcPr>
            <w:tcW w:w="630" w:type="dxa"/>
            <w:tcBorders>
              <w:top w:val="nil"/>
              <w:left w:val="nil"/>
              <w:bottom w:val="nil"/>
              <w:right w:val="nil"/>
            </w:tcBorders>
            <w:shd w:val="clear" w:color="auto" w:fill="auto"/>
            <w:noWrap/>
            <w:vAlign w:val="center"/>
            <w:hideMark/>
          </w:tcPr>
          <w:p w14:paraId="14A7F1C3" w14:textId="0261ADAB" w:rsidR="009A4127" w:rsidRPr="00170240" w:rsidRDefault="009A4127" w:rsidP="009A4127">
            <w:pPr>
              <w:spacing w:after="0" w:line="240" w:lineRule="auto"/>
              <w:jc w:val="right"/>
              <w:rPr>
                <w:rFonts w:cs="Arial"/>
                <w:sz w:val="16"/>
                <w:szCs w:val="16"/>
              </w:rPr>
            </w:pPr>
            <w:r>
              <w:rPr>
                <w:rFonts w:cs="Arial"/>
                <w:sz w:val="16"/>
                <w:szCs w:val="16"/>
              </w:rPr>
              <w:t>54,89</w:t>
            </w:r>
          </w:p>
        </w:tc>
        <w:tc>
          <w:tcPr>
            <w:tcW w:w="662" w:type="dxa"/>
            <w:tcBorders>
              <w:top w:val="nil"/>
              <w:left w:val="nil"/>
              <w:bottom w:val="nil"/>
              <w:right w:val="nil"/>
            </w:tcBorders>
            <w:shd w:val="clear" w:color="auto" w:fill="auto"/>
            <w:noWrap/>
            <w:vAlign w:val="center"/>
            <w:hideMark/>
          </w:tcPr>
          <w:p w14:paraId="09F27CEF"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58,46</w:t>
            </w:r>
          </w:p>
        </w:tc>
        <w:tc>
          <w:tcPr>
            <w:tcW w:w="630" w:type="dxa"/>
            <w:tcBorders>
              <w:top w:val="nil"/>
              <w:left w:val="nil"/>
              <w:bottom w:val="nil"/>
              <w:right w:val="nil"/>
            </w:tcBorders>
            <w:shd w:val="clear" w:color="auto" w:fill="auto"/>
            <w:noWrap/>
            <w:vAlign w:val="center"/>
            <w:hideMark/>
          </w:tcPr>
          <w:p w14:paraId="36AF9BDC"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56,60</w:t>
            </w:r>
          </w:p>
        </w:tc>
        <w:tc>
          <w:tcPr>
            <w:tcW w:w="630" w:type="dxa"/>
            <w:tcBorders>
              <w:top w:val="nil"/>
              <w:left w:val="nil"/>
              <w:bottom w:val="nil"/>
              <w:right w:val="nil"/>
            </w:tcBorders>
            <w:shd w:val="clear" w:color="000000" w:fill="FFFFFF"/>
            <w:noWrap/>
            <w:vAlign w:val="center"/>
            <w:hideMark/>
          </w:tcPr>
          <w:p w14:paraId="09FB0FB3"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53,39</w:t>
            </w:r>
          </w:p>
        </w:tc>
        <w:tc>
          <w:tcPr>
            <w:tcW w:w="634" w:type="dxa"/>
            <w:tcBorders>
              <w:top w:val="nil"/>
              <w:left w:val="nil"/>
              <w:bottom w:val="nil"/>
              <w:right w:val="nil"/>
            </w:tcBorders>
            <w:shd w:val="clear" w:color="auto" w:fill="auto"/>
            <w:noWrap/>
            <w:vAlign w:val="center"/>
            <w:hideMark/>
          </w:tcPr>
          <w:p w14:paraId="7F95FFF2"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58,34</w:t>
            </w:r>
          </w:p>
        </w:tc>
      </w:tr>
      <w:tr w:rsidR="009A4127" w:rsidRPr="00170240" w14:paraId="2DABD78E" w14:textId="77777777" w:rsidTr="00B3736B">
        <w:trPr>
          <w:trHeight w:val="291"/>
        </w:trPr>
        <w:tc>
          <w:tcPr>
            <w:tcW w:w="3237" w:type="dxa"/>
            <w:tcBorders>
              <w:top w:val="nil"/>
              <w:left w:val="nil"/>
              <w:bottom w:val="nil"/>
              <w:right w:val="nil"/>
            </w:tcBorders>
            <w:shd w:val="clear" w:color="auto" w:fill="auto"/>
            <w:vAlign w:val="center"/>
            <w:hideMark/>
          </w:tcPr>
          <w:p w14:paraId="73B042C1"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B – Těžba a dobývání</w:t>
            </w:r>
          </w:p>
        </w:tc>
        <w:tc>
          <w:tcPr>
            <w:tcW w:w="630" w:type="dxa"/>
            <w:tcBorders>
              <w:top w:val="nil"/>
              <w:left w:val="nil"/>
              <w:bottom w:val="nil"/>
              <w:right w:val="nil"/>
            </w:tcBorders>
            <w:shd w:val="clear" w:color="auto" w:fill="auto"/>
            <w:noWrap/>
            <w:vAlign w:val="center"/>
            <w:hideMark/>
          </w:tcPr>
          <w:p w14:paraId="4BFDD48F" w14:textId="77777777" w:rsidR="009A4127" w:rsidRPr="00170240" w:rsidRDefault="009A4127" w:rsidP="009A4127">
            <w:pPr>
              <w:spacing w:after="0" w:line="240" w:lineRule="auto"/>
              <w:jc w:val="right"/>
              <w:rPr>
                <w:rFonts w:cs="Arial"/>
                <w:sz w:val="16"/>
                <w:szCs w:val="16"/>
              </w:rPr>
            </w:pPr>
            <w:r w:rsidRPr="00170240">
              <w:rPr>
                <w:rFonts w:cs="Arial"/>
                <w:sz w:val="16"/>
                <w:szCs w:val="16"/>
              </w:rPr>
              <w:t>39,60</w:t>
            </w:r>
          </w:p>
        </w:tc>
        <w:tc>
          <w:tcPr>
            <w:tcW w:w="630" w:type="dxa"/>
            <w:tcBorders>
              <w:top w:val="nil"/>
              <w:left w:val="nil"/>
              <w:bottom w:val="nil"/>
              <w:right w:val="nil"/>
            </w:tcBorders>
            <w:shd w:val="clear" w:color="auto" w:fill="auto"/>
            <w:noWrap/>
            <w:vAlign w:val="center"/>
            <w:hideMark/>
          </w:tcPr>
          <w:p w14:paraId="63D041E5" w14:textId="77777777" w:rsidR="009A4127" w:rsidRPr="00170240" w:rsidRDefault="009A4127" w:rsidP="009A4127">
            <w:pPr>
              <w:spacing w:after="0" w:line="240" w:lineRule="auto"/>
              <w:jc w:val="right"/>
              <w:rPr>
                <w:rFonts w:cs="Arial"/>
                <w:sz w:val="16"/>
                <w:szCs w:val="16"/>
              </w:rPr>
            </w:pPr>
            <w:r w:rsidRPr="00170240">
              <w:rPr>
                <w:rFonts w:cs="Arial"/>
                <w:sz w:val="16"/>
                <w:szCs w:val="16"/>
              </w:rPr>
              <w:t>41,79</w:t>
            </w:r>
          </w:p>
        </w:tc>
        <w:tc>
          <w:tcPr>
            <w:tcW w:w="630" w:type="dxa"/>
            <w:tcBorders>
              <w:top w:val="nil"/>
              <w:left w:val="nil"/>
              <w:bottom w:val="nil"/>
              <w:right w:val="nil"/>
            </w:tcBorders>
            <w:shd w:val="clear" w:color="auto" w:fill="auto"/>
            <w:noWrap/>
            <w:vAlign w:val="center"/>
            <w:hideMark/>
          </w:tcPr>
          <w:p w14:paraId="477CE720" w14:textId="77777777" w:rsidR="009A4127" w:rsidRPr="00170240" w:rsidRDefault="009A4127" w:rsidP="009A4127">
            <w:pPr>
              <w:spacing w:after="0" w:line="240" w:lineRule="auto"/>
              <w:jc w:val="right"/>
              <w:rPr>
                <w:rFonts w:cs="Arial"/>
                <w:sz w:val="16"/>
                <w:szCs w:val="16"/>
              </w:rPr>
            </w:pPr>
            <w:r w:rsidRPr="00170240">
              <w:rPr>
                <w:rFonts w:cs="Arial"/>
                <w:sz w:val="16"/>
                <w:szCs w:val="16"/>
              </w:rPr>
              <w:t>43,31</w:t>
            </w:r>
          </w:p>
        </w:tc>
        <w:tc>
          <w:tcPr>
            <w:tcW w:w="630" w:type="dxa"/>
            <w:tcBorders>
              <w:top w:val="nil"/>
              <w:left w:val="nil"/>
              <w:bottom w:val="nil"/>
              <w:right w:val="nil"/>
            </w:tcBorders>
            <w:shd w:val="clear" w:color="auto" w:fill="auto"/>
            <w:noWrap/>
            <w:vAlign w:val="center"/>
            <w:hideMark/>
          </w:tcPr>
          <w:p w14:paraId="1DBB96E9" w14:textId="77777777" w:rsidR="009A4127" w:rsidRPr="00170240" w:rsidRDefault="009A4127" w:rsidP="009A4127">
            <w:pPr>
              <w:spacing w:after="0" w:line="240" w:lineRule="auto"/>
              <w:jc w:val="right"/>
              <w:rPr>
                <w:rFonts w:cs="Arial"/>
                <w:sz w:val="16"/>
                <w:szCs w:val="16"/>
              </w:rPr>
            </w:pPr>
            <w:r w:rsidRPr="00170240">
              <w:rPr>
                <w:rFonts w:cs="Arial"/>
                <w:sz w:val="16"/>
                <w:szCs w:val="16"/>
              </w:rPr>
              <w:t>41,75</w:t>
            </w:r>
          </w:p>
        </w:tc>
        <w:tc>
          <w:tcPr>
            <w:tcW w:w="662" w:type="dxa"/>
            <w:tcBorders>
              <w:top w:val="nil"/>
              <w:left w:val="nil"/>
              <w:bottom w:val="nil"/>
              <w:right w:val="nil"/>
            </w:tcBorders>
            <w:shd w:val="clear" w:color="auto" w:fill="auto"/>
            <w:noWrap/>
            <w:vAlign w:val="center"/>
            <w:hideMark/>
          </w:tcPr>
          <w:p w14:paraId="40992BC8" w14:textId="77777777" w:rsidR="009A4127" w:rsidRPr="00170240" w:rsidRDefault="009A4127" w:rsidP="009A4127">
            <w:pPr>
              <w:spacing w:after="0" w:line="240" w:lineRule="auto"/>
              <w:jc w:val="right"/>
              <w:rPr>
                <w:rFonts w:cs="Arial"/>
                <w:sz w:val="16"/>
                <w:szCs w:val="16"/>
              </w:rPr>
            </w:pPr>
            <w:r w:rsidRPr="00170240">
              <w:rPr>
                <w:rFonts w:cs="Arial"/>
                <w:sz w:val="16"/>
                <w:szCs w:val="16"/>
              </w:rPr>
              <w:t>49,68</w:t>
            </w:r>
          </w:p>
        </w:tc>
        <w:tc>
          <w:tcPr>
            <w:tcW w:w="630" w:type="dxa"/>
            <w:tcBorders>
              <w:top w:val="nil"/>
              <w:left w:val="nil"/>
              <w:bottom w:val="nil"/>
              <w:right w:val="nil"/>
            </w:tcBorders>
            <w:shd w:val="clear" w:color="auto" w:fill="auto"/>
            <w:noWrap/>
            <w:vAlign w:val="center"/>
            <w:hideMark/>
          </w:tcPr>
          <w:p w14:paraId="4F3167E7" w14:textId="3478B607" w:rsidR="009A4127" w:rsidRPr="00170240" w:rsidRDefault="009A4127" w:rsidP="009A4127">
            <w:pPr>
              <w:spacing w:after="0" w:line="240" w:lineRule="auto"/>
              <w:jc w:val="right"/>
              <w:rPr>
                <w:rFonts w:cs="Arial"/>
                <w:sz w:val="16"/>
                <w:szCs w:val="16"/>
              </w:rPr>
            </w:pPr>
            <w:r>
              <w:rPr>
                <w:rFonts w:cs="Arial"/>
                <w:sz w:val="16"/>
                <w:szCs w:val="16"/>
              </w:rPr>
              <w:t>43,60</w:t>
            </w:r>
          </w:p>
        </w:tc>
        <w:tc>
          <w:tcPr>
            <w:tcW w:w="662" w:type="dxa"/>
            <w:tcBorders>
              <w:top w:val="nil"/>
              <w:left w:val="nil"/>
              <w:bottom w:val="nil"/>
              <w:right w:val="nil"/>
            </w:tcBorders>
            <w:shd w:val="clear" w:color="auto" w:fill="auto"/>
            <w:noWrap/>
            <w:vAlign w:val="center"/>
            <w:hideMark/>
          </w:tcPr>
          <w:p w14:paraId="356BF75D"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51,08</w:t>
            </w:r>
          </w:p>
        </w:tc>
        <w:tc>
          <w:tcPr>
            <w:tcW w:w="630" w:type="dxa"/>
            <w:tcBorders>
              <w:top w:val="nil"/>
              <w:left w:val="nil"/>
              <w:bottom w:val="nil"/>
              <w:right w:val="nil"/>
            </w:tcBorders>
            <w:shd w:val="clear" w:color="auto" w:fill="auto"/>
            <w:noWrap/>
            <w:vAlign w:val="center"/>
            <w:hideMark/>
          </w:tcPr>
          <w:p w14:paraId="09FD7A96"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55,56</w:t>
            </w:r>
          </w:p>
        </w:tc>
        <w:tc>
          <w:tcPr>
            <w:tcW w:w="630" w:type="dxa"/>
            <w:tcBorders>
              <w:top w:val="nil"/>
              <w:left w:val="nil"/>
              <w:bottom w:val="nil"/>
              <w:right w:val="nil"/>
            </w:tcBorders>
            <w:shd w:val="clear" w:color="000000" w:fill="FFFFFF"/>
            <w:noWrap/>
            <w:vAlign w:val="center"/>
            <w:hideMark/>
          </w:tcPr>
          <w:p w14:paraId="5C549120"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45,43</w:t>
            </w:r>
          </w:p>
        </w:tc>
        <w:tc>
          <w:tcPr>
            <w:tcW w:w="634" w:type="dxa"/>
            <w:tcBorders>
              <w:top w:val="nil"/>
              <w:left w:val="nil"/>
              <w:bottom w:val="nil"/>
              <w:right w:val="nil"/>
            </w:tcBorders>
            <w:shd w:val="clear" w:color="auto" w:fill="auto"/>
            <w:noWrap/>
            <w:vAlign w:val="center"/>
            <w:hideMark/>
          </w:tcPr>
          <w:p w14:paraId="33506127"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50,30</w:t>
            </w:r>
          </w:p>
        </w:tc>
      </w:tr>
      <w:tr w:rsidR="009A4127" w:rsidRPr="00170240" w14:paraId="1D128952" w14:textId="77777777" w:rsidTr="00B3736B">
        <w:trPr>
          <w:trHeight w:val="291"/>
        </w:trPr>
        <w:tc>
          <w:tcPr>
            <w:tcW w:w="3237" w:type="dxa"/>
            <w:tcBorders>
              <w:top w:val="nil"/>
              <w:left w:val="nil"/>
              <w:bottom w:val="nil"/>
              <w:right w:val="nil"/>
            </w:tcBorders>
            <w:shd w:val="clear" w:color="auto" w:fill="auto"/>
            <w:vAlign w:val="center"/>
            <w:hideMark/>
          </w:tcPr>
          <w:p w14:paraId="347939E1"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C – Zpracovatelský průmysl</w:t>
            </w:r>
          </w:p>
        </w:tc>
        <w:tc>
          <w:tcPr>
            <w:tcW w:w="630" w:type="dxa"/>
            <w:tcBorders>
              <w:top w:val="nil"/>
              <w:left w:val="nil"/>
              <w:bottom w:val="nil"/>
              <w:right w:val="nil"/>
            </w:tcBorders>
            <w:shd w:val="clear" w:color="auto" w:fill="auto"/>
            <w:noWrap/>
            <w:vAlign w:val="center"/>
            <w:hideMark/>
          </w:tcPr>
          <w:p w14:paraId="29AE37AB" w14:textId="77777777" w:rsidR="009A4127" w:rsidRPr="00170240" w:rsidRDefault="009A4127" w:rsidP="009A4127">
            <w:pPr>
              <w:spacing w:after="0" w:line="240" w:lineRule="auto"/>
              <w:jc w:val="right"/>
              <w:rPr>
                <w:rFonts w:cs="Arial"/>
                <w:sz w:val="16"/>
                <w:szCs w:val="16"/>
              </w:rPr>
            </w:pPr>
            <w:r w:rsidRPr="00170240">
              <w:rPr>
                <w:rFonts w:cs="Arial"/>
                <w:sz w:val="16"/>
                <w:szCs w:val="16"/>
              </w:rPr>
              <w:t>43,78</w:t>
            </w:r>
          </w:p>
        </w:tc>
        <w:tc>
          <w:tcPr>
            <w:tcW w:w="630" w:type="dxa"/>
            <w:tcBorders>
              <w:top w:val="nil"/>
              <w:left w:val="nil"/>
              <w:bottom w:val="nil"/>
              <w:right w:val="nil"/>
            </w:tcBorders>
            <w:shd w:val="clear" w:color="auto" w:fill="auto"/>
            <w:noWrap/>
            <w:vAlign w:val="center"/>
            <w:hideMark/>
          </w:tcPr>
          <w:p w14:paraId="1B9A672D" w14:textId="77777777" w:rsidR="009A4127" w:rsidRPr="00170240" w:rsidRDefault="009A4127" w:rsidP="009A4127">
            <w:pPr>
              <w:spacing w:after="0" w:line="240" w:lineRule="auto"/>
              <w:jc w:val="right"/>
              <w:rPr>
                <w:rFonts w:cs="Arial"/>
                <w:sz w:val="16"/>
                <w:szCs w:val="16"/>
              </w:rPr>
            </w:pPr>
            <w:r w:rsidRPr="00170240">
              <w:rPr>
                <w:rFonts w:cs="Arial"/>
                <w:sz w:val="16"/>
                <w:szCs w:val="16"/>
              </w:rPr>
              <w:t>39,44</w:t>
            </w:r>
          </w:p>
        </w:tc>
        <w:tc>
          <w:tcPr>
            <w:tcW w:w="630" w:type="dxa"/>
            <w:tcBorders>
              <w:top w:val="nil"/>
              <w:left w:val="nil"/>
              <w:bottom w:val="nil"/>
              <w:right w:val="nil"/>
            </w:tcBorders>
            <w:shd w:val="clear" w:color="auto" w:fill="auto"/>
            <w:noWrap/>
            <w:vAlign w:val="center"/>
            <w:hideMark/>
          </w:tcPr>
          <w:p w14:paraId="0D74EAD7" w14:textId="77777777" w:rsidR="009A4127" w:rsidRPr="00170240" w:rsidRDefault="009A4127" w:rsidP="009A4127">
            <w:pPr>
              <w:spacing w:after="0" w:line="240" w:lineRule="auto"/>
              <w:jc w:val="right"/>
              <w:rPr>
                <w:rFonts w:cs="Arial"/>
                <w:sz w:val="16"/>
                <w:szCs w:val="16"/>
              </w:rPr>
            </w:pPr>
            <w:r w:rsidRPr="00170240">
              <w:rPr>
                <w:rFonts w:cs="Arial"/>
                <w:sz w:val="16"/>
                <w:szCs w:val="16"/>
              </w:rPr>
              <w:t>45,08</w:t>
            </w:r>
          </w:p>
        </w:tc>
        <w:tc>
          <w:tcPr>
            <w:tcW w:w="630" w:type="dxa"/>
            <w:tcBorders>
              <w:top w:val="nil"/>
              <w:left w:val="nil"/>
              <w:bottom w:val="nil"/>
              <w:right w:val="nil"/>
            </w:tcBorders>
            <w:shd w:val="clear" w:color="auto" w:fill="auto"/>
            <w:noWrap/>
            <w:vAlign w:val="center"/>
            <w:hideMark/>
          </w:tcPr>
          <w:p w14:paraId="5961E424" w14:textId="77777777" w:rsidR="009A4127" w:rsidRPr="00170240" w:rsidRDefault="009A4127" w:rsidP="009A4127">
            <w:pPr>
              <w:spacing w:after="0" w:line="240" w:lineRule="auto"/>
              <w:jc w:val="right"/>
              <w:rPr>
                <w:rFonts w:cs="Arial"/>
                <w:sz w:val="16"/>
                <w:szCs w:val="16"/>
              </w:rPr>
            </w:pPr>
            <w:r w:rsidRPr="00170240">
              <w:rPr>
                <w:rFonts w:cs="Arial"/>
                <w:sz w:val="16"/>
                <w:szCs w:val="16"/>
              </w:rPr>
              <w:t>41,41</w:t>
            </w:r>
          </w:p>
        </w:tc>
        <w:tc>
          <w:tcPr>
            <w:tcW w:w="662" w:type="dxa"/>
            <w:tcBorders>
              <w:top w:val="nil"/>
              <w:left w:val="nil"/>
              <w:bottom w:val="nil"/>
              <w:right w:val="nil"/>
            </w:tcBorders>
            <w:shd w:val="clear" w:color="auto" w:fill="auto"/>
            <w:noWrap/>
            <w:vAlign w:val="center"/>
            <w:hideMark/>
          </w:tcPr>
          <w:p w14:paraId="1B7A0F19" w14:textId="77777777" w:rsidR="009A4127" w:rsidRPr="00170240" w:rsidRDefault="009A4127" w:rsidP="009A4127">
            <w:pPr>
              <w:spacing w:after="0" w:line="240" w:lineRule="auto"/>
              <w:jc w:val="right"/>
              <w:rPr>
                <w:rFonts w:cs="Arial"/>
                <w:sz w:val="16"/>
                <w:szCs w:val="16"/>
              </w:rPr>
            </w:pPr>
            <w:r w:rsidRPr="00170240">
              <w:rPr>
                <w:rFonts w:cs="Arial"/>
                <w:sz w:val="16"/>
                <w:szCs w:val="16"/>
              </w:rPr>
              <w:t>44,27</w:t>
            </w:r>
          </w:p>
        </w:tc>
        <w:tc>
          <w:tcPr>
            <w:tcW w:w="630" w:type="dxa"/>
            <w:tcBorders>
              <w:top w:val="nil"/>
              <w:left w:val="nil"/>
              <w:bottom w:val="nil"/>
              <w:right w:val="nil"/>
            </w:tcBorders>
            <w:shd w:val="clear" w:color="auto" w:fill="auto"/>
            <w:noWrap/>
            <w:vAlign w:val="center"/>
            <w:hideMark/>
          </w:tcPr>
          <w:p w14:paraId="34A1F9A4" w14:textId="196E40EA" w:rsidR="009A4127" w:rsidRPr="00170240" w:rsidRDefault="009A4127" w:rsidP="009A4127">
            <w:pPr>
              <w:spacing w:after="0" w:line="240" w:lineRule="auto"/>
              <w:jc w:val="right"/>
              <w:rPr>
                <w:rFonts w:cs="Arial"/>
                <w:sz w:val="16"/>
                <w:szCs w:val="16"/>
              </w:rPr>
            </w:pPr>
            <w:r>
              <w:rPr>
                <w:rFonts w:cs="Arial"/>
                <w:sz w:val="16"/>
                <w:szCs w:val="16"/>
              </w:rPr>
              <w:t>38,79</w:t>
            </w:r>
          </w:p>
        </w:tc>
        <w:tc>
          <w:tcPr>
            <w:tcW w:w="662" w:type="dxa"/>
            <w:tcBorders>
              <w:top w:val="nil"/>
              <w:left w:val="nil"/>
              <w:bottom w:val="nil"/>
              <w:right w:val="nil"/>
            </w:tcBorders>
            <w:shd w:val="clear" w:color="auto" w:fill="auto"/>
            <w:noWrap/>
            <w:vAlign w:val="center"/>
            <w:hideMark/>
          </w:tcPr>
          <w:p w14:paraId="44F2CDF6"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40,79</w:t>
            </w:r>
          </w:p>
        </w:tc>
        <w:tc>
          <w:tcPr>
            <w:tcW w:w="630" w:type="dxa"/>
            <w:tcBorders>
              <w:top w:val="nil"/>
              <w:left w:val="nil"/>
              <w:bottom w:val="nil"/>
              <w:right w:val="nil"/>
            </w:tcBorders>
            <w:shd w:val="clear" w:color="auto" w:fill="auto"/>
            <w:noWrap/>
            <w:vAlign w:val="center"/>
            <w:hideMark/>
          </w:tcPr>
          <w:p w14:paraId="31D437DA"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40,04</w:t>
            </w:r>
          </w:p>
        </w:tc>
        <w:tc>
          <w:tcPr>
            <w:tcW w:w="630" w:type="dxa"/>
            <w:tcBorders>
              <w:top w:val="nil"/>
              <w:left w:val="nil"/>
              <w:bottom w:val="nil"/>
              <w:right w:val="nil"/>
            </w:tcBorders>
            <w:shd w:val="clear" w:color="000000" w:fill="FFFFFF"/>
            <w:noWrap/>
            <w:vAlign w:val="center"/>
            <w:hideMark/>
          </w:tcPr>
          <w:p w14:paraId="356F65BC"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38,25</w:t>
            </w:r>
          </w:p>
        </w:tc>
        <w:tc>
          <w:tcPr>
            <w:tcW w:w="634" w:type="dxa"/>
            <w:tcBorders>
              <w:top w:val="nil"/>
              <w:left w:val="nil"/>
              <w:bottom w:val="nil"/>
              <w:right w:val="nil"/>
            </w:tcBorders>
            <w:shd w:val="clear" w:color="auto" w:fill="auto"/>
            <w:noWrap/>
            <w:vAlign w:val="center"/>
            <w:hideMark/>
          </w:tcPr>
          <w:p w14:paraId="0D9EB857"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41,99</w:t>
            </w:r>
          </w:p>
        </w:tc>
      </w:tr>
      <w:tr w:rsidR="009A4127" w:rsidRPr="00170240" w14:paraId="32BCC91E" w14:textId="77777777" w:rsidTr="00B3736B">
        <w:trPr>
          <w:trHeight w:val="460"/>
        </w:trPr>
        <w:tc>
          <w:tcPr>
            <w:tcW w:w="3237" w:type="dxa"/>
            <w:tcBorders>
              <w:top w:val="nil"/>
              <w:left w:val="nil"/>
              <w:bottom w:val="nil"/>
              <w:right w:val="nil"/>
            </w:tcBorders>
            <w:shd w:val="clear" w:color="auto" w:fill="auto"/>
            <w:vAlign w:val="center"/>
            <w:hideMark/>
          </w:tcPr>
          <w:p w14:paraId="2FFD3BEC"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D – Výroba a rozvod elektřiny, plynu,</w:t>
            </w:r>
          </w:p>
          <w:p w14:paraId="6B2ACC9A" w14:textId="715F46A4"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 xml:space="preserve"> </w:t>
            </w:r>
            <w:r>
              <w:rPr>
                <w:rFonts w:ascii="Arial CE" w:hAnsi="Arial CE" w:cs="Arial CE"/>
                <w:sz w:val="16"/>
                <w:szCs w:val="16"/>
              </w:rPr>
              <w:t xml:space="preserve"> </w:t>
            </w:r>
            <w:r w:rsidRPr="00170240">
              <w:rPr>
                <w:rFonts w:ascii="Arial CE" w:hAnsi="Arial CE" w:cs="Arial CE"/>
                <w:sz w:val="16"/>
                <w:szCs w:val="16"/>
              </w:rPr>
              <w:t>tepla a klimatizovaného vzduchu</w:t>
            </w:r>
          </w:p>
        </w:tc>
        <w:tc>
          <w:tcPr>
            <w:tcW w:w="630" w:type="dxa"/>
            <w:tcBorders>
              <w:top w:val="nil"/>
              <w:left w:val="nil"/>
              <w:bottom w:val="nil"/>
              <w:right w:val="nil"/>
            </w:tcBorders>
            <w:shd w:val="clear" w:color="auto" w:fill="auto"/>
            <w:noWrap/>
            <w:vAlign w:val="center"/>
            <w:hideMark/>
          </w:tcPr>
          <w:p w14:paraId="63F82A87" w14:textId="77777777" w:rsidR="009A4127" w:rsidRPr="00170240" w:rsidRDefault="009A4127" w:rsidP="009A4127">
            <w:pPr>
              <w:spacing w:after="0" w:line="240" w:lineRule="auto"/>
              <w:jc w:val="right"/>
              <w:rPr>
                <w:rFonts w:cs="Arial"/>
                <w:sz w:val="16"/>
                <w:szCs w:val="16"/>
              </w:rPr>
            </w:pPr>
            <w:r w:rsidRPr="00170240">
              <w:rPr>
                <w:rFonts w:cs="Arial"/>
                <w:sz w:val="16"/>
                <w:szCs w:val="16"/>
              </w:rPr>
              <w:t>39,05</w:t>
            </w:r>
          </w:p>
        </w:tc>
        <w:tc>
          <w:tcPr>
            <w:tcW w:w="630" w:type="dxa"/>
            <w:tcBorders>
              <w:top w:val="nil"/>
              <w:left w:val="nil"/>
              <w:bottom w:val="nil"/>
              <w:right w:val="nil"/>
            </w:tcBorders>
            <w:shd w:val="clear" w:color="auto" w:fill="auto"/>
            <w:noWrap/>
            <w:vAlign w:val="center"/>
            <w:hideMark/>
          </w:tcPr>
          <w:p w14:paraId="42845D2D" w14:textId="77777777" w:rsidR="009A4127" w:rsidRPr="00170240" w:rsidRDefault="009A4127" w:rsidP="009A4127">
            <w:pPr>
              <w:spacing w:after="0" w:line="240" w:lineRule="auto"/>
              <w:jc w:val="right"/>
              <w:rPr>
                <w:rFonts w:cs="Arial"/>
                <w:sz w:val="16"/>
                <w:szCs w:val="16"/>
              </w:rPr>
            </w:pPr>
            <w:r w:rsidRPr="00170240">
              <w:rPr>
                <w:rFonts w:cs="Arial"/>
                <w:sz w:val="16"/>
                <w:szCs w:val="16"/>
              </w:rPr>
              <w:t>35,84</w:t>
            </w:r>
          </w:p>
        </w:tc>
        <w:tc>
          <w:tcPr>
            <w:tcW w:w="630" w:type="dxa"/>
            <w:tcBorders>
              <w:top w:val="nil"/>
              <w:left w:val="nil"/>
              <w:bottom w:val="nil"/>
              <w:right w:val="nil"/>
            </w:tcBorders>
            <w:shd w:val="clear" w:color="auto" w:fill="auto"/>
            <w:noWrap/>
            <w:vAlign w:val="center"/>
            <w:hideMark/>
          </w:tcPr>
          <w:p w14:paraId="6AF762E8" w14:textId="77777777" w:rsidR="009A4127" w:rsidRPr="00170240" w:rsidRDefault="009A4127" w:rsidP="009A4127">
            <w:pPr>
              <w:spacing w:after="0" w:line="240" w:lineRule="auto"/>
              <w:jc w:val="right"/>
              <w:rPr>
                <w:rFonts w:cs="Arial"/>
                <w:sz w:val="16"/>
                <w:szCs w:val="16"/>
              </w:rPr>
            </w:pPr>
            <w:r w:rsidRPr="00170240">
              <w:rPr>
                <w:rFonts w:cs="Arial"/>
                <w:sz w:val="16"/>
                <w:szCs w:val="16"/>
              </w:rPr>
              <w:t>44,06</w:t>
            </w:r>
          </w:p>
        </w:tc>
        <w:tc>
          <w:tcPr>
            <w:tcW w:w="630" w:type="dxa"/>
            <w:tcBorders>
              <w:top w:val="nil"/>
              <w:left w:val="nil"/>
              <w:bottom w:val="nil"/>
              <w:right w:val="nil"/>
            </w:tcBorders>
            <w:shd w:val="clear" w:color="auto" w:fill="auto"/>
            <w:noWrap/>
            <w:vAlign w:val="center"/>
            <w:hideMark/>
          </w:tcPr>
          <w:p w14:paraId="2F9A5D23" w14:textId="77777777" w:rsidR="009A4127" w:rsidRPr="00170240" w:rsidRDefault="009A4127" w:rsidP="009A4127">
            <w:pPr>
              <w:spacing w:after="0" w:line="240" w:lineRule="auto"/>
              <w:jc w:val="right"/>
              <w:rPr>
                <w:rFonts w:cs="Arial"/>
                <w:sz w:val="16"/>
                <w:szCs w:val="16"/>
              </w:rPr>
            </w:pPr>
            <w:r w:rsidRPr="00170240">
              <w:rPr>
                <w:rFonts w:cs="Arial"/>
                <w:sz w:val="16"/>
                <w:szCs w:val="16"/>
              </w:rPr>
              <w:t>36,50</w:t>
            </w:r>
          </w:p>
        </w:tc>
        <w:tc>
          <w:tcPr>
            <w:tcW w:w="662" w:type="dxa"/>
            <w:tcBorders>
              <w:top w:val="nil"/>
              <w:left w:val="nil"/>
              <w:bottom w:val="nil"/>
              <w:right w:val="nil"/>
            </w:tcBorders>
            <w:shd w:val="clear" w:color="auto" w:fill="auto"/>
            <w:noWrap/>
            <w:vAlign w:val="center"/>
            <w:hideMark/>
          </w:tcPr>
          <w:p w14:paraId="4FF3CF1F" w14:textId="77777777" w:rsidR="009A4127" w:rsidRPr="00170240" w:rsidRDefault="009A4127" w:rsidP="009A4127">
            <w:pPr>
              <w:spacing w:after="0" w:line="240" w:lineRule="auto"/>
              <w:jc w:val="right"/>
              <w:rPr>
                <w:rFonts w:cs="Arial"/>
                <w:sz w:val="16"/>
                <w:szCs w:val="16"/>
              </w:rPr>
            </w:pPr>
            <w:r w:rsidRPr="00170240">
              <w:rPr>
                <w:rFonts w:cs="Arial"/>
                <w:sz w:val="16"/>
                <w:szCs w:val="16"/>
              </w:rPr>
              <w:t>40,66</w:t>
            </w:r>
          </w:p>
        </w:tc>
        <w:tc>
          <w:tcPr>
            <w:tcW w:w="630" w:type="dxa"/>
            <w:tcBorders>
              <w:top w:val="nil"/>
              <w:left w:val="nil"/>
              <w:bottom w:val="nil"/>
              <w:right w:val="nil"/>
            </w:tcBorders>
            <w:shd w:val="clear" w:color="auto" w:fill="auto"/>
            <w:noWrap/>
            <w:vAlign w:val="center"/>
            <w:hideMark/>
          </w:tcPr>
          <w:p w14:paraId="575DB612" w14:textId="3327AF44" w:rsidR="009A4127" w:rsidRPr="00170240" w:rsidRDefault="009A4127" w:rsidP="009A4127">
            <w:pPr>
              <w:spacing w:after="0" w:line="240" w:lineRule="auto"/>
              <w:jc w:val="right"/>
              <w:rPr>
                <w:rFonts w:cs="Arial"/>
                <w:sz w:val="16"/>
                <w:szCs w:val="16"/>
              </w:rPr>
            </w:pPr>
            <w:r>
              <w:rPr>
                <w:rFonts w:cs="Arial"/>
                <w:sz w:val="16"/>
                <w:szCs w:val="16"/>
              </w:rPr>
              <w:t>37,49</w:t>
            </w:r>
          </w:p>
        </w:tc>
        <w:tc>
          <w:tcPr>
            <w:tcW w:w="662" w:type="dxa"/>
            <w:tcBorders>
              <w:top w:val="nil"/>
              <w:left w:val="nil"/>
              <w:bottom w:val="nil"/>
              <w:right w:val="nil"/>
            </w:tcBorders>
            <w:shd w:val="clear" w:color="auto" w:fill="auto"/>
            <w:noWrap/>
            <w:vAlign w:val="center"/>
            <w:hideMark/>
          </w:tcPr>
          <w:p w14:paraId="411EBA43"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40,80</w:t>
            </w:r>
          </w:p>
        </w:tc>
        <w:tc>
          <w:tcPr>
            <w:tcW w:w="630" w:type="dxa"/>
            <w:tcBorders>
              <w:top w:val="nil"/>
              <w:left w:val="nil"/>
              <w:bottom w:val="nil"/>
              <w:right w:val="nil"/>
            </w:tcBorders>
            <w:shd w:val="clear" w:color="auto" w:fill="auto"/>
            <w:noWrap/>
            <w:vAlign w:val="center"/>
            <w:hideMark/>
          </w:tcPr>
          <w:p w14:paraId="52DC817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39,04</w:t>
            </w:r>
          </w:p>
        </w:tc>
        <w:tc>
          <w:tcPr>
            <w:tcW w:w="630" w:type="dxa"/>
            <w:tcBorders>
              <w:top w:val="nil"/>
              <w:left w:val="nil"/>
              <w:bottom w:val="nil"/>
              <w:right w:val="nil"/>
            </w:tcBorders>
            <w:shd w:val="clear" w:color="000000" w:fill="FFFFFF"/>
            <w:noWrap/>
            <w:vAlign w:val="center"/>
            <w:hideMark/>
          </w:tcPr>
          <w:p w14:paraId="7060A0DA"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33,59</w:t>
            </w:r>
          </w:p>
        </w:tc>
        <w:tc>
          <w:tcPr>
            <w:tcW w:w="634" w:type="dxa"/>
            <w:tcBorders>
              <w:top w:val="nil"/>
              <w:left w:val="nil"/>
              <w:bottom w:val="nil"/>
              <w:right w:val="nil"/>
            </w:tcBorders>
            <w:shd w:val="clear" w:color="auto" w:fill="auto"/>
            <w:noWrap/>
            <w:vAlign w:val="center"/>
            <w:hideMark/>
          </w:tcPr>
          <w:p w14:paraId="4607C27B"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37,78</w:t>
            </w:r>
          </w:p>
        </w:tc>
      </w:tr>
      <w:tr w:rsidR="009A4127" w:rsidRPr="00170240" w14:paraId="3BB70C6B" w14:textId="77777777" w:rsidTr="00B3736B">
        <w:trPr>
          <w:trHeight w:val="690"/>
        </w:trPr>
        <w:tc>
          <w:tcPr>
            <w:tcW w:w="3237" w:type="dxa"/>
            <w:tcBorders>
              <w:top w:val="nil"/>
              <w:left w:val="nil"/>
              <w:bottom w:val="nil"/>
              <w:right w:val="nil"/>
            </w:tcBorders>
            <w:shd w:val="clear" w:color="auto" w:fill="auto"/>
            <w:vAlign w:val="center"/>
            <w:hideMark/>
          </w:tcPr>
          <w:p w14:paraId="5E56EAEB"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 xml:space="preserve">E – Zásobování vodou; činnosti </w:t>
            </w:r>
          </w:p>
          <w:p w14:paraId="13E7FE4A" w14:textId="77777777" w:rsidR="009A4127"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související s odpadními vodami,</w:t>
            </w:r>
          </w:p>
          <w:p w14:paraId="0F7C54F9" w14:textId="056A7C86"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 xml:space="preserve"> odpady a sanacemi</w:t>
            </w:r>
          </w:p>
        </w:tc>
        <w:tc>
          <w:tcPr>
            <w:tcW w:w="630" w:type="dxa"/>
            <w:tcBorders>
              <w:top w:val="nil"/>
              <w:left w:val="nil"/>
              <w:bottom w:val="nil"/>
              <w:right w:val="nil"/>
            </w:tcBorders>
            <w:shd w:val="clear" w:color="auto" w:fill="auto"/>
            <w:noWrap/>
            <w:vAlign w:val="center"/>
            <w:hideMark/>
          </w:tcPr>
          <w:p w14:paraId="2FD49C77" w14:textId="77777777" w:rsidR="009A4127" w:rsidRPr="00170240" w:rsidRDefault="009A4127" w:rsidP="009A4127">
            <w:pPr>
              <w:spacing w:after="0" w:line="240" w:lineRule="auto"/>
              <w:jc w:val="right"/>
              <w:rPr>
                <w:rFonts w:cs="Arial"/>
                <w:sz w:val="16"/>
                <w:szCs w:val="16"/>
              </w:rPr>
            </w:pPr>
            <w:r w:rsidRPr="00170240">
              <w:rPr>
                <w:rFonts w:cs="Arial"/>
                <w:sz w:val="16"/>
                <w:szCs w:val="16"/>
              </w:rPr>
              <w:t>45,16</w:t>
            </w:r>
          </w:p>
        </w:tc>
        <w:tc>
          <w:tcPr>
            <w:tcW w:w="630" w:type="dxa"/>
            <w:tcBorders>
              <w:top w:val="nil"/>
              <w:left w:val="nil"/>
              <w:bottom w:val="nil"/>
              <w:right w:val="nil"/>
            </w:tcBorders>
            <w:shd w:val="clear" w:color="auto" w:fill="auto"/>
            <w:noWrap/>
            <w:vAlign w:val="center"/>
            <w:hideMark/>
          </w:tcPr>
          <w:p w14:paraId="0A834A10" w14:textId="77777777" w:rsidR="009A4127" w:rsidRPr="00170240" w:rsidRDefault="009A4127" w:rsidP="009A4127">
            <w:pPr>
              <w:spacing w:after="0" w:line="240" w:lineRule="auto"/>
              <w:jc w:val="right"/>
              <w:rPr>
                <w:rFonts w:cs="Arial"/>
                <w:sz w:val="16"/>
                <w:szCs w:val="16"/>
              </w:rPr>
            </w:pPr>
            <w:r w:rsidRPr="00170240">
              <w:rPr>
                <w:rFonts w:cs="Arial"/>
                <w:sz w:val="16"/>
                <w:szCs w:val="16"/>
              </w:rPr>
              <w:t>43,10</w:t>
            </w:r>
          </w:p>
        </w:tc>
        <w:tc>
          <w:tcPr>
            <w:tcW w:w="630" w:type="dxa"/>
            <w:tcBorders>
              <w:top w:val="nil"/>
              <w:left w:val="nil"/>
              <w:bottom w:val="nil"/>
              <w:right w:val="nil"/>
            </w:tcBorders>
            <w:shd w:val="clear" w:color="auto" w:fill="auto"/>
            <w:noWrap/>
            <w:vAlign w:val="center"/>
            <w:hideMark/>
          </w:tcPr>
          <w:p w14:paraId="69BD1091" w14:textId="77777777" w:rsidR="009A4127" w:rsidRPr="00170240" w:rsidRDefault="009A4127" w:rsidP="009A4127">
            <w:pPr>
              <w:spacing w:after="0" w:line="240" w:lineRule="auto"/>
              <w:jc w:val="right"/>
              <w:rPr>
                <w:rFonts w:cs="Arial"/>
                <w:sz w:val="16"/>
                <w:szCs w:val="16"/>
              </w:rPr>
            </w:pPr>
            <w:r w:rsidRPr="00170240">
              <w:rPr>
                <w:rFonts w:cs="Arial"/>
                <w:sz w:val="16"/>
                <w:szCs w:val="16"/>
              </w:rPr>
              <w:t>49,06</w:t>
            </w:r>
          </w:p>
        </w:tc>
        <w:tc>
          <w:tcPr>
            <w:tcW w:w="630" w:type="dxa"/>
            <w:tcBorders>
              <w:top w:val="nil"/>
              <w:left w:val="nil"/>
              <w:bottom w:val="nil"/>
              <w:right w:val="nil"/>
            </w:tcBorders>
            <w:shd w:val="clear" w:color="auto" w:fill="auto"/>
            <w:noWrap/>
            <w:vAlign w:val="center"/>
            <w:hideMark/>
          </w:tcPr>
          <w:p w14:paraId="153172D4" w14:textId="77777777" w:rsidR="009A4127" w:rsidRPr="00170240" w:rsidRDefault="009A4127" w:rsidP="009A4127">
            <w:pPr>
              <w:spacing w:after="0" w:line="240" w:lineRule="auto"/>
              <w:jc w:val="right"/>
              <w:rPr>
                <w:rFonts w:cs="Arial"/>
                <w:sz w:val="16"/>
                <w:szCs w:val="16"/>
              </w:rPr>
            </w:pPr>
            <w:r w:rsidRPr="00170240">
              <w:rPr>
                <w:rFonts w:cs="Arial"/>
                <w:sz w:val="16"/>
                <w:szCs w:val="16"/>
              </w:rPr>
              <w:t>42,82</w:t>
            </w:r>
          </w:p>
        </w:tc>
        <w:tc>
          <w:tcPr>
            <w:tcW w:w="662" w:type="dxa"/>
            <w:tcBorders>
              <w:top w:val="nil"/>
              <w:left w:val="nil"/>
              <w:bottom w:val="nil"/>
              <w:right w:val="nil"/>
            </w:tcBorders>
            <w:shd w:val="clear" w:color="auto" w:fill="auto"/>
            <w:noWrap/>
            <w:vAlign w:val="center"/>
            <w:hideMark/>
          </w:tcPr>
          <w:p w14:paraId="250EF4ED" w14:textId="77777777" w:rsidR="009A4127" w:rsidRPr="00170240" w:rsidRDefault="009A4127" w:rsidP="009A4127">
            <w:pPr>
              <w:spacing w:after="0" w:line="240" w:lineRule="auto"/>
              <w:jc w:val="right"/>
              <w:rPr>
                <w:rFonts w:cs="Arial"/>
                <w:sz w:val="16"/>
                <w:szCs w:val="16"/>
              </w:rPr>
            </w:pPr>
            <w:r w:rsidRPr="00170240">
              <w:rPr>
                <w:rFonts w:cs="Arial"/>
                <w:sz w:val="16"/>
                <w:szCs w:val="16"/>
              </w:rPr>
              <w:t>48,69</w:t>
            </w:r>
          </w:p>
        </w:tc>
        <w:tc>
          <w:tcPr>
            <w:tcW w:w="630" w:type="dxa"/>
            <w:tcBorders>
              <w:top w:val="nil"/>
              <w:left w:val="nil"/>
              <w:bottom w:val="nil"/>
              <w:right w:val="nil"/>
            </w:tcBorders>
            <w:shd w:val="clear" w:color="auto" w:fill="auto"/>
            <w:noWrap/>
            <w:vAlign w:val="center"/>
            <w:hideMark/>
          </w:tcPr>
          <w:p w14:paraId="49D6EDA1" w14:textId="64BC7626" w:rsidR="009A4127" w:rsidRPr="00170240" w:rsidRDefault="009A4127" w:rsidP="009A4127">
            <w:pPr>
              <w:spacing w:after="0" w:line="240" w:lineRule="auto"/>
              <w:jc w:val="right"/>
              <w:rPr>
                <w:rFonts w:cs="Arial"/>
                <w:sz w:val="16"/>
                <w:szCs w:val="16"/>
              </w:rPr>
            </w:pPr>
            <w:r>
              <w:rPr>
                <w:rFonts w:cs="Arial"/>
                <w:sz w:val="16"/>
                <w:szCs w:val="16"/>
              </w:rPr>
              <w:t>42,98</w:t>
            </w:r>
          </w:p>
        </w:tc>
        <w:tc>
          <w:tcPr>
            <w:tcW w:w="662" w:type="dxa"/>
            <w:tcBorders>
              <w:top w:val="nil"/>
              <w:left w:val="nil"/>
              <w:bottom w:val="nil"/>
              <w:right w:val="nil"/>
            </w:tcBorders>
            <w:shd w:val="clear" w:color="auto" w:fill="auto"/>
            <w:noWrap/>
            <w:vAlign w:val="center"/>
            <w:hideMark/>
          </w:tcPr>
          <w:p w14:paraId="556728E8"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44,10</w:t>
            </w:r>
          </w:p>
        </w:tc>
        <w:tc>
          <w:tcPr>
            <w:tcW w:w="630" w:type="dxa"/>
            <w:tcBorders>
              <w:top w:val="nil"/>
              <w:left w:val="nil"/>
              <w:bottom w:val="nil"/>
              <w:right w:val="nil"/>
            </w:tcBorders>
            <w:shd w:val="clear" w:color="auto" w:fill="auto"/>
            <w:noWrap/>
            <w:vAlign w:val="center"/>
            <w:hideMark/>
          </w:tcPr>
          <w:p w14:paraId="719929F0"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43,38</w:t>
            </w:r>
          </w:p>
        </w:tc>
        <w:tc>
          <w:tcPr>
            <w:tcW w:w="630" w:type="dxa"/>
            <w:tcBorders>
              <w:top w:val="nil"/>
              <w:left w:val="nil"/>
              <w:bottom w:val="nil"/>
              <w:right w:val="nil"/>
            </w:tcBorders>
            <w:shd w:val="clear" w:color="000000" w:fill="FFFFFF"/>
            <w:noWrap/>
            <w:vAlign w:val="center"/>
            <w:hideMark/>
          </w:tcPr>
          <w:p w14:paraId="1BEADE57"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41,37</w:t>
            </w:r>
          </w:p>
        </w:tc>
        <w:tc>
          <w:tcPr>
            <w:tcW w:w="634" w:type="dxa"/>
            <w:tcBorders>
              <w:top w:val="nil"/>
              <w:left w:val="nil"/>
              <w:bottom w:val="nil"/>
              <w:right w:val="nil"/>
            </w:tcBorders>
            <w:shd w:val="clear" w:color="auto" w:fill="auto"/>
            <w:noWrap/>
            <w:vAlign w:val="center"/>
            <w:hideMark/>
          </w:tcPr>
          <w:p w14:paraId="1C6076B7"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46,03</w:t>
            </w:r>
          </w:p>
        </w:tc>
      </w:tr>
      <w:tr w:rsidR="009A4127" w:rsidRPr="00170240" w14:paraId="73BA3539" w14:textId="77777777" w:rsidTr="00B3736B">
        <w:trPr>
          <w:trHeight w:val="291"/>
        </w:trPr>
        <w:tc>
          <w:tcPr>
            <w:tcW w:w="3237" w:type="dxa"/>
            <w:tcBorders>
              <w:top w:val="nil"/>
              <w:left w:val="nil"/>
              <w:bottom w:val="nil"/>
              <w:right w:val="nil"/>
            </w:tcBorders>
            <w:shd w:val="clear" w:color="auto" w:fill="auto"/>
            <w:vAlign w:val="center"/>
            <w:hideMark/>
          </w:tcPr>
          <w:p w14:paraId="786438B6"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F – Stavebnictví</w:t>
            </w:r>
          </w:p>
        </w:tc>
        <w:tc>
          <w:tcPr>
            <w:tcW w:w="630" w:type="dxa"/>
            <w:tcBorders>
              <w:top w:val="nil"/>
              <w:left w:val="nil"/>
              <w:bottom w:val="nil"/>
              <w:right w:val="nil"/>
            </w:tcBorders>
            <w:shd w:val="clear" w:color="auto" w:fill="auto"/>
            <w:noWrap/>
            <w:vAlign w:val="center"/>
            <w:hideMark/>
          </w:tcPr>
          <w:p w14:paraId="37E0A823" w14:textId="77777777" w:rsidR="009A4127" w:rsidRPr="00170240" w:rsidRDefault="009A4127" w:rsidP="009A4127">
            <w:pPr>
              <w:spacing w:after="0" w:line="240" w:lineRule="auto"/>
              <w:jc w:val="right"/>
              <w:rPr>
                <w:rFonts w:cs="Arial"/>
                <w:sz w:val="16"/>
                <w:szCs w:val="16"/>
              </w:rPr>
            </w:pPr>
            <w:r w:rsidRPr="00170240">
              <w:rPr>
                <w:rFonts w:cs="Arial"/>
                <w:sz w:val="16"/>
                <w:szCs w:val="16"/>
              </w:rPr>
              <w:t>57,75</w:t>
            </w:r>
          </w:p>
        </w:tc>
        <w:tc>
          <w:tcPr>
            <w:tcW w:w="630" w:type="dxa"/>
            <w:tcBorders>
              <w:top w:val="nil"/>
              <w:left w:val="nil"/>
              <w:bottom w:val="nil"/>
              <w:right w:val="nil"/>
            </w:tcBorders>
            <w:shd w:val="clear" w:color="auto" w:fill="auto"/>
            <w:noWrap/>
            <w:vAlign w:val="center"/>
            <w:hideMark/>
          </w:tcPr>
          <w:p w14:paraId="409F10AB" w14:textId="77777777" w:rsidR="009A4127" w:rsidRPr="00170240" w:rsidRDefault="009A4127" w:rsidP="009A4127">
            <w:pPr>
              <w:spacing w:after="0" w:line="240" w:lineRule="auto"/>
              <w:jc w:val="right"/>
              <w:rPr>
                <w:rFonts w:cs="Arial"/>
                <w:sz w:val="16"/>
                <w:szCs w:val="16"/>
              </w:rPr>
            </w:pPr>
            <w:r w:rsidRPr="00170240">
              <w:rPr>
                <w:rFonts w:cs="Arial"/>
                <w:sz w:val="16"/>
                <w:szCs w:val="16"/>
              </w:rPr>
              <w:t>64,79</w:t>
            </w:r>
          </w:p>
        </w:tc>
        <w:tc>
          <w:tcPr>
            <w:tcW w:w="630" w:type="dxa"/>
            <w:tcBorders>
              <w:top w:val="nil"/>
              <w:left w:val="nil"/>
              <w:bottom w:val="nil"/>
              <w:right w:val="nil"/>
            </w:tcBorders>
            <w:shd w:val="clear" w:color="auto" w:fill="auto"/>
            <w:noWrap/>
            <w:vAlign w:val="center"/>
            <w:hideMark/>
          </w:tcPr>
          <w:p w14:paraId="314F54AD" w14:textId="77777777" w:rsidR="009A4127" w:rsidRPr="00170240" w:rsidRDefault="009A4127" w:rsidP="009A4127">
            <w:pPr>
              <w:spacing w:after="0" w:line="240" w:lineRule="auto"/>
              <w:jc w:val="right"/>
              <w:rPr>
                <w:rFonts w:cs="Arial"/>
                <w:sz w:val="16"/>
                <w:szCs w:val="16"/>
              </w:rPr>
            </w:pPr>
            <w:r w:rsidRPr="00170240">
              <w:rPr>
                <w:rFonts w:cs="Arial"/>
                <w:sz w:val="16"/>
                <w:szCs w:val="16"/>
              </w:rPr>
              <w:t>63,57</w:t>
            </w:r>
          </w:p>
        </w:tc>
        <w:tc>
          <w:tcPr>
            <w:tcW w:w="630" w:type="dxa"/>
            <w:tcBorders>
              <w:top w:val="nil"/>
              <w:left w:val="nil"/>
              <w:bottom w:val="nil"/>
              <w:right w:val="nil"/>
            </w:tcBorders>
            <w:shd w:val="clear" w:color="auto" w:fill="auto"/>
            <w:noWrap/>
            <w:vAlign w:val="center"/>
            <w:hideMark/>
          </w:tcPr>
          <w:p w14:paraId="4B70418C" w14:textId="77777777" w:rsidR="009A4127" w:rsidRPr="00170240" w:rsidRDefault="009A4127" w:rsidP="009A4127">
            <w:pPr>
              <w:spacing w:after="0" w:line="240" w:lineRule="auto"/>
              <w:jc w:val="right"/>
              <w:rPr>
                <w:rFonts w:cs="Arial"/>
                <w:sz w:val="16"/>
                <w:szCs w:val="16"/>
              </w:rPr>
            </w:pPr>
            <w:r w:rsidRPr="00170240">
              <w:rPr>
                <w:rFonts w:cs="Arial"/>
                <w:sz w:val="16"/>
                <w:szCs w:val="16"/>
              </w:rPr>
              <w:t>59,65</w:t>
            </w:r>
          </w:p>
        </w:tc>
        <w:tc>
          <w:tcPr>
            <w:tcW w:w="662" w:type="dxa"/>
            <w:tcBorders>
              <w:top w:val="nil"/>
              <w:left w:val="nil"/>
              <w:bottom w:val="nil"/>
              <w:right w:val="nil"/>
            </w:tcBorders>
            <w:shd w:val="clear" w:color="auto" w:fill="auto"/>
            <w:noWrap/>
            <w:vAlign w:val="center"/>
            <w:hideMark/>
          </w:tcPr>
          <w:p w14:paraId="2C8F6363" w14:textId="77777777" w:rsidR="009A4127" w:rsidRPr="00170240" w:rsidRDefault="009A4127" w:rsidP="009A4127">
            <w:pPr>
              <w:spacing w:after="0" w:line="240" w:lineRule="auto"/>
              <w:jc w:val="right"/>
              <w:rPr>
                <w:rFonts w:cs="Arial"/>
                <w:sz w:val="16"/>
                <w:szCs w:val="16"/>
              </w:rPr>
            </w:pPr>
            <w:r w:rsidRPr="00170240">
              <w:rPr>
                <w:rFonts w:cs="Arial"/>
                <w:sz w:val="16"/>
                <w:szCs w:val="16"/>
              </w:rPr>
              <w:t>64,55</w:t>
            </w:r>
          </w:p>
        </w:tc>
        <w:tc>
          <w:tcPr>
            <w:tcW w:w="630" w:type="dxa"/>
            <w:tcBorders>
              <w:top w:val="nil"/>
              <w:left w:val="nil"/>
              <w:bottom w:val="nil"/>
              <w:right w:val="nil"/>
            </w:tcBorders>
            <w:shd w:val="clear" w:color="auto" w:fill="auto"/>
            <w:noWrap/>
            <w:vAlign w:val="center"/>
            <w:hideMark/>
          </w:tcPr>
          <w:p w14:paraId="13E4AA67" w14:textId="7B23FC5D" w:rsidR="009A4127" w:rsidRPr="00170240" w:rsidRDefault="009A4127" w:rsidP="009A4127">
            <w:pPr>
              <w:spacing w:after="0" w:line="240" w:lineRule="auto"/>
              <w:jc w:val="right"/>
              <w:rPr>
                <w:rFonts w:cs="Arial"/>
                <w:sz w:val="16"/>
                <w:szCs w:val="16"/>
              </w:rPr>
            </w:pPr>
            <w:r>
              <w:rPr>
                <w:rFonts w:cs="Arial"/>
                <w:sz w:val="16"/>
                <w:szCs w:val="16"/>
              </w:rPr>
              <w:t>53,87</w:t>
            </w:r>
          </w:p>
        </w:tc>
        <w:tc>
          <w:tcPr>
            <w:tcW w:w="662" w:type="dxa"/>
            <w:tcBorders>
              <w:top w:val="nil"/>
              <w:left w:val="nil"/>
              <w:bottom w:val="nil"/>
              <w:right w:val="nil"/>
            </w:tcBorders>
            <w:shd w:val="clear" w:color="auto" w:fill="auto"/>
            <w:noWrap/>
            <w:vAlign w:val="center"/>
            <w:hideMark/>
          </w:tcPr>
          <w:p w14:paraId="4669F84D"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56,59</w:t>
            </w:r>
          </w:p>
        </w:tc>
        <w:tc>
          <w:tcPr>
            <w:tcW w:w="630" w:type="dxa"/>
            <w:tcBorders>
              <w:top w:val="nil"/>
              <w:left w:val="nil"/>
              <w:bottom w:val="nil"/>
              <w:right w:val="nil"/>
            </w:tcBorders>
            <w:shd w:val="clear" w:color="auto" w:fill="auto"/>
            <w:noWrap/>
            <w:vAlign w:val="center"/>
            <w:hideMark/>
          </w:tcPr>
          <w:p w14:paraId="6A67755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55,07</w:t>
            </w:r>
          </w:p>
        </w:tc>
        <w:tc>
          <w:tcPr>
            <w:tcW w:w="630" w:type="dxa"/>
            <w:tcBorders>
              <w:top w:val="nil"/>
              <w:left w:val="nil"/>
              <w:bottom w:val="nil"/>
              <w:right w:val="nil"/>
            </w:tcBorders>
            <w:shd w:val="clear" w:color="000000" w:fill="FFFFFF"/>
            <w:noWrap/>
            <w:vAlign w:val="center"/>
            <w:hideMark/>
          </w:tcPr>
          <w:p w14:paraId="1E0E775C"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51,78</w:t>
            </w:r>
          </w:p>
        </w:tc>
        <w:tc>
          <w:tcPr>
            <w:tcW w:w="634" w:type="dxa"/>
            <w:tcBorders>
              <w:top w:val="nil"/>
              <w:left w:val="nil"/>
              <w:bottom w:val="nil"/>
              <w:right w:val="nil"/>
            </w:tcBorders>
            <w:shd w:val="clear" w:color="auto" w:fill="auto"/>
            <w:noWrap/>
            <w:vAlign w:val="center"/>
            <w:hideMark/>
          </w:tcPr>
          <w:p w14:paraId="2C05C097"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54,98</w:t>
            </w:r>
          </w:p>
        </w:tc>
      </w:tr>
      <w:tr w:rsidR="009A4127" w:rsidRPr="00170240" w14:paraId="679A00BF" w14:textId="77777777" w:rsidTr="00B3736B">
        <w:trPr>
          <w:trHeight w:val="460"/>
        </w:trPr>
        <w:tc>
          <w:tcPr>
            <w:tcW w:w="3237" w:type="dxa"/>
            <w:tcBorders>
              <w:top w:val="nil"/>
              <w:left w:val="nil"/>
              <w:bottom w:val="nil"/>
              <w:right w:val="nil"/>
            </w:tcBorders>
            <w:shd w:val="clear" w:color="auto" w:fill="auto"/>
            <w:vAlign w:val="center"/>
            <w:hideMark/>
          </w:tcPr>
          <w:p w14:paraId="0FBF904B"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 xml:space="preserve">G – Velkoobchod a maloobchod; </w:t>
            </w:r>
          </w:p>
          <w:p w14:paraId="2CDABA8A" w14:textId="7CF5BCAE" w:rsidR="009A4127"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opravy a údržba</w:t>
            </w:r>
            <w:r w:rsidRPr="00170240">
              <w:rPr>
                <w:rFonts w:ascii="Arial CE" w:hAnsi="Arial CE" w:cs="Arial CE"/>
                <w:sz w:val="16"/>
                <w:szCs w:val="16"/>
              </w:rPr>
              <w:t xml:space="preserve"> motorových </w:t>
            </w:r>
          </w:p>
          <w:p w14:paraId="4998B9C7" w14:textId="01F79B86"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vozidel</w:t>
            </w:r>
          </w:p>
        </w:tc>
        <w:tc>
          <w:tcPr>
            <w:tcW w:w="630" w:type="dxa"/>
            <w:tcBorders>
              <w:top w:val="nil"/>
              <w:left w:val="nil"/>
              <w:bottom w:val="nil"/>
              <w:right w:val="nil"/>
            </w:tcBorders>
            <w:shd w:val="clear" w:color="auto" w:fill="auto"/>
            <w:noWrap/>
            <w:vAlign w:val="center"/>
            <w:hideMark/>
          </w:tcPr>
          <w:p w14:paraId="031BDAB1" w14:textId="77777777" w:rsidR="009A4127" w:rsidRPr="00170240" w:rsidRDefault="009A4127" w:rsidP="009A4127">
            <w:pPr>
              <w:spacing w:after="0" w:line="240" w:lineRule="auto"/>
              <w:jc w:val="right"/>
              <w:rPr>
                <w:rFonts w:cs="Arial"/>
                <w:sz w:val="16"/>
                <w:szCs w:val="16"/>
              </w:rPr>
            </w:pPr>
            <w:r w:rsidRPr="00170240">
              <w:rPr>
                <w:rFonts w:cs="Arial"/>
                <w:sz w:val="16"/>
                <w:szCs w:val="16"/>
              </w:rPr>
              <w:t>48,06</w:t>
            </w:r>
          </w:p>
        </w:tc>
        <w:tc>
          <w:tcPr>
            <w:tcW w:w="630" w:type="dxa"/>
            <w:tcBorders>
              <w:top w:val="nil"/>
              <w:left w:val="nil"/>
              <w:bottom w:val="nil"/>
              <w:right w:val="nil"/>
            </w:tcBorders>
            <w:shd w:val="clear" w:color="auto" w:fill="auto"/>
            <w:noWrap/>
            <w:vAlign w:val="center"/>
            <w:hideMark/>
          </w:tcPr>
          <w:p w14:paraId="5EA17225" w14:textId="77777777" w:rsidR="009A4127" w:rsidRPr="00170240" w:rsidRDefault="009A4127" w:rsidP="009A4127">
            <w:pPr>
              <w:spacing w:after="0" w:line="240" w:lineRule="auto"/>
              <w:jc w:val="right"/>
              <w:rPr>
                <w:rFonts w:cs="Arial"/>
                <w:sz w:val="16"/>
                <w:szCs w:val="16"/>
              </w:rPr>
            </w:pPr>
            <w:r w:rsidRPr="00170240">
              <w:rPr>
                <w:rFonts w:cs="Arial"/>
                <w:sz w:val="16"/>
                <w:szCs w:val="16"/>
              </w:rPr>
              <w:t>46,96</w:t>
            </w:r>
          </w:p>
        </w:tc>
        <w:tc>
          <w:tcPr>
            <w:tcW w:w="630" w:type="dxa"/>
            <w:tcBorders>
              <w:top w:val="nil"/>
              <w:left w:val="nil"/>
              <w:bottom w:val="nil"/>
              <w:right w:val="nil"/>
            </w:tcBorders>
            <w:shd w:val="clear" w:color="auto" w:fill="auto"/>
            <w:noWrap/>
            <w:vAlign w:val="center"/>
            <w:hideMark/>
          </w:tcPr>
          <w:p w14:paraId="72A4D7F9" w14:textId="77777777" w:rsidR="009A4127" w:rsidRPr="00170240" w:rsidRDefault="009A4127" w:rsidP="009A4127">
            <w:pPr>
              <w:spacing w:after="0" w:line="240" w:lineRule="auto"/>
              <w:jc w:val="right"/>
              <w:rPr>
                <w:rFonts w:cs="Arial"/>
                <w:sz w:val="16"/>
                <w:szCs w:val="16"/>
              </w:rPr>
            </w:pPr>
            <w:r w:rsidRPr="00170240">
              <w:rPr>
                <w:rFonts w:cs="Arial"/>
                <w:sz w:val="16"/>
                <w:szCs w:val="16"/>
              </w:rPr>
              <w:t>51,93</w:t>
            </w:r>
          </w:p>
        </w:tc>
        <w:tc>
          <w:tcPr>
            <w:tcW w:w="630" w:type="dxa"/>
            <w:tcBorders>
              <w:top w:val="nil"/>
              <w:left w:val="nil"/>
              <w:bottom w:val="nil"/>
              <w:right w:val="nil"/>
            </w:tcBorders>
            <w:shd w:val="clear" w:color="auto" w:fill="auto"/>
            <w:noWrap/>
            <w:vAlign w:val="center"/>
            <w:hideMark/>
          </w:tcPr>
          <w:p w14:paraId="38FE56D4" w14:textId="77777777" w:rsidR="009A4127" w:rsidRPr="00170240" w:rsidRDefault="009A4127" w:rsidP="009A4127">
            <w:pPr>
              <w:spacing w:after="0" w:line="240" w:lineRule="auto"/>
              <w:jc w:val="right"/>
              <w:rPr>
                <w:rFonts w:cs="Arial"/>
                <w:sz w:val="16"/>
                <w:szCs w:val="16"/>
              </w:rPr>
            </w:pPr>
            <w:r w:rsidRPr="00170240">
              <w:rPr>
                <w:rFonts w:cs="Arial"/>
                <w:sz w:val="16"/>
                <w:szCs w:val="16"/>
              </w:rPr>
              <w:t>46,56</w:t>
            </w:r>
          </w:p>
        </w:tc>
        <w:tc>
          <w:tcPr>
            <w:tcW w:w="662" w:type="dxa"/>
            <w:tcBorders>
              <w:top w:val="nil"/>
              <w:left w:val="nil"/>
              <w:bottom w:val="nil"/>
              <w:right w:val="nil"/>
            </w:tcBorders>
            <w:shd w:val="clear" w:color="auto" w:fill="auto"/>
            <w:noWrap/>
            <w:vAlign w:val="center"/>
            <w:hideMark/>
          </w:tcPr>
          <w:p w14:paraId="1055E819" w14:textId="77777777" w:rsidR="009A4127" w:rsidRPr="00170240" w:rsidRDefault="009A4127" w:rsidP="009A4127">
            <w:pPr>
              <w:spacing w:after="0" w:line="240" w:lineRule="auto"/>
              <w:jc w:val="right"/>
              <w:rPr>
                <w:rFonts w:cs="Arial"/>
                <w:sz w:val="16"/>
                <w:szCs w:val="16"/>
              </w:rPr>
            </w:pPr>
            <w:r w:rsidRPr="00170240">
              <w:rPr>
                <w:rFonts w:cs="Arial"/>
                <w:sz w:val="16"/>
                <w:szCs w:val="16"/>
              </w:rPr>
              <w:t>50,91</w:t>
            </w:r>
          </w:p>
        </w:tc>
        <w:tc>
          <w:tcPr>
            <w:tcW w:w="630" w:type="dxa"/>
            <w:tcBorders>
              <w:top w:val="nil"/>
              <w:left w:val="nil"/>
              <w:bottom w:val="nil"/>
              <w:right w:val="nil"/>
            </w:tcBorders>
            <w:shd w:val="clear" w:color="auto" w:fill="auto"/>
            <w:noWrap/>
            <w:vAlign w:val="center"/>
            <w:hideMark/>
          </w:tcPr>
          <w:p w14:paraId="4AB5BBD5" w14:textId="3566C5D1" w:rsidR="009A4127" w:rsidRPr="00170240" w:rsidRDefault="009A4127" w:rsidP="009A4127">
            <w:pPr>
              <w:spacing w:after="0" w:line="240" w:lineRule="auto"/>
              <w:jc w:val="right"/>
              <w:rPr>
                <w:rFonts w:cs="Arial"/>
                <w:sz w:val="16"/>
                <w:szCs w:val="16"/>
              </w:rPr>
            </w:pPr>
            <w:r>
              <w:rPr>
                <w:rFonts w:cs="Arial"/>
                <w:sz w:val="16"/>
                <w:szCs w:val="16"/>
              </w:rPr>
              <w:t>44,43</w:t>
            </w:r>
          </w:p>
        </w:tc>
        <w:tc>
          <w:tcPr>
            <w:tcW w:w="662" w:type="dxa"/>
            <w:tcBorders>
              <w:top w:val="nil"/>
              <w:left w:val="nil"/>
              <w:bottom w:val="nil"/>
              <w:right w:val="nil"/>
            </w:tcBorders>
            <w:shd w:val="clear" w:color="auto" w:fill="auto"/>
            <w:noWrap/>
            <w:vAlign w:val="center"/>
            <w:hideMark/>
          </w:tcPr>
          <w:p w14:paraId="38F3AF6C"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44,45</w:t>
            </w:r>
          </w:p>
        </w:tc>
        <w:tc>
          <w:tcPr>
            <w:tcW w:w="630" w:type="dxa"/>
            <w:tcBorders>
              <w:top w:val="nil"/>
              <w:left w:val="nil"/>
              <w:bottom w:val="nil"/>
              <w:right w:val="nil"/>
            </w:tcBorders>
            <w:shd w:val="clear" w:color="auto" w:fill="auto"/>
            <w:noWrap/>
            <w:vAlign w:val="center"/>
            <w:hideMark/>
          </w:tcPr>
          <w:p w14:paraId="779DA24A"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43,41</w:t>
            </w:r>
          </w:p>
        </w:tc>
        <w:tc>
          <w:tcPr>
            <w:tcW w:w="630" w:type="dxa"/>
            <w:tcBorders>
              <w:top w:val="nil"/>
              <w:left w:val="nil"/>
              <w:bottom w:val="nil"/>
              <w:right w:val="nil"/>
            </w:tcBorders>
            <w:shd w:val="clear" w:color="000000" w:fill="FFFFFF"/>
            <w:noWrap/>
            <w:vAlign w:val="center"/>
            <w:hideMark/>
          </w:tcPr>
          <w:p w14:paraId="7567EBD6"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41,92</w:t>
            </w:r>
          </w:p>
        </w:tc>
        <w:tc>
          <w:tcPr>
            <w:tcW w:w="634" w:type="dxa"/>
            <w:tcBorders>
              <w:top w:val="nil"/>
              <w:left w:val="nil"/>
              <w:bottom w:val="nil"/>
              <w:right w:val="nil"/>
            </w:tcBorders>
            <w:shd w:val="clear" w:color="auto" w:fill="auto"/>
            <w:noWrap/>
            <w:vAlign w:val="center"/>
            <w:hideMark/>
          </w:tcPr>
          <w:p w14:paraId="2ECF73CB"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44,96</w:t>
            </w:r>
          </w:p>
        </w:tc>
      </w:tr>
      <w:tr w:rsidR="009A4127" w:rsidRPr="00170240" w14:paraId="512871E1" w14:textId="77777777" w:rsidTr="00B3736B">
        <w:trPr>
          <w:trHeight w:val="291"/>
        </w:trPr>
        <w:tc>
          <w:tcPr>
            <w:tcW w:w="3237" w:type="dxa"/>
            <w:tcBorders>
              <w:top w:val="nil"/>
              <w:left w:val="nil"/>
              <w:bottom w:val="nil"/>
              <w:right w:val="nil"/>
            </w:tcBorders>
            <w:shd w:val="clear" w:color="auto" w:fill="auto"/>
            <w:vAlign w:val="center"/>
            <w:hideMark/>
          </w:tcPr>
          <w:p w14:paraId="1A1B7C9A"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H – Doprava a skladování</w:t>
            </w:r>
          </w:p>
        </w:tc>
        <w:tc>
          <w:tcPr>
            <w:tcW w:w="630" w:type="dxa"/>
            <w:tcBorders>
              <w:top w:val="nil"/>
              <w:left w:val="nil"/>
              <w:bottom w:val="nil"/>
              <w:right w:val="nil"/>
            </w:tcBorders>
            <w:shd w:val="clear" w:color="auto" w:fill="auto"/>
            <w:noWrap/>
            <w:vAlign w:val="center"/>
            <w:hideMark/>
          </w:tcPr>
          <w:p w14:paraId="2B87D1ED" w14:textId="77777777" w:rsidR="009A4127" w:rsidRPr="00170240" w:rsidRDefault="009A4127" w:rsidP="009A4127">
            <w:pPr>
              <w:spacing w:after="0" w:line="240" w:lineRule="auto"/>
              <w:jc w:val="right"/>
              <w:rPr>
                <w:rFonts w:cs="Arial"/>
                <w:sz w:val="16"/>
                <w:szCs w:val="16"/>
              </w:rPr>
            </w:pPr>
            <w:r w:rsidRPr="00170240">
              <w:rPr>
                <w:rFonts w:cs="Arial"/>
                <w:sz w:val="16"/>
                <w:szCs w:val="16"/>
              </w:rPr>
              <w:t>47,92</w:t>
            </w:r>
          </w:p>
        </w:tc>
        <w:tc>
          <w:tcPr>
            <w:tcW w:w="630" w:type="dxa"/>
            <w:tcBorders>
              <w:top w:val="nil"/>
              <w:left w:val="nil"/>
              <w:bottom w:val="nil"/>
              <w:right w:val="nil"/>
            </w:tcBorders>
            <w:shd w:val="clear" w:color="auto" w:fill="auto"/>
            <w:noWrap/>
            <w:vAlign w:val="center"/>
            <w:hideMark/>
          </w:tcPr>
          <w:p w14:paraId="148D2A7F" w14:textId="77777777" w:rsidR="009A4127" w:rsidRPr="00170240" w:rsidRDefault="009A4127" w:rsidP="009A4127">
            <w:pPr>
              <w:spacing w:after="0" w:line="240" w:lineRule="auto"/>
              <w:jc w:val="right"/>
              <w:rPr>
                <w:rFonts w:cs="Arial"/>
                <w:sz w:val="16"/>
                <w:szCs w:val="16"/>
              </w:rPr>
            </w:pPr>
            <w:r w:rsidRPr="00170240">
              <w:rPr>
                <w:rFonts w:cs="Arial"/>
                <w:sz w:val="16"/>
                <w:szCs w:val="16"/>
              </w:rPr>
              <w:t>45,61</w:t>
            </w:r>
          </w:p>
        </w:tc>
        <w:tc>
          <w:tcPr>
            <w:tcW w:w="630" w:type="dxa"/>
            <w:tcBorders>
              <w:top w:val="nil"/>
              <w:left w:val="nil"/>
              <w:bottom w:val="nil"/>
              <w:right w:val="nil"/>
            </w:tcBorders>
            <w:shd w:val="clear" w:color="auto" w:fill="auto"/>
            <w:noWrap/>
            <w:vAlign w:val="center"/>
            <w:hideMark/>
          </w:tcPr>
          <w:p w14:paraId="06A402DC" w14:textId="77777777" w:rsidR="009A4127" w:rsidRPr="00170240" w:rsidRDefault="009A4127" w:rsidP="009A4127">
            <w:pPr>
              <w:spacing w:after="0" w:line="240" w:lineRule="auto"/>
              <w:jc w:val="right"/>
              <w:rPr>
                <w:rFonts w:cs="Arial"/>
                <w:sz w:val="16"/>
                <w:szCs w:val="16"/>
              </w:rPr>
            </w:pPr>
            <w:r w:rsidRPr="00170240">
              <w:rPr>
                <w:rFonts w:cs="Arial"/>
                <w:sz w:val="16"/>
                <w:szCs w:val="16"/>
              </w:rPr>
              <w:t>52,45</w:t>
            </w:r>
          </w:p>
        </w:tc>
        <w:tc>
          <w:tcPr>
            <w:tcW w:w="630" w:type="dxa"/>
            <w:tcBorders>
              <w:top w:val="nil"/>
              <w:left w:val="nil"/>
              <w:bottom w:val="nil"/>
              <w:right w:val="nil"/>
            </w:tcBorders>
            <w:shd w:val="clear" w:color="auto" w:fill="auto"/>
            <w:noWrap/>
            <w:vAlign w:val="center"/>
            <w:hideMark/>
          </w:tcPr>
          <w:p w14:paraId="5D0E78A7" w14:textId="77777777" w:rsidR="009A4127" w:rsidRPr="00170240" w:rsidRDefault="009A4127" w:rsidP="009A4127">
            <w:pPr>
              <w:spacing w:after="0" w:line="240" w:lineRule="auto"/>
              <w:jc w:val="right"/>
              <w:rPr>
                <w:rFonts w:cs="Arial"/>
                <w:sz w:val="16"/>
                <w:szCs w:val="16"/>
              </w:rPr>
            </w:pPr>
            <w:r w:rsidRPr="00170240">
              <w:rPr>
                <w:rFonts w:cs="Arial"/>
                <w:sz w:val="16"/>
                <w:szCs w:val="16"/>
              </w:rPr>
              <w:t>48,42</w:t>
            </w:r>
          </w:p>
        </w:tc>
        <w:tc>
          <w:tcPr>
            <w:tcW w:w="662" w:type="dxa"/>
            <w:tcBorders>
              <w:top w:val="nil"/>
              <w:left w:val="nil"/>
              <w:bottom w:val="nil"/>
              <w:right w:val="nil"/>
            </w:tcBorders>
            <w:shd w:val="clear" w:color="auto" w:fill="auto"/>
            <w:noWrap/>
            <w:vAlign w:val="center"/>
            <w:hideMark/>
          </w:tcPr>
          <w:p w14:paraId="0F378A7E" w14:textId="77777777" w:rsidR="009A4127" w:rsidRPr="00170240" w:rsidRDefault="009A4127" w:rsidP="009A4127">
            <w:pPr>
              <w:spacing w:after="0" w:line="240" w:lineRule="auto"/>
              <w:jc w:val="right"/>
              <w:rPr>
                <w:rFonts w:cs="Arial"/>
                <w:sz w:val="16"/>
                <w:szCs w:val="16"/>
              </w:rPr>
            </w:pPr>
            <w:r w:rsidRPr="00170240">
              <w:rPr>
                <w:rFonts w:cs="Arial"/>
                <w:sz w:val="16"/>
                <w:szCs w:val="16"/>
              </w:rPr>
              <w:t>52,54</w:t>
            </w:r>
          </w:p>
        </w:tc>
        <w:tc>
          <w:tcPr>
            <w:tcW w:w="630" w:type="dxa"/>
            <w:tcBorders>
              <w:top w:val="nil"/>
              <w:left w:val="nil"/>
              <w:bottom w:val="nil"/>
              <w:right w:val="nil"/>
            </w:tcBorders>
            <w:shd w:val="clear" w:color="auto" w:fill="auto"/>
            <w:noWrap/>
            <w:vAlign w:val="center"/>
            <w:hideMark/>
          </w:tcPr>
          <w:p w14:paraId="60C8C5DC" w14:textId="4F29EEDA" w:rsidR="009A4127" w:rsidRPr="00170240" w:rsidRDefault="009A4127" w:rsidP="009A4127">
            <w:pPr>
              <w:spacing w:after="0" w:line="240" w:lineRule="auto"/>
              <w:jc w:val="right"/>
              <w:rPr>
                <w:rFonts w:cs="Arial"/>
                <w:sz w:val="16"/>
                <w:szCs w:val="16"/>
              </w:rPr>
            </w:pPr>
            <w:r>
              <w:rPr>
                <w:rFonts w:cs="Arial"/>
                <w:sz w:val="16"/>
                <w:szCs w:val="16"/>
              </w:rPr>
              <w:t>43,89</w:t>
            </w:r>
          </w:p>
        </w:tc>
        <w:tc>
          <w:tcPr>
            <w:tcW w:w="662" w:type="dxa"/>
            <w:tcBorders>
              <w:top w:val="nil"/>
              <w:left w:val="nil"/>
              <w:bottom w:val="nil"/>
              <w:right w:val="nil"/>
            </w:tcBorders>
            <w:shd w:val="clear" w:color="auto" w:fill="auto"/>
            <w:noWrap/>
            <w:vAlign w:val="center"/>
            <w:hideMark/>
          </w:tcPr>
          <w:p w14:paraId="115B6AB5"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46,00</w:t>
            </w:r>
          </w:p>
        </w:tc>
        <w:tc>
          <w:tcPr>
            <w:tcW w:w="630" w:type="dxa"/>
            <w:tcBorders>
              <w:top w:val="nil"/>
              <w:left w:val="nil"/>
              <w:bottom w:val="nil"/>
              <w:right w:val="nil"/>
            </w:tcBorders>
            <w:shd w:val="clear" w:color="auto" w:fill="auto"/>
            <w:noWrap/>
            <w:vAlign w:val="center"/>
            <w:hideMark/>
          </w:tcPr>
          <w:p w14:paraId="7B1956CD"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44,08</w:t>
            </w:r>
          </w:p>
        </w:tc>
        <w:tc>
          <w:tcPr>
            <w:tcW w:w="630" w:type="dxa"/>
            <w:tcBorders>
              <w:top w:val="nil"/>
              <w:left w:val="nil"/>
              <w:bottom w:val="nil"/>
              <w:right w:val="nil"/>
            </w:tcBorders>
            <w:shd w:val="clear" w:color="000000" w:fill="FFFFFF"/>
            <w:noWrap/>
            <w:vAlign w:val="center"/>
            <w:hideMark/>
          </w:tcPr>
          <w:p w14:paraId="1623E764"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41,83</w:t>
            </w:r>
          </w:p>
        </w:tc>
        <w:tc>
          <w:tcPr>
            <w:tcW w:w="634" w:type="dxa"/>
            <w:tcBorders>
              <w:top w:val="nil"/>
              <w:left w:val="nil"/>
              <w:bottom w:val="nil"/>
              <w:right w:val="nil"/>
            </w:tcBorders>
            <w:shd w:val="clear" w:color="auto" w:fill="auto"/>
            <w:noWrap/>
            <w:vAlign w:val="center"/>
            <w:hideMark/>
          </w:tcPr>
          <w:p w14:paraId="7A70B6F9"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45,87</w:t>
            </w:r>
          </w:p>
        </w:tc>
      </w:tr>
      <w:tr w:rsidR="009A4127" w:rsidRPr="00170240" w14:paraId="50C15076" w14:textId="77777777" w:rsidTr="00B3736B">
        <w:trPr>
          <w:trHeight w:val="291"/>
        </w:trPr>
        <w:tc>
          <w:tcPr>
            <w:tcW w:w="3237" w:type="dxa"/>
            <w:tcBorders>
              <w:top w:val="nil"/>
              <w:left w:val="nil"/>
              <w:bottom w:val="nil"/>
              <w:right w:val="nil"/>
            </w:tcBorders>
            <w:shd w:val="clear" w:color="auto" w:fill="auto"/>
            <w:vAlign w:val="center"/>
            <w:hideMark/>
          </w:tcPr>
          <w:p w14:paraId="4FFCA905"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 xml:space="preserve">I – Ubytování, stravování </w:t>
            </w:r>
          </w:p>
          <w:p w14:paraId="17A5B5A8" w14:textId="118CDFD8"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a pohostinství</w:t>
            </w:r>
          </w:p>
        </w:tc>
        <w:tc>
          <w:tcPr>
            <w:tcW w:w="630" w:type="dxa"/>
            <w:tcBorders>
              <w:top w:val="nil"/>
              <w:left w:val="nil"/>
              <w:bottom w:val="nil"/>
              <w:right w:val="nil"/>
            </w:tcBorders>
            <w:shd w:val="clear" w:color="auto" w:fill="auto"/>
            <w:noWrap/>
            <w:vAlign w:val="center"/>
            <w:hideMark/>
          </w:tcPr>
          <w:p w14:paraId="4B36BD9B" w14:textId="77777777" w:rsidR="009A4127" w:rsidRPr="00170240" w:rsidRDefault="009A4127" w:rsidP="009A4127">
            <w:pPr>
              <w:spacing w:after="0" w:line="240" w:lineRule="auto"/>
              <w:jc w:val="right"/>
              <w:rPr>
                <w:rFonts w:cs="Arial"/>
                <w:sz w:val="16"/>
                <w:szCs w:val="16"/>
              </w:rPr>
            </w:pPr>
            <w:r w:rsidRPr="00170240">
              <w:rPr>
                <w:rFonts w:cs="Arial"/>
                <w:sz w:val="16"/>
                <w:szCs w:val="16"/>
              </w:rPr>
              <w:t>56,95</w:t>
            </w:r>
          </w:p>
        </w:tc>
        <w:tc>
          <w:tcPr>
            <w:tcW w:w="630" w:type="dxa"/>
            <w:tcBorders>
              <w:top w:val="nil"/>
              <w:left w:val="nil"/>
              <w:bottom w:val="nil"/>
              <w:right w:val="nil"/>
            </w:tcBorders>
            <w:shd w:val="clear" w:color="auto" w:fill="auto"/>
            <w:noWrap/>
            <w:vAlign w:val="center"/>
            <w:hideMark/>
          </w:tcPr>
          <w:p w14:paraId="0E14B968" w14:textId="77777777" w:rsidR="009A4127" w:rsidRPr="00170240" w:rsidRDefault="009A4127" w:rsidP="009A4127">
            <w:pPr>
              <w:spacing w:after="0" w:line="240" w:lineRule="auto"/>
              <w:jc w:val="right"/>
              <w:rPr>
                <w:rFonts w:cs="Arial"/>
                <w:sz w:val="16"/>
                <w:szCs w:val="16"/>
              </w:rPr>
            </w:pPr>
            <w:r w:rsidRPr="00170240">
              <w:rPr>
                <w:rFonts w:cs="Arial"/>
                <w:sz w:val="16"/>
                <w:szCs w:val="16"/>
              </w:rPr>
              <w:t>60,44</w:t>
            </w:r>
          </w:p>
        </w:tc>
        <w:tc>
          <w:tcPr>
            <w:tcW w:w="630" w:type="dxa"/>
            <w:tcBorders>
              <w:top w:val="nil"/>
              <w:left w:val="nil"/>
              <w:bottom w:val="nil"/>
              <w:right w:val="nil"/>
            </w:tcBorders>
            <w:shd w:val="clear" w:color="auto" w:fill="auto"/>
            <w:noWrap/>
            <w:vAlign w:val="center"/>
            <w:hideMark/>
          </w:tcPr>
          <w:p w14:paraId="4C1972F1" w14:textId="77777777" w:rsidR="009A4127" w:rsidRPr="00170240" w:rsidRDefault="009A4127" w:rsidP="009A4127">
            <w:pPr>
              <w:spacing w:after="0" w:line="240" w:lineRule="auto"/>
              <w:jc w:val="right"/>
              <w:rPr>
                <w:rFonts w:cs="Arial"/>
                <w:sz w:val="16"/>
                <w:szCs w:val="16"/>
              </w:rPr>
            </w:pPr>
            <w:r w:rsidRPr="00170240">
              <w:rPr>
                <w:rFonts w:cs="Arial"/>
                <w:sz w:val="16"/>
                <w:szCs w:val="16"/>
              </w:rPr>
              <w:t>59,64</w:t>
            </w:r>
          </w:p>
        </w:tc>
        <w:tc>
          <w:tcPr>
            <w:tcW w:w="630" w:type="dxa"/>
            <w:tcBorders>
              <w:top w:val="nil"/>
              <w:left w:val="nil"/>
              <w:bottom w:val="nil"/>
              <w:right w:val="nil"/>
            </w:tcBorders>
            <w:shd w:val="clear" w:color="auto" w:fill="auto"/>
            <w:noWrap/>
            <w:vAlign w:val="center"/>
            <w:hideMark/>
          </w:tcPr>
          <w:p w14:paraId="075B6F2E" w14:textId="77777777" w:rsidR="009A4127" w:rsidRPr="00170240" w:rsidRDefault="009A4127" w:rsidP="009A4127">
            <w:pPr>
              <w:spacing w:after="0" w:line="240" w:lineRule="auto"/>
              <w:jc w:val="right"/>
              <w:rPr>
                <w:rFonts w:cs="Arial"/>
                <w:sz w:val="16"/>
                <w:szCs w:val="16"/>
              </w:rPr>
            </w:pPr>
            <w:r w:rsidRPr="00170240">
              <w:rPr>
                <w:rFonts w:cs="Arial"/>
                <w:sz w:val="16"/>
                <w:szCs w:val="16"/>
              </w:rPr>
              <w:t>57,28</w:t>
            </w:r>
          </w:p>
        </w:tc>
        <w:tc>
          <w:tcPr>
            <w:tcW w:w="662" w:type="dxa"/>
            <w:tcBorders>
              <w:top w:val="nil"/>
              <w:left w:val="nil"/>
              <w:bottom w:val="nil"/>
              <w:right w:val="nil"/>
            </w:tcBorders>
            <w:shd w:val="clear" w:color="auto" w:fill="auto"/>
            <w:noWrap/>
            <w:vAlign w:val="center"/>
            <w:hideMark/>
          </w:tcPr>
          <w:p w14:paraId="59C4F334" w14:textId="77777777" w:rsidR="009A4127" w:rsidRPr="00170240" w:rsidRDefault="009A4127" w:rsidP="009A4127">
            <w:pPr>
              <w:spacing w:after="0" w:line="240" w:lineRule="auto"/>
              <w:jc w:val="right"/>
              <w:rPr>
                <w:rFonts w:cs="Arial"/>
                <w:sz w:val="16"/>
                <w:szCs w:val="16"/>
              </w:rPr>
            </w:pPr>
            <w:r w:rsidRPr="00170240">
              <w:rPr>
                <w:rFonts w:cs="Arial"/>
                <w:sz w:val="16"/>
                <w:szCs w:val="16"/>
              </w:rPr>
              <w:t>59,22</w:t>
            </w:r>
          </w:p>
        </w:tc>
        <w:tc>
          <w:tcPr>
            <w:tcW w:w="630" w:type="dxa"/>
            <w:tcBorders>
              <w:top w:val="nil"/>
              <w:left w:val="nil"/>
              <w:bottom w:val="nil"/>
              <w:right w:val="nil"/>
            </w:tcBorders>
            <w:shd w:val="clear" w:color="auto" w:fill="auto"/>
            <w:noWrap/>
            <w:vAlign w:val="center"/>
            <w:hideMark/>
          </w:tcPr>
          <w:p w14:paraId="73B2F445" w14:textId="6A817F3E" w:rsidR="009A4127" w:rsidRPr="00170240" w:rsidRDefault="009A4127" w:rsidP="009A4127">
            <w:pPr>
              <w:spacing w:after="0" w:line="240" w:lineRule="auto"/>
              <w:jc w:val="right"/>
              <w:rPr>
                <w:rFonts w:cs="Arial"/>
                <w:sz w:val="16"/>
                <w:szCs w:val="16"/>
              </w:rPr>
            </w:pPr>
            <w:r>
              <w:rPr>
                <w:rFonts w:cs="Arial"/>
                <w:sz w:val="16"/>
                <w:szCs w:val="16"/>
              </w:rPr>
              <w:t>52,88</w:t>
            </w:r>
          </w:p>
        </w:tc>
        <w:tc>
          <w:tcPr>
            <w:tcW w:w="662" w:type="dxa"/>
            <w:tcBorders>
              <w:top w:val="nil"/>
              <w:left w:val="nil"/>
              <w:bottom w:val="nil"/>
              <w:right w:val="nil"/>
            </w:tcBorders>
            <w:shd w:val="clear" w:color="auto" w:fill="auto"/>
            <w:noWrap/>
            <w:vAlign w:val="center"/>
            <w:hideMark/>
          </w:tcPr>
          <w:p w14:paraId="3351E7DD"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53,49</w:t>
            </w:r>
          </w:p>
        </w:tc>
        <w:tc>
          <w:tcPr>
            <w:tcW w:w="630" w:type="dxa"/>
            <w:tcBorders>
              <w:top w:val="nil"/>
              <w:left w:val="nil"/>
              <w:bottom w:val="nil"/>
              <w:right w:val="nil"/>
            </w:tcBorders>
            <w:shd w:val="clear" w:color="auto" w:fill="auto"/>
            <w:noWrap/>
            <w:vAlign w:val="center"/>
            <w:hideMark/>
          </w:tcPr>
          <w:p w14:paraId="6838D93B"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53,29</w:t>
            </w:r>
          </w:p>
        </w:tc>
        <w:tc>
          <w:tcPr>
            <w:tcW w:w="630" w:type="dxa"/>
            <w:tcBorders>
              <w:top w:val="nil"/>
              <w:left w:val="nil"/>
              <w:bottom w:val="nil"/>
              <w:right w:val="nil"/>
            </w:tcBorders>
            <w:shd w:val="clear" w:color="000000" w:fill="FFFFFF"/>
            <w:noWrap/>
            <w:vAlign w:val="center"/>
            <w:hideMark/>
          </w:tcPr>
          <w:p w14:paraId="67F2A55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51,29</w:t>
            </w:r>
          </w:p>
        </w:tc>
        <w:tc>
          <w:tcPr>
            <w:tcW w:w="634" w:type="dxa"/>
            <w:tcBorders>
              <w:top w:val="nil"/>
              <w:left w:val="nil"/>
              <w:bottom w:val="nil"/>
              <w:right w:val="nil"/>
            </w:tcBorders>
            <w:shd w:val="clear" w:color="auto" w:fill="auto"/>
            <w:noWrap/>
            <w:vAlign w:val="center"/>
            <w:hideMark/>
          </w:tcPr>
          <w:p w14:paraId="62BEE76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54,59</w:t>
            </w:r>
          </w:p>
        </w:tc>
      </w:tr>
      <w:tr w:rsidR="009A4127" w:rsidRPr="00170240" w14:paraId="18991C35" w14:textId="77777777" w:rsidTr="00B3736B">
        <w:trPr>
          <w:trHeight w:val="291"/>
        </w:trPr>
        <w:tc>
          <w:tcPr>
            <w:tcW w:w="3237" w:type="dxa"/>
            <w:tcBorders>
              <w:top w:val="nil"/>
              <w:left w:val="nil"/>
              <w:bottom w:val="nil"/>
              <w:right w:val="nil"/>
            </w:tcBorders>
            <w:shd w:val="clear" w:color="auto" w:fill="auto"/>
            <w:vAlign w:val="center"/>
            <w:hideMark/>
          </w:tcPr>
          <w:p w14:paraId="23388F1E"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J – Informační a komunikační činnosti</w:t>
            </w:r>
          </w:p>
        </w:tc>
        <w:tc>
          <w:tcPr>
            <w:tcW w:w="630" w:type="dxa"/>
            <w:tcBorders>
              <w:top w:val="nil"/>
              <w:left w:val="nil"/>
              <w:bottom w:val="nil"/>
              <w:right w:val="nil"/>
            </w:tcBorders>
            <w:shd w:val="clear" w:color="auto" w:fill="auto"/>
            <w:noWrap/>
            <w:vAlign w:val="center"/>
            <w:hideMark/>
          </w:tcPr>
          <w:p w14:paraId="4BD739FB" w14:textId="77777777" w:rsidR="009A4127" w:rsidRPr="00170240" w:rsidRDefault="009A4127" w:rsidP="009A4127">
            <w:pPr>
              <w:spacing w:after="0" w:line="240" w:lineRule="auto"/>
              <w:jc w:val="right"/>
              <w:rPr>
                <w:rFonts w:cs="Arial"/>
                <w:sz w:val="16"/>
                <w:szCs w:val="16"/>
              </w:rPr>
            </w:pPr>
            <w:r w:rsidRPr="00170240">
              <w:rPr>
                <w:rFonts w:cs="Arial"/>
                <w:sz w:val="16"/>
                <w:szCs w:val="16"/>
              </w:rPr>
              <w:t>27,43</w:t>
            </w:r>
          </w:p>
        </w:tc>
        <w:tc>
          <w:tcPr>
            <w:tcW w:w="630" w:type="dxa"/>
            <w:tcBorders>
              <w:top w:val="nil"/>
              <w:left w:val="nil"/>
              <w:bottom w:val="nil"/>
              <w:right w:val="nil"/>
            </w:tcBorders>
            <w:shd w:val="clear" w:color="auto" w:fill="auto"/>
            <w:noWrap/>
            <w:vAlign w:val="center"/>
            <w:hideMark/>
          </w:tcPr>
          <w:p w14:paraId="1AD821FC" w14:textId="77777777" w:rsidR="009A4127" w:rsidRPr="00170240" w:rsidRDefault="009A4127" w:rsidP="009A4127">
            <w:pPr>
              <w:spacing w:after="0" w:line="240" w:lineRule="auto"/>
              <w:jc w:val="right"/>
              <w:rPr>
                <w:rFonts w:cs="Arial"/>
                <w:sz w:val="16"/>
                <w:szCs w:val="16"/>
              </w:rPr>
            </w:pPr>
            <w:r w:rsidRPr="00170240">
              <w:rPr>
                <w:rFonts w:cs="Arial"/>
                <w:sz w:val="16"/>
                <w:szCs w:val="16"/>
              </w:rPr>
              <w:t>25,36</w:t>
            </w:r>
          </w:p>
        </w:tc>
        <w:tc>
          <w:tcPr>
            <w:tcW w:w="630" w:type="dxa"/>
            <w:tcBorders>
              <w:top w:val="nil"/>
              <w:left w:val="nil"/>
              <w:bottom w:val="nil"/>
              <w:right w:val="nil"/>
            </w:tcBorders>
            <w:shd w:val="clear" w:color="auto" w:fill="auto"/>
            <w:noWrap/>
            <w:vAlign w:val="center"/>
            <w:hideMark/>
          </w:tcPr>
          <w:p w14:paraId="709C852E" w14:textId="77777777" w:rsidR="009A4127" w:rsidRPr="00170240" w:rsidRDefault="009A4127" w:rsidP="009A4127">
            <w:pPr>
              <w:spacing w:after="0" w:line="240" w:lineRule="auto"/>
              <w:jc w:val="right"/>
              <w:rPr>
                <w:rFonts w:cs="Arial"/>
                <w:sz w:val="16"/>
                <w:szCs w:val="16"/>
              </w:rPr>
            </w:pPr>
            <w:r w:rsidRPr="00170240">
              <w:rPr>
                <w:rFonts w:cs="Arial"/>
                <w:sz w:val="16"/>
                <w:szCs w:val="16"/>
              </w:rPr>
              <w:t>29,31</w:t>
            </w:r>
          </w:p>
        </w:tc>
        <w:tc>
          <w:tcPr>
            <w:tcW w:w="630" w:type="dxa"/>
            <w:tcBorders>
              <w:top w:val="nil"/>
              <w:left w:val="nil"/>
              <w:bottom w:val="nil"/>
              <w:right w:val="nil"/>
            </w:tcBorders>
            <w:shd w:val="clear" w:color="auto" w:fill="auto"/>
            <w:noWrap/>
            <w:vAlign w:val="center"/>
            <w:hideMark/>
          </w:tcPr>
          <w:p w14:paraId="3FAE1E3C" w14:textId="77777777" w:rsidR="009A4127" w:rsidRPr="00170240" w:rsidRDefault="009A4127" w:rsidP="009A4127">
            <w:pPr>
              <w:spacing w:after="0" w:line="240" w:lineRule="auto"/>
              <w:jc w:val="right"/>
              <w:rPr>
                <w:rFonts w:cs="Arial"/>
                <w:sz w:val="16"/>
                <w:szCs w:val="16"/>
              </w:rPr>
            </w:pPr>
            <w:r w:rsidRPr="00170240">
              <w:rPr>
                <w:rFonts w:cs="Arial"/>
                <w:sz w:val="16"/>
                <w:szCs w:val="16"/>
              </w:rPr>
              <w:t>25,65</w:t>
            </w:r>
          </w:p>
        </w:tc>
        <w:tc>
          <w:tcPr>
            <w:tcW w:w="662" w:type="dxa"/>
            <w:tcBorders>
              <w:top w:val="nil"/>
              <w:left w:val="nil"/>
              <w:bottom w:val="nil"/>
              <w:right w:val="nil"/>
            </w:tcBorders>
            <w:shd w:val="clear" w:color="auto" w:fill="auto"/>
            <w:noWrap/>
            <w:vAlign w:val="center"/>
            <w:hideMark/>
          </w:tcPr>
          <w:p w14:paraId="15CACCA0" w14:textId="77777777" w:rsidR="009A4127" w:rsidRPr="00170240" w:rsidRDefault="009A4127" w:rsidP="009A4127">
            <w:pPr>
              <w:spacing w:after="0" w:line="240" w:lineRule="auto"/>
              <w:jc w:val="right"/>
              <w:rPr>
                <w:rFonts w:cs="Arial"/>
                <w:sz w:val="16"/>
                <w:szCs w:val="16"/>
              </w:rPr>
            </w:pPr>
            <w:r w:rsidRPr="00170240">
              <w:rPr>
                <w:rFonts w:cs="Arial"/>
                <w:sz w:val="16"/>
                <w:szCs w:val="16"/>
              </w:rPr>
              <w:t>27,77</w:t>
            </w:r>
          </w:p>
        </w:tc>
        <w:tc>
          <w:tcPr>
            <w:tcW w:w="630" w:type="dxa"/>
            <w:tcBorders>
              <w:top w:val="nil"/>
              <w:left w:val="nil"/>
              <w:bottom w:val="nil"/>
              <w:right w:val="nil"/>
            </w:tcBorders>
            <w:shd w:val="clear" w:color="auto" w:fill="auto"/>
            <w:noWrap/>
            <w:vAlign w:val="center"/>
            <w:hideMark/>
          </w:tcPr>
          <w:p w14:paraId="2018CE06" w14:textId="392F5277" w:rsidR="009A4127" w:rsidRPr="00170240" w:rsidRDefault="009A4127" w:rsidP="009A4127">
            <w:pPr>
              <w:spacing w:after="0" w:line="240" w:lineRule="auto"/>
              <w:jc w:val="right"/>
              <w:rPr>
                <w:rFonts w:cs="Arial"/>
                <w:sz w:val="16"/>
                <w:szCs w:val="16"/>
              </w:rPr>
            </w:pPr>
            <w:r>
              <w:rPr>
                <w:rFonts w:cs="Arial"/>
                <w:sz w:val="16"/>
                <w:szCs w:val="16"/>
              </w:rPr>
              <w:t>25,76</w:t>
            </w:r>
          </w:p>
        </w:tc>
        <w:tc>
          <w:tcPr>
            <w:tcW w:w="662" w:type="dxa"/>
            <w:tcBorders>
              <w:top w:val="nil"/>
              <w:left w:val="nil"/>
              <w:bottom w:val="nil"/>
              <w:right w:val="nil"/>
            </w:tcBorders>
            <w:shd w:val="clear" w:color="auto" w:fill="auto"/>
            <w:noWrap/>
            <w:vAlign w:val="center"/>
            <w:hideMark/>
          </w:tcPr>
          <w:p w14:paraId="72A482FC"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25,73</w:t>
            </w:r>
          </w:p>
        </w:tc>
        <w:tc>
          <w:tcPr>
            <w:tcW w:w="630" w:type="dxa"/>
            <w:tcBorders>
              <w:top w:val="nil"/>
              <w:left w:val="nil"/>
              <w:bottom w:val="nil"/>
              <w:right w:val="nil"/>
            </w:tcBorders>
            <w:shd w:val="clear" w:color="auto" w:fill="auto"/>
            <w:noWrap/>
            <w:vAlign w:val="center"/>
            <w:hideMark/>
          </w:tcPr>
          <w:p w14:paraId="2C41F057"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25,50</w:t>
            </w:r>
          </w:p>
        </w:tc>
        <w:tc>
          <w:tcPr>
            <w:tcW w:w="630" w:type="dxa"/>
            <w:tcBorders>
              <w:top w:val="nil"/>
              <w:left w:val="nil"/>
              <w:bottom w:val="nil"/>
              <w:right w:val="nil"/>
            </w:tcBorders>
            <w:shd w:val="clear" w:color="000000" w:fill="FFFFFF"/>
            <w:noWrap/>
            <w:vAlign w:val="center"/>
            <w:hideMark/>
          </w:tcPr>
          <w:p w14:paraId="78ADF791"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25,48</w:t>
            </w:r>
          </w:p>
        </w:tc>
        <w:tc>
          <w:tcPr>
            <w:tcW w:w="634" w:type="dxa"/>
            <w:tcBorders>
              <w:top w:val="nil"/>
              <w:left w:val="nil"/>
              <w:bottom w:val="nil"/>
              <w:right w:val="nil"/>
            </w:tcBorders>
            <w:shd w:val="clear" w:color="auto" w:fill="auto"/>
            <w:noWrap/>
            <w:vAlign w:val="center"/>
            <w:hideMark/>
          </w:tcPr>
          <w:p w14:paraId="44FF7E32"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26,40</w:t>
            </w:r>
          </w:p>
        </w:tc>
      </w:tr>
      <w:tr w:rsidR="009A4127" w:rsidRPr="00170240" w14:paraId="64A9C2C4" w14:textId="77777777" w:rsidTr="00B3736B">
        <w:trPr>
          <w:trHeight w:val="291"/>
        </w:trPr>
        <w:tc>
          <w:tcPr>
            <w:tcW w:w="3237" w:type="dxa"/>
            <w:tcBorders>
              <w:top w:val="nil"/>
              <w:left w:val="nil"/>
              <w:bottom w:val="nil"/>
              <w:right w:val="nil"/>
            </w:tcBorders>
            <w:shd w:val="clear" w:color="auto" w:fill="auto"/>
            <w:vAlign w:val="center"/>
            <w:hideMark/>
          </w:tcPr>
          <w:p w14:paraId="44DBE124"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K – Peněžnictví a pojišťovnictví</w:t>
            </w:r>
          </w:p>
        </w:tc>
        <w:tc>
          <w:tcPr>
            <w:tcW w:w="630" w:type="dxa"/>
            <w:tcBorders>
              <w:top w:val="nil"/>
              <w:left w:val="nil"/>
              <w:bottom w:val="nil"/>
              <w:right w:val="nil"/>
            </w:tcBorders>
            <w:shd w:val="clear" w:color="auto" w:fill="auto"/>
            <w:noWrap/>
            <w:vAlign w:val="center"/>
            <w:hideMark/>
          </w:tcPr>
          <w:p w14:paraId="4258EB49" w14:textId="77777777" w:rsidR="009A4127" w:rsidRPr="00170240" w:rsidRDefault="009A4127" w:rsidP="009A4127">
            <w:pPr>
              <w:spacing w:after="0" w:line="240" w:lineRule="auto"/>
              <w:jc w:val="right"/>
              <w:rPr>
                <w:rFonts w:cs="Arial"/>
                <w:sz w:val="16"/>
                <w:szCs w:val="16"/>
              </w:rPr>
            </w:pPr>
            <w:r w:rsidRPr="00170240">
              <w:rPr>
                <w:rFonts w:cs="Arial"/>
                <w:sz w:val="16"/>
                <w:szCs w:val="16"/>
              </w:rPr>
              <w:t>31,73</w:t>
            </w:r>
          </w:p>
        </w:tc>
        <w:tc>
          <w:tcPr>
            <w:tcW w:w="630" w:type="dxa"/>
            <w:tcBorders>
              <w:top w:val="nil"/>
              <w:left w:val="nil"/>
              <w:bottom w:val="nil"/>
              <w:right w:val="nil"/>
            </w:tcBorders>
            <w:shd w:val="clear" w:color="auto" w:fill="auto"/>
            <w:noWrap/>
            <w:vAlign w:val="center"/>
            <w:hideMark/>
          </w:tcPr>
          <w:p w14:paraId="684714C0" w14:textId="77777777" w:rsidR="009A4127" w:rsidRPr="00170240" w:rsidRDefault="009A4127" w:rsidP="009A4127">
            <w:pPr>
              <w:spacing w:after="0" w:line="240" w:lineRule="auto"/>
              <w:jc w:val="right"/>
              <w:rPr>
                <w:rFonts w:cs="Arial"/>
                <w:sz w:val="16"/>
                <w:szCs w:val="16"/>
              </w:rPr>
            </w:pPr>
            <w:r w:rsidRPr="00170240">
              <w:rPr>
                <w:rFonts w:cs="Arial"/>
                <w:sz w:val="16"/>
                <w:szCs w:val="16"/>
              </w:rPr>
              <w:t>30,46</w:t>
            </w:r>
          </w:p>
        </w:tc>
        <w:tc>
          <w:tcPr>
            <w:tcW w:w="630" w:type="dxa"/>
            <w:tcBorders>
              <w:top w:val="nil"/>
              <w:left w:val="nil"/>
              <w:bottom w:val="nil"/>
              <w:right w:val="nil"/>
            </w:tcBorders>
            <w:shd w:val="clear" w:color="auto" w:fill="auto"/>
            <w:noWrap/>
            <w:vAlign w:val="center"/>
            <w:hideMark/>
          </w:tcPr>
          <w:p w14:paraId="09F403A9" w14:textId="77777777" w:rsidR="009A4127" w:rsidRPr="00170240" w:rsidRDefault="009A4127" w:rsidP="009A4127">
            <w:pPr>
              <w:spacing w:after="0" w:line="240" w:lineRule="auto"/>
              <w:jc w:val="right"/>
              <w:rPr>
                <w:rFonts w:cs="Arial"/>
                <w:sz w:val="16"/>
                <w:szCs w:val="16"/>
              </w:rPr>
            </w:pPr>
            <w:r w:rsidRPr="00170240">
              <w:rPr>
                <w:rFonts w:cs="Arial"/>
                <w:sz w:val="16"/>
                <w:szCs w:val="16"/>
              </w:rPr>
              <w:t>35,89</w:t>
            </w:r>
          </w:p>
        </w:tc>
        <w:tc>
          <w:tcPr>
            <w:tcW w:w="630" w:type="dxa"/>
            <w:tcBorders>
              <w:top w:val="nil"/>
              <w:left w:val="nil"/>
              <w:bottom w:val="nil"/>
              <w:right w:val="nil"/>
            </w:tcBorders>
            <w:shd w:val="clear" w:color="auto" w:fill="auto"/>
            <w:noWrap/>
            <w:vAlign w:val="center"/>
            <w:hideMark/>
          </w:tcPr>
          <w:p w14:paraId="713D322C" w14:textId="77777777" w:rsidR="009A4127" w:rsidRPr="00170240" w:rsidRDefault="009A4127" w:rsidP="009A4127">
            <w:pPr>
              <w:spacing w:after="0" w:line="240" w:lineRule="auto"/>
              <w:jc w:val="right"/>
              <w:rPr>
                <w:rFonts w:cs="Arial"/>
                <w:sz w:val="16"/>
                <w:szCs w:val="16"/>
              </w:rPr>
            </w:pPr>
            <w:r w:rsidRPr="00170240">
              <w:rPr>
                <w:rFonts w:cs="Arial"/>
                <w:sz w:val="16"/>
                <w:szCs w:val="16"/>
              </w:rPr>
              <w:t>30,07</w:t>
            </w:r>
          </w:p>
        </w:tc>
        <w:tc>
          <w:tcPr>
            <w:tcW w:w="662" w:type="dxa"/>
            <w:tcBorders>
              <w:top w:val="nil"/>
              <w:left w:val="nil"/>
              <w:bottom w:val="nil"/>
              <w:right w:val="nil"/>
            </w:tcBorders>
            <w:shd w:val="clear" w:color="auto" w:fill="auto"/>
            <w:noWrap/>
            <w:vAlign w:val="center"/>
            <w:hideMark/>
          </w:tcPr>
          <w:p w14:paraId="53BAC2A3" w14:textId="77777777" w:rsidR="009A4127" w:rsidRPr="00170240" w:rsidRDefault="009A4127" w:rsidP="009A4127">
            <w:pPr>
              <w:spacing w:after="0" w:line="240" w:lineRule="auto"/>
              <w:jc w:val="right"/>
              <w:rPr>
                <w:rFonts w:cs="Arial"/>
                <w:sz w:val="16"/>
                <w:szCs w:val="16"/>
              </w:rPr>
            </w:pPr>
            <w:r w:rsidRPr="00170240">
              <w:rPr>
                <w:rFonts w:cs="Arial"/>
                <w:sz w:val="16"/>
                <w:szCs w:val="16"/>
              </w:rPr>
              <w:t>34,28</w:t>
            </w:r>
          </w:p>
        </w:tc>
        <w:tc>
          <w:tcPr>
            <w:tcW w:w="630" w:type="dxa"/>
            <w:tcBorders>
              <w:top w:val="nil"/>
              <w:left w:val="nil"/>
              <w:bottom w:val="nil"/>
              <w:right w:val="nil"/>
            </w:tcBorders>
            <w:shd w:val="clear" w:color="auto" w:fill="auto"/>
            <w:noWrap/>
            <w:vAlign w:val="center"/>
            <w:hideMark/>
          </w:tcPr>
          <w:p w14:paraId="3EC9BC69" w14:textId="0368412D" w:rsidR="009A4127" w:rsidRPr="00170240" w:rsidRDefault="009A4127" w:rsidP="009A4127">
            <w:pPr>
              <w:spacing w:after="0" w:line="240" w:lineRule="auto"/>
              <w:jc w:val="right"/>
              <w:rPr>
                <w:rFonts w:cs="Arial"/>
                <w:sz w:val="16"/>
                <w:szCs w:val="16"/>
              </w:rPr>
            </w:pPr>
            <w:r>
              <w:rPr>
                <w:rFonts w:cs="Arial"/>
                <w:sz w:val="16"/>
                <w:szCs w:val="16"/>
              </w:rPr>
              <w:t>31,59</w:t>
            </w:r>
          </w:p>
        </w:tc>
        <w:tc>
          <w:tcPr>
            <w:tcW w:w="662" w:type="dxa"/>
            <w:tcBorders>
              <w:top w:val="nil"/>
              <w:left w:val="nil"/>
              <w:bottom w:val="nil"/>
              <w:right w:val="nil"/>
            </w:tcBorders>
            <w:shd w:val="clear" w:color="auto" w:fill="auto"/>
            <w:noWrap/>
            <w:vAlign w:val="center"/>
            <w:hideMark/>
          </w:tcPr>
          <w:p w14:paraId="5C4DCFC6"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32,81</w:t>
            </w:r>
          </w:p>
        </w:tc>
        <w:tc>
          <w:tcPr>
            <w:tcW w:w="630" w:type="dxa"/>
            <w:tcBorders>
              <w:top w:val="nil"/>
              <w:left w:val="nil"/>
              <w:bottom w:val="nil"/>
              <w:right w:val="nil"/>
            </w:tcBorders>
            <w:shd w:val="clear" w:color="auto" w:fill="auto"/>
            <w:noWrap/>
            <w:vAlign w:val="center"/>
            <w:hideMark/>
          </w:tcPr>
          <w:p w14:paraId="3028D1A5"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32,82</w:t>
            </w:r>
          </w:p>
        </w:tc>
        <w:tc>
          <w:tcPr>
            <w:tcW w:w="630" w:type="dxa"/>
            <w:tcBorders>
              <w:top w:val="nil"/>
              <w:left w:val="nil"/>
              <w:bottom w:val="nil"/>
              <w:right w:val="nil"/>
            </w:tcBorders>
            <w:shd w:val="clear" w:color="000000" w:fill="FFFFFF"/>
            <w:noWrap/>
            <w:vAlign w:val="center"/>
            <w:hideMark/>
          </w:tcPr>
          <w:p w14:paraId="28FF844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30,39</w:t>
            </w:r>
          </w:p>
        </w:tc>
        <w:tc>
          <w:tcPr>
            <w:tcW w:w="634" w:type="dxa"/>
            <w:tcBorders>
              <w:top w:val="nil"/>
              <w:left w:val="nil"/>
              <w:bottom w:val="nil"/>
              <w:right w:val="nil"/>
            </w:tcBorders>
            <w:shd w:val="clear" w:color="auto" w:fill="auto"/>
            <w:noWrap/>
            <w:vAlign w:val="center"/>
            <w:hideMark/>
          </w:tcPr>
          <w:p w14:paraId="6D83643F"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33,11</w:t>
            </w:r>
          </w:p>
        </w:tc>
      </w:tr>
      <w:tr w:rsidR="009A4127" w:rsidRPr="00170240" w14:paraId="1BD63E53" w14:textId="77777777" w:rsidTr="00B3736B">
        <w:trPr>
          <w:trHeight w:val="291"/>
        </w:trPr>
        <w:tc>
          <w:tcPr>
            <w:tcW w:w="3237" w:type="dxa"/>
            <w:tcBorders>
              <w:top w:val="nil"/>
              <w:left w:val="nil"/>
              <w:bottom w:val="nil"/>
              <w:right w:val="nil"/>
            </w:tcBorders>
            <w:shd w:val="clear" w:color="auto" w:fill="auto"/>
            <w:vAlign w:val="center"/>
            <w:hideMark/>
          </w:tcPr>
          <w:p w14:paraId="5FA1B909"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L – Činnosti v oblasti nemovitostí</w:t>
            </w:r>
          </w:p>
        </w:tc>
        <w:tc>
          <w:tcPr>
            <w:tcW w:w="630" w:type="dxa"/>
            <w:tcBorders>
              <w:top w:val="nil"/>
              <w:left w:val="nil"/>
              <w:bottom w:val="nil"/>
              <w:right w:val="nil"/>
            </w:tcBorders>
            <w:shd w:val="clear" w:color="auto" w:fill="auto"/>
            <w:noWrap/>
            <w:vAlign w:val="center"/>
            <w:hideMark/>
          </w:tcPr>
          <w:p w14:paraId="5A447452" w14:textId="77777777" w:rsidR="009A4127" w:rsidRPr="00170240" w:rsidRDefault="009A4127" w:rsidP="009A4127">
            <w:pPr>
              <w:spacing w:after="0" w:line="240" w:lineRule="auto"/>
              <w:jc w:val="right"/>
              <w:rPr>
                <w:rFonts w:cs="Arial"/>
                <w:sz w:val="16"/>
                <w:szCs w:val="16"/>
              </w:rPr>
            </w:pPr>
            <w:r w:rsidRPr="00170240">
              <w:rPr>
                <w:rFonts w:cs="Arial"/>
                <w:sz w:val="16"/>
                <w:szCs w:val="16"/>
              </w:rPr>
              <w:t>53,37</w:t>
            </w:r>
          </w:p>
        </w:tc>
        <w:tc>
          <w:tcPr>
            <w:tcW w:w="630" w:type="dxa"/>
            <w:tcBorders>
              <w:top w:val="nil"/>
              <w:left w:val="nil"/>
              <w:bottom w:val="nil"/>
              <w:right w:val="nil"/>
            </w:tcBorders>
            <w:shd w:val="clear" w:color="auto" w:fill="auto"/>
            <w:noWrap/>
            <w:vAlign w:val="center"/>
            <w:hideMark/>
          </w:tcPr>
          <w:p w14:paraId="0F2F56C4" w14:textId="77777777" w:rsidR="009A4127" w:rsidRPr="00170240" w:rsidRDefault="009A4127" w:rsidP="009A4127">
            <w:pPr>
              <w:spacing w:after="0" w:line="240" w:lineRule="auto"/>
              <w:jc w:val="right"/>
              <w:rPr>
                <w:rFonts w:cs="Arial"/>
                <w:sz w:val="16"/>
                <w:szCs w:val="16"/>
              </w:rPr>
            </w:pPr>
            <w:r w:rsidRPr="00170240">
              <w:rPr>
                <w:rFonts w:cs="Arial"/>
                <w:sz w:val="16"/>
                <w:szCs w:val="16"/>
              </w:rPr>
              <w:t>54,28</w:t>
            </w:r>
          </w:p>
        </w:tc>
        <w:tc>
          <w:tcPr>
            <w:tcW w:w="630" w:type="dxa"/>
            <w:tcBorders>
              <w:top w:val="nil"/>
              <w:left w:val="nil"/>
              <w:bottom w:val="nil"/>
              <w:right w:val="nil"/>
            </w:tcBorders>
            <w:shd w:val="clear" w:color="auto" w:fill="auto"/>
            <w:noWrap/>
            <w:vAlign w:val="center"/>
            <w:hideMark/>
          </w:tcPr>
          <w:p w14:paraId="2620630A" w14:textId="77777777" w:rsidR="009A4127" w:rsidRPr="00170240" w:rsidRDefault="009A4127" w:rsidP="009A4127">
            <w:pPr>
              <w:spacing w:after="0" w:line="240" w:lineRule="auto"/>
              <w:jc w:val="right"/>
              <w:rPr>
                <w:rFonts w:cs="Arial"/>
                <w:sz w:val="16"/>
                <w:szCs w:val="16"/>
              </w:rPr>
            </w:pPr>
            <w:r w:rsidRPr="00170240">
              <w:rPr>
                <w:rFonts w:cs="Arial"/>
                <w:sz w:val="16"/>
                <w:szCs w:val="16"/>
              </w:rPr>
              <w:t>56,96</w:t>
            </w:r>
          </w:p>
        </w:tc>
        <w:tc>
          <w:tcPr>
            <w:tcW w:w="630" w:type="dxa"/>
            <w:tcBorders>
              <w:top w:val="nil"/>
              <w:left w:val="nil"/>
              <w:bottom w:val="nil"/>
              <w:right w:val="nil"/>
            </w:tcBorders>
            <w:shd w:val="clear" w:color="auto" w:fill="auto"/>
            <w:noWrap/>
            <w:vAlign w:val="center"/>
            <w:hideMark/>
          </w:tcPr>
          <w:p w14:paraId="43843533" w14:textId="77777777" w:rsidR="009A4127" w:rsidRPr="00170240" w:rsidRDefault="009A4127" w:rsidP="009A4127">
            <w:pPr>
              <w:spacing w:after="0" w:line="240" w:lineRule="auto"/>
              <w:jc w:val="right"/>
              <w:rPr>
                <w:rFonts w:cs="Arial"/>
                <w:sz w:val="16"/>
                <w:szCs w:val="16"/>
              </w:rPr>
            </w:pPr>
            <w:r w:rsidRPr="00170240">
              <w:rPr>
                <w:rFonts w:cs="Arial"/>
                <w:sz w:val="16"/>
                <w:szCs w:val="16"/>
              </w:rPr>
              <w:t>52,14</w:t>
            </w:r>
          </w:p>
        </w:tc>
        <w:tc>
          <w:tcPr>
            <w:tcW w:w="662" w:type="dxa"/>
            <w:tcBorders>
              <w:top w:val="nil"/>
              <w:left w:val="nil"/>
              <w:bottom w:val="nil"/>
              <w:right w:val="nil"/>
            </w:tcBorders>
            <w:shd w:val="clear" w:color="auto" w:fill="auto"/>
            <w:noWrap/>
            <w:vAlign w:val="center"/>
            <w:hideMark/>
          </w:tcPr>
          <w:p w14:paraId="41F9B2B4" w14:textId="77777777" w:rsidR="009A4127" w:rsidRPr="00170240" w:rsidRDefault="009A4127" w:rsidP="009A4127">
            <w:pPr>
              <w:spacing w:after="0" w:line="240" w:lineRule="auto"/>
              <w:jc w:val="right"/>
              <w:rPr>
                <w:rFonts w:cs="Arial"/>
                <w:sz w:val="16"/>
                <w:szCs w:val="16"/>
              </w:rPr>
            </w:pPr>
            <w:r w:rsidRPr="00170240">
              <w:rPr>
                <w:rFonts w:cs="Arial"/>
                <w:sz w:val="16"/>
                <w:szCs w:val="16"/>
              </w:rPr>
              <w:t>56,15</w:t>
            </w:r>
          </w:p>
        </w:tc>
        <w:tc>
          <w:tcPr>
            <w:tcW w:w="630" w:type="dxa"/>
            <w:tcBorders>
              <w:top w:val="nil"/>
              <w:left w:val="nil"/>
              <w:bottom w:val="nil"/>
              <w:right w:val="nil"/>
            </w:tcBorders>
            <w:shd w:val="clear" w:color="auto" w:fill="auto"/>
            <w:noWrap/>
            <w:vAlign w:val="center"/>
            <w:hideMark/>
          </w:tcPr>
          <w:p w14:paraId="234980AE" w14:textId="78E5DA4B" w:rsidR="009A4127" w:rsidRPr="00170240" w:rsidRDefault="009A4127" w:rsidP="009A4127">
            <w:pPr>
              <w:spacing w:after="0" w:line="240" w:lineRule="auto"/>
              <w:jc w:val="right"/>
              <w:rPr>
                <w:rFonts w:cs="Arial"/>
                <w:sz w:val="16"/>
                <w:szCs w:val="16"/>
              </w:rPr>
            </w:pPr>
            <w:r>
              <w:rPr>
                <w:rFonts w:cs="Arial"/>
                <w:sz w:val="16"/>
                <w:szCs w:val="16"/>
              </w:rPr>
              <w:t>48,80</w:t>
            </w:r>
          </w:p>
        </w:tc>
        <w:tc>
          <w:tcPr>
            <w:tcW w:w="662" w:type="dxa"/>
            <w:tcBorders>
              <w:top w:val="nil"/>
              <w:left w:val="nil"/>
              <w:bottom w:val="nil"/>
              <w:right w:val="nil"/>
            </w:tcBorders>
            <w:shd w:val="clear" w:color="auto" w:fill="auto"/>
            <w:noWrap/>
            <w:vAlign w:val="center"/>
            <w:hideMark/>
          </w:tcPr>
          <w:p w14:paraId="55DA4C28"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50,71</w:t>
            </w:r>
          </w:p>
        </w:tc>
        <w:tc>
          <w:tcPr>
            <w:tcW w:w="630" w:type="dxa"/>
            <w:tcBorders>
              <w:top w:val="nil"/>
              <w:left w:val="nil"/>
              <w:bottom w:val="nil"/>
              <w:right w:val="nil"/>
            </w:tcBorders>
            <w:shd w:val="clear" w:color="auto" w:fill="auto"/>
            <w:noWrap/>
            <w:vAlign w:val="center"/>
            <w:hideMark/>
          </w:tcPr>
          <w:p w14:paraId="32A8762B"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51,77</w:t>
            </w:r>
          </w:p>
        </w:tc>
        <w:tc>
          <w:tcPr>
            <w:tcW w:w="630" w:type="dxa"/>
            <w:tcBorders>
              <w:top w:val="nil"/>
              <w:left w:val="nil"/>
              <w:bottom w:val="nil"/>
              <w:right w:val="nil"/>
            </w:tcBorders>
            <w:shd w:val="clear" w:color="000000" w:fill="FFFFFF"/>
            <w:noWrap/>
            <w:vAlign w:val="center"/>
            <w:hideMark/>
          </w:tcPr>
          <w:p w14:paraId="03CA2F15"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47,39</w:t>
            </w:r>
          </w:p>
        </w:tc>
        <w:tc>
          <w:tcPr>
            <w:tcW w:w="634" w:type="dxa"/>
            <w:tcBorders>
              <w:top w:val="nil"/>
              <w:left w:val="nil"/>
              <w:bottom w:val="nil"/>
              <w:right w:val="nil"/>
            </w:tcBorders>
            <w:shd w:val="clear" w:color="auto" w:fill="auto"/>
            <w:noWrap/>
            <w:vAlign w:val="center"/>
            <w:hideMark/>
          </w:tcPr>
          <w:p w14:paraId="7E7CFBD6"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52,03</w:t>
            </w:r>
          </w:p>
        </w:tc>
      </w:tr>
      <w:tr w:rsidR="009A4127" w:rsidRPr="00170240" w14:paraId="210D0238" w14:textId="77777777" w:rsidTr="00B3736B">
        <w:trPr>
          <w:trHeight w:val="460"/>
        </w:trPr>
        <w:tc>
          <w:tcPr>
            <w:tcW w:w="3237" w:type="dxa"/>
            <w:tcBorders>
              <w:top w:val="nil"/>
              <w:left w:val="nil"/>
              <w:bottom w:val="nil"/>
              <w:right w:val="nil"/>
            </w:tcBorders>
            <w:shd w:val="clear" w:color="auto" w:fill="auto"/>
            <w:vAlign w:val="center"/>
            <w:hideMark/>
          </w:tcPr>
          <w:p w14:paraId="0B6982E3"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M – Profesní, vědecké a technické</w:t>
            </w:r>
          </w:p>
          <w:p w14:paraId="0521BA1E" w14:textId="3629A052"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 xml:space="preserve"> činnosti</w:t>
            </w:r>
          </w:p>
        </w:tc>
        <w:tc>
          <w:tcPr>
            <w:tcW w:w="630" w:type="dxa"/>
            <w:tcBorders>
              <w:top w:val="nil"/>
              <w:left w:val="nil"/>
              <w:bottom w:val="nil"/>
              <w:right w:val="nil"/>
            </w:tcBorders>
            <w:shd w:val="clear" w:color="auto" w:fill="auto"/>
            <w:noWrap/>
            <w:vAlign w:val="center"/>
            <w:hideMark/>
          </w:tcPr>
          <w:p w14:paraId="79EDBAB5" w14:textId="77777777" w:rsidR="009A4127" w:rsidRPr="00170240" w:rsidRDefault="009A4127" w:rsidP="009A4127">
            <w:pPr>
              <w:spacing w:after="0" w:line="240" w:lineRule="auto"/>
              <w:jc w:val="right"/>
              <w:rPr>
                <w:rFonts w:cs="Arial"/>
                <w:sz w:val="16"/>
                <w:szCs w:val="16"/>
              </w:rPr>
            </w:pPr>
            <w:r w:rsidRPr="00170240">
              <w:rPr>
                <w:rFonts w:cs="Arial"/>
                <w:sz w:val="16"/>
                <w:szCs w:val="16"/>
              </w:rPr>
              <w:t>43,58</w:t>
            </w:r>
          </w:p>
        </w:tc>
        <w:tc>
          <w:tcPr>
            <w:tcW w:w="630" w:type="dxa"/>
            <w:tcBorders>
              <w:top w:val="nil"/>
              <w:left w:val="nil"/>
              <w:bottom w:val="nil"/>
              <w:right w:val="nil"/>
            </w:tcBorders>
            <w:shd w:val="clear" w:color="auto" w:fill="auto"/>
            <w:noWrap/>
            <w:vAlign w:val="center"/>
            <w:hideMark/>
          </w:tcPr>
          <w:p w14:paraId="3020993B" w14:textId="77777777" w:rsidR="009A4127" w:rsidRPr="00170240" w:rsidRDefault="009A4127" w:rsidP="009A4127">
            <w:pPr>
              <w:spacing w:after="0" w:line="240" w:lineRule="auto"/>
              <w:jc w:val="right"/>
              <w:rPr>
                <w:rFonts w:cs="Arial"/>
                <w:sz w:val="16"/>
                <w:szCs w:val="16"/>
              </w:rPr>
            </w:pPr>
            <w:r w:rsidRPr="00170240">
              <w:rPr>
                <w:rFonts w:cs="Arial"/>
                <w:sz w:val="16"/>
                <w:szCs w:val="16"/>
              </w:rPr>
              <w:t>44,47</w:t>
            </w:r>
          </w:p>
        </w:tc>
        <w:tc>
          <w:tcPr>
            <w:tcW w:w="630" w:type="dxa"/>
            <w:tcBorders>
              <w:top w:val="nil"/>
              <w:left w:val="nil"/>
              <w:bottom w:val="nil"/>
              <w:right w:val="nil"/>
            </w:tcBorders>
            <w:shd w:val="clear" w:color="auto" w:fill="auto"/>
            <w:noWrap/>
            <w:vAlign w:val="center"/>
            <w:hideMark/>
          </w:tcPr>
          <w:p w14:paraId="6DA3406D" w14:textId="77777777" w:rsidR="009A4127" w:rsidRPr="00170240" w:rsidRDefault="009A4127" w:rsidP="009A4127">
            <w:pPr>
              <w:spacing w:after="0" w:line="240" w:lineRule="auto"/>
              <w:jc w:val="right"/>
              <w:rPr>
                <w:rFonts w:cs="Arial"/>
                <w:sz w:val="16"/>
                <w:szCs w:val="16"/>
              </w:rPr>
            </w:pPr>
            <w:r w:rsidRPr="00170240">
              <w:rPr>
                <w:rFonts w:cs="Arial"/>
                <w:sz w:val="16"/>
                <w:szCs w:val="16"/>
              </w:rPr>
              <w:t>43,77</w:t>
            </w:r>
          </w:p>
        </w:tc>
        <w:tc>
          <w:tcPr>
            <w:tcW w:w="630" w:type="dxa"/>
            <w:tcBorders>
              <w:top w:val="nil"/>
              <w:left w:val="nil"/>
              <w:bottom w:val="nil"/>
              <w:right w:val="nil"/>
            </w:tcBorders>
            <w:shd w:val="clear" w:color="auto" w:fill="auto"/>
            <w:noWrap/>
            <w:vAlign w:val="center"/>
            <w:hideMark/>
          </w:tcPr>
          <w:p w14:paraId="2AEB8731" w14:textId="77777777" w:rsidR="009A4127" w:rsidRPr="00170240" w:rsidRDefault="009A4127" w:rsidP="009A4127">
            <w:pPr>
              <w:spacing w:after="0" w:line="240" w:lineRule="auto"/>
              <w:jc w:val="right"/>
              <w:rPr>
                <w:rFonts w:cs="Arial"/>
                <w:sz w:val="16"/>
                <w:szCs w:val="16"/>
              </w:rPr>
            </w:pPr>
            <w:r w:rsidRPr="00170240">
              <w:rPr>
                <w:rFonts w:cs="Arial"/>
                <w:sz w:val="16"/>
                <w:szCs w:val="16"/>
              </w:rPr>
              <w:t>37,74</w:t>
            </w:r>
          </w:p>
        </w:tc>
        <w:tc>
          <w:tcPr>
            <w:tcW w:w="662" w:type="dxa"/>
            <w:tcBorders>
              <w:top w:val="nil"/>
              <w:left w:val="nil"/>
              <w:bottom w:val="nil"/>
              <w:right w:val="nil"/>
            </w:tcBorders>
            <w:shd w:val="clear" w:color="auto" w:fill="auto"/>
            <w:noWrap/>
            <w:vAlign w:val="center"/>
            <w:hideMark/>
          </w:tcPr>
          <w:p w14:paraId="28AE245D" w14:textId="77777777" w:rsidR="009A4127" w:rsidRPr="00170240" w:rsidRDefault="009A4127" w:rsidP="009A4127">
            <w:pPr>
              <w:spacing w:after="0" w:line="240" w:lineRule="auto"/>
              <w:jc w:val="right"/>
              <w:rPr>
                <w:rFonts w:cs="Arial"/>
                <w:sz w:val="16"/>
                <w:szCs w:val="16"/>
              </w:rPr>
            </w:pPr>
            <w:r w:rsidRPr="00170240">
              <w:rPr>
                <w:rFonts w:cs="Arial"/>
                <w:sz w:val="16"/>
                <w:szCs w:val="16"/>
              </w:rPr>
              <w:t>41,04</w:t>
            </w:r>
          </w:p>
        </w:tc>
        <w:tc>
          <w:tcPr>
            <w:tcW w:w="630" w:type="dxa"/>
            <w:tcBorders>
              <w:top w:val="nil"/>
              <w:left w:val="nil"/>
              <w:bottom w:val="nil"/>
              <w:right w:val="nil"/>
            </w:tcBorders>
            <w:shd w:val="clear" w:color="auto" w:fill="auto"/>
            <w:noWrap/>
            <w:vAlign w:val="center"/>
            <w:hideMark/>
          </w:tcPr>
          <w:p w14:paraId="3BB5DB27" w14:textId="506180BA" w:rsidR="009A4127" w:rsidRPr="00170240" w:rsidRDefault="009A4127" w:rsidP="009A4127">
            <w:pPr>
              <w:spacing w:after="0" w:line="240" w:lineRule="auto"/>
              <w:jc w:val="right"/>
              <w:rPr>
                <w:rFonts w:cs="Arial"/>
                <w:sz w:val="16"/>
                <w:szCs w:val="16"/>
              </w:rPr>
            </w:pPr>
            <w:r>
              <w:rPr>
                <w:rFonts w:cs="Arial"/>
                <w:sz w:val="16"/>
                <w:szCs w:val="16"/>
              </w:rPr>
              <w:t>35,99</w:t>
            </w:r>
          </w:p>
        </w:tc>
        <w:tc>
          <w:tcPr>
            <w:tcW w:w="662" w:type="dxa"/>
            <w:tcBorders>
              <w:top w:val="nil"/>
              <w:left w:val="nil"/>
              <w:bottom w:val="nil"/>
              <w:right w:val="nil"/>
            </w:tcBorders>
            <w:shd w:val="clear" w:color="auto" w:fill="auto"/>
            <w:noWrap/>
            <w:vAlign w:val="center"/>
            <w:hideMark/>
          </w:tcPr>
          <w:p w14:paraId="4AA53910"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37,10</w:t>
            </w:r>
          </w:p>
        </w:tc>
        <w:tc>
          <w:tcPr>
            <w:tcW w:w="630" w:type="dxa"/>
            <w:tcBorders>
              <w:top w:val="nil"/>
              <w:left w:val="nil"/>
              <w:bottom w:val="nil"/>
              <w:right w:val="nil"/>
            </w:tcBorders>
            <w:shd w:val="clear" w:color="auto" w:fill="auto"/>
            <w:noWrap/>
            <w:vAlign w:val="center"/>
            <w:hideMark/>
          </w:tcPr>
          <w:p w14:paraId="3F8B091B"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37,42</w:t>
            </w:r>
          </w:p>
        </w:tc>
        <w:tc>
          <w:tcPr>
            <w:tcW w:w="630" w:type="dxa"/>
            <w:tcBorders>
              <w:top w:val="nil"/>
              <w:left w:val="nil"/>
              <w:bottom w:val="nil"/>
              <w:right w:val="nil"/>
            </w:tcBorders>
            <w:shd w:val="clear" w:color="000000" w:fill="FFFFFF"/>
            <w:noWrap/>
            <w:vAlign w:val="center"/>
            <w:hideMark/>
          </w:tcPr>
          <w:p w14:paraId="53E93908"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36,62</w:t>
            </w:r>
          </w:p>
        </w:tc>
        <w:tc>
          <w:tcPr>
            <w:tcW w:w="634" w:type="dxa"/>
            <w:tcBorders>
              <w:top w:val="nil"/>
              <w:left w:val="nil"/>
              <w:bottom w:val="nil"/>
              <w:right w:val="nil"/>
            </w:tcBorders>
            <w:shd w:val="clear" w:color="auto" w:fill="auto"/>
            <w:noWrap/>
            <w:vAlign w:val="center"/>
            <w:hideMark/>
          </w:tcPr>
          <w:p w14:paraId="353DDB26"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40,13</w:t>
            </w:r>
          </w:p>
        </w:tc>
      </w:tr>
      <w:tr w:rsidR="009A4127" w:rsidRPr="00170240" w14:paraId="446BEEA9" w14:textId="77777777" w:rsidTr="00B3736B">
        <w:trPr>
          <w:trHeight w:val="291"/>
        </w:trPr>
        <w:tc>
          <w:tcPr>
            <w:tcW w:w="3237" w:type="dxa"/>
            <w:tcBorders>
              <w:top w:val="nil"/>
              <w:left w:val="nil"/>
              <w:bottom w:val="nil"/>
              <w:right w:val="nil"/>
            </w:tcBorders>
            <w:shd w:val="clear" w:color="auto" w:fill="auto"/>
            <w:vAlign w:val="center"/>
            <w:hideMark/>
          </w:tcPr>
          <w:p w14:paraId="193C2275"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 xml:space="preserve">N – Administrativní a podpůrné </w:t>
            </w:r>
          </w:p>
          <w:p w14:paraId="0B1AE7C7" w14:textId="7219ED5B"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činnosti</w:t>
            </w:r>
          </w:p>
        </w:tc>
        <w:tc>
          <w:tcPr>
            <w:tcW w:w="630" w:type="dxa"/>
            <w:tcBorders>
              <w:top w:val="nil"/>
              <w:left w:val="nil"/>
              <w:bottom w:val="nil"/>
              <w:right w:val="nil"/>
            </w:tcBorders>
            <w:shd w:val="clear" w:color="auto" w:fill="auto"/>
            <w:noWrap/>
            <w:vAlign w:val="center"/>
            <w:hideMark/>
          </w:tcPr>
          <w:p w14:paraId="223A7112" w14:textId="77777777" w:rsidR="009A4127" w:rsidRPr="00170240" w:rsidRDefault="009A4127" w:rsidP="009A4127">
            <w:pPr>
              <w:spacing w:after="0" w:line="240" w:lineRule="auto"/>
              <w:jc w:val="right"/>
              <w:rPr>
                <w:rFonts w:cs="Arial"/>
                <w:sz w:val="16"/>
                <w:szCs w:val="16"/>
              </w:rPr>
            </w:pPr>
            <w:r w:rsidRPr="00170240">
              <w:rPr>
                <w:rFonts w:cs="Arial"/>
                <w:sz w:val="16"/>
                <w:szCs w:val="16"/>
              </w:rPr>
              <w:t>42,57</w:t>
            </w:r>
          </w:p>
        </w:tc>
        <w:tc>
          <w:tcPr>
            <w:tcW w:w="630" w:type="dxa"/>
            <w:tcBorders>
              <w:top w:val="nil"/>
              <w:left w:val="nil"/>
              <w:bottom w:val="nil"/>
              <w:right w:val="nil"/>
            </w:tcBorders>
            <w:shd w:val="clear" w:color="auto" w:fill="auto"/>
            <w:noWrap/>
            <w:vAlign w:val="center"/>
            <w:hideMark/>
          </w:tcPr>
          <w:p w14:paraId="371086B9" w14:textId="77777777" w:rsidR="009A4127" w:rsidRPr="00170240" w:rsidRDefault="009A4127" w:rsidP="009A4127">
            <w:pPr>
              <w:spacing w:after="0" w:line="240" w:lineRule="auto"/>
              <w:jc w:val="right"/>
              <w:rPr>
                <w:rFonts w:cs="Arial"/>
                <w:sz w:val="16"/>
                <w:szCs w:val="16"/>
              </w:rPr>
            </w:pPr>
            <w:r w:rsidRPr="00170240">
              <w:rPr>
                <w:rFonts w:cs="Arial"/>
                <w:sz w:val="16"/>
                <w:szCs w:val="16"/>
              </w:rPr>
              <w:t>37,62</w:t>
            </w:r>
          </w:p>
        </w:tc>
        <w:tc>
          <w:tcPr>
            <w:tcW w:w="630" w:type="dxa"/>
            <w:tcBorders>
              <w:top w:val="nil"/>
              <w:left w:val="nil"/>
              <w:bottom w:val="nil"/>
              <w:right w:val="nil"/>
            </w:tcBorders>
            <w:shd w:val="clear" w:color="auto" w:fill="auto"/>
            <w:noWrap/>
            <w:vAlign w:val="center"/>
            <w:hideMark/>
          </w:tcPr>
          <w:p w14:paraId="100D301E" w14:textId="77777777" w:rsidR="009A4127" w:rsidRPr="00170240" w:rsidRDefault="009A4127" w:rsidP="009A4127">
            <w:pPr>
              <w:spacing w:after="0" w:line="240" w:lineRule="auto"/>
              <w:jc w:val="right"/>
              <w:rPr>
                <w:rFonts w:cs="Arial"/>
                <w:sz w:val="16"/>
                <w:szCs w:val="16"/>
              </w:rPr>
            </w:pPr>
            <w:r w:rsidRPr="00170240">
              <w:rPr>
                <w:rFonts w:cs="Arial"/>
                <w:sz w:val="16"/>
                <w:szCs w:val="16"/>
              </w:rPr>
              <w:t>47,53</w:t>
            </w:r>
          </w:p>
        </w:tc>
        <w:tc>
          <w:tcPr>
            <w:tcW w:w="630" w:type="dxa"/>
            <w:tcBorders>
              <w:top w:val="nil"/>
              <w:left w:val="nil"/>
              <w:bottom w:val="nil"/>
              <w:right w:val="nil"/>
            </w:tcBorders>
            <w:shd w:val="clear" w:color="auto" w:fill="auto"/>
            <w:noWrap/>
            <w:vAlign w:val="center"/>
            <w:hideMark/>
          </w:tcPr>
          <w:p w14:paraId="64FB9842" w14:textId="77777777" w:rsidR="009A4127" w:rsidRPr="00170240" w:rsidRDefault="009A4127" w:rsidP="009A4127">
            <w:pPr>
              <w:spacing w:after="0" w:line="240" w:lineRule="auto"/>
              <w:jc w:val="right"/>
              <w:rPr>
                <w:rFonts w:cs="Arial"/>
                <w:sz w:val="16"/>
                <w:szCs w:val="16"/>
              </w:rPr>
            </w:pPr>
            <w:r w:rsidRPr="00170240">
              <w:rPr>
                <w:rFonts w:cs="Arial"/>
                <w:sz w:val="16"/>
                <w:szCs w:val="16"/>
              </w:rPr>
              <w:t>42,53</w:t>
            </w:r>
          </w:p>
        </w:tc>
        <w:tc>
          <w:tcPr>
            <w:tcW w:w="662" w:type="dxa"/>
            <w:tcBorders>
              <w:top w:val="nil"/>
              <w:left w:val="nil"/>
              <w:bottom w:val="nil"/>
              <w:right w:val="nil"/>
            </w:tcBorders>
            <w:shd w:val="clear" w:color="auto" w:fill="auto"/>
            <w:noWrap/>
            <w:vAlign w:val="center"/>
            <w:hideMark/>
          </w:tcPr>
          <w:p w14:paraId="230D0002" w14:textId="77777777" w:rsidR="009A4127" w:rsidRPr="00170240" w:rsidRDefault="009A4127" w:rsidP="009A4127">
            <w:pPr>
              <w:spacing w:after="0" w:line="240" w:lineRule="auto"/>
              <w:jc w:val="right"/>
              <w:rPr>
                <w:rFonts w:cs="Arial"/>
                <w:sz w:val="16"/>
                <w:szCs w:val="16"/>
              </w:rPr>
            </w:pPr>
            <w:r w:rsidRPr="00170240">
              <w:rPr>
                <w:rFonts w:cs="Arial"/>
                <w:sz w:val="16"/>
                <w:szCs w:val="16"/>
              </w:rPr>
              <w:t>42,28</w:t>
            </w:r>
          </w:p>
        </w:tc>
        <w:tc>
          <w:tcPr>
            <w:tcW w:w="630" w:type="dxa"/>
            <w:tcBorders>
              <w:top w:val="nil"/>
              <w:left w:val="nil"/>
              <w:bottom w:val="nil"/>
              <w:right w:val="nil"/>
            </w:tcBorders>
            <w:shd w:val="clear" w:color="auto" w:fill="auto"/>
            <w:noWrap/>
            <w:vAlign w:val="center"/>
            <w:hideMark/>
          </w:tcPr>
          <w:p w14:paraId="44C61302" w14:textId="1F0EC46D" w:rsidR="009A4127" w:rsidRPr="00170240" w:rsidRDefault="009A4127" w:rsidP="009A4127">
            <w:pPr>
              <w:spacing w:after="0" w:line="240" w:lineRule="auto"/>
              <w:jc w:val="right"/>
              <w:rPr>
                <w:rFonts w:cs="Arial"/>
                <w:sz w:val="16"/>
                <w:szCs w:val="16"/>
              </w:rPr>
            </w:pPr>
            <w:r>
              <w:rPr>
                <w:rFonts w:cs="Arial"/>
                <w:sz w:val="16"/>
                <w:szCs w:val="16"/>
              </w:rPr>
              <w:t>37,47</w:t>
            </w:r>
          </w:p>
        </w:tc>
        <w:tc>
          <w:tcPr>
            <w:tcW w:w="662" w:type="dxa"/>
            <w:tcBorders>
              <w:top w:val="nil"/>
              <w:left w:val="nil"/>
              <w:bottom w:val="nil"/>
              <w:right w:val="nil"/>
            </w:tcBorders>
            <w:shd w:val="clear" w:color="auto" w:fill="auto"/>
            <w:noWrap/>
            <w:vAlign w:val="center"/>
            <w:hideMark/>
          </w:tcPr>
          <w:p w14:paraId="7DD41C19"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38,49</w:t>
            </w:r>
          </w:p>
        </w:tc>
        <w:tc>
          <w:tcPr>
            <w:tcW w:w="630" w:type="dxa"/>
            <w:tcBorders>
              <w:top w:val="nil"/>
              <w:left w:val="nil"/>
              <w:bottom w:val="nil"/>
              <w:right w:val="nil"/>
            </w:tcBorders>
            <w:shd w:val="clear" w:color="auto" w:fill="auto"/>
            <w:noWrap/>
            <w:vAlign w:val="center"/>
            <w:hideMark/>
          </w:tcPr>
          <w:p w14:paraId="4D46EC42"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38,13</w:t>
            </w:r>
          </w:p>
        </w:tc>
        <w:tc>
          <w:tcPr>
            <w:tcW w:w="630" w:type="dxa"/>
            <w:tcBorders>
              <w:top w:val="nil"/>
              <w:left w:val="nil"/>
              <w:bottom w:val="nil"/>
              <w:right w:val="nil"/>
            </w:tcBorders>
            <w:shd w:val="clear" w:color="000000" w:fill="FFFFFF"/>
            <w:noWrap/>
            <w:vAlign w:val="center"/>
            <w:hideMark/>
          </w:tcPr>
          <w:p w14:paraId="34E27F83"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39,04</w:t>
            </w:r>
          </w:p>
        </w:tc>
        <w:tc>
          <w:tcPr>
            <w:tcW w:w="634" w:type="dxa"/>
            <w:tcBorders>
              <w:top w:val="nil"/>
              <w:left w:val="nil"/>
              <w:bottom w:val="nil"/>
              <w:right w:val="nil"/>
            </w:tcBorders>
            <w:shd w:val="clear" w:color="auto" w:fill="auto"/>
            <w:noWrap/>
            <w:vAlign w:val="center"/>
            <w:hideMark/>
          </w:tcPr>
          <w:p w14:paraId="70428EC4"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43,66</w:t>
            </w:r>
          </w:p>
        </w:tc>
      </w:tr>
      <w:tr w:rsidR="009A4127" w:rsidRPr="00170240" w14:paraId="6EDC79CF" w14:textId="77777777" w:rsidTr="00B3736B">
        <w:trPr>
          <w:trHeight w:val="460"/>
        </w:trPr>
        <w:tc>
          <w:tcPr>
            <w:tcW w:w="3237" w:type="dxa"/>
            <w:tcBorders>
              <w:top w:val="nil"/>
              <w:left w:val="nil"/>
              <w:bottom w:val="nil"/>
              <w:right w:val="nil"/>
            </w:tcBorders>
            <w:shd w:val="clear" w:color="auto" w:fill="auto"/>
            <w:vAlign w:val="center"/>
            <w:hideMark/>
          </w:tcPr>
          <w:p w14:paraId="5CDF205C"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O – Veřejná správa a obrana; povinné</w:t>
            </w:r>
          </w:p>
          <w:p w14:paraId="7BAFB42A" w14:textId="748AC9A0"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 xml:space="preserve"> sociální zabezpečení</w:t>
            </w:r>
          </w:p>
        </w:tc>
        <w:tc>
          <w:tcPr>
            <w:tcW w:w="630" w:type="dxa"/>
            <w:tcBorders>
              <w:top w:val="nil"/>
              <w:left w:val="nil"/>
              <w:bottom w:val="nil"/>
              <w:right w:val="nil"/>
            </w:tcBorders>
            <w:shd w:val="clear" w:color="auto" w:fill="auto"/>
            <w:noWrap/>
            <w:vAlign w:val="center"/>
            <w:hideMark/>
          </w:tcPr>
          <w:p w14:paraId="1E9FA93E" w14:textId="77777777" w:rsidR="009A4127" w:rsidRPr="00170240" w:rsidRDefault="009A4127" w:rsidP="009A4127">
            <w:pPr>
              <w:spacing w:after="0" w:line="240" w:lineRule="auto"/>
              <w:jc w:val="right"/>
              <w:rPr>
                <w:rFonts w:cs="Arial"/>
                <w:sz w:val="16"/>
                <w:szCs w:val="16"/>
              </w:rPr>
            </w:pPr>
            <w:r w:rsidRPr="00170240">
              <w:rPr>
                <w:rFonts w:cs="Arial"/>
                <w:sz w:val="16"/>
                <w:szCs w:val="16"/>
              </w:rPr>
              <w:t>32,39</w:t>
            </w:r>
          </w:p>
        </w:tc>
        <w:tc>
          <w:tcPr>
            <w:tcW w:w="630" w:type="dxa"/>
            <w:tcBorders>
              <w:top w:val="nil"/>
              <w:left w:val="nil"/>
              <w:bottom w:val="nil"/>
              <w:right w:val="nil"/>
            </w:tcBorders>
            <w:shd w:val="clear" w:color="auto" w:fill="auto"/>
            <w:noWrap/>
            <w:vAlign w:val="center"/>
            <w:hideMark/>
          </w:tcPr>
          <w:p w14:paraId="6E2C7E45" w14:textId="77777777" w:rsidR="009A4127" w:rsidRPr="00170240" w:rsidRDefault="009A4127" w:rsidP="009A4127">
            <w:pPr>
              <w:spacing w:after="0" w:line="240" w:lineRule="auto"/>
              <w:jc w:val="right"/>
              <w:rPr>
                <w:rFonts w:cs="Arial"/>
                <w:sz w:val="16"/>
                <w:szCs w:val="16"/>
              </w:rPr>
            </w:pPr>
            <w:r w:rsidRPr="00170240">
              <w:rPr>
                <w:rFonts w:cs="Arial"/>
                <w:sz w:val="16"/>
                <w:szCs w:val="16"/>
              </w:rPr>
              <w:t>33,10</w:t>
            </w:r>
          </w:p>
        </w:tc>
        <w:tc>
          <w:tcPr>
            <w:tcW w:w="630" w:type="dxa"/>
            <w:tcBorders>
              <w:top w:val="nil"/>
              <w:left w:val="nil"/>
              <w:bottom w:val="nil"/>
              <w:right w:val="nil"/>
            </w:tcBorders>
            <w:shd w:val="clear" w:color="auto" w:fill="auto"/>
            <w:noWrap/>
            <w:vAlign w:val="center"/>
            <w:hideMark/>
          </w:tcPr>
          <w:p w14:paraId="3BF51999" w14:textId="77777777" w:rsidR="009A4127" w:rsidRPr="00170240" w:rsidRDefault="009A4127" w:rsidP="009A4127">
            <w:pPr>
              <w:spacing w:after="0" w:line="240" w:lineRule="auto"/>
              <w:jc w:val="right"/>
              <w:rPr>
                <w:rFonts w:cs="Arial"/>
                <w:sz w:val="16"/>
                <w:szCs w:val="16"/>
              </w:rPr>
            </w:pPr>
            <w:r w:rsidRPr="00170240">
              <w:rPr>
                <w:rFonts w:cs="Arial"/>
                <w:sz w:val="16"/>
                <w:szCs w:val="16"/>
              </w:rPr>
              <w:t>39,96</w:t>
            </w:r>
          </w:p>
        </w:tc>
        <w:tc>
          <w:tcPr>
            <w:tcW w:w="630" w:type="dxa"/>
            <w:tcBorders>
              <w:top w:val="nil"/>
              <w:left w:val="nil"/>
              <w:bottom w:val="nil"/>
              <w:right w:val="nil"/>
            </w:tcBorders>
            <w:shd w:val="clear" w:color="auto" w:fill="auto"/>
            <w:noWrap/>
            <w:vAlign w:val="center"/>
            <w:hideMark/>
          </w:tcPr>
          <w:p w14:paraId="44E3D83A" w14:textId="77777777" w:rsidR="009A4127" w:rsidRPr="00170240" w:rsidRDefault="009A4127" w:rsidP="009A4127">
            <w:pPr>
              <w:spacing w:after="0" w:line="240" w:lineRule="auto"/>
              <w:jc w:val="right"/>
              <w:rPr>
                <w:rFonts w:cs="Arial"/>
                <w:sz w:val="16"/>
                <w:szCs w:val="16"/>
              </w:rPr>
            </w:pPr>
            <w:r w:rsidRPr="00170240">
              <w:rPr>
                <w:rFonts w:cs="Arial"/>
                <w:sz w:val="16"/>
                <w:szCs w:val="16"/>
              </w:rPr>
              <w:t>32,31</w:t>
            </w:r>
          </w:p>
        </w:tc>
        <w:tc>
          <w:tcPr>
            <w:tcW w:w="662" w:type="dxa"/>
            <w:tcBorders>
              <w:top w:val="nil"/>
              <w:left w:val="nil"/>
              <w:bottom w:val="nil"/>
              <w:right w:val="nil"/>
            </w:tcBorders>
            <w:shd w:val="clear" w:color="auto" w:fill="auto"/>
            <w:noWrap/>
            <w:vAlign w:val="center"/>
            <w:hideMark/>
          </w:tcPr>
          <w:p w14:paraId="73EAF425" w14:textId="77777777" w:rsidR="009A4127" w:rsidRPr="00170240" w:rsidRDefault="009A4127" w:rsidP="009A4127">
            <w:pPr>
              <w:spacing w:after="0" w:line="240" w:lineRule="auto"/>
              <w:jc w:val="right"/>
              <w:rPr>
                <w:rFonts w:cs="Arial"/>
                <w:sz w:val="16"/>
                <w:szCs w:val="16"/>
              </w:rPr>
            </w:pPr>
            <w:r w:rsidRPr="00170240">
              <w:rPr>
                <w:rFonts w:cs="Arial"/>
                <w:sz w:val="16"/>
                <w:szCs w:val="16"/>
              </w:rPr>
              <w:t>37,93</w:t>
            </w:r>
          </w:p>
        </w:tc>
        <w:tc>
          <w:tcPr>
            <w:tcW w:w="630" w:type="dxa"/>
            <w:tcBorders>
              <w:top w:val="nil"/>
              <w:left w:val="nil"/>
              <w:bottom w:val="nil"/>
              <w:right w:val="nil"/>
            </w:tcBorders>
            <w:shd w:val="clear" w:color="auto" w:fill="auto"/>
            <w:noWrap/>
            <w:vAlign w:val="center"/>
            <w:hideMark/>
          </w:tcPr>
          <w:p w14:paraId="17A52FCC" w14:textId="4D85024D" w:rsidR="009A4127" w:rsidRPr="00170240" w:rsidRDefault="009A4127" w:rsidP="009A4127">
            <w:pPr>
              <w:spacing w:after="0" w:line="240" w:lineRule="auto"/>
              <w:jc w:val="right"/>
              <w:rPr>
                <w:rFonts w:cs="Arial"/>
                <w:sz w:val="16"/>
                <w:szCs w:val="16"/>
              </w:rPr>
            </w:pPr>
            <w:r>
              <w:rPr>
                <w:rFonts w:cs="Arial"/>
                <w:sz w:val="16"/>
                <w:szCs w:val="16"/>
              </w:rPr>
              <w:t>32,69</w:t>
            </w:r>
          </w:p>
        </w:tc>
        <w:tc>
          <w:tcPr>
            <w:tcW w:w="662" w:type="dxa"/>
            <w:tcBorders>
              <w:top w:val="nil"/>
              <w:left w:val="nil"/>
              <w:bottom w:val="nil"/>
              <w:right w:val="nil"/>
            </w:tcBorders>
            <w:shd w:val="clear" w:color="auto" w:fill="auto"/>
            <w:noWrap/>
            <w:vAlign w:val="center"/>
            <w:hideMark/>
          </w:tcPr>
          <w:p w14:paraId="37275E6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35,96</w:t>
            </w:r>
          </w:p>
        </w:tc>
        <w:tc>
          <w:tcPr>
            <w:tcW w:w="630" w:type="dxa"/>
            <w:tcBorders>
              <w:top w:val="nil"/>
              <w:left w:val="nil"/>
              <w:bottom w:val="nil"/>
              <w:right w:val="nil"/>
            </w:tcBorders>
            <w:shd w:val="clear" w:color="auto" w:fill="auto"/>
            <w:noWrap/>
            <w:vAlign w:val="center"/>
            <w:hideMark/>
          </w:tcPr>
          <w:p w14:paraId="7C5E7A13"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34,52</w:t>
            </w:r>
          </w:p>
        </w:tc>
        <w:tc>
          <w:tcPr>
            <w:tcW w:w="630" w:type="dxa"/>
            <w:tcBorders>
              <w:top w:val="nil"/>
              <w:left w:val="nil"/>
              <w:bottom w:val="nil"/>
              <w:right w:val="nil"/>
            </w:tcBorders>
            <w:shd w:val="clear" w:color="000000" w:fill="FFFFFF"/>
            <w:noWrap/>
            <w:vAlign w:val="center"/>
            <w:hideMark/>
          </w:tcPr>
          <w:p w14:paraId="4F7E1C1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32,23</w:t>
            </w:r>
          </w:p>
        </w:tc>
        <w:tc>
          <w:tcPr>
            <w:tcW w:w="634" w:type="dxa"/>
            <w:tcBorders>
              <w:top w:val="nil"/>
              <w:left w:val="nil"/>
              <w:bottom w:val="nil"/>
              <w:right w:val="nil"/>
            </w:tcBorders>
            <w:shd w:val="clear" w:color="auto" w:fill="auto"/>
            <w:noWrap/>
            <w:vAlign w:val="center"/>
            <w:hideMark/>
          </w:tcPr>
          <w:p w14:paraId="3409966C"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35,56</w:t>
            </w:r>
          </w:p>
        </w:tc>
      </w:tr>
      <w:tr w:rsidR="009A4127" w:rsidRPr="00170240" w14:paraId="73ED4D82" w14:textId="77777777" w:rsidTr="00B3736B">
        <w:trPr>
          <w:trHeight w:val="291"/>
        </w:trPr>
        <w:tc>
          <w:tcPr>
            <w:tcW w:w="3237" w:type="dxa"/>
            <w:tcBorders>
              <w:top w:val="nil"/>
              <w:left w:val="nil"/>
              <w:bottom w:val="nil"/>
              <w:right w:val="nil"/>
            </w:tcBorders>
            <w:shd w:val="clear" w:color="auto" w:fill="auto"/>
            <w:vAlign w:val="center"/>
            <w:hideMark/>
          </w:tcPr>
          <w:p w14:paraId="1B39EC78"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P – Vzdělávání</w:t>
            </w:r>
          </w:p>
        </w:tc>
        <w:tc>
          <w:tcPr>
            <w:tcW w:w="630" w:type="dxa"/>
            <w:tcBorders>
              <w:top w:val="nil"/>
              <w:left w:val="nil"/>
              <w:bottom w:val="nil"/>
              <w:right w:val="nil"/>
            </w:tcBorders>
            <w:shd w:val="clear" w:color="auto" w:fill="auto"/>
            <w:noWrap/>
            <w:vAlign w:val="center"/>
            <w:hideMark/>
          </w:tcPr>
          <w:p w14:paraId="18316B39" w14:textId="77777777" w:rsidR="009A4127" w:rsidRPr="00170240" w:rsidRDefault="009A4127" w:rsidP="009A4127">
            <w:pPr>
              <w:spacing w:after="0" w:line="240" w:lineRule="auto"/>
              <w:jc w:val="right"/>
              <w:rPr>
                <w:rFonts w:cs="Arial"/>
                <w:sz w:val="16"/>
                <w:szCs w:val="16"/>
              </w:rPr>
            </w:pPr>
            <w:r w:rsidRPr="00170240">
              <w:rPr>
                <w:rFonts w:cs="Arial"/>
                <w:sz w:val="16"/>
                <w:szCs w:val="16"/>
              </w:rPr>
              <w:t>31,51</w:t>
            </w:r>
          </w:p>
        </w:tc>
        <w:tc>
          <w:tcPr>
            <w:tcW w:w="630" w:type="dxa"/>
            <w:tcBorders>
              <w:top w:val="nil"/>
              <w:left w:val="nil"/>
              <w:bottom w:val="nil"/>
              <w:right w:val="nil"/>
            </w:tcBorders>
            <w:shd w:val="clear" w:color="auto" w:fill="auto"/>
            <w:noWrap/>
            <w:vAlign w:val="center"/>
            <w:hideMark/>
          </w:tcPr>
          <w:p w14:paraId="3AEB22F4" w14:textId="77777777" w:rsidR="009A4127" w:rsidRPr="00170240" w:rsidRDefault="009A4127" w:rsidP="009A4127">
            <w:pPr>
              <w:spacing w:after="0" w:line="240" w:lineRule="auto"/>
              <w:jc w:val="right"/>
              <w:rPr>
                <w:rFonts w:cs="Arial"/>
                <w:sz w:val="16"/>
                <w:szCs w:val="16"/>
              </w:rPr>
            </w:pPr>
            <w:r w:rsidRPr="00170240">
              <w:rPr>
                <w:rFonts w:cs="Arial"/>
                <w:sz w:val="16"/>
                <w:szCs w:val="16"/>
              </w:rPr>
              <w:t>29,94</w:t>
            </w:r>
          </w:p>
        </w:tc>
        <w:tc>
          <w:tcPr>
            <w:tcW w:w="630" w:type="dxa"/>
            <w:tcBorders>
              <w:top w:val="nil"/>
              <w:left w:val="nil"/>
              <w:bottom w:val="nil"/>
              <w:right w:val="nil"/>
            </w:tcBorders>
            <w:shd w:val="clear" w:color="auto" w:fill="auto"/>
            <w:noWrap/>
            <w:vAlign w:val="center"/>
            <w:hideMark/>
          </w:tcPr>
          <w:p w14:paraId="69A8BBC9" w14:textId="77777777" w:rsidR="009A4127" w:rsidRPr="00170240" w:rsidRDefault="009A4127" w:rsidP="009A4127">
            <w:pPr>
              <w:spacing w:after="0" w:line="240" w:lineRule="auto"/>
              <w:jc w:val="right"/>
              <w:rPr>
                <w:rFonts w:cs="Arial"/>
                <w:sz w:val="16"/>
                <w:szCs w:val="16"/>
              </w:rPr>
            </w:pPr>
            <w:r w:rsidRPr="00170240">
              <w:rPr>
                <w:rFonts w:cs="Arial"/>
                <w:sz w:val="16"/>
                <w:szCs w:val="16"/>
              </w:rPr>
              <w:t>35,76</w:t>
            </w:r>
          </w:p>
        </w:tc>
        <w:tc>
          <w:tcPr>
            <w:tcW w:w="630" w:type="dxa"/>
            <w:tcBorders>
              <w:top w:val="nil"/>
              <w:left w:val="nil"/>
              <w:bottom w:val="nil"/>
              <w:right w:val="nil"/>
            </w:tcBorders>
            <w:shd w:val="clear" w:color="auto" w:fill="auto"/>
            <w:noWrap/>
            <w:vAlign w:val="center"/>
            <w:hideMark/>
          </w:tcPr>
          <w:p w14:paraId="0939035C" w14:textId="77777777" w:rsidR="009A4127" w:rsidRPr="00170240" w:rsidRDefault="009A4127" w:rsidP="009A4127">
            <w:pPr>
              <w:spacing w:after="0" w:line="240" w:lineRule="auto"/>
              <w:jc w:val="right"/>
              <w:rPr>
                <w:rFonts w:cs="Arial"/>
                <w:sz w:val="16"/>
                <w:szCs w:val="16"/>
              </w:rPr>
            </w:pPr>
            <w:r w:rsidRPr="00170240">
              <w:rPr>
                <w:rFonts w:cs="Arial"/>
                <w:sz w:val="16"/>
                <w:szCs w:val="16"/>
              </w:rPr>
              <w:t>30,90</w:t>
            </w:r>
          </w:p>
        </w:tc>
        <w:tc>
          <w:tcPr>
            <w:tcW w:w="662" w:type="dxa"/>
            <w:tcBorders>
              <w:top w:val="nil"/>
              <w:left w:val="nil"/>
              <w:bottom w:val="nil"/>
              <w:right w:val="nil"/>
            </w:tcBorders>
            <w:shd w:val="clear" w:color="auto" w:fill="auto"/>
            <w:noWrap/>
            <w:vAlign w:val="center"/>
            <w:hideMark/>
          </w:tcPr>
          <w:p w14:paraId="6B42A521" w14:textId="77777777" w:rsidR="009A4127" w:rsidRPr="00170240" w:rsidRDefault="009A4127" w:rsidP="009A4127">
            <w:pPr>
              <w:spacing w:after="0" w:line="240" w:lineRule="auto"/>
              <w:jc w:val="right"/>
              <w:rPr>
                <w:rFonts w:cs="Arial"/>
                <w:sz w:val="16"/>
                <w:szCs w:val="16"/>
              </w:rPr>
            </w:pPr>
            <w:r w:rsidRPr="00170240">
              <w:rPr>
                <w:rFonts w:cs="Arial"/>
                <w:sz w:val="16"/>
                <w:szCs w:val="16"/>
              </w:rPr>
              <w:t>35,02</w:t>
            </w:r>
          </w:p>
        </w:tc>
        <w:tc>
          <w:tcPr>
            <w:tcW w:w="630" w:type="dxa"/>
            <w:tcBorders>
              <w:top w:val="nil"/>
              <w:left w:val="nil"/>
              <w:bottom w:val="nil"/>
              <w:right w:val="nil"/>
            </w:tcBorders>
            <w:shd w:val="clear" w:color="auto" w:fill="auto"/>
            <w:noWrap/>
            <w:vAlign w:val="center"/>
            <w:hideMark/>
          </w:tcPr>
          <w:p w14:paraId="76C5D27B" w14:textId="1FFBA23A" w:rsidR="009A4127" w:rsidRPr="00170240" w:rsidRDefault="009A4127" w:rsidP="009A4127">
            <w:pPr>
              <w:spacing w:after="0" w:line="240" w:lineRule="auto"/>
              <w:jc w:val="right"/>
              <w:rPr>
                <w:rFonts w:cs="Arial"/>
                <w:sz w:val="16"/>
                <w:szCs w:val="16"/>
              </w:rPr>
            </w:pPr>
            <w:r>
              <w:rPr>
                <w:rFonts w:cs="Arial"/>
                <w:sz w:val="16"/>
                <w:szCs w:val="16"/>
              </w:rPr>
              <w:t>28,72</w:t>
            </w:r>
          </w:p>
        </w:tc>
        <w:tc>
          <w:tcPr>
            <w:tcW w:w="662" w:type="dxa"/>
            <w:tcBorders>
              <w:top w:val="nil"/>
              <w:left w:val="nil"/>
              <w:bottom w:val="nil"/>
              <w:right w:val="nil"/>
            </w:tcBorders>
            <w:shd w:val="clear" w:color="auto" w:fill="auto"/>
            <w:noWrap/>
            <w:vAlign w:val="center"/>
            <w:hideMark/>
          </w:tcPr>
          <w:p w14:paraId="1E289D51"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31,26</w:t>
            </w:r>
          </w:p>
        </w:tc>
        <w:tc>
          <w:tcPr>
            <w:tcW w:w="630" w:type="dxa"/>
            <w:tcBorders>
              <w:top w:val="nil"/>
              <w:left w:val="nil"/>
              <w:bottom w:val="nil"/>
              <w:right w:val="nil"/>
            </w:tcBorders>
            <w:shd w:val="clear" w:color="auto" w:fill="auto"/>
            <w:noWrap/>
            <w:vAlign w:val="center"/>
            <w:hideMark/>
          </w:tcPr>
          <w:p w14:paraId="1727DDC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29,80</w:t>
            </w:r>
          </w:p>
        </w:tc>
        <w:tc>
          <w:tcPr>
            <w:tcW w:w="630" w:type="dxa"/>
            <w:tcBorders>
              <w:top w:val="nil"/>
              <w:left w:val="nil"/>
              <w:bottom w:val="nil"/>
              <w:right w:val="nil"/>
            </w:tcBorders>
            <w:shd w:val="clear" w:color="000000" w:fill="FFFFFF"/>
            <w:noWrap/>
            <w:vAlign w:val="center"/>
            <w:hideMark/>
          </w:tcPr>
          <w:p w14:paraId="6F74F635"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27,71</w:t>
            </w:r>
          </w:p>
        </w:tc>
        <w:tc>
          <w:tcPr>
            <w:tcW w:w="634" w:type="dxa"/>
            <w:tcBorders>
              <w:top w:val="nil"/>
              <w:left w:val="nil"/>
              <w:bottom w:val="nil"/>
              <w:right w:val="nil"/>
            </w:tcBorders>
            <w:shd w:val="clear" w:color="auto" w:fill="auto"/>
            <w:noWrap/>
            <w:vAlign w:val="center"/>
            <w:hideMark/>
          </w:tcPr>
          <w:p w14:paraId="75164F4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30,42</w:t>
            </w:r>
          </w:p>
        </w:tc>
      </w:tr>
      <w:tr w:rsidR="009A4127" w:rsidRPr="00170240" w14:paraId="0C7D6DA6" w14:textId="77777777" w:rsidTr="00B3736B">
        <w:trPr>
          <w:trHeight w:val="291"/>
        </w:trPr>
        <w:tc>
          <w:tcPr>
            <w:tcW w:w="3237" w:type="dxa"/>
            <w:tcBorders>
              <w:top w:val="nil"/>
              <w:left w:val="nil"/>
              <w:bottom w:val="nil"/>
              <w:right w:val="nil"/>
            </w:tcBorders>
            <w:shd w:val="clear" w:color="auto" w:fill="auto"/>
            <w:vAlign w:val="center"/>
            <w:hideMark/>
          </w:tcPr>
          <w:p w14:paraId="71C35CE6"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Q – Zdravotní a sociální péče</w:t>
            </w:r>
          </w:p>
        </w:tc>
        <w:tc>
          <w:tcPr>
            <w:tcW w:w="630" w:type="dxa"/>
            <w:tcBorders>
              <w:top w:val="nil"/>
              <w:left w:val="nil"/>
              <w:bottom w:val="nil"/>
              <w:right w:val="nil"/>
            </w:tcBorders>
            <w:shd w:val="clear" w:color="auto" w:fill="auto"/>
            <w:noWrap/>
            <w:vAlign w:val="center"/>
            <w:hideMark/>
          </w:tcPr>
          <w:p w14:paraId="6ECFDA50" w14:textId="77777777" w:rsidR="009A4127" w:rsidRPr="00170240" w:rsidRDefault="009A4127" w:rsidP="009A4127">
            <w:pPr>
              <w:spacing w:after="0" w:line="240" w:lineRule="auto"/>
              <w:jc w:val="right"/>
              <w:rPr>
                <w:rFonts w:cs="Arial"/>
                <w:sz w:val="16"/>
                <w:szCs w:val="16"/>
              </w:rPr>
            </w:pPr>
            <w:r w:rsidRPr="00170240">
              <w:rPr>
                <w:rFonts w:cs="Arial"/>
                <w:sz w:val="16"/>
                <w:szCs w:val="16"/>
              </w:rPr>
              <w:t>46,01</w:t>
            </w:r>
          </w:p>
        </w:tc>
        <w:tc>
          <w:tcPr>
            <w:tcW w:w="630" w:type="dxa"/>
            <w:tcBorders>
              <w:top w:val="nil"/>
              <w:left w:val="nil"/>
              <w:bottom w:val="nil"/>
              <w:right w:val="nil"/>
            </w:tcBorders>
            <w:shd w:val="clear" w:color="auto" w:fill="auto"/>
            <w:noWrap/>
            <w:vAlign w:val="center"/>
            <w:hideMark/>
          </w:tcPr>
          <w:p w14:paraId="36F72B85" w14:textId="77777777" w:rsidR="009A4127" w:rsidRPr="00170240" w:rsidRDefault="009A4127" w:rsidP="009A4127">
            <w:pPr>
              <w:spacing w:after="0" w:line="240" w:lineRule="auto"/>
              <w:jc w:val="right"/>
              <w:rPr>
                <w:rFonts w:cs="Arial"/>
                <w:sz w:val="16"/>
                <w:szCs w:val="16"/>
              </w:rPr>
            </w:pPr>
            <w:r w:rsidRPr="00170240">
              <w:rPr>
                <w:rFonts w:cs="Arial"/>
                <w:sz w:val="16"/>
                <w:szCs w:val="16"/>
              </w:rPr>
              <w:t>46,18</w:t>
            </w:r>
          </w:p>
        </w:tc>
        <w:tc>
          <w:tcPr>
            <w:tcW w:w="630" w:type="dxa"/>
            <w:tcBorders>
              <w:top w:val="nil"/>
              <w:left w:val="nil"/>
              <w:bottom w:val="nil"/>
              <w:right w:val="nil"/>
            </w:tcBorders>
            <w:shd w:val="clear" w:color="auto" w:fill="auto"/>
            <w:noWrap/>
            <w:vAlign w:val="center"/>
            <w:hideMark/>
          </w:tcPr>
          <w:p w14:paraId="434D5BEB" w14:textId="77777777" w:rsidR="009A4127" w:rsidRPr="00170240" w:rsidRDefault="009A4127" w:rsidP="009A4127">
            <w:pPr>
              <w:spacing w:after="0" w:line="240" w:lineRule="auto"/>
              <w:jc w:val="right"/>
              <w:rPr>
                <w:rFonts w:cs="Arial"/>
                <w:sz w:val="16"/>
                <w:szCs w:val="16"/>
              </w:rPr>
            </w:pPr>
            <w:r w:rsidRPr="00170240">
              <w:rPr>
                <w:rFonts w:cs="Arial"/>
                <w:sz w:val="16"/>
                <w:szCs w:val="16"/>
              </w:rPr>
              <w:t>51,93</w:t>
            </w:r>
          </w:p>
        </w:tc>
        <w:tc>
          <w:tcPr>
            <w:tcW w:w="630" w:type="dxa"/>
            <w:tcBorders>
              <w:top w:val="nil"/>
              <w:left w:val="nil"/>
              <w:bottom w:val="nil"/>
              <w:right w:val="nil"/>
            </w:tcBorders>
            <w:shd w:val="clear" w:color="auto" w:fill="auto"/>
            <w:noWrap/>
            <w:vAlign w:val="center"/>
            <w:hideMark/>
          </w:tcPr>
          <w:p w14:paraId="09CC0E9B" w14:textId="77777777" w:rsidR="009A4127" w:rsidRPr="00170240" w:rsidRDefault="009A4127" w:rsidP="009A4127">
            <w:pPr>
              <w:spacing w:after="0" w:line="240" w:lineRule="auto"/>
              <w:jc w:val="right"/>
              <w:rPr>
                <w:rFonts w:cs="Arial"/>
                <w:sz w:val="16"/>
                <w:szCs w:val="16"/>
              </w:rPr>
            </w:pPr>
            <w:r w:rsidRPr="00170240">
              <w:rPr>
                <w:rFonts w:cs="Arial"/>
                <w:sz w:val="16"/>
                <w:szCs w:val="16"/>
              </w:rPr>
              <w:t>45,06</w:t>
            </w:r>
          </w:p>
        </w:tc>
        <w:tc>
          <w:tcPr>
            <w:tcW w:w="662" w:type="dxa"/>
            <w:tcBorders>
              <w:top w:val="nil"/>
              <w:left w:val="nil"/>
              <w:bottom w:val="nil"/>
              <w:right w:val="nil"/>
            </w:tcBorders>
            <w:shd w:val="clear" w:color="auto" w:fill="auto"/>
            <w:noWrap/>
            <w:vAlign w:val="center"/>
            <w:hideMark/>
          </w:tcPr>
          <w:p w14:paraId="745907AE" w14:textId="77777777" w:rsidR="009A4127" w:rsidRPr="00170240" w:rsidRDefault="009A4127" w:rsidP="009A4127">
            <w:pPr>
              <w:spacing w:after="0" w:line="240" w:lineRule="auto"/>
              <w:jc w:val="right"/>
              <w:rPr>
                <w:rFonts w:cs="Arial"/>
                <w:sz w:val="16"/>
                <w:szCs w:val="16"/>
              </w:rPr>
            </w:pPr>
            <w:r w:rsidRPr="00170240">
              <w:rPr>
                <w:rFonts w:cs="Arial"/>
                <w:sz w:val="16"/>
                <w:szCs w:val="16"/>
              </w:rPr>
              <w:t>50,87</w:t>
            </w:r>
          </w:p>
        </w:tc>
        <w:tc>
          <w:tcPr>
            <w:tcW w:w="630" w:type="dxa"/>
            <w:tcBorders>
              <w:top w:val="nil"/>
              <w:left w:val="nil"/>
              <w:bottom w:val="nil"/>
              <w:right w:val="nil"/>
            </w:tcBorders>
            <w:shd w:val="clear" w:color="auto" w:fill="auto"/>
            <w:noWrap/>
            <w:vAlign w:val="center"/>
            <w:hideMark/>
          </w:tcPr>
          <w:p w14:paraId="168880F8" w14:textId="63B41DF3" w:rsidR="009A4127" w:rsidRPr="00170240" w:rsidRDefault="009A4127" w:rsidP="009A4127">
            <w:pPr>
              <w:spacing w:after="0" w:line="240" w:lineRule="auto"/>
              <w:jc w:val="right"/>
              <w:rPr>
                <w:rFonts w:cs="Arial"/>
                <w:sz w:val="16"/>
                <w:szCs w:val="16"/>
              </w:rPr>
            </w:pPr>
            <w:r>
              <w:rPr>
                <w:rFonts w:cs="Arial"/>
                <w:sz w:val="16"/>
                <w:szCs w:val="16"/>
              </w:rPr>
              <w:t>44,49</w:t>
            </w:r>
          </w:p>
        </w:tc>
        <w:tc>
          <w:tcPr>
            <w:tcW w:w="662" w:type="dxa"/>
            <w:tcBorders>
              <w:top w:val="nil"/>
              <w:left w:val="nil"/>
              <w:bottom w:val="nil"/>
              <w:right w:val="nil"/>
            </w:tcBorders>
            <w:shd w:val="clear" w:color="auto" w:fill="auto"/>
            <w:noWrap/>
            <w:vAlign w:val="center"/>
            <w:hideMark/>
          </w:tcPr>
          <w:p w14:paraId="0DC86D28"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46,86</w:t>
            </w:r>
          </w:p>
        </w:tc>
        <w:tc>
          <w:tcPr>
            <w:tcW w:w="630" w:type="dxa"/>
            <w:tcBorders>
              <w:top w:val="nil"/>
              <w:left w:val="nil"/>
              <w:bottom w:val="nil"/>
              <w:right w:val="nil"/>
            </w:tcBorders>
            <w:shd w:val="clear" w:color="auto" w:fill="auto"/>
            <w:noWrap/>
            <w:vAlign w:val="center"/>
            <w:hideMark/>
          </w:tcPr>
          <w:p w14:paraId="5D1060CF"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45,44</w:t>
            </w:r>
          </w:p>
        </w:tc>
        <w:tc>
          <w:tcPr>
            <w:tcW w:w="630" w:type="dxa"/>
            <w:tcBorders>
              <w:top w:val="nil"/>
              <w:left w:val="nil"/>
              <w:bottom w:val="nil"/>
              <w:right w:val="nil"/>
            </w:tcBorders>
            <w:shd w:val="clear" w:color="000000" w:fill="FFFFFF"/>
            <w:noWrap/>
            <w:vAlign w:val="center"/>
            <w:hideMark/>
          </w:tcPr>
          <w:p w14:paraId="585ED7C3"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42,36</w:t>
            </w:r>
          </w:p>
        </w:tc>
        <w:tc>
          <w:tcPr>
            <w:tcW w:w="634" w:type="dxa"/>
            <w:tcBorders>
              <w:top w:val="nil"/>
              <w:left w:val="nil"/>
              <w:bottom w:val="nil"/>
              <w:right w:val="nil"/>
            </w:tcBorders>
            <w:shd w:val="clear" w:color="auto" w:fill="auto"/>
            <w:noWrap/>
            <w:vAlign w:val="center"/>
            <w:hideMark/>
          </w:tcPr>
          <w:p w14:paraId="498849A0"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45,95</w:t>
            </w:r>
          </w:p>
        </w:tc>
      </w:tr>
      <w:tr w:rsidR="009A4127" w:rsidRPr="00170240" w14:paraId="1F8C32BF" w14:textId="77777777" w:rsidTr="00B3736B">
        <w:trPr>
          <w:trHeight w:val="460"/>
        </w:trPr>
        <w:tc>
          <w:tcPr>
            <w:tcW w:w="3237" w:type="dxa"/>
            <w:tcBorders>
              <w:top w:val="nil"/>
              <w:left w:val="nil"/>
              <w:bottom w:val="nil"/>
              <w:right w:val="nil"/>
            </w:tcBorders>
            <w:shd w:val="clear" w:color="auto" w:fill="auto"/>
            <w:vAlign w:val="center"/>
            <w:hideMark/>
          </w:tcPr>
          <w:p w14:paraId="3F55E5A2"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 xml:space="preserve">R – Kulturní, zábavní a rekreační </w:t>
            </w:r>
          </w:p>
          <w:p w14:paraId="42E429B5" w14:textId="49313856"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činnosti</w:t>
            </w:r>
          </w:p>
        </w:tc>
        <w:tc>
          <w:tcPr>
            <w:tcW w:w="630" w:type="dxa"/>
            <w:tcBorders>
              <w:top w:val="nil"/>
              <w:left w:val="nil"/>
              <w:bottom w:val="nil"/>
              <w:right w:val="nil"/>
            </w:tcBorders>
            <w:shd w:val="clear" w:color="auto" w:fill="auto"/>
            <w:noWrap/>
            <w:vAlign w:val="center"/>
            <w:hideMark/>
          </w:tcPr>
          <w:p w14:paraId="4620EBA1" w14:textId="77777777" w:rsidR="009A4127" w:rsidRPr="00170240" w:rsidRDefault="009A4127" w:rsidP="009A4127">
            <w:pPr>
              <w:spacing w:after="0" w:line="240" w:lineRule="auto"/>
              <w:jc w:val="right"/>
              <w:rPr>
                <w:rFonts w:cs="Arial"/>
                <w:sz w:val="16"/>
                <w:szCs w:val="16"/>
              </w:rPr>
            </w:pPr>
            <w:r w:rsidRPr="00170240">
              <w:rPr>
                <w:rFonts w:cs="Arial"/>
                <w:sz w:val="16"/>
                <w:szCs w:val="16"/>
              </w:rPr>
              <w:t>40,38</w:t>
            </w:r>
          </w:p>
        </w:tc>
        <w:tc>
          <w:tcPr>
            <w:tcW w:w="630" w:type="dxa"/>
            <w:tcBorders>
              <w:top w:val="nil"/>
              <w:left w:val="nil"/>
              <w:bottom w:val="nil"/>
              <w:right w:val="nil"/>
            </w:tcBorders>
            <w:shd w:val="clear" w:color="auto" w:fill="auto"/>
            <w:noWrap/>
            <w:vAlign w:val="center"/>
            <w:hideMark/>
          </w:tcPr>
          <w:p w14:paraId="77FC6863" w14:textId="77777777" w:rsidR="009A4127" w:rsidRPr="00170240" w:rsidRDefault="009A4127" w:rsidP="009A4127">
            <w:pPr>
              <w:spacing w:after="0" w:line="240" w:lineRule="auto"/>
              <w:jc w:val="right"/>
              <w:rPr>
                <w:rFonts w:cs="Arial"/>
                <w:sz w:val="16"/>
                <w:szCs w:val="16"/>
              </w:rPr>
            </w:pPr>
            <w:r w:rsidRPr="00170240">
              <w:rPr>
                <w:rFonts w:cs="Arial"/>
                <w:sz w:val="16"/>
                <w:szCs w:val="16"/>
              </w:rPr>
              <w:t>40,90</w:t>
            </w:r>
          </w:p>
        </w:tc>
        <w:tc>
          <w:tcPr>
            <w:tcW w:w="630" w:type="dxa"/>
            <w:tcBorders>
              <w:top w:val="nil"/>
              <w:left w:val="nil"/>
              <w:bottom w:val="nil"/>
              <w:right w:val="nil"/>
            </w:tcBorders>
            <w:shd w:val="clear" w:color="auto" w:fill="auto"/>
            <w:noWrap/>
            <w:vAlign w:val="center"/>
            <w:hideMark/>
          </w:tcPr>
          <w:p w14:paraId="293D8332" w14:textId="77777777" w:rsidR="009A4127" w:rsidRPr="00170240" w:rsidRDefault="009A4127" w:rsidP="009A4127">
            <w:pPr>
              <w:spacing w:after="0" w:line="240" w:lineRule="auto"/>
              <w:jc w:val="right"/>
              <w:rPr>
                <w:rFonts w:cs="Arial"/>
                <w:sz w:val="16"/>
                <w:szCs w:val="16"/>
              </w:rPr>
            </w:pPr>
            <w:r w:rsidRPr="00170240">
              <w:rPr>
                <w:rFonts w:cs="Arial"/>
                <w:sz w:val="16"/>
                <w:szCs w:val="16"/>
              </w:rPr>
              <w:t>46,30</w:t>
            </w:r>
          </w:p>
        </w:tc>
        <w:tc>
          <w:tcPr>
            <w:tcW w:w="630" w:type="dxa"/>
            <w:tcBorders>
              <w:top w:val="nil"/>
              <w:left w:val="nil"/>
              <w:bottom w:val="nil"/>
              <w:right w:val="nil"/>
            </w:tcBorders>
            <w:shd w:val="clear" w:color="auto" w:fill="auto"/>
            <w:noWrap/>
            <w:vAlign w:val="center"/>
            <w:hideMark/>
          </w:tcPr>
          <w:p w14:paraId="37DED7ED" w14:textId="77777777" w:rsidR="009A4127" w:rsidRPr="00170240" w:rsidRDefault="009A4127" w:rsidP="009A4127">
            <w:pPr>
              <w:spacing w:after="0" w:line="240" w:lineRule="auto"/>
              <w:jc w:val="right"/>
              <w:rPr>
                <w:rFonts w:cs="Arial"/>
                <w:sz w:val="16"/>
                <w:szCs w:val="16"/>
              </w:rPr>
            </w:pPr>
            <w:r w:rsidRPr="00170240">
              <w:rPr>
                <w:rFonts w:cs="Arial"/>
                <w:sz w:val="16"/>
                <w:szCs w:val="16"/>
              </w:rPr>
              <w:t>40,30</w:t>
            </w:r>
          </w:p>
        </w:tc>
        <w:tc>
          <w:tcPr>
            <w:tcW w:w="662" w:type="dxa"/>
            <w:tcBorders>
              <w:top w:val="nil"/>
              <w:left w:val="nil"/>
              <w:bottom w:val="nil"/>
              <w:right w:val="nil"/>
            </w:tcBorders>
            <w:shd w:val="clear" w:color="auto" w:fill="auto"/>
            <w:noWrap/>
            <w:vAlign w:val="center"/>
            <w:hideMark/>
          </w:tcPr>
          <w:p w14:paraId="7B0E72DD" w14:textId="77777777" w:rsidR="009A4127" w:rsidRPr="00170240" w:rsidRDefault="009A4127" w:rsidP="009A4127">
            <w:pPr>
              <w:spacing w:after="0" w:line="240" w:lineRule="auto"/>
              <w:jc w:val="right"/>
              <w:rPr>
                <w:rFonts w:cs="Arial"/>
                <w:sz w:val="16"/>
                <w:szCs w:val="16"/>
              </w:rPr>
            </w:pPr>
            <w:r w:rsidRPr="00170240">
              <w:rPr>
                <w:rFonts w:cs="Arial"/>
                <w:sz w:val="16"/>
                <w:szCs w:val="16"/>
              </w:rPr>
              <w:t>44,90</w:t>
            </w:r>
          </w:p>
        </w:tc>
        <w:tc>
          <w:tcPr>
            <w:tcW w:w="630" w:type="dxa"/>
            <w:tcBorders>
              <w:top w:val="nil"/>
              <w:left w:val="nil"/>
              <w:bottom w:val="nil"/>
              <w:right w:val="nil"/>
            </w:tcBorders>
            <w:shd w:val="clear" w:color="auto" w:fill="auto"/>
            <w:noWrap/>
            <w:vAlign w:val="center"/>
            <w:hideMark/>
          </w:tcPr>
          <w:p w14:paraId="74598B55" w14:textId="340D651A" w:rsidR="009A4127" w:rsidRPr="00170240" w:rsidRDefault="009A4127" w:rsidP="009A4127">
            <w:pPr>
              <w:spacing w:after="0" w:line="240" w:lineRule="auto"/>
              <w:jc w:val="right"/>
              <w:rPr>
                <w:rFonts w:cs="Arial"/>
                <w:sz w:val="16"/>
                <w:szCs w:val="16"/>
              </w:rPr>
            </w:pPr>
            <w:r>
              <w:rPr>
                <w:rFonts w:cs="Arial"/>
                <w:sz w:val="16"/>
                <w:szCs w:val="16"/>
              </w:rPr>
              <w:t>38,42</w:t>
            </w:r>
          </w:p>
        </w:tc>
        <w:tc>
          <w:tcPr>
            <w:tcW w:w="662" w:type="dxa"/>
            <w:tcBorders>
              <w:top w:val="nil"/>
              <w:left w:val="nil"/>
              <w:bottom w:val="nil"/>
              <w:right w:val="nil"/>
            </w:tcBorders>
            <w:shd w:val="clear" w:color="auto" w:fill="auto"/>
            <w:noWrap/>
            <w:vAlign w:val="center"/>
            <w:hideMark/>
          </w:tcPr>
          <w:p w14:paraId="2A43303F"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40,92</w:t>
            </w:r>
          </w:p>
        </w:tc>
        <w:tc>
          <w:tcPr>
            <w:tcW w:w="630" w:type="dxa"/>
            <w:tcBorders>
              <w:top w:val="nil"/>
              <w:left w:val="nil"/>
              <w:bottom w:val="nil"/>
              <w:right w:val="nil"/>
            </w:tcBorders>
            <w:shd w:val="clear" w:color="auto" w:fill="auto"/>
            <w:noWrap/>
            <w:vAlign w:val="center"/>
            <w:hideMark/>
          </w:tcPr>
          <w:p w14:paraId="6E9E97CF"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40,24</w:t>
            </w:r>
          </w:p>
        </w:tc>
        <w:tc>
          <w:tcPr>
            <w:tcW w:w="630" w:type="dxa"/>
            <w:tcBorders>
              <w:top w:val="nil"/>
              <w:left w:val="nil"/>
              <w:bottom w:val="nil"/>
              <w:right w:val="nil"/>
            </w:tcBorders>
            <w:shd w:val="clear" w:color="000000" w:fill="FFFFFF"/>
            <w:noWrap/>
            <w:vAlign w:val="center"/>
            <w:hideMark/>
          </w:tcPr>
          <w:p w14:paraId="5532BF82"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38,52</w:t>
            </w:r>
          </w:p>
        </w:tc>
        <w:tc>
          <w:tcPr>
            <w:tcW w:w="634" w:type="dxa"/>
            <w:tcBorders>
              <w:top w:val="nil"/>
              <w:left w:val="nil"/>
              <w:bottom w:val="nil"/>
              <w:right w:val="nil"/>
            </w:tcBorders>
            <w:shd w:val="clear" w:color="auto" w:fill="auto"/>
            <w:noWrap/>
            <w:vAlign w:val="center"/>
            <w:hideMark/>
          </w:tcPr>
          <w:p w14:paraId="16E9B9D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40,40</w:t>
            </w:r>
          </w:p>
        </w:tc>
      </w:tr>
      <w:tr w:rsidR="009A4127" w:rsidRPr="00170240" w14:paraId="05726B14" w14:textId="77777777" w:rsidTr="00B3736B">
        <w:trPr>
          <w:trHeight w:val="291"/>
        </w:trPr>
        <w:tc>
          <w:tcPr>
            <w:tcW w:w="3237" w:type="dxa"/>
            <w:tcBorders>
              <w:top w:val="nil"/>
              <w:left w:val="nil"/>
              <w:bottom w:val="nil"/>
              <w:right w:val="nil"/>
            </w:tcBorders>
            <w:shd w:val="clear" w:color="auto" w:fill="auto"/>
            <w:vAlign w:val="center"/>
            <w:hideMark/>
          </w:tcPr>
          <w:p w14:paraId="60838C99"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S – Ostatní činnosti</w:t>
            </w:r>
          </w:p>
        </w:tc>
        <w:tc>
          <w:tcPr>
            <w:tcW w:w="630" w:type="dxa"/>
            <w:tcBorders>
              <w:top w:val="nil"/>
              <w:left w:val="nil"/>
              <w:bottom w:val="nil"/>
              <w:right w:val="nil"/>
            </w:tcBorders>
            <w:shd w:val="clear" w:color="auto" w:fill="auto"/>
            <w:noWrap/>
            <w:vAlign w:val="center"/>
            <w:hideMark/>
          </w:tcPr>
          <w:p w14:paraId="31B5A0CD" w14:textId="77777777" w:rsidR="009A4127" w:rsidRPr="00170240" w:rsidRDefault="009A4127" w:rsidP="009A4127">
            <w:pPr>
              <w:spacing w:after="0" w:line="240" w:lineRule="auto"/>
              <w:jc w:val="right"/>
              <w:rPr>
                <w:rFonts w:cs="Arial"/>
                <w:sz w:val="16"/>
                <w:szCs w:val="16"/>
              </w:rPr>
            </w:pPr>
            <w:r w:rsidRPr="00170240">
              <w:rPr>
                <w:rFonts w:cs="Arial"/>
                <w:sz w:val="16"/>
                <w:szCs w:val="16"/>
              </w:rPr>
              <w:t>49,92</w:t>
            </w:r>
          </w:p>
        </w:tc>
        <w:tc>
          <w:tcPr>
            <w:tcW w:w="630" w:type="dxa"/>
            <w:tcBorders>
              <w:top w:val="nil"/>
              <w:left w:val="nil"/>
              <w:bottom w:val="nil"/>
              <w:right w:val="nil"/>
            </w:tcBorders>
            <w:shd w:val="clear" w:color="auto" w:fill="auto"/>
            <w:noWrap/>
            <w:vAlign w:val="center"/>
            <w:hideMark/>
          </w:tcPr>
          <w:p w14:paraId="1FE69C6F" w14:textId="77777777" w:rsidR="009A4127" w:rsidRPr="00170240" w:rsidRDefault="009A4127" w:rsidP="009A4127">
            <w:pPr>
              <w:spacing w:after="0" w:line="240" w:lineRule="auto"/>
              <w:jc w:val="right"/>
              <w:rPr>
                <w:rFonts w:cs="Arial"/>
                <w:sz w:val="16"/>
                <w:szCs w:val="16"/>
              </w:rPr>
            </w:pPr>
            <w:r w:rsidRPr="00170240">
              <w:rPr>
                <w:rFonts w:cs="Arial"/>
                <w:sz w:val="16"/>
                <w:szCs w:val="16"/>
              </w:rPr>
              <w:t>52,46</w:t>
            </w:r>
          </w:p>
        </w:tc>
        <w:tc>
          <w:tcPr>
            <w:tcW w:w="630" w:type="dxa"/>
            <w:tcBorders>
              <w:top w:val="nil"/>
              <w:left w:val="nil"/>
              <w:bottom w:val="nil"/>
              <w:right w:val="nil"/>
            </w:tcBorders>
            <w:shd w:val="clear" w:color="auto" w:fill="auto"/>
            <w:noWrap/>
            <w:vAlign w:val="center"/>
            <w:hideMark/>
          </w:tcPr>
          <w:p w14:paraId="6D0C1E7F" w14:textId="77777777" w:rsidR="009A4127" w:rsidRPr="00170240" w:rsidRDefault="009A4127" w:rsidP="009A4127">
            <w:pPr>
              <w:spacing w:after="0" w:line="240" w:lineRule="auto"/>
              <w:jc w:val="right"/>
              <w:rPr>
                <w:rFonts w:cs="Arial"/>
                <w:sz w:val="16"/>
                <w:szCs w:val="16"/>
              </w:rPr>
            </w:pPr>
            <w:r w:rsidRPr="00170240">
              <w:rPr>
                <w:rFonts w:cs="Arial"/>
                <w:sz w:val="16"/>
                <w:szCs w:val="16"/>
              </w:rPr>
              <w:t>51,31</w:t>
            </w:r>
          </w:p>
        </w:tc>
        <w:tc>
          <w:tcPr>
            <w:tcW w:w="630" w:type="dxa"/>
            <w:tcBorders>
              <w:top w:val="nil"/>
              <w:left w:val="nil"/>
              <w:bottom w:val="nil"/>
              <w:right w:val="nil"/>
            </w:tcBorders>
            <w:shd w:val="clear" w:color="auto" w:fill="auto"/>
            <w:noWrap/>
            <w:vAlign w:val="center"/>
            <w:hideMark/>
          </w:tcPr>
          <w:p w14:paraId="04FAD59E" w14:textId="77777777" w:rsidR="009A4127" w:rsidRPr="00170240" w:rsidRDefault="009A4127" w:rsidP="009A4127">
            <w:pPr>
              <w:spacing w:after="0" w:line="240" w:lineRule="auto"/>
              <w:jc w:val="right"/>
              <w:rPr>
                <w:rFonts w:cs="Arial"/>
                <w:sz w:val="16"/>
                <w:szCs w:val="16"/>
              </w:rPr>
            </w:pPr>
            <w:r w:rsidRPr="00170240">
              <w:rPr>
                <w:rFonts w:cs="Arial"/>
                <w:sz w:val="16"/>
                <w:szCs w:val="16"/>
              </w:rPr>
              <w:t>46,14</w:t>
            </w:r>
          </w:p>
        </w:tc>
        <w:tc>
          <w:tcPr>
            <w:tcW w:w="662" w:type="dxa"/>
            <w:tcBorders>
              <w:top w:val="nil"/>
              <w:left w:val="nil"/>
              <w:bottom w:val="nil"/>
              <w:right w:val="nil"/>
            </w:tcBorders>
            <w:shd w:val="clear" w:color="auto" w:fill="auto"/>
            <w:noWrap/>
            <w:vAlign w:val="center"/>
            <w:hideMark/>
          </w:tcPr>
          <w:p w14:paraId="25E1BC08" w14:textId="77777777" w:rsidR="009A4127" w:rsidRPr="00170240" w:rsidRDefault="009A4127" w:rsidP="009A4127">
            <w:pPr>
              <w:spacing w:after="0" w:line="240" w:lineRule="auto"/>
              <w:jc w:val="right"/>
              <w:rPr>
                <w:rFonts w:cs="Arial"/>
                <w:sz w:val="16"/>
                <w:szCs w:val="16"/>
              </w:rPr>
            </w:pPr>
            <w:r w:rsidRPr="00170240">
              <w:rPr>
                <w:rFonts w:cs="Arial"/>
                <w:sz w:val="16"/>
                <w:szCs w:val="16"/>
              </w:rPr>
              <w:t>50,47</w:t>
            </w:r>
          </w:p>
        </w:tc>
        <w:tc>
          <w:tcPr>
            <w:tcW w:w="630" w:type="dxa"/>
            <w:tcBorders>
              <w:top w:val="nil"/>
              <w:left w:val="nil"/>
              <w:bottom w:val="nil"/>
              <w:right w:val="nil"/>
            </w:tcBorders>
            <w:shd w:val="clear" w:color="auto" w:fill="auto"/>
            <w:noWrap/>
            <w:vAlign w:val="center"/>
            <w:hideMark/>
          </w:tcPr>
          <w:p w14:paraId="5FF74A22" w14:textId="07DC065F" w:rsidR="009A4127" w:rsidRPr="00170240" w:rsidRDefault="009A4127" w:rsidP="009A4127">
            <w:pPr>
              <w:spacing w:after="0" w:line="240" w:lineRule="auto"/>
              <w:jc w:val="right"/>
              <w:rPr>
                <w:rFonts w:cs="Arial"/>
                <w:sz w:val="16"/>
                <w:szCs w:val="16"/>
              </w:rPr>
            </w:pPr>
            <w:r>
              <w:rPr>
                <w:rFonts w:cs="Arial"/>
                <w:sz w:val="16"/>
                <w:szCs w:val="16"/>
              </w:rPr>
              <w:t>44,62</w:t>
            </w:r>
          </w:p>
        </w:tc>
        <w:tc>
          <w:tcPr>
            <w:tcW w:w="662" w:type="dxa"/>
            <w:tcBorders>
              <w:top w:val="nil"/>
              <w:left w:val="nil"/>
              <w:bottom w:val="nil"/>
              <w:right w:val="nil"/>
            </w:tcBorders>
            <w:shd w:val="clear" w:color="auto" w:fill="auto"/>
            <w:noWrap/>
            <w:vAlign w:val="center"/>
            <w:hideMark/>
          </w:tcPr>
          <w:p w14:paraId="2CE3E247"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47,97</w:t>
            </w:r>
          </w:p>
        </w:tc>
        <w:tc>
          <w:tcPr>
            <w:tcW w:w="630" w:type="dxa"/>
            <w:tcBorders>
              <w:top w:val="nil"/>
              <w:left w:val="nil"/>
              <w:bottom w:val="nil"/>
              <w:right w:val="nil"/>
            </w:tcBorders>
            <w:shd w:val="clear" w:color="auto" w:fill="auto"/>
            <w:noWrap/>
            <w:vAlign w:val="center"/>
            <w:hideMark/>
          </w:tcPr>
          <w:p w14:paraId="3D6C9529"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45,64</w:t>
            </w:r>
          </w:p>
        </w:tc>
        <w:tc>
          <w:tcPr>
            <w:tcW w:w="630" w:type="dxa"/>
            <w:tcBorders>
              <w:top w:val="nil"/>
              <w:left w:val="nil"/>
              <w:bottom w:val="nil"/>
              <w:right w:val="nil"/>
            </w:tcBorders>
            <w:shd w:val="clear" w:color="000000" w:fill="FFFFFF"/>
            <w:noWrap/>
            <w:vAlign w:val="center"/>
            <w:hideMark/>
          </w:tcPr>
          <w:p w14:paraId="09A317CB"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42,73</w:t>
            </w:r>
          </w:p>
        </w:tc>
        <w:tc>
          <w:tcPr>
            <w:tcW w:w="634" w:type="dxa"/>
            <w:tcBorders>
              <w:top w:val="nil"/>
              <w:left w:val="nil"/>
              <w:bottom w:val="nil"/>
              <w:right w:val="nil"/>
            </w:tcBorders>
            <w:shd w:val="clear" w:color="auto" w:fill="auto"/>
            <w:noWrap/>
            <w:vAlign w:val="center"/>
            <w:hideMark/>
          </w:tcPr>
          <w:p w14:paraId="50D48EAD"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46,09</w:t>
            </w:r>
          </w:p>
        </w:tc>
      </w:tr>
    </w:tbl>
    <w:p w14:paraId="76F2B8BE" w14:textId="77777777" w:rsidR="00B47D35" w:rsidRPr="001338A0" w:rsidRDefault="00B47D35" w:rsidP="00F022F9">
      <w:pPr>
        <w:spacing w:before="120"/>
        <w:jc w:val="both"/>
        <w:rPr>
          <w:rFonts w:cs="Arial"/>
          <w:sz w:val="16"/>
          <w:szCs w:val="16"/>
        </w:rPr>
      </w:pPr>
      <w:r>
        <w:rPr>
          <w:rFonts w:cs="Arial"/>
          <w:sz w:val="16"/>
          <w:szCs w:val="16"/>
        </w:rPr>
        <w:t>Zdroj: ČSÚ</w:t>
      </w:r>
    </w:p>
    <w:p w14:paraId="58A644C9" w14:textId="6DFC2A96" w:rsidR="00E835E4" w:rsidRDefault="00E835E4" w:rsidP="00E835E4">
      <w:pPr>
        <w:pStyle w:val="Zkladntextodsazen"/>
        <w:spacing w:after="240" w:line="288" w:lineRule="auto"/>
        <w:ind w:left="0"/>
        <w:jc w:val="both"/>
        <w:rPr>
          <w:rFonts w:cs="Arial"/>
        </w:rPr>
      </w:pPr>
      <w:r>
        <w:rPr>
          <w:rFonts w:cs="Arial"/>
        </w:rPr>
        <w:t>Vývoj hodnot ukazatele průměrn</w:t>
      </w:r>
      <w:r w:rsidR="0047242F">
        <w:rPr>
          <w:rFonts w:cs="Arial"/>
        </w:rPr>
        <w:t>á</w:t>
      </w:r>
      <w:r>
        <w:rPr>
          <w:rFonts w:cs="Arial"/>
        </w:rPr>
        <w:t xml:space="preserve"> délk</w:t>
      </w:r>
      <w:r w:rsidR="0047242F">
        <w:rPr>
          <w:rFonts w:cs="Arial"/>
        </w:rPr>
        <w:t>a</w:t>
      </w:r>
      <w:r>
        <w:rPr>
          <w:rFonts w:cs="Arial"/>
        </w:rPr>
        <w:t xml:space="preserve"> případu pracovní neschopnosti v jednotlivých odvětvích je zřejmý z tabulky 2.5. </w:t>
      </w:r>
      <w:r w:rsidR="00662C4F">
        <w:rPr>
          <w:rFonts w:cs="Arial"/>
        </w:rPr>
        <w:t>Prudší pokles byl zaznamenán v odvětví Stavebnictví mezi 1. pol. 2014 a 2015,</w:t>
      </w:r>
      <w:r w:rsidR="00885538">
        <w:rPr>
          <w:rFonts w:cs="Arial"/>
        </w:rPr>
        <w:t xml:space="preserve"> a sice z 64,6</w:t>
      </w:r>
      <w:r w:rsidR="005A0510">
        <w:rPr>
          <w:rFonts w:cs="Arial"/>
        </w:rPr>
        <w:t> </w:t>
      </w:r>
      <w:r w:rsidR="00885538">
        <w:rPr>
          <w:rFonts w:cs="Arial"/>
        </w:rPr>
        <w:t>dne na 5</w:t>
      </w:r>
      <w:r w:rsidR="00D7766B">
        <w:rPr>
          <w:rFonts w:cs="Arial"/>
        </w:rPr>
        <w:t>3</w:t>
      </w:r>
      <w:r w:rsidR="00885538">
        <w:rPr>
          <w:rFonts w:cs="Arial"/>
        </w:rPr>
        <w:t>,9 dne na jeden případ pracovní neschopnosti</w:t>
      </w:r>
      <w:r w:rsidR="00662C4F">
        <w:rPr>
          <w:rFonts w:cs="Arial"/>
        </w:rPr>
        <w:t>.</w:t>
      </w:r>
      <w:r w:rsidR="00885538">
        <w:rPr>
          <w:rFonts w:cs="Arial"/>
        </w:rPr>
        <w:t xml:space="preserve"> Naopak nárůst byl nejvyšší v odvětví Administrativní a</w:t>
      </w:r>
      <w:r w:rsidR="005A0510">
        <w:rPr>
          <w:rFonts w:cs="Arial"/>
        </w:rPr>
        <w:t> </w:t>
      </w:r>
      <w:r w:rsidR="00885538">
        <w:rPr>
          <w:rFonts w:cs="Arial"/>
        </w:rPr>
        <w:t xml:space="preserve">podpůrné činnosti z 37,6 dne v 1. pol. 2011 na 47,5 dne v 1. pol. 2012. Za delší časové období největší nárůst v trvání pracovní neschopnosti vykazovalo odvětví Těžba a dobývání. Od 1. pol. 2010 do 1. pol. 2019 došlo k prodloužení pracovní neschopnosti v průměru o 10,7 dne, tj. navýšení o 27 %. Naopak odvětvím, kde se doba připadající na </w:t>
      </w:r>
      <w:r w:rsidR="00B75D15">
        <w:rPr>
          <w:rFonts w:cs="Arial"/>
        </w:rPr>
        <w:t>jeden</w:t>
      </w:r>
      <w:r w:rsidR="00885538">
        <w:rPr>
          <w:rFonts w:cs="Arial"/>
        </w:rPr>
        <w:t xml:space="preserve"> případ pracovní neschopnosti nejvíce snížila, bylo odvětví Profesní, vědecké a</w:t>
      </w:r>
      <w:r w:rsidR="005A0510">
        <w:rPr>
          <w:rFonts w:cs="Arial"/>
        </w:rPr>
        <w:t> </w:t>
      </w:r>
      <w:r w:rsidR="00B75D15">
        <w:rPr>
          <w:rFonts w:cs="Arial"/>
        </w:rPr>
        <w:t>technické</w:t>
      </w:r>
      <w:r w:rsidR="00885538">
        <w:rPr>
          <w:rFonts w:cs="Arial"/>
        </w:rPr>
        <w:t xml:space="preserve"> činnosti. Zatímco v 1. pol. 2010 činila 43,6 dne, v 1. pol. 2019 to bylo 40,1 dne. V relativním vyjádření se jedná o pokles o 8 %.</w:t>
      </w:r>
    </w:p>
    <w:p w14:paraId="006A37A1" w14:textId="2F34BE33" w:rsidR="00907B59" w:rsidRDefault="00907B59" w:rsidP="00907B59">
      <w:pPr>
        <w:jc w:val="both"/>
      </w:pPr>
      <w:r w:rsidRPr="00885538">
        <w:rPr>
          <w:b/>
        </w:rPr>
        <w:t>V regionálním kontextu</w:t>
      </w:r>
      <w:r>
        <w:t xml:space="preserve"> byla n</w:t>
      </w:r>
      <w:r w:rsidRPr="00AF3FDC">
        <w:t>ejdelší průměrná doba trvání jednoho případu dočasné pracovní neschopnosti v 1. pol. 201</w:t>
      </w:r>
      <w:r>
        <w:t>9</w:t>
      </w:r>
      <w:r w:rsidRPr="00AF3FDC">
        <w:t xml:space="preserve"> zaznamenána </w:t>
      </w:r>
      <w:r>
        <w:t xml:space="preserve">na Moravě a ve Slezsku – </w:t>
      </w:r>
      <w:r w:rsidRPr="00AF3FDC">
        <w:t>ve Zlínském (4</w:t>
      </w:r>
      <w:r>
        <w:t>9</w:t>
      </w:r>
      <w:r w:rsidRPr="00AF3FDC">
        <w:t>,</w:t>
      </w:r>
      <w:r>
        <w:t>3</w:t>
      </w:r>
      <w:r w:rsidRPr="00AF3FDC">
        <w:t xml:space="preserve"> dne), v Moravskoslezském (</w:t>
      </w:r>
      <w:r>
        <w:t>49 dnů</w:t>
      </w:r>
      <w:r w:rsidR="0047242F">
        <w:t xml:space="preserve">) a </w:t>
      </w:r>
      <w:r w:rsidRPr="00AF3FDC">
        <w:t>Olomouckém kraji (</w:t>
      </w:r>
      <w:r>
        <w:t xml:space="preserve">46,3 </w:t>
      </w:r>
      <w:r w:rsidRPr="00AF3FDC">
        <w:t>dne)</w:t>
      </w:r>
      <w:r>
        <w:t>. Ve všech krajích ČR hodnoty tohoto ukazatele meziročně vzrostly, nejvíce v Moravskoslezském kraji, a sice o 4,6 dne. Od 1. pololetí 2018 trvá neschopnost nejkratší dobu v Libereckém kraji. Do té doby již od 1. pol. 2013 v průměru nejkratší případy vykazovala Praha.</w:t>
      </w:r>
    </w:p>
    <w:p w14:paraId="093823B5" w14:textId="77777777" w:rsidR="00907B59" w:rsidRDefault="00907B59">
      <w:pPr>
        <w:spacing w:after="0" w:line="240" w:lineRule="auto"/>
      </w:pPr>
      <w:r>
        <w:br w:type="page"/>
      </w:r>
    </w:p>
    <w:p w14:paraId="7DA9C548" w14:textId="49BD9634" w:rsidR="00052494" w:rsidRDefault="00355A67" w:rsidP="0019246C">
      <w:pPr>
        <w:spacing w:after="120"/>
        <w:jc w:val="both"/>
      </w:pPr>
      <w:r w:rsidRPr="00355A67">
        <w:rPr>
          <w:b/>
        </w:rPr>
        <w:lastRenderedPageBreak/>
        <w:t>Graf 2.8: Průměrná délka trvání případu pracovní neschopnosti podle krajů ČR v 1. pol. 2019</w:t>
      </w:r>
    </w:p>
    <w:p w14:paraId="767A89F6" w14:textId="64C9B524" w:rsidR="00DD6112" w:rsidRPr="00E91FAA" w:rsidRDefault="00355A67" w:rsidP="00DD6112">
      <w:pPr>
        <w:jc w:val="both"/>
      </w:pPr>
      <w:r>
        <w:rPr>
          <w:noProof/>
        </w:rPr>
        <w:drawing>
          <wp:inline distT="0" distB="0" distL="0" distR="0" wp14:anchorId="78E0055A" wp14:editId="281F9EF3">
            <wp:extent cx="6124575" cy="3133725"/>
            <wp:effectExtent l="0" t="0" r="0" b="0"/>
            <wp:docPr id="52" name="Graf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DD6112">
        <w:rPr>
          <w:rFonts w:cs="Arial"/>
          <w:sz w:val="16"/>
          <w:szCs w:val="16"/>
        </w:rPr>
        <w:t>Zdroj: ČSÚ</w:t>
      </w:r>
    </w:p>
    <w:p w14:paraId="16BC148C" w14:textId="6D2AB407" w:rsidR="00AF3FDC" w:rsidRPr="006C605D" w:rsidRDefault="006C605D" w:rsidP="001B64E2">
      <w:pPr>
        <w:jc w:val="both"/>
      </w:pPr>
      <w:r w:rsidRPr="006C605D">
        <w:t xml:space="preserve">Z pohledu </w:t>
      </w:r>
      <w:r w:rsidRPr="00186617">
        <w:rPr>
          <w:b/>
        </w:rPr>
        <w:t>detailnějšího územního členění</w:t>
      </w:r>
      <w:r w:rsidRPr="006C605D">
        <w:t xml:space="preserve"> je zřejmý větší rozptyl hodnot tohoto relativního ukazatele. Nejvyšší průměrnou délku jednoho případu má okres Vsetín (5</w:t>
      </w:r>
      <w:r w:rsidR="00867653">
        <w:t xml:space="preserve">5 </w:t>
      </w:r>
      <w:r w:rsidRPr="006C605D">
        <w:t>dn</w:t>
      </w:r>
      <w:r w:rsidR="00867653">
        <w:t>ů</w:t>
      </w:r>
      <w:r w:rsidRPr="006C605D">
        <w:t>) ve Zlínském kraji, který se pohybuje na předních místech mezi okresy s nejdelší pracovní neschopností již několik let. Následuje okres Frýdek</w:t>
      </w:r>
      <w:r w:rsidR="00350C28">
        <w:t>-</w:t>
      </w:r>
      <w:r w:rsidRPr="006C605D">
        <w:t>Místek (</w:t>
      </w:r>
      <w:r w:rsidR="00867653">
        <w:t>53</w:t>
      </w:r>
      <w:r w:rsidRPr="006C605D">
        <w:t>,</w:t>
      </w:r>
      <w:r w:rsidR="00867653">
        <w:t xml:space="preserve">5 </w:t>
      </w:r>
      <w:r w:rsidRPr="006C605D">
        <w:t>dne) v Moravskoslezském kraji</w:t>
      </w:r>
      <w:r w:rsidR="00687770">
        <w:t xml:space="preserve">, </w:t>
      </w:r>
      <w:r w:rsidR="00867653">
        <w:t>Šumperk</w:t>
      </w:r>
      <w:r w:rsidR="00687770">
        <w:t xml:space="preserve"> </w:t>
      </w:r>
      <w:r w:rsidR="0047242F">
        <w:t xml:space="preserve">(53,4) </w:t>
      </w:r>
      <w:r w:rsidR="00687770">
        <w:t>v</w:t>
      </w:r>
      <w:r w:rsidR="00867653">
        <w:t> Olomouckém kraji</w:t>
      </w:r>
      <w:r w:rsidR="0047242F">
        <w:t>,</w:t>
      </w:r>
      <w:r w:rsidR="00867653">
        <w:t xml:space="preserve"> </w:t>
      </w:r>
      <w:r w:rsidR="00687770">
        <w:t>v Jiho</w:t>
      </w:r>
      <w:r w:rsidR="00867653">
        <w:t>moravském</w:t>
      </w:r>
      <w:r w:rsidR="00687770">
        <w:t xml:space="preserve"> kraji </w:t>
      </w:r>
      <w:r w:rsidRPr="006C605D">
        <w:t>okres</w:t>
      </w:r>
      <w:r w:rsidR="00867653">
        <w:t>y</w:t>
      </w:r>
      <w:r w:rsidRPr="006C605D">
        <w:t xml:space="preserve"> </w:t>
      </w:r>
      <w:r w:rsidR="00867653">
        <w:t>Hodonín</w:t>
      </w:r>
      <w:r w:rsidRPr="006C605D">
        <w:t xml:space="preserve"> (</w:t>
      </w:r>
      <w:r w:rsidR="00867653">
        <w:t>53 dnů)</w:t>
      </w:r>
      <w:r w:rsidR="00687770">
        <w:t xml:space="preserve"> a </w:t>
      </w:r>
      <w:r w:rsidR="00867653">
        <w:t>Blansko</w:t>
      </w:r>
      <w:r w:rsidRPr="006C605D">
        <w:t xml:space="preserve"> (</w:t>
      </w:r>
      <w:r w:rsidR="00867653">
        <w:t>52,8</w:t>
      </w:r>
      <w:r w:rsidRPr="006C605D">
        <w:t xml:space="preserve">). Nejkratší průměrnou dobu trvání pracovní neschopnosti zaznamenáváme u </w:t>
      </w:r>
      <w:r w:rsidR="00867653">
        <w:t xml:space="preserve">okresu Rychnov nad Kněžnou </w:t>
      </w:r>
      <w:r w:rsidR="0047242F">
        <w:t xml:space="preserve">(32,4 dne) </w:t>
      </w:r>
      <w:r w:rsidR="00867653">
        <w:t xml:space="preserve">v Královéhradeckém kraji, u středočeského okresu </w:t>
      </w:r>
      <w:r w:rsidRPr="006C605D">
        <w:t>Mladá Boleslav (</w:t>
      </w:r>
      <w:r w:rsidR="00867653">
        <w:t>33,9</w:t>
      </w:r>
      <w:r w:rsidRPr="006C605D">
        <w:t xml:space="preserve"> dne) a </w:t>
      </w:r>
      <w:r w:rsidR="00867653">
        <w:t>okres</w:t>
      </w:r>
      <w:r w:rsidR="00E740C2">
        <w:t>u</w:t>
      </w:r>
      <w:r w:rsidR="00867653">
        <w:t xml:space="preserve"> Liberec (35 dn</w:t>
      </w:r>
      <w:r w:rsidR="00E613B6">
        <w:t>í</w:t>
      </w:r>
      <w:r w:rsidRPr="006C605D">
        <w:t>)</w:t>
      </w:r>
      <w:r w:rsidR="00867653">
        <w:t>.</w:t>
      </w:r>
    </w:p>
    <w:p w14:paraId="7F63645D" w14:textId="206F5038" w:rsidR="00297A8F" w:rsidRDefault="00713B8F" w:rsidP="0064109D">
      <w:pPr>
        <w:spacing w:after="120"/>
        <w:jc w:val="both"/>
        <w:rPr>
          <w:b/>
        </w:rPr>
      </w:pPr>
      <w:r w:rsidRPr="00713B8F">
        <w:rPr>
          <w:b/>
        </w:rPr>
        <w:t>Tab. 2.6</w:t>
      </w:r>
      <w:r>
        <w:rPr>
          <w:b/>
        </w:rPr>
        <w:t xml:space="preserve">: </w:t>
      </w:r>
      <w:r w:rsidRPr="00713B8F">
        <w:rPr>
          <w:b/>
        </w:rPr>
        <w:t>P</w:t>
      </w:r>
      <w:r w:rsidR="00EA35EB">
        <w:rPr>
          <w:b/>
        </w:rPr>
        <w:t xml:space="preserve">růměrná délka trvání </w:t>
      </w:r>
      <w:r w:rsidRPr="00713B8F">
        <w:rPr>
          <w:b/>
        </w:rPr>
        <w:t>případu dočasné pracovní</w:t>
      </w:r>
      <w:r w:rsidR="00040960">
        <w:rPr>
          <w:b/>
        </w:rPr>
        <w:t xml:space="preserve"> neschopnosti podle krajů ČR v </w:t>
      </w:r>
      <w:r w:rsidRPr="00713B8F">
        <w:rPr>
          <w:b/>
        </w:rPr>
        <w:t xml:space="preserve">1. pol. </w:t>
      </w:r>
      <w:r w:rsidR="0019246C">
        <w:rPr>
          <w:b/>
        </w:rPr>
        <w:br/>
      </w:r>
      <w:r w:rsidRPr="00713B8F">
        <w:rPr>
          <w:b/>
        </w:rPr>
        <w:t>200</w:t>
      </w:r>
      <w:r>
        <w:rPr>
          <w:b/>
        </w:rPr>
        <w:t>9</w:t>
      </w:r>
      <w:r w:rsidRPr="00713B8F">
        <w:rPr>
          <w:b/>
        </w:rPr>
        <w:t xml:space="preserve"> – 1.</w:t>
      </w:r>
      <w:r>
        <w:rPr>
          <w:b/>
        </w:rPr>
        <w:t xml:space="preserve"> </w:t>
      </w:r>
      <w:r w:rsidRPr="00713B8F">
        <w:rPr>
          <w:b/>
        </w:rPr>
        <w:t>pol. 2019</w:t>
      </w:r>
    </w:p>
    <w:tbl>
      <w:tblPr>
        <w:tblW w:w="9652" w:type="dxa"/>
        <w:tblCellMar>
          <w:left w:w="70" w:type="dxa"/>
          <w:right w:w="70" w:type="dxa"/>
        </w:tblCellMar>
        <w:tblLook w:val="04A0" w:firstRow="1" w:lastRow="0" w:firstColumn="1" w:lastColumn="0" w:noHBand="0" w:noVBand="1"/>
      </w:tblPr>
      <w:tblGrid>
        <w:gridCol w:w="1985"/>
        <w:gridCol w:w="697"/>
        <w:gridCol w:w="697"/>
        <w:gridCol w:w="697"/>
        <w:gridCol w:w="697"/>
        <w:gridCol w:w="697"/>
        <w:gridCol w:w="697"/>
        <w:gridCol w:w="697"/>
        <w:gridCol w:w="697"/>
        <w:gridCol w:w="697"/>
        <w:gridCol w:w="697"/>
        <w:gridCol w:w="684"/>
        <w:gridCol w:w="13"/>
      </w:tblGrid>
      <w:tr w:rsidR="00713B8F" w:rsidRPr="00713B8F" w14:paraId="66A49A8C" w14:textId="77777777" w:rsidTr="00E613B6">
        <w:trPr>
          <w:gridAfter w:val="1"/>
          <w:wAfter w:w="13" w:type="dxa"/>
          <w:trHeight w:val="285"/>
        </w:trPr>
        <w:tc>
          <w:tcPr>
            <w:tcW w:w="1985" w:type="dxa"/>
            <w:vMerge w:val="restart"/>
            <w:tcBorders>
              <w:top w:val="single" w:sz="4" w:space="0" w:color="auto"/>
              <w:left w:val="nil"/>
              <w:bottom w:val="single" w:sz="4" w:space="0" w:color="000000"/>
              <w:right w:val="nil"/>
            </w:tcBorders>
            <w:shd w:val="clear" w:color="000000" w:fill="F2DCDB"/>
            <w:vAlign w:val="center"/>
            <w:hideMark/>
          </w:tcPr>
          <w:p w14:paraId="65AEFAF5" w14:textId="77777777" w:rsidR="00713B8F" w:rsidRPr="00713B8F" w:rsidRDefault="00713B8F" w:rsidP="00713B8F">
            <w:pPr>
              <w:spacing w:after="0" w:line="240" w:lineRule="auto"/>
              <w:jc w:val="center"/>
              <w:rPr>
                <w:rFonts w:cs="Arial"/>
                <w:sz w:val="16"/>
                <w:szCs w:val="16"/>
              </w:rPr>
            </w:pPr>
            <w:r w:rsidRPr="00713B8F">
              <w:rPr>
                <w:rFonts w:cs="Arial"/>
                <w:sz w:val="16"/>
                <w:szCs w:val="16"/>
              </w:rPr>
              <w:t>Kraj ČR</w:t>
            </w:r>
          </w:p>
        </w:tc>
        <w:tc>
          <w:tcPr>
            <w:tcW w:w="7654" w:type="dxa"/>
            <w:gridSpan w:val="11"/>
            <w:tcBorders>
              <w:top w:val="single" w:sz="4" w:space="0" w:color="auto"/>
              <w:left w:val="single" w:sz="4" w:space="0" w:color="auto"/>
              <w:bottom w:val="single" w:sz="4" w:space="0" w:color="auto"/>
              <w:right w:val="nil"/>
            </w:tcBorders>
            <w:shd w:val="clear" w:color="000000" w:fill="F2DCDB"/>
            <w:vAlign w:val="center"/>
            <w:hideMark/>
          </w:tcPr>
          <w:p w14:paraId="04DE7E6C" w14:textId="17F06599" w:rsidR="00713B8F" w:rsidRPr="00713B8F" w:rsidRDefault="00B75D15" w:rsidP="00B75D15">
            <w:pPr>
              <w:spacing w:after="0" w:line="240" w:lineRule="auto"/>
              <w:jc w:val="center"/>
              <w:rPr>
                <w:rFonts w:cs="Arial"/>
                <w:sz w:val="16"/>
                <w:szCs w:val="16"/>
              </w:rPr>
            </w:pPr>
            <w:r>
              <w:rPr>
                <w:rFonts w:cs="Arial"/>
                <w:sz w:val="16"/>
                <w:szCs w:val="16"/>
              </w:rPr>
              <w:t>Průměrná délka trvání</w:t>
            </w:r>
            <w:r w:rsidR="00713B8F" w:rsidRPr="00713B8F">
              <w:rPr>
                <w:rFonts w:cs="Arial"/>
                <w:sz w:val="16"/>
                <w:szCs w:val="16"/>
              </w:rPr>
              <w:t xml:space="preserve"> případu DPN (dny)</w:t>
            </w:r>
          </w:p>
        </w:tc>
      </w:tr>
      <w:tr w:rsidR="00713B8F" w:rsidRPr="00713B8F" w14:paraId="0BA9035F" w14:textId="77777777" w:rsidTr="0047242F">
        <w:trPr>
          <w:trHeight w:val="450"/>
        </w:trPr>
        <w:tc>
          <w:tcPr>
            <w:tcW w:w="1985" w:type="dxa"/>
            <w:vMerge/>
            <w:tcBorders>
              <w:top w:val="single" w:sz="4" w:space="0" w:color="000000"/>
              <w:left w:val="nil"/>
              <w:bottom w:val="single" w:sz="4" w:space="0" w:color="000000"/>
              <w:right w:val="single" w:sz="4" w:space="0" w:color="auto"/>
            </w:tcBorders>
            <w:vAlign w:val="center"/>
            <w:hideMark/>
          </w:tcPr>
          <w:p w14:paraId="53C9D83B" w14:textId="77777777" w:rsidR="00713B8F" w:rsidRPr="00713B8F" w:rsidRDefault="00713B8F" w:rsidP="00713B8F">
            <w:pPr>
              <w:spacing w:after="0" w:line="240" w:lineRule="auto"/>
              <w:rPr>
                <w:rFonts w:cs="Arial"/>
                <w:sz w:val="16"/>
                <w:szCs w:val="16"/>
              </w:rPr>
            </w:pPr>
          </w:p>
        </w:tc>
        <w:tc>
          <w:tcPr>
            <w:tcW w:w="697" w:type="dxa"/>
            <w:tcBorders>
              <w:top w:val="nil"/>
              <w:left w:val="single" w:sz="4" w:space="0" w:color="auto"/>
              <w:bottom w:val="single" w:sz="4" w:space="0" w:color="auto"/>
              <w:right w:val="single" w:sz="4" w:space="0" w:color="auto"/>
            </w:tcBorders>
            <w:shd w:val="clear" w:color="000000" w:fill="F2DCDB"/>
            <w:vAlign w:val="center"/>
            <w:hideMark/>
          </w:tcPr>
          <w:p w14:paraId="21DD80D6"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2009</w:t>
            </w:r>
          </w:p>
        </w:tc>
        <w:tc>
          <w:tcPr>
            <w:tcW w:w="697" w:type="dxa"/>
            <w:tcBorders>
              <w:top w:val="nil"/>
              <w:left w:val="nil"/>
              <w:bottom w:val="single" w:sz="4" w:space="0" w:color="auto"/>
              <w:right w:val="single" w:sz="4" w:space="0" w:color="auto"/>
            </w:tcBorders>
            <w:shd w:val="clear" w:color="000000" w:fill="F2DCDB"/>
            <w:vAlign w:val="center"/>
            <w:hideMark/>
          </w:tcPr>
          <w:p w14:paraId="49A4448B"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2010</w:t>
            </w:r>
          </w:p>
        </w:tc>
        <w:tc>
          <w:tcPr>
            <w:tcW w:w="697" w:type="dxa"/>
            <w:tcBorders>
              <w:top w:val="nil"/>
              <w:left w:val="nil"/>
              <w:bottom w:val="single" w:sz="4" w:space="0" w:color="auto"/>
              <w:right w:val="single" w:sz="4" w:space="0" w:color="auto"/>
            </w:tcBorders>
            <w:shd w:val="clear" w:color="000000" w:fill="F2DCDB"/>
            <w:vAlign w:val="center"/>
            <w:hideMark/>
          </w:tcPr>
          <w:p w14:paraId="3DE673AE"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2011</w:t>
            </w:r>
          </w:p>
        </w:tc>
        <w:tc>
          <w:tcPr>
            <w:tcW w:w="697" w:type="dxa"/>
            <w:tcBorders>
              <w:top w:val="nil"/>
              <w:left w:val="nil"/>
              <w:bottom w:val="single" w:sz="4" w:space="0" w:color="auto"/>
              <w:right w:val="single" w:sz="4" w:space="0" w:color="auto"/>
            </w:tcBorders>
            <w:shd w:val="clear" w:color="000000" w:fill="F2DCDB"/>
            <w:vAlign w:val="center"/>
            <w:hideMark/>
          </w:tcPr>
          <w:p w14:paraId="4CF0C103"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2012</w:t>
            </w:r>
          </w:p>
        </w:tc>
        <w:tc>
          <w:tcPr>
            <w:tcW w:w="697" w:type="dxa"/>
            <w:tcBorders>
              <w:top w:val="nil"/>
              <w:left w:val="nil"/>
              <w:bottom w:val="single" w:sz="4" w:space="0" w:color="auto"/>
              <w:right w:val="single" w:sz="4" w:space="0" w:color="auto"/>
            </w:tcBorders>
            <w:shd w:val="clear" w:color="000000" w:fill="F2DCDB"/>
            <w:vAlign w:val="center"/>
            <w:hideMark/>
          </w:tcPr>
          <w:p w14:paraId="4B297205"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2013</w:t>
            </w:r>
          </w:p>
        </w:tc>
        <w:tc>
          <w:tcPr>
            <w:tcW w:w="697" w:type="dxa"/>
            <w:tcBorders>
              <w:top w:val="nil"/>
              <w:left w:val="nil"/>
              <w:bottom w:val="single" w:sz="4" w:space="0" w:color="auto"/>
              <w:right w:val="single" w:sz="4" w:space="0" w:color="auto"/>
            </w:tcBorders>
            <w:shd w:val="clear" w:color="000000" w:fill="F2DCDB"/>
            <w:vAlign w:val="center"/>
            <w:hideMark/>
          </w:tcPr>
          <w:p w14:paraId="1008132B"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2014</w:t>
            </w:r>
          </w:p>
        </w:tc>
        <w:tc>
          <w:tcPr>
            <w:tcW w:w="697" w:type="dxa"/>
            <w:tcBorders>
              <w:top w:val="nil"/>
              <w:left w:val="nil"/>
              <w:bottom w:val="single" w:sz="4" w:space="0" w:color="auto"/>
              <w:right w:val="single" w:sz="4" w:space="0" w:color="auto"/>
            </w:tcBorders>
            <w:shd w:val="clear" w:color="000000" w:fill="F2DCDB"/>
            <w:vAlign w:val="center"/>
            <w:hideMark/>
          </w:tcPr>
          <w:p w14:paraId="20D41AEF"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2015</w:t>
            </w:r>
          </w:p>
        </w:tc>
        <w:tc>
          <w:tcPr>
            <w:tcW w:w="697" w:type="dxa"/>
            <w:tcBorders>
              <w:top w:val="nil"/>
              <w:left w:val="nil"/>
              <w:bottom w:val="single" w:sz="4" w:space="0" w:color="auto"/>
              <w:right w:val="single" w:sz="4" w:space="0" w:color="auto"/>
            </w:tcBorders>
            <w:shd w:val="clear" w:color="000000" w:fill="F2DCDB"/>
            <w:vAlign w:val="center"/>
            <w:hideMark/>
          </w:tcPr>
          <w:p w14:paraId="041A1327"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2016</w:t>
            </w:r>
          </w:p>
        </w:tc>
        <w:tc>
          <w:tcPr>
            <w:tcW w:w="697" w:type="dxa"/>
            <w:tcBorders>
              <w:top w:val="nil"/>
              <w:left w:val="nil"/>
              <w:bottom w:val="single" w:sz="4" w:space="0" w:color="auto"/>
              <w:right w:val="single" w:sz="4" w:space="0" w:color="auto"/>
            </w:tcBorders>
            <w:shd w:val="clear" w:color="000000" w:fill="F2DCDB"/>
            <w:vAlign w:val="center"/>
            <w:hideMark/>
          </w:tcPr>
          <w:p w14:paraId="775D67DA"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2017</w:t>
            </w:r>
          </w:p>
        </w:tc>
        <w:tc>
          <w:tcPr>
            <w:tcW w:w="697" w:type="dxa"/>
            <w:tcBorders>
              <w:top w:val="nil"/>
              <w:left w:val="nil"/>
              <w:bottom w:val="single" w:sz="4" w:space="0" w:color="auto"/>
              <w:right w:val="nil"/>
            </w:tcBorders>
            <w:shd w:val="clear" w:color="000000" w:fill="F2DCDB"/>
            <w:vAlign w:val="center"/>
            <w:hideMark/>
          </w:tcPr>
          <w:p w14:paraId="5566083C"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2018</w:t>
            </w:r>
          </w:p>
        </w:tc>
        <w:tc>
          <w:tcPr>
            <w:tcW w:w="697" w:type="dxa"/>
            <w:gridSpan w:val="2"/>
            <w:tcBorders>
              <w:top w:val="nil"/>
              <w:left w:val="single" w:sz="4" w:space="0" w:color="auto"/>
              <w:bottom w:val="single" w:sz="4" w:space="0" w:color="auto"/>
              <w:right w:val="nil"/>
            </w:tcBorders>
            <w:shd w:val="clear" w:color="000000" w:fill="F2DCDB"/>
            <w:vAlign w:val="center"/>
            <w:hideMark/>
          </w:tcPr>
          <w:p w14:paraId="4656D152" w14:textId="77777777" w:rsidR="00713B8F" w:rsidRPr="00713B8F" w:rsidRDefault="00713B8F" w:rsidP="0047242F">
            <w:pPr>
              <w:spacing w:after="0" w:line="240" w:lineRule="auto"/>
              <w:jc w:val="center"/>
              <w:rPr>
                <w:rFonts w:cs="Arial"/>
                <w:sz w:val="16"/>
                <w:szCs w:val="16"/>
              </w:rPr>
            </w:pPr>
            <w:r w:rsidRPr="00713B8F">
              <w:rPr>
                <w:rFonts w:cs="Arial"/>
                <w:sz w:val="16"/>
                <w:szCs w:val="16"/>
              </w:rPr>
              <w:t>1. pol. 2019</w:t>
            </w:r>
          </w:p>
        </w:tc>
      </w:tr>
      <w:tr w:rsidR="00713B8F" w:rsidRPr="00713B8F" w14:paraId="3842D4AB" w14:textId="77777777" w:rsidTr="00713B8F">
        <w:trPr>
          <w:trHeight w:val="300"/>
        </w:trPr>
        <w:tc>
          <w:tcPr>
            <w:tcW w:w="1985" w:type="dxa"/>
            <w:tcBorders>
              <w:top w:val="nil"/>
              <w:left w:val="nil"/>
              <w:bottom w:val="nil"/>
              <w:right w:val="nil"/>
            </w:tcBorders>
            <w:shd w:val="clear" w:color="auto" w:fill="auto"/>
            <w:noWrap/>
            <w:vAlign w:val="center"/>
            <w:hideMark/>
          </w:tcPr>
          <w:p w14:paraId="6DF2F90C" w14:textId="77777777" w:rsidR="00713B8F" w:rsidRPr="00713B8F" w:rsidRDefault="00713B8F" w:rsidP="00713B8F">
            <w:pPr>
              <w:spacing w:after="0" w:line="240" w:lineRule="auto"/>
              <w:rPr>
                <w:rFonts w:cs="Arial"/>
                <w:b/>
                <w:bCs/>
                <w:sz w:val="16"/>
                <w:szCs w:val="16"/>
              </w:rPr>
            </w:pPr>
            <w:r w:rsidRPr="00713B8F">
              <w:rPr>
                <w:rFonts w:cs="Arial"/>
                <w:b/>
                <w:bCs/>
                <w:sz w:val="16"/>
                <w:szCs w:val="16"/>
              </w:rPr>
              <w:t>ČR celkem</w:t>
            </w:r>
          </w:p>
        </w:tc>
        <w:tc>
          <w:tcPr>
            <w:tcW w:w="697" w:type="dxa"/>
            <w:tcBorders>
              <w:top w:val="nil"/>
              <w:left w:val="nil"/>
              <w:bottom w:val="nil"/>
              <w:right w:val="nil"/>
            </w:tcBorders>
            <w:shd w:val="clear" w:color="auto" w:fill="auto"/>
            <w:noWrap/>
            <w:vAlign w:val="center"/>
            <w:hideMark/>
          </w:tcPr>
          <w:p w14:paraId="1E67E2DB"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44,55</w:t>
            </w:r>
          </w:p>
        </w:tc>
        <w:tc>
          <w:tcPr>
            <w:tcW w:w="697" w:type="dxa"/>
            <w:tcBorders>
              <w:top w:val="nil"/>
              <w:left w:val="nil"/>
              <w:bottom w:val="nil"/>
              <w:right w:val="nil"/>
            </w:tcBorders>
            <w:shd w:val="clear" w:color="auto" w:fill="auto"/>
            <w:noWrap/>
            <w:vAlign w:val="center"/>
            <w:hideMark/>
          </w:tcPr>
          <w:p w14:paraId="1276C0D5"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44,57</w:t>
            </w:r>
          </w:p>
        </w:tc>
        <w:tc>
          <w:tcPr>
            <w:tcW w:w="697" w:type="dxa"/>
            <w:tcBorders>
              <w:top w:val="nil"/>
              <w:left w:val="nil"/>
              <w:bottom w:val="nil"/>
              <w:right w:val="nil"/>
            </w:tcBorders>
            <w:shd w:val="clear" w:color="auto" w:fill="auto"/>
            <w:noWrap/>
            <w:vAlign w:val="center"/>
            <w:hideMark/>
          </w:tcPr>
          <w:p w14:paraId="70D0539D"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42,77</w:t>
            </w:r>
          </w:p>
        </w:tc>
        <w:tc>
          <w:tcPr>
            <w:tcW w:w="697" w:type="dxa"/>
            <w:tcBorders>
              <w:top w:val="nil"/>
              <w:left w:val="nil"/>
              <w:bottom w:val="nil"/>
              <w:right w:val="nil"/>
            </w:tcBorders>
            <w:shd w:val="clear" w:color="auto" w:fill="auto"/>
            <w:noWrap/>
            <w:vAlign w:val="center"/>
            <w:hideMark/>
          </w:tcPr>
          <w:p w14:paraId="03249CA2"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47,70</w:t>
            </w:r>
          </w:p>
        </w:tc>
        <w:tc>
          <w:tcPr>
            <w:tcW w:w="697" w:type="dxa"/>
            <w:tcBorders>
              <w:top w:val="nil"/>
              <w:left w:val="nil"/>
              <w:bottom w:val="nil"/>
              <w:right w:val="nil"/>
            </w:tcBorders>
            <w:shd w:val="clear" w:color="auto" w:fill="auto"/>
            <w:noWrap/>
            <w:vAlign w:val="center"/>
            <w:hideMark/>
          </w:tcPr>
          <w:p w14:paraId="2E99AA3A"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42,24</w:t>
            </w:r>
          </w:p>
        </w:tc>
        <w:tc>
          <w:tcPr>
            <w:tcW w:w="697" w:type="dxa"/>
            <w:tcBorders>
              <w:top w:val="nil"/>
              <w:left w:val="nil"/>
              <w:bottom w:val="nil"/>
              <w:right w:val="nil"/>
            </w:tcBorders>
            <w:shd w:val="clear" w:color="auto" w:fill="auto"/>
            <w:noWrap/>
            <w:vAlign w:val="center"/>
            <w:hideMark/>
          </w:tcPr>
          <w:p w14:paraId="58242F77"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45,94</w:t>
            </w:r>
          </w:p>
        </w:tc>
        <w:tc>
          <w:tcPr>
            <w:tcW w:w="697" w:type="dxa"/>
            <w:tcBorders>
              <w:top w:val="nil"/>
              <w:left w:val="nil"/>
              <w:bottom w:val="nil"/>
              <w:right w:val="nil"/>
            </w:tcBorders>
            <w:shd w:val="clear" w:color="auto" w:fill="auto"/>
            <w:noWrap/>
            <w:vAlign w:val="center"/>
            <w:hideMark/>
          </w:tcPr>
          <w:p w14:paraId="7F3DC224"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40,11</w:t>
            </w:r>
          </w:p>
        </w:tc>
        <w:tc>
          <w:tcPr>
            <w:tcW w:w="697" w:type="dxa"/>
            <w:tcBorders>
              <w:top w:val="nil"/>
              <w:left w:val="nil"/>
              <w:bottom w:val="nil"/>
              <w:right w:val="nil"/>
            </w:tcBorders>
            <w:shd w:val="clear" w:color="auto" w:fill="auto"/>
            <w:noWrap/>
            <w:vAlign w:val="center"/>
            <w:hideMark/>
          </w:tcPr>
          <w:p w14:paraId="7F4DDE14"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41,97</w:t>
            </w:r>
          </w:p>
        </w:tc>
        <w:tc>
          <w:tcPr>
            <w:tcW w:w="697" w:type="dxa"/>
            <w:tcBorders>
              <w:top w:val="nil"/>
              <w:left w:val="nil"/>
              <w:bottom w:val="nil"/>
              <w:right w:val="nil"/>
            </w:tcBorders>
            <w:shd w:val="clear" w:color="auto" w:fill="auto"/>
            <w:noWrap/>
            <w:vAlign w:val="center"/>
            <w:hideMark/>
          </w:tcPr>
          <w:p w14:paraId="694DA0F8"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40,97</w:t>
            </w:r>
          </w:p>
        </w:tc>
        <w:tc>
          <w:tcPr>
            <w:tcW w:w="697" w:type="dxa"/>
            <w:tcBorders>
              <w:top w:val="nil"/>
              <w:left w:val="nil"/>
              <w:bottom w:val="nil"/>
              <w:right w:val="nil"/>
            </w:tcBorders>
            <w:shd w:val="clear" w:color="000000" w:fill="FFFFFF"/>
            <w:noWrap/>
            <w:vAlign w:val="center"/>
            <w:hideMark/>
          </w:tcPr>
          <w:p w14:paraId="62254619" w14:textId="77777777" w:rsidR="00713B8F" w:rsidRPr="00713B8F" w:rsidRDefault="00713B8F" w:rsidP="00713B8F">
            <w:pPr>
              <w:spacing w:after="0" w:line="240" w:lineRule="auto"/>
              <w:jc w:val="right"/>
              <w:rPr>
                <w:rFonts w:cs="Arial"/>
                <w:b/>
                <w:bCs/>
                <w:color w:val="000000"/>
                <w:sz w:val="16"/>
                <w:szCs w:val="16"/>
              </w:rPr>
            </w:pPr>
            <w:r w:rsidRPr="00713B8F">
              <w:rPr>
                <w:rFonts w:cs="Arial"/>
                <w:b/>
                <w:bCs/>
                <w:color w:val="000000"/>
                <w:sz w:val="16"/>
                <w:szCs w:val="16"/>
              </w:rPr>
              <w:t>39,05</w:t>
            </w:r>
          </w:p>
        </w:tc>
        <w:tc>
          <w:tcPr>
            <w:tcW w:w="697" w:type="dxa"/>
            <w:gridSpan w:val="2"/>
            <w:tcBorders>
              <w:top w:val="nil"/>
              <w:left w:val="nil"/>
              <w:bottom w:val="nil"/>
              <w:right w:val="nil"/>
            </w:tcBorders>
            <w:shd w:val="clear" w:color="000000" w:fill="FFFFFF"/>
            <w:noWrap/>
            <w:vAlign w:val="center"/>
            <w:hideMark/>
          </w:tcPr>
          <w:p w14:paraId="4AFF1E86" w14:textId="77777777" w:rsidR="00713B8F" w:rsidRPr="00713B8F" w:rsidRDefault="00713B8F" w:rsidP="00713B8F">
            <w:pPr>
              <w:spacing w:after="0" w:line="240" w:lineRule="auto"/>
              <w:jc w:val="right"/>
              <w:rPr>
                <w:rFonts w:cs="Arial"/>
                <w:b/>
                <w:bCs/>
                <w:color w:val="000000"/>
                <w:sz w:val="16"/>
                <w:szCs w:val="16"/>
              </w:rPr>
            </w:pPr>
            <w:r w:rsidRPr="00713B8F">
              <w:rPr>
                <w:rFonts w:cs="Arial"/>
                <w:b/>
                <w:bCs/>
                <w:color w:val="000000"/>
                <w:sz w:val="16"/>
                <w:szCs w:val="16"/>
              </w:rPr>
              <w:t>42,65</w:t>
            </w:r>
          </w:p>
        </w:tc>
      </w:tr>
      <w:tr w:rsidR="00713B8F" w:rsidRPr="00713B8F" w14:paraId="0134B7C1" w14:textId="77777777" w:rsidTr="00713B8F">
        <w:trPr>
          <w:trHeight w:val="300"/>
        </w:trPr>
        <w:tc>
          <w:tcPr>
            <w:tcW w:w="1985" w:type="dxa"/>
            <w:tcBorders>
              <w:top w:val="nil"/>
              <w:left w:val="nil"/>
              <w:bottom w:val="nil"/>
              <w:right w:val="nil"/>
            </w:tcBorders>
            <w:shd w:val="clear" w:color="auto" w:fill="auto"/>
            <w:noWrap/>
            <w:vAlign w:val="center"/>
            <w:hideMark/>
          </w:tcPr>
          <w:p w14:paraId="76E583BA"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Hl. m. Praha</w:t>
            </w:r>
          </w:p>
        </w:tc>
        <w:tc>
          <w:tcPr>
            <w:tcW w:w="697" w:type="dxa"/>
            <w:tcBorders>
              <w:top w:val="nil"/>
              <w:left w:val="nil"/>
              <w:bottom w:val="nil"/>
              <w:right w:val="nil"/>
            </w:tcBorders>
            <w:shd w:val="clear" w:color="auto" w:fill="auto"/>
            <w:noWrap/>
            <w:vAlign w:val="center"/>
            <w:hideMark/>
          </w:tcPr>
          <w:p w14:paraId="11BAEAAE" w14:textId="77777777" w:rsidR="00713B8F" w:rsidRPr="00713B8F" w:rsidRDefault="00713B8F" w:rsidP="00713B8F">
            <w:pPr>
              <w:spacing w:after="0" w:line="240" w:lineRule="auto"/>
              <w:jc w:val="right"/>
              <w:rPr>
                <w:rFonts w:cs="Arial"/>
                <w:sz w:val="16"/>
                <w:szCs w:val="16"/>
              </w:rPr>
            </w:pPr>
            <w:r w:rsidRPr="00713B8F">
              <w:rPr>
                <w:rFonts w:cs="Arial"/>
                <w:sz w:val="16"/>
                <w:szCs w:val="16"/>
              </w:rPr>
              <w:t>35,71</w:t>
            </w:r>
          </w:p>
        </w:tc>
        <w:tc>
          <w:tcPr>
            <w:tcW w:w="697" w:type="dxa"/>
            <w:tcBorders>
              <w:top w:val="nil"/>
              <w:left w:val="nil"/>
              <w:bottom w:val="nil"/>
              <w:right w:val="nil"/>
            </w:tcBorders>
            <w:shd w:val="clear" w:color="auto" w:fill="auto"/>
            <w:noWrap/>
            <w:vAlign w:val="center"/>
            <w:hideMark/>
          </w:tcPr>
          <w:p w14:paraId="4AC9E0E3" w14:textId="77777777" w:rsidR="00713B8F" w:rsidRPr="00713B8F" w:rsidRDefault="00713B8F" w:rsidP="00713B8F">
            <w:pPr>
              <w:spacing w:after="0" w:line="240" w:lineRule="auto"/>
              <w:jc w:val="right"/>
              <w:rPr>
                <w:rFonts w:cs="Arial"/>
                <w:sz w:val="16"/>
                <w:szCs w:val="16"/>
              </w:rPr>
            </w:pPr>
            <w:r w:rsidRPr="00713B8F">
              <w:rPr>
                <w:rFonts w:cs="Arial"/>
                <w:sz w:val="16"/>
                <w:szCs w:val="16"/>
              </w:rPr>
              <w:t>37,67</w:t>
            </w:r>
          </w:p>
        </w:tc>
        <w:tc>
          <w:tcPr>
            <w:tcW w:w="697" w:type="dxa"/>
            <w:tcBorders>
              <w:top w:val="nil"/>
              <w:left w:val="nil"/>
              <w:bottom w:val="nil"/>
              <w:right w:val="nil"/>
            </w:tcBorders>
            <w:shd w:val="clear" w:color="auto" w:fill="auto"/>
            <w:noWrap/>
            <w:vAlign w:val="center"/>
            <w:hideMark/>
          </w:tcPr>
          <w:p w14:paraId="3DC54FD6" w14:textId="77777777" w:rsidR="00713B8F" w:rsidRPr="00713B8F" w:rsidRDefault="00713B8F" w:rsidP="00713B8F">
            <w:pPr>
              <w:spacing w:after="0" w:line="240" w:lineRule="auto"/>
              <w:jc w:val="right"/>
              <w:rPr>
                <w:rFonts w:cs="Arial"/>
                <w:sz w:val="16"/>
                <w:szCs w:val="16"/>
              </w:rPr>
            </w:pPr>
            <w:r w:rsidRPr="00713B8F">
              <w:rPr>
                <w:rFonts w:cs="Arial"/>
                <w:sz w:val="16"/>
                <w:szCs w:val="16"/>
              </w:rPr>
              <w:t>36,19</w:t>
            </w:r>
          </w:p>
        </w:tc>
        <w:tc>
          <w:tcPr>
            <w:tcW w:w="697" w:type="dxa"/>
            <w:tcBorders>
              <w:top w:val="nil"/>
              <w:left w:val="nil"/>
              <w:bottom w:val="nil"/>
              <w:right w:val="nil"/>
            </w:tcBorders>
            <w:shd w:val="clear" w:color="auto" w:fill="auto"/>
            <w:noWrap/>
            <w:vAlign w:val="center"/>
            <w:hideMark/>
          </w:tcPr>
          <w:p w14:paraId="5594A9BF" w14:textId="77777777" w:rsidR="00713B8F" w:rsidRPr="00713B8F" w:rsidRDefault="00713B8F" w:rsidP="00713B8F">
            <w:pPr>
              <w:spacing w:after="0" w:line="240" w:lineRule="auto"/>
              <w:jc w:val="right"/>
              <w:rPr>
                <w:rFonts w:cs="Arial"/>
                <w:sz w:val="16"/>
                <w:szCs w:val="16"/>
              </w:rPr>
            </w:pPr>
            <w:r w:rsidRPr="00713B8F">
              <w:rPr>
                <w:rFonts w:cs="Arial"/>
                <w:sz w:val="16"/>
                <w:szCs w:val="16"/>
              </w:rPr>
              <w:t>42,36</w:t>
            </w:r>
          </w:p>
        </w:tc>
        <w:tc>
          <w:tcPr>
            <w:tcW w:w="697" w:type="dxa"/>
            <w:tcBorders>
              <w:top w:val="nil"/>
              <w:left w:val="nil"/>
              <w:bottom w:val="nil"/>
              <w:right w:val="nil"/>
            </w:tcBorders>
            <w:shd w:val="clear" w:color="auto" w:fill="auto"/>
            <w:noWrap/>
            <w:vAlign w:val="center"/>
            <w:hideMark/>
          </w:tcPr>
          <w:p w14:paraId="4340D888" w14:textId="77777777" w:rsidR="00713B8F" w:rsidRPr="00713B8F" w:rsidRDefault="00713B8F" w:rsidP="00713B8F">
            <w:pPr>
              <w:spacing w:after="0" w:line="240" w:lineRule="auto"/>
              <w:jc w:val="right"/>
              <w:rPr>
                <w:rFonts w:cs="Arial"/>
                <w:sz w:val="16"/>
                <w:szCs w:val="16"/>
              </w:rPr>
            </w:pPr>
            <w:r w:rsidRPr="00713B8F">
              <w:rPr>
                <w:rFonts w:cs="Arial"/>
                <w:sz w:val="16"/>
                <w:szCs w:val="16"/>
              </w:rPr>
              <w:t>37,39</w:t>
            </w:r>
          </w:p>
        </w:tc>
        <w:tc>
          <w:tcPr>
            <w:tcW w:w="697" w:type="dxa"/>
            <w:tcBorders>
              <w:top w:val="nil"/>
              <w:left w:val="nil"/>
              <w:bottom w:val="nil"/>
              <w:right w:val="nil"/>
            </w:tcBorders>
            <w:shd w:val="clear" w:color="auto" w:fill="auto"/>
            <w:noWrap/>
            <w:vAlign w:val="center"/>
            <w:hideMark/>
          </w:tcPr>
          <w:p w14:paraId="29BFB293" w14:textId="77777777" w:rsidR="00713B8F" w:rsidRPr="00713B8F" w:rsidRDefault="00713B8F" w:rsidP="00713B8F">
            <w:pPr>
              <w:spacing w:after="0" w:line="240" w:lineRule="auto"/>
              <w:jc w:val="right"/>
              <w:rPr>
                <w:rFonts w:cs="Arial"/>
                <w:sz w:val="16"/>
                <w:szCs w:val="16"/>
              </w:rPr>
            </w:pPr>
            <w:r w:rsidRPr="00713B8F">
              <w:rPr>
                <w:rFonts w:cs="Arial"/>
                <w:sz w:val="16"/>
                <w:szCs w:val="16"/>
              </w:rPr>
              <w:t>40,29</w:t>
            </w:r>
          </w:p>
        </w:tc>
        <w:tc>
          <w:tcPr>
            <w:tcW w:w="697" w:type="dxa"/>
            <w:tcBorders>
              <w:top w:val="nil"/>
              <w:left w:val="nil"/>
              <w:bottom w:val="nil"/>
              <w:right w:val="nil"/>
            </w:tcBorders>
            <w:shd w:val="clear" w:color="auto" w:fill="auto"/>
            <w:noWrap/>
            <w:vAlign w:val="center"/>
            <w:hideMark/>
          </w:tcPr>
          <w:p w14:paraId="3A326AB9" w14:textId="77777777" w:rsidR="00713B8F" w:rsidRPr="00713B8F" w:rsidRDefault="00713B8F" w:rsidP="00713B8F">
            <w:pPr>
              <w:spacing w:after="0" w:line="240" w:lineRule="auto"/>
              <w:jc w:val="right"/>
              <w:rPr>
                <w:rFonts w:cs="Arial"/>
                <w:sz w:val="16"/>
                <w:szCs w:val="16"/>
              </w:rPr>
            </w:pPr>
            <w:r w:rsidRPr="00713B8F">
              <w:rPr>
                <w:rFonts w:cs="Arial"/>
                <w:sz w:val="16"/>
                <w:szCs w:val="16"/>
              </w:rPr>
              <w:t>36,54</w:t>
            </w:r>
          </w:p>
        </w:tc>
        <w:tc>
          <w:tcPr>
            <w:tcW w:w="697" w:type="dxa"/>
            <w:tcBorders>
              <w:top w:val="nil"/>
              <w:left w:val="nil"/>
              <w:bottom w:val="nil"/>
              <w:right w:val="nil"/>
            </w:tcBorders>
            <w:shd w:val="clear" w:color="auto" w:fill="auto"/>
            <w:noWrap/>
            <w:vAlign w:val="center"/>
            <w:hideMark/>
          </w:tcPr>
          <w:p w14:paraId="3B351353" w14:textId="77777777" w:rsidR="00713B8F" w:rsidRPr="00713B8F" w:rsidRDefault="00713B8F" w:rsidP="00713B8F">
            <w:pPr>
              <w:spacing w:after="0" w:line="240" w:lineRule="auto"/>
              <w:jc w:val="right"/>
              <w:rPr>
                <w:rFonts w:cs="Arial"/>
                <w:sz w:val="16"/>
                <w:szCs w:val="16"/>
              </w:rPr>
            </w:pPr>
            <w:r w:rsidRPr="00713B8F">
              <w:rPr>
                <w:rFonts w:cs="Arial"/>
                <w:sz w:val="16"/>
                <w:szCs w:val="16"/>
              </w:rPr>
              <w:t>37,34</w:t>
            </w:r>
          </w:p>
        </w:tc>
        <w:tc>
          <w:tcPr>
            <w:tcW w:w="697" w:type="dxa"/>
            <w:tcBorders>
              <w:top w:val="nil"/>
              <w:left w:val="nil"/>
              <w:bottom w:val="nil"/>
              <w:right w:val="nil"/>
            </w:tcBorders>
            <w:shd w:val="clear" w:color="auto" w:fill="auto"/>
            <w:noWrap/>
            <w:vAlign w:val="center"/>
            <w:hideMark/>
          </w:tcPr>
          <w:p w14:paraId="7E332201" w14:textId="77777777" w:rsidR="00713B8F" w:rsidRPr="00713B8F" w:rsidRDefault="00713B8F" w:rsidP="00713B8F">
            <w:pPr>
              <w:spacing w:after="0" w:line="240" w:lineRule="auto"/>
              <w:jc w:val="right"/>
              <w:rPr>
                <w:rFonts w:cs="Arial"/>
                <w:sz w:val="16"/>
                <w:szCs w:val="16"/>
              </w:rPr>
            </w:pPr>
            <w:r w:rsidRPr="00713B8F">
              <w:rPr>
                <w:rFonts w:cs="Arial"/>
                <w:sz w:val="16"/>
                <w:szCs w:val="16"/>
              </w:rPr>
              <w:t>37,18</w:t>
            </w:r>
          </w:p>
        </w:tc>
        <w:tc>
          <w:tcPr>
            <w:tcW w:w="697" w:type="dxa"/>
            <w:tcBorders>
              <w:top w:val="nil"/>
              <w:left w:val="nil"/>
              <w:bottom w:val="nil"/>
              <w:right w:val="nil"/>
            </w:tcBorders>
            <w:shd w:val="clear" w:color="000000" w:fill="FFFFFF"/>
            <w:noWrap/>
            <w:vAlign w:val="center"/>
            <w:hideMark/>
          </w:tcPr>
          <w:p w14:paraId="0AAC6BD0"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36,66</w:t>
            </w:r>
          </w:p>
        </w:tc>
        <w:tc>
          <w:tcPr>
            <w:tcW w:w="697" w:type="dxa"/>
            <w:gridSpan w:val="2"/>
            <w:tcBorders>
              <w:top w:val="nil"/>
              <w:left w:val="nil"/>
              <w:bottom w:val="nil"/>
              <w:right w:val="nil"/>
            </w:tcBorders>
            <w:shd w:val="clear" w:color="000000" w:fill="FFFFFF"/>
            <w:noWrap/>
            <w:vAlign w:val="center"/>
            <w:hideMark/>
          </w:tcPr>
          <w:p w14:paraId="13B0D053"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39,47</w:t>
            </w:r>
          </w:p>
        </w:tc>
      </w:tr>
      <w:tr w:rsidR="00713B8F" w:rsidRPr="00713B8F" w14:paraId="69BF177E" w14:textId="77777777" w:rsidTr="00713B8F">
        <w:trPr>
          <w:trHeight w:val="300"/>
        </w:trPr>
        <w:tc>
          <w:tcPr>
            <w:tcW w:w="1985" w:type="dxa"/>
            <w:tcBorders>
              <w:top w:val="nil"/>
              <w:left w:val="nil"/>
              <w:bottom w:val="nil"/>
              <w:right w:val="nil"/>
            </w:tcBorders>
            <w:shd w:val="clear" w:color="auto" w:fill="auto"/>
            <w:noWrap/>
            <w:vAlign w:val="center"/>
            <w:hideMark/>
          </w:tcPr>
          <w:p w14:paraId="5E7A120C"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Středočeský kraj</w:t>
            </w:r>
          </w:p>
        </w:tc>
        <w:tc>
          <w:tcPr>
            <w:tcW w:w="697" w:type="dxa"/>
            <w:tcBorders>
              <w:top w:val="nil"/>
              <w:left w:val="nil"/>
              <w:bottom w:val="nil"/>
              <w:right w:val="nil"/>
            </w:tcBorders>
            <w:shd w:val="clear" w:color="auto" w:fill="auto"/>
            <w:noWrap/>
            <w:vAlign w:val="center"/>
            <w:hideMark/>
          </w:tcPr>
          <w:p w14:paraId="57A2CC5C" w14:textId="77777777" w:rsidR="00713B8F" w:rsidRPr="00713B8F" w:rsidRDefault="00713B8F" w:rsidP="00713B8F">
            <w:pPr>
              <w:spacing w:after="0" w:line="240" w:lineRule="auto"/>
              <w:jc w:val="right"/>
              <w:rPr>
                <w:rFonts w:cs="Arial"/>
                <w:sz w:val="16"/>
                <w:szCs w:val="16"/>
              </w:rPr>
            </w:pPr>
            <w:r w:rsidRPr="00713B8F">
              <w:rPr>
                <w:rFonts w:cs="Arial"/>
                <w:sz w:val="16"/>
                <w:szCs w:val="16"/>
              </w:rPr>
              <w:t>41,46</w:t>
            </w:r>
          </w:p>
        </w:tc>
        <w:tc>
          <w:tcPr>
            <w:tcW w:w="697" w:type="dxa"/>
            <w:tcBorders>
              <w:top w:val="nil"/>
              <w:left w:val="nil"/>
              <w:bottom w:val="nil"/>
              <w:right w:val="nil"/>
            </w:tcBorders>
            <w:shd w:val="clear" w:color="auto" w:fill="auto"/>
            <w:noWrap/>
            <w:vAlign w:val="center"/>
            <w:hideMark/>
          </w:tcPr>
          <w:p w14:paraId="1B86CDA6" w14:textId="77777777" w:rsidR="00713B8F" w:rsidRPr="00713B8F" w:rsidRDefault="00713B8F" w:rsidP="00713B8F">
            <w:pPr>
              <w:spacing w:after="0" w:line="240" w:lineRule="auto"/>
              <w:jc w:val="right"/>
              <w:rPr>
                <w:rFonts w:cs="Arial"/>
                <w:sz w:val="16"/>
                <w:szCs w:val="16"/>
              </w:rPr>
            </w:pPr>
            <w:r w:rsidRPr="00713B8F">
              <w:rPr>
                <w:rFonts w:cs="Arial"/>
                <w:sz w:val="16"/>
                <w:szCs w:val="16"/>
              </w:rPr>
              <w:t>43,48</w:t>
            </w:r>
          </w:p>
        </w:tc>
        <w:tc>
          <w:tcPr>
            <w:tcW w:w="697" w:type="dxa"/>
            <w:tcBorders>
              <w:top w:val="nil"/>
              <w:left w:val="nil"/>
              <w:bottom w:val="nil"/>
              <w:right w:val="nil"/>
            </w:tcBorders>
            <w:shd w:val="clear" w:color="auto" w:fill="auto"/>
            <w:noWrap/>
            <w:vAlign w:val="center"/>
            <w:hideMark/>
          </w:tcPr>
          <w:p w14:paraId="1D8C262F" w14:textId="77777777" w:rsidR="00713B8F" w:rsidRPr="00713B8F" w:rsidRDefault="00713B8F" w:rsidP="00713B8F">
            <w:pPr>
              <w:spacing w:after="0" w:line="240" w:lineRule="auto"/>
              <w:jc w:val="right"/>
              <w:rPr>
                <w:rFonts w:cs="Arial"/>
                <w:sz w:val="16"/>
                <w:szCs w:val="16"/>
              </w:rPr>
            </w:pPr>
            <w:r w:rsidRPr="00713B8F">
              <w:rPr>
                <w:rFonts w:cs="Arial"/>
                <w:sz w:val="16"/>
                <w:szCs w:val="16"/>
              </w:rPr>
              <w:t>41,27</w:t>
            </w:r>
          </w:p>
        </w:tc>
        <w:tc>
          <w:tcPr>
            <w:tcW w:w="697" w:type="dxa"/>
            <w:tcBorders>
              <w:top w:val="nil"/>
              <w:left w:val="nil"/>
              <w:bottom w:val="nil"/>
              <w:right w:val="nil"/>
            </w:tcBorders>
            <w:shd w:val="clear" w:color="auto" w:fill="auto"/>
            <w:noWrap/>
            <w:vAlign w:val="center"/>
            <w:hideMark/>
          </w:tcPr>
          <w:p w14:paraId="24A19A7D" w14:textId="77777777" w:rsidR="00713B8F" w:rsidRPr="00713B8F" w:rsidRDefault="00713B8F" w:rsidP="00713B8F">
            <w:pPr>
              <w:spacing w:after="0" w:line="240" w:lineRule="auto"/>
              <w:jc w:val="right"/>
              <w:rPr>
                <w:rFonts w:cs="Arial"/>
                <w:sz w:val="16"/>
                <w:szCs w:val="16"/>
              </w:rPr>
            </w:pPr>
            <w:r w:rsidRPr="00713B8F">
              <w:rPr>
                <w:rFonts w:cs="Arial"/>
                <w:sz w:val="16"/>
                <w:szCs w:val="16"/>
              </w:rPr>
              <w:t>46,51</w:t>
            </w:r>
          </w:p>
        </w:tc>
        <w:tc>
          <w:tcPr>
            <w:tcW w:w="697" w:type="dxa"/>
            <w:tcBorders>
              <w:top w:val="nil"/>
              <w:left w:val="nil"/>
              <w:bottom w:val="nil"/>
              <w:right w:val="nil"/>
            </w:tcBorders>
            <w:shd w:val="clear" w:color="auto" w:fill="auto"/>
            <w:noWrap/>
            <w:vAlign w:val="center"/>
            <w:hideMark/>
          </w:tcPr>
          <w:p w14:paraId="66B076D6" w14:textId="77777777" w:rsidR="00713B8F" w:rsidRPr="00713B8F" w:rsidRDefault="00713B8F" w:rsidP="00713B8F">
            <w:pPr>
              <w:spacing w:after="0" w:line="240" w:lineRule="auto"/>
              <w:jc w:val="right"/>
              <w:rPr>
                <w:rFonts w:cs="Arial"/>
                <w:sz w:val="16"/>
                <w:szCs w:val="16"/>
              </w:rPr>
            </w:pPr>
            <w:r w:rsidRPr="00713B8F">
              <w:rPr>
                <w:rFonts w:cs="Arial"/>
                <w:sz w:val="16"/>
                <w:szCs w:val="16"/>
              </w:rPr>
              <w:t>40,28</w:t>
            </w:r>
          </w:p>
        </w:tc>
        <w:tc>
          <w:tcPr>
            <w:tcW w:w="697" w:type="dxa"/>
            <w:tcBorders>
              <w:top w:val="nil"/>
              <w:left w:val="nil"/>
              <w:bottom w:val="nil"/>
              <w:right w:val="nil"/>
            </w:tcBorders>
            <w:shd w:val="clear" w:color="auto" w:fill="auto"/>
            <w:noWrap/>
            <w:vAlign w:val="center"/>
            <w:hideMark/>
          </w:tcPr>
          <w:p w14:paraId="1ACBF03F" w14:textId="77777777" w:rsidR="00713B8F" w:rsidRPr="00713B8F" w:rsidRDefault="00713B8F" w:rsidP="00713B8F">
            <w:pPr>
              <w:spacing w:after="0" w:line="240" w:lineRule="auto"/>
              <w:jc w:val="right"/>
              <w:rPr>
                <w:rFonts w:cs="Arial"/>
                <w:sz w:val="16"/>
                <w:szCs w:val="16"/>
              </w:rPr>
            </w:pPr>
            <w:r w:rsidRPr="00713B8F">
              <w:rPr>
                <w:rFonts w:cs="Arial"/>
                <w:sz w:val="16"/>
                <w:szCs w:val="16"/>
              </w:rPr>
              <w:t>43,34</w:t>
            </w:r>
          </w:p>
        </w:tc>
        <w:tc>
          <w:tcPr>
            <w:tcW w:w="697" w:type="dxa"/>
            <w:tcBorders>
              <w:top w:val="nil"/>
              <w:left w:val="nil"/>
              <w:bottom w:val="nil"/>
              <w:right w:val="nil"/>
            </w:tcBorders>
            <w:shd w:val="clear" w:color="auto" w:fill="auto"/>
            <w:noWrap/>
            <w:vAlign w:val="center"/>
            <w:hideMark/>
          </w:tcPr>
          <w:p w14:paraId="1CCC6812" w14:textId="77777777" w:rsidR="00713B8F" w:rsidRPr="00713B8F" w:rsidRDefault="00713B8F" w:rsidP="00713B8F">
            <w:pPr>
              <w:spacing w:after="0" w:line="240" w:lineRule="auto"/>
              <w:jc w:val="right"/>
              <w:rPr>
                <w:rFonts w:cs="Arial"/>
                <w:sz w:val="16"/>
                <w:szCs w:val="16"/>
              </w:rPr>
            </w:pPr>
            <w:r w:rsidRPr="00713B8F">
              <w:rPr>
                <w:rFonts w:cs="Arial"/>
                <w:sz w:val="16"/>
                <w:szCs w:val="16"/>
              </w:rPr>
              <w:t>38,29</w:t>
            </w:r>
          </w:p>
        </w:tc>
        <w:tc>
          <w:tcPr>
            <w:tcW w:w="697" w:type="dxa"/>
            <w:tcBorders>
              <w:top w:val="nil"/>
              <w:left w:val="nil"/>
              <w:bottom w:val="nil"/>
              <w:right w:val="nil"/>
            </w:tcBorders>
            <w:shd w:val="clear" w:color="auto" w:fill="auto"/>
            <w:noWrap/>
            <w:vAlign w:val="center"/>
            <w:hideMark/>
          </w:tcPr>
          <w:p w14:paraId="68C14371" w14:textId="77777777" w:rsidR="00713B8F" w:rsidRPr="00713B8F" w:rsidRDefault="00713B8F" w:rsidP="00713B8F">
            <w:pPr>
              <w:spacing w:after="0" w:line="240" w:lineRule="auto"/>
              <w:jc w:val="right"/>
              <w:rPr>
                <w:rFonts w:cs="Arial"/>
                <w:sz w:val="16"/>
                <w:szCs w:val="16"/>
              </w:rPr>
            </w:pPr>
            <w:r w:rsidRPr="00713B8F">
              <w:rPr>
                <w:rFonts w:cs="Arial"/>
                <w:sz w:val="16"/>
                <w:szCs w:val="16"/>
              </w:rPr>
              <w:t>39,29</w:t>
            </w:r>
          </w:p>
        </w:tc>
        <w:tc>
          <w:tcPr>
            <w:tcW w:w="697" w:type="dxa"/>
            <w:tcBorders>
              <w:top w:val="nil"/>
              <w:left w:val="nil"/>
              <w:bottom w:val="nil"/>
              <w:right w:val="nil"/>
            </w:tcBorders>
            <w:shd w:val="clear" w:color="auto" w:fill="auto"/>
            <w:noWrap/>
            <w:vAlign w:val="center"/>
            <w:hideMark/>
          </w:tcPr>
          <w:p w14:paraId="59453C23" w14:textId="77777777" w:rsidR="00713B8F" w:rsidRPr="00713B8F" w:rsidRDefault="00713B8F" w:rsidP="00713B8F">
            <w:pPr>
              <w:spacing w:after="0" w:line="240" w:lineRule="auto"/>
              <w:jc w:val="right"/>
              <w:rPr>
                <w:rFonts w:cs="Arial"/>
                <w:sz w:val="16"/>
                <w:szCs w:val="16"/>
              </w:rPr>
            </w:pPr>
            <w:r w:rsidRPr="00713B8F">
              <w:rPr>
                <w:rFonts w:cs="Arial"/>
                <w:sz w:val="16"/>
                <w:szCs w:val="16"/>
              </w:rPr>
              <w:t>38,91</w:t>
            </w:r>
          </w:p>
        </w:tc>
        <w:tc>
          <w:tcPr>
            <w:tcW w:w="697" w:type="dxa"/>
            <w:tcBorders>
              <w:top w:val="nil"/>
              <w:left w:val="nil"/>
              <w:bottom w:val="nil"/>
              <w:right w:val="nil"/>
            </w:tcBorders>
            <w:shd w:val="clear" w:color="000000" w:fill="FFFFFF"/>
            <w:noWrap/>
            <w:vAlign w:val="center"/>
            <w:hideMark/>
          </w:tcPr>
          <w:p w14:paraId="5020EEBE"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36,85</w:t>
            </w:r>
          </w:p>
        </w:tc>
        <w:tc>
          <w:tcPr>
            <w:tcW w:w="697" w:type="dxa"/>
            <w:gridSpan w:val="2"/>
            <w:tcBorders>
              <w:top w:val="nil"/>
              <w:left w:val="nil"/>
              <w:bottom w:val="nil"/>
              <w:right w:val="nil"/>
            </w:tcBorders>
            <w:shd w:val="clear" w:color="000000" w:fill="FFFFFF"/>
            <w:noWrap/>
            <w:vAlign w:val="center"/>
            <w:hideMark/>
          </w:tcPr>
          <w:p w14:paraId="1A73DBAC"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40,63</w:t>
            </w:r>
          </w:p>
        </w:tc>
      </w:tr>
      <w:tr w:rsidR="00713B8F" w:rsidRPr="00713B8F" w14:paraId="4FD2E419" w14:textId="77777777" w:rsidTr="00713B8F">
        <w:trPr>
          <w:trHeight w:val="300"/>
        </w:trPr>
        <w:tc>
          <w:tcPr>
            <w:tcW w:w="1985" w:type="dxa"/>
            <w:tcBorders>
              <w:top w:val="nil"/>
              <w:left w:val="nil"/>
              <w:bottom w:val="nil"/>
              <w:right w:val="nil"/>
            </w:tcBorders>
            <w:shd w:val="clear" w:color="auto" w:fill="auto"/>
            <w:noWrap/>
            <w:vAlign w:val="center"/>
            <w:hideMark/>
          </w:tcPr>
          <w:p w14:paraId="62F53DF3"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Jihočeský kraj</w:t>
            </w:r>
          </w:p>
        </w:tc>
        <w:tc>
          <w:tcPr>
            <w:tcW w:w="697" w:type="dxa"/>
            <w:tcBorders>
              <w:top w:val="nil"/>
              <w:left w:val="nil"/>
              <w:bottom w:val="nil"/>
              <w:right w:val="nil"/>
            </w:tcBorders>
            <w:shd w:val="clear" w:color="auto" w:fill="auto"/>
            <w:noWrap/>
            <w:vAlign w:val="center"/>
            <w:hideMark/>
          </w:tcPr>
          <w:p w14:paraId="107F5FBF" w14:textId="77777777" w:rsidR="00713B8F" w:rsidRPr="00713B8F" w:rsidRDefault="00713B8F" w:rsidP="00713B8F">
            <w:pPr>
              <w:spacing w:after="0" w:line="240" w:lineRule="auto"/>
              <w:jc w:val="right"/>
              <w:rPr>
                <w:rFonts w:cs="Arial"/>
                <w:sz w:val="16"/>
                <w:szCs w:val="16"/>
              </w:rPr>
            </w:pPr>
            <w:r w:rsidRPr="00713B8F">
              <w:rPr>
                <w:rFonts w:cs="Arial"/>
                <w:sz w:val="16"/>
                <w:szCs w:val="16"/>
              </w:rPr>
              <w:t>46,33</w:t>
            </w:r>
          </w:p>
        </w:tc>
        <w:tc>
          <w:tcPr>
            <w:tcW w:w="697" w:type="dxa"/>
            <w:tcBorders>
              <w:top w:val="nil"/>
              <w:left w:val="nil"/>
              <w:bottom w:val="nil"/>
              <w:right w:val="nil"/>
            </w:tcBorders>
            <w:shd w:val="clear" w:color="auto" w:fill="auto"/>
            <w:noWrap/>
            <w:vAlign w:val="center"/>
            <w:hideMark/>
          </w:tcPr>
          <w:p w14:paraId="0188CF46" w14:textId="77777777" w:rsidR="00713B8F" w:rsidRPr="00713B8F" w:rsidRDefault="00713B8F" w:rsidP="00713B8F">
            <w:pPr>
              <w:spacing w:after="0" w:line="240" w:lineRule="auto"/>
              <w:jc w:val="right"/>
              <w:rPr>
                <w:rFonts w:cs="Arial"/>
                <w:sz w:val="16"/>
                <w:szCs w:val="16"/>
              </w:rPr>
            </w:pPr>
            <w:r w:rsidRPr="00713B8F">
              <w:rPr>
                <w:rFonts w:cs="Arial"/>
                <w:sz w:val="16"/>
                <w:szCs w:val="16"/>
              </w:rPr>
              <w:t>47,30</w:t>
            </w:r>
          </w:p>
        </w:tc>
        <w:tc>
          <w:tcPr>
            <w:tcW w:w="697" w:type="dxa"/>
            <w:tcBorders>
              <w:top w:val="nil"/>
              <w:left w:val="nil"/>
              <w:bottom w:val="nil"/>
              <w:right w:val="nil"/>
            </w:tcBorders>
            <w:shd w:val="clear" w:color="auto" w:fill="auto"/>
            <w:noWrap/>
            <w:vAlign w:val="center"/>
            <w:hideMark/>
          </w:tcPr>
          <w:p w14:paraId="78845C56" w14:textId="77777777" w:rsidR="00713B8F" w:rsidRPr="00713B8F" w:rsidRDefault="00713B8F" w:rsidP="00713B8F">
            <w:pPr>
              <w:spacing w:after="0" w:line="240" w:lineRule="auto"/>
              <w:jc w:val="right"/>
              <w:rPr>
                <w:rFonts w:cs="Arial"/>
                <w:sz w:val="16"/>
                <w:szCs w:val="16"/>
              </w:rPr>
            </w:pPr>
            <w:r w:rsidRPr="00713B8F">
              <w:rPr>
                <w:rFonts w:cs="Arial"/>
                <w:sz w:val="16"/>
                <w:szCs w:val="16"/>
              </w:rPr>
              <w:t>47,62</w:t>
            </w:r>
          </w:p>
        </w:tc>
        <w:tc>
          <w:tcPr>
            <w:tcW w:w="697" w:type="dxa"/>
            <w:tcBorders>
              <w:top w:val="nil"/>
              <w:left w:val="nil"/>
              <w:bottom w:val="nil"/>
              <w:right w:val="nil"/>
            </w:tcBorders>
            <w:shd w:val="clear" w:color="auto" w:fill="auto"/>
            <w:noWrap/>
            <w:vAlign w:val="center"/>
            <w:hideMark/>
          </w:tcPr>
          <w:p w14:paraId="08D73A05" w14:textId="77777777" w:rsidR="00713B8F" w:rsidRPr="00713B8F" w:rsidRDefault="00713B8F" w:rsidP="00713B8F">
            <w:pPr>
              <w:spacing w:after="0" w:line="240" w:lineRule="auto"/>
              <w:jc w:val="right"/>
              <w:rPr>
                <w:rFonts w:cs="Arial"/>
                <w:sz w:val="16"/>
                <w:szCs w:val="16"/>
              </w:rPr>
            </w:pPr>
            <w:r w:rsidRPr="00713B8F">
              <w:rPr>
                <w:rFonts w:cs="Arial"/>
                <w:sz w:val="16"/>
                <w:szCs w:val="16"/>
              </w:rPr>
              <w:t>51,41</w:t>
            </w:r>
          </w:p>
        </w:tc>
        <w:tc>
          <w:tcPr>
            <w:tcW w:w="697" w:type="dxa"/>
            <w:tcBorders>
              <w:top w:val="nil"/>
              <w:left w:val="nil"/>
              <w:bottom w:val="nil"/>
              <w:right w:val="nil"/>
            </w:tcBorders>
            <w:shd w:val="clear" w:color="auto" w:fill="auto"/>
            <w:noWrap/>
            <w:vAlign w:val="center"/>
            <w:hideMark/>
          </w:tcPr>
          <w:p w14:paraId="43D98AB0" w14:textId="77777777" w:rsidR="00713B8F" w:rsidRPr="00713B8F" w:rsidRDefault="00713B8F" w:rsidP="00713B8F">
            <w:pPr>
              <w:spacing w:after="0" w:line="240" w:lineRule="auto"/>
              <w:jc w:val="right"/>
              <w:rPr>
                <w:rFonts w:cs="Arial"/>
                <w:sz w:val="16"/>
                <w:szCs w:val="16"/>
              </w:rPr>
            </w:pPr>
            <w:r w:rsidRPr="00713B8F">
              <w:rPr>
                <w:rFonts w:cs="Arial"/>
                <w:sz w:val="16"/>
                <w:szCs w:val="16"/>
              </w:rPr>
              <w:t>43,66</w:t>
            </w:r>
          </w:p>
        </w:tc>
        <w:tc>
          <w:tcPr>
            <w:tcW w:w="697" w:type="dxa"/>
            <w:tcBorders>
              <w:top w:val="nil"/>
              <w:left w:val="nil"/>
              <w:bottom w:val="nil"/>
              <w:right w:val="nil"/>
            </w:tcBorders>
            <w:shd w:val="clear" w:color="auto" w:fill="auto"/>
            <w:noWrap/>
            <w:vAlign w:val="center"/>
            <w:hideMark/>
          </w:tcPr>
          <w:p w14:paraId="0BAA569C" w14:textId="77777777" w:rsidR="00713B8F" w:rsidRPr="00713B8F" w:rsidRDefault="00713B8F" w:rsidP="00713B8F">
            <w:pPr>
              <w:spacing w:after="0" w:line="240" w:lineRule="auto"/>
              <w:jc w:val="right"/>
              <w:rPr>
                <w:rFonts w:cs="Arial"/>
                <w:sz w:val="16"/>
                <w:szCs w:val="16"/>
              </w:rPr>
            </w:pPr>
            <w:r w:rsidRPr="00713B8F">
              <w:rPr>
                <w:rFonts w:cs="Arial"/>
                <w:sz w:val="16"/>
                <w:szCs w:val="16"/>
              </w:rPr>
              <w:t>48,33</w:t>
            </w:r>
          </w:p>
        </w:tc>
        <w:tc>
          <w:tcPr>
            <w:tcW w:w="697" w:type="dxa"/>
            <w:tcBorders>
              <w:top w:val="nil"/>
              <w:left w:val="nil"/>
              <w:bottom w:val="nil"/>
              <w:right w:val="nil"/>
            </w:tcBorders>
            <w:shd w:val="clear" w:color="auto" w:fill="auto"/>
            <w:noWrap/>
            <w:vAlign w:val="center"/>
            <w:hideMark/>
          </w:tcPr>
          <w:p w14:paraId="20C95BE4" w14:textId="77777777" w:rsidR="00713B8F" w:rsidRPr="00713B8F" w:rsidRDefault="00713B8F" w:rsidP="00713B8F">
            <w:pPr>
              <w:spacing w:after="0" w:line="240" w:lineRule="auto"/>
              <w:jc w:val="right"/>
              <w:rPr>
                <w:rFonts w:cs="Arial"/>
                <w:sz w:val="16"/>
                <w:szCs w:val="16"/>
              </w:rPr>
            </w:pPr>
            <w:r w:rsidRPr="00713B8F">
              <w:rPr>
                <w:rFonts w:cs="Arial"/>
                <w:sz w:val="16"/>
                <w:szCs w:val="16"/>
              </w:rPr>
              <w:t>41,08</w:t>
            </w:r>
          </w:p>
        </w:tc>
        <w:tc>
          <w:tcPr>
            <w:tcW w:w="697" w:type="dxa"/>
            <w:tcBorders>
              <w:top w:val="nil"/>
              <w:left w:val="nil"/>
              <w:bottom w:val="nil"/>
              <w:right w:val="nil"/>
            </w:tcBorders>
            <w:shd w:val="clear" w:color="auto" w:fill="auto"/>
            <w:noWrap/>
            <w:vAlign w:val="center"/>
            <w:hideMark/>
          </w:tcPr>
          <w:p w14:paraId="67D6FCA9" w14:textId="77777777" w:rsidR="00713B8F" w:rsidRPr="00713B8F" w:rsidRDefault="00713B8F" w:rsidP="00713B8F">
            <w:pPr>
              <w:spacing w:after="0" w:line="240" w:lineRule="auto"/>
              <w:jc w:val="right"/>
              <w:rPr>
                <w:rFonts w:cs="Arial"/>
                <w:sz w:val="16"/>
                <w:szCs w:val="16"/>
              </w:rPr>
            </w:pPr>
            <w:r w:rsidRPr="00713B8F">
              <w:rPr>
                <w:rFonts w:cs="Arial"/>
                <w:sz w:val="16"/>
                <w:szCs w:val="16"/>
              </w:rPr>
              <w:t>44,08</w:t>
            </w:r>
          </w:p>
        </w:tc>
        <w:tc>
          <w:tcPr>
            <w:tcW w:w="697" w:type="dxa"/>
            <w:tcBorders>
              <w:top w:val="nil"/>
              <w:left w:val="nil"/>
              <w:bottom w:val="nil"/>
              <w:right w:val="nil"/>
            </w:tcBorders>
            <w:shd w:val="clear" w:color="auto" w:fill="auto"/>
            <w:noWrap/>
            <w:vAlign w:val="center"/>
            <w:hideMark/>
          </w:tcPr>
          <w:p w14:paraId="3DA7E07F" w14:textId="77777777" w:rsidR="00713B8F" w:rsidRPr="00713B8F" w:rsidRDefault="00713B8F" w:rsidP="00713B8F">
            <w:pPr>
              <w:spacing w:after="0" w:line="240" w:lineRule="auto"/>
              <w:jc w:val="right"/>
              <w:rPr>
                <w:rFonts w:cs="Arial"/>
                <w:sz w:val="16"/>
                <w:szCs w:val="16"/>
              </w:rPr>
            </w:pPr>
            <w:r w:rsidRPr="00713B8F">
              <w:rPr>
                <w:rFonts w:cs="Arial"/>
                <w:sz w:val="16"/>
                <w:szCs w:val="16"/>
              </w:rPr>
              <w:t>42,81</w:t>
            </w:r>
          </w:p>
        </w:tc>
        <w:tc>
          <w:tcPr>
            <w:tcW w:w="697" w:type="dxa"/>
            <w:tcBorders>
              <w:top w:val="nil"/>
              <w:left w:val="nil"/>
              <w:bottom w:val="nil"/>
              <w:right w:val="nil"/>
            </w:tcBorders>
            <w:shd w:val="clear" w:color="000000" w:fill="FFFFFF"/>
            <w:noWrap/>
            <w:vAlign w:val="center"/>
            <w:hideMark/>
          </w:tcPr>
          <w:p w14:paraId="6C5C40B3"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40,51</w:t>
            </w:r>
          </w:p>
        </w:tc>
        <w:tc>
          <w:tcPr>
            <w:tcW w:w="697" w:type="dxa"/>
            <w:gridSpan w:val="2"/>
            <w:tcBorders>
              <w:top w:val="nil"/>
              <w:left w:val="nil"/>
              <w:bottom w:val="nil"/>
              <w:right w:val="nil"/>
            </w:tcBorders>
            <w:shd w:val="clear" w:color="000000" w:fill="FFFFFF"/>
            <w:noWrap/>
            <w:vAlign w:val="center"/>
            <w:hideMark/>
          </w:tcPr>
          <w:p w14:paraId="2A2B07B1"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44,67</w:t>
            </w:r>
          </w:p>
        </w:tc>
      </w:tr>
      <w:tr w:rsidR="00713B8F" w:rsidRPr="00713B8F" w14:paraId="27D61F96" w14:textId="77777777" w:rsidTr="00713B8F">
        <w:trPr>
          <w:trHeight w:val="300"/>
        </w:trPr>
        <w:tc>
          <w:tcPr>
            <w:tcW w:w="1985" w:type="dxa"/>
            <w:tcBorders>
              <w:top w:val="nil"/>
              <w:left w:val="nil"/>
              <w:bottom w:val="nil"/>
              <w:right w:val="nil"/>
            </w:tcBorders>
            <w:shd w:val="clear" w:color="auto" w:fill="auto"/>
            <w:noWrap/>
            <w:vAlign w:val="center"/>
            <w:hideMark/>
          </w:tcPr>
          <w:p w14:paraId="688561E8"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Plzeňský kraj</w:t>
            </w:r>
          </w:p>
        </w:tc>
        <w:tc>
          <w:tcPr>
            <w:tcW w:w="697" w:type="dxa"/>
            <w:tcBorders>
              <w:top w:val="nil"/>
              <w:left w:val="nil"/>
              <w:bottom w:val="nil"/>
              <w:right w:val="nil"/>
            </w:tcBorders>
            <w:shd w:val="clear" w:color="auto" w:fill="auto"/>
            <w:noWrap/>
            <w:vAlign w:val="center"/>
            <w:hideMark/>
          </w:tcPr>
          <w:p w14:paraId="75A6803E" w14:textId="77777777" w:rsidR="00713B8F" w:rsidRPr="00713B8F" w:rsidRDefault="00713B8F" w:rsidP="00713B8F">
            <w:pPr>
              <w:spacing w:after="0" w:line="240" w:lineRule="auto"/>
              <w:jc w:val="right"/>
              <w:rPr>
                <w:rFonts w:cs="Arial"/>
                <w:sz w:val="16"/>
                <w:szCs w:val="16"/>
              </w:rPr>
            </w:pPr>
            <w:r w:rsidRPr="00713B8F">
              <w:rPr>
                <w:rFonts w:cs="Arial"/>
                <w:sz w:val="16"/>
                <w:szCs w:val="16"/>
              </w:rPr>
              <w:t>41,92</w:t>
            </w:r>
          </w:p>
        </w:tc>
        <w:tc>
          <w:tcPr>
            <w:tcW w:w="697" w:type="dxa"/>
            <w:tcBorders>
              <w:top w:val="nil"/>
              <w:left w:val="nil"/>
              <w:bottom w:val="nil"/>
              <w:right w:val="nil"/>
            </w:tcBorders>
            <w:shd w:val="clear" w:color="auto" w:fill="auto"/>
            <w:noWrap/>
            <w:vAlign w:val="center"/>
            <w:hideMark/>
          </w:tcPr>
          <w:p w14:paraId="0F92AE68" w14:textId="77777777" w:rsidR="00713B8F" w:rsidRPr="00713B8F" w:rsidRDefault="00713B8F" w:rsidP="00713B8F">
            <w:pPr>
              <w:spacing w:after="0" w:line="240" w:lineRule="auto"/>
              <w:jc w:val="right"/>
              <w:rPr>
                <w:rFonts w:cs="Arial"/>
                <w:sz w:val="16"/>
                <w:szCs w:val="16"/>
              </w:rPr>
            </w:pPr>
            <w:r w:rsidRPr="00713B8F">
              <w:rPr>
                <w:rFonts w:cs="Arial"/>
                <w:sz w:val="16"/>
                <w:szCs w:val="16"/>
              </w:rPr>
              <w:t>42,66</w:t>
            </w:r>
          </w:p>
        </w:tc>
        <w:tc>
          <w:tcPr>
            <w:tcW w:w="697" w:type="dxa"/>
            <w:tcBorders>
              <w:top w:val="nil"/>
              <w:left w:val="nil"/>
              <w:bottom w:val="nil"/>
              <w:right w:val="nil"/>
            </w:tcBorders>
            <w:shd w:val="clear" w:color="auto" w:fill="auto"/>
            <w:noWrap/>
            <w:vAlign w:val="center"/>
            <w:hideMark/>
          </w:tcPr>
          <w:p w14:paraId="09398435" w14:textId="77777777" w:rsidR="00713B8F" w:rsidRPr="00713B8F" w:rsidRDefault="00713B8F" w:rsidP="00713B8F">
            <w:pPr>
              <w:spacing w:after="0" w:line="240" w:lineRule="auto"/>
              <w:jc w:val="right"/>
              <w:rPr>
                <w:rFonts w:cs="Arial"/>
                <w:sz w:val="16"/>
                <w:szCs w:val="16"/>
              </w:rPr>
            </w:pPr>
            <w:r w:rsidRPr="00713B8F">
              <w:rPr>
                <w:rFonts w:cs="Arial"/>
                <w:sz w:val="16"/>
                <w:szCs w:val="16"/>
              </w:rPr>
              <w:t>38,88</w:t>
            </w:r>
          </w:p>
        </w:tc>
        <w:tc>
          <w:tcPr>
            <w:tcW w:w="697" w:type="dxa"/>
            <w:tcBorders>
              <w:top w:val="nil"/>
              <w:left w:val="nil"/>
              <w:bottom w:val="nil"/>
              <w:right w:val="nil"/>
            </w:tcBorders>
            <w:shd w:val="clear" w:color="auto" w:fill="auto"/>
            <w:noWrap/>
            <w:vAlign w:val="center"/>
            <w:hideMark/>
          </w:tcPr>
          <w:p w14:paraId="7E91901C" w14:textId="77777777" w:rsidR="00713B8F" w:rsidRPr="00713B8F" w:rsidRDefault="00713B8F" w:rsidP="00713B8F">
            <w:pPr>
              <w:spacing w:after="0" w:line="240" w:lineRule="auto"/>
              <w:jc w:val="right"/>
              <w:rPr>
                <w:rFonts w:cs="Arial"/>
                <w:sz w:val="16"/>
                <w:szCs w:val="16"/>
              </w:rPr>
            </w:pPr>
            <w:r w:rsidRPr="00713B8F">
              <w:rPr>
                <w:rFonts w:cs="Arial"/>
                <w:sz w:val="16"/>
                <w:szCs w:val="16"/>
              </w:rPr>
              <w:t>44,04</w:t>
            </w:r>
          </w:p>
        </w:tc>
        <w:tc>
          <w:tcPr>
            <w:tcW w:w="697" w:type="dxa"/>
            <w:tcBorders>
              <w:top w:val="nil"/>
              <w:left w:val="nil"/>
              <w:bottom w:val="nil"/>
              <w:right w:val="nil"/>
            </w:tcBorders>
            <w:shd w:val="clear" w:color="auto" w:fill="auto"/>
            <w:noWrap/>
            <w:vAlign w:val="center"/>
            <w:hideMark/>
          </w:tcPr>
          <w:p w14:paraId="31527E7B" w14:textId="77777777" w:rsidR="00713B8F" w:rsidRPr="00713B8F" w:rsidRDefault="00713B8F" w:rsidP="00713B8F">
            <w:pPr>
              <w:spacing w:after="0" w:line="240" w:lineRule="auto"/>
              <w:jc w:val="right"/>
              <w:rPr>
                <w:rFonts w:cs="Arial"/>
                <w:sz w:val="16"/>
                <w:szCs w:val="16"/>
              </w:rPr>
            </w:pPr>
            <w:r w:rsidRPr="00713B8F">
              <w:rPr>
                <w:rFonts w:cs="Arial"/>
                <w:sz w:val="16"/>
                <w:szCs w:val="16"/>
              </w:rPr>
              <w:t>40,04</w:t>
            </w:r>
          </w:p>
        </w:tc>
        <w:tc>
          <w:tcPr>
            <w:tcW w:w="697" w:type="dxa"/>
            <w:tcBorders>
              <w:top w:val="nil"/>
              <w:left w:val="nil"/>
              <w:bottom w:val="nil"/>
              <w:right w:val="nil"/>
            </w:tcBorders>
            <w:shd w:val="clear" w:color="auto" w:fill="auto"/>
            <w:noWrap/>
            <w:vAlign w:val="center"/>
            <w:hideMark/>
          </w:tcPr>
          <w:p w14:paraId="44CAF559" w14:textId="77777777" w:rsidR="00713B8F" w:rsidRPr="00713B8F" w:rsidRDefault="00713B8F" w:rsidP="00713B8F">
            <w:pPr>
              <w:spacing w:after="0" w:line="240" w:lineRule="auto"/>
              <w:jc w:val="right"/>
              <w:rPr>
                <w:rFonts w:cs="Arial"/>
                <w:sz w:val="16"/>
                <w:szCs w:val="16"/>
              </w:rPr>
            </w:pPr>
            <w:r w:rsidRPr="00713B8F">
              <w:rPr>
                <w:rFonts w:cs="Arial"/>
                <w:sz w:val="16"/>
                <w:szCs w:val="16"/>
              </w:rPr>
              <w:t>41,90</w:t>
            </w:r>
          </w:p>
        </w:tc>
        <w:tc>
          <w:tcPr>
            <w:tcW w:w="697" w:type="dxa"/>
            <w:tcBorders>
              <w:top w:val="nil"/>
              <w:left w:val="nil"/>
              <w:bottom w:val="nil"/>
              <w:right w:val="nil"/>
            </w:tcBorders>
            <w:shd w:val="clear" w:color="auto" w:fill="auto"/>
            <w:noWrap/>
            <w:vAlign w:val="center"/>
            <w:hideMark/>
          </w:tcPr>
          <w:p w14:paraId="393327CE" w14:textId="77777777" w:rsidR="00713B8F" w:rsidRPr="00713B8F" w:rsidRDefault="00713B8F" w:rsidP="00713B8F">
            <w:pPr>
              <w:spacing w:after="0" w:line="240" w:lineRule="auto"/>
              <w:jc w:val="right"/>
              <w:rPr>
                <w:rFonts w:cs="Arial"/>
                <w:sz w:val="16"/>
                <w:szCs w:val="16"/>
              </w:rPr>
            </w:pPr>
            <w:r w:rsidRPr="00713B8F">
              <w:rPr>
                <w:rFonts w:cs="Arial"/>
                <w:sz w:val="16"/>
                <w:szCs w:val="16"/>
              </w:rPr>
              <w:t>36,60</w:t>
            </w:r>
          </w:p>
        </w:tc>
        <w:tc>
          <w:tcPr>
            <w:tcW w:w="697" w:type="dxa"/>
            <w:tcBorders>
              <w:top w:val="nil"/>
              <w:left w:val="nil"/>
              <w:bottom w:val="nil"/>
              <w:right w:val="nil"/>
            </w:tcBorders>
            <w:shd w:val="clear" w:color="auto" w:fill="auto"/>
            <w:noWrap/>
            <w:vAlign w:val="center"/>
            <w:hideMark/>
          </w:tcPr>
          <w:p w14:paraId="7A8AE6D2" w14:textId="77777777" w:rsidR="00713B8F" w:rsidRPr="00713B8F" w:rsidRDefault="00713B8F" w:rsidP="00713B8F">
            <w:pPr>
              <w:spacing w:after="0" w:line="240" w:lineRule="auto"/>
              <w:jc w:val="right"/>
              <w:rPr>
                <w:rFonts w:cs="Arial"/>
                <w:sz w:val="16"/>
                <w:szCs w:val="16"/>
              </w:rPr>
            </w:pPr>
            <w:r w:rsidRPr="00713B8F">
              <w:rPr>
                <w:rFonts w:cs="Arial"/>
                <w:sz w:val="16"/>
                <w:szCs w:val="16"/>
              </w:rPr>
              <w:t>39,14</w:t>
            </w:r>
          </w:p>
        </w:tc>
        <w:tc>
          <w:tcPr>
            <w:tcW w:w="697" w:type="dxa"/>
            <w:tcBorders>
              <w:top w:val="nil"/>
              <w:left w:val="nil"/>
              <w:bottom w:val="nil"/>
              <w:right w:val="nil"/>
            </w:tcBorders>
            <w:shd w:val="clear" w:color="auto" w:fill="auto"/>
            <w:noWrap/>
            <w:vAlign w:val="center"/>
            <w:hideMark/>
          </w:tcPr>
          <w:p w14:paraId="3DC5F017" w14:textId="77777777" w:rsidR="00713B8F" w:rsidRPr="00713B8F" w:rsidRDefault="00713B8F" w:rsidP="00713B8F">
            <w:pPr>
              <w:spacing w:after="0" w:line="240" w:lineRule="auto"/>
              <w:jc w:val="right"/>
              <w:rPr>
                <w:rFonts w:cs="Arial"/>
                <w:sz w:val="16"/>
                <w:szCs w:val="16"/>
              </w:rPr>
            </w:pPr>
            <w:r w:rsidRPr="00713B8F">
              <w:rPr>
                <w:rFonts w:cs="Arial"/>
                <w:sz w:val="16"/>
                <w:szCs w:val="16"/>
              </w:rPr>
              <w:t>37,55</w:t>
            </w:r>
          </w:p>
        </w:tc>
        <w:tc>
          <w:tcPr>
            <w:tcW w:w="697" w:type="dxa"/>
            <w:tcBorders>
              <w:top w:val="nil"/>
              <w:left w:val="nil"/>
              <w:bottom w:val="nil"/>
              <w:right w:val="nil"/>
            </w:tcBorders>
            <w:shd w:val="clear" w:color="000000" w:fill="FFFFFF"/>
            <w:noWrap/>
            <w:vAlign w:val="center"/>
            <w:hideMark/>
          </w:tcPr>
          <w:p w14:paraId="6D98681C"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35,71</w:t>
            </w:r>
          </w:p>
        </w:tc>
        <w:tc>
          <w:tcPr>
            <w:tcW w:w="697" w:type="dxa"/>
            <w:gridSpan w:val="2"/>
            <w:tcBorders>
              <w:top w:val="nil"/>
              <w:left w:val="nil"/>
              <w:bottom w:val="nil"/>
              <w:right w:val="nil"/>
            </w:tcBorders>
            <w:shd w:val="clear" w:color="000000" w:fill="FFFFFF"/>
            <w:noWrap/>
            <w:vAlign w:val="center"/>
            <w:hideMark/>
          </w:tcPr>
          <w:p w14:paraId="0ADEFE80"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39,25</w:t>
            </w:r>
          </w:p>
        </w:tc>
      </w:tr>
      <w:tr w:rsidR="00713B8F" w:rsidRPr="00713B8F" w14:paraId="3289345E" w14:textId="77777777" w:rsidTr="00713B8F">
        <w:trPr>
          <w:trHeight w:val="300"/>
        </w:trPr>
        <w:tc>
          <w:tcPr>
            <w:tcW w:w="1985" w:type="dxa"/>
            <w:tcBorders>
              <w:top w:val="nil"/>
              <w:left w:val="nil"/>
              <w:bottom w:val="nil"/>
              <w:right w:val="nil"/>
            </w:tcBorders>
            <w:shd w:val="clear" w:color="auto" w:fill="auto"/>
            <w:noWrap/>
            <w:vAlign w:val="center"/>
            <w:hideMark/>
          </w:tcPr>
          <w:p w14:paraId="5C8681FA"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Karlovarský kraj</w:t>
            </w:r>
          </w:p>
        </w:tc>
        <w:tc>
          <w:tcPr>
            <w:tcW w:w="697" w:type="dxa"/>
            <w:tcBorders>
              <w:top w:val="nil"/>
              <w:left w:val="nil"/>
              <w:bottom w:val="nil"/>
              <w:right w:val="nil"/>
            </w:tcBorders>
            <w:shd w:val="clear" w:color="auto" w:fill="auto"/>
            <w:noWrap/>
            <w:vAlign w:val="center"/>
            <w:hideMark/>
          </w:tcPr>
          <w:p w14:paraId="26423CC6" w14:textId="77777777" w:rsidR="00713B8F" w:rsidRPr="00713B8F" w:rsidRDefault="00713B8F" w:rsidP="00713B8F">
            <w:pPr>
              <w:spacing w:after="0" w:line="240" w:lineRule="auto"/>
              <w:jc w:val="right"/>
              <w:rPr>
                <w:rFonts w:cs="Arial"/>
                <w:sz w:val="16"/>
                <w:szCs w:val="16"/>
              </w:rPr>
            </w:pPr>
            <w:r w:rsidRPr="00713B8F">
              <w:rPr>
                <w:rFonts w:cs="Arial"/>
                <w:sz w:val="16"/>
                <w:szCs w:val="16"/>
              </w:rPr>
              <w:t>42,92</w:t>
            </w:r>
          </w:p>
        </w:tc>
        <w:tc>
          <w:tcPr>
            <w:tcW w:w="697" w:type="dxa"/>
            <w:tcBorders>
              <w:top w:val="nil"/>
              <w:left w:val="nil"/>
              <w:bottom w:val="nil"/>
              <w:right w:val="nil"/>
            </w:tcBorders>
            <w:shd w:val="clear" w:color="auto" w:fill="auto"/>
            <w:noWrap/>
            <w:vAlign w:val="center"/>
            <w:hideMark/>
          </w:tcPr>
          <w:p w14:paraId="56224E79" w14:textId="77777777" w:rsidR="00713B8F" w:rsidRPr="00713B8F" w:rsidRDefault="00713B8F" w:rsidP="00713B8F">
            <w:pPr>
              <w:spacing w:after="0" w:line="240" w:lineRule="auto"/>
              <w:jc w:val="right"/>
              <w:rPr>
                <w:rFonts w:cs="Arial"/>
                <w:sz w:val="16"/>
                <w:szCs w:val="16"/>
              </w:rPr>
            </w:pPr>
            <w:r w:rsidRPr="00713B8F">
              <w:rPr>
                <w:rFonts w:cs="Arial"/>
                <w:sz w:val="16"/>
                <w:szCs w:val="16"/>
              </w:rPr>
              <w:t>41,00</w:t>
            </w:r>
          </w:p>
        </w:tc>
        <w:tc>
          <w:tcPr>
            <w:tcW w:w="697" w:type="dxa"/>
            <w:tcBorders>
              <w:top w:val="nil"/>
              <w:left w:val="nil"/>
              <w:bottom w:val="nil"/>
              <w:right w:val="nil"/>
            </w:tcBorders>
            <w:shd w:val="clear" w:color="auto" w:fill="auto"/>
            <w:noWrap/>
            <w:vAlign w:val="center"/>
            <w:hideMark/>
          </w:tcPr>
          <w:p w14:paraId="7D2949ED" w14:textId="77777777" w:rsidR="00713B8F" w:rsidRPr="00713B8F" w:rsidRDefault="00713B8F" w:rsidP="00713B8F">
            <w:pPr>
              <w:spacing w:after="0" w:line="240" w:lineRule="auto"/>
              <w:jc w:val="right"/>
              <w:rPr>
                <w:rFonts w:cs="Arial"/>
                <w:sz w:val="16"/>
                <w:szCs w:val="16"/>
              </w:rPr>
            </w:pPr>
            <w:r w:rsidRPr="00713B8F">
              <w:rPr>
                <w:rFonts w:cs="Arial"/>
                <w:sz w:val="16"/>
                <w:szCs w:val="16"/>
              </w:rPr>
              <w:t>37,18</w:t>
            </w:r>
          </w:p>
        </w:tc>
        <w:tc>
          <w:tcPr>
            <w:tcW w:w="697" w:type="dxa"/>
            <w:tcBorders>
              <w:top w:val="nil"/>
              <w:left w:val="nil"/>
              <w:bottom w:val="nil"/>
              <w:right w:val="nil"/>
            </w:tcBorders>
            <w:shd w:val="clear" w:color="auto" w:fill="auto"/>
            <w:noWrap/>
            <w:vAlign w:val="center"/>
            <w:hideMark/>
          </w:tcPr>
          <w:p w14:paraId="3405FE5D" w14:textId="77777777" w:rsidR="00713B8F" w:rsidRPr="00713B8F" w:rsidRDefault="00713B8F" w:rsidP="00713B8F">
            <w:pPr>
              <w:spacing w:after="0" w:line="240" w:lineRule="auto"/>
              <w:jc w:val="right"/>
              <w:rPr>
                <w:rFonts w:cs="Arial"/>
                <w:sz w:val="16"/>
                <w:szCs w:val="16"/>
              </w:rPr>
            </w:pPr>
            <w:r w:rsidRPr="00713B8F">
              <w:rPr>
                <w:rFonts w:cs="Arial"/>
                <w:sz w:val="16"/>
                <w:szCs w:val="16"/>
              </w:rPr>
              <w:t>41,89</w:t>
            </w:r>
          </w:p>
        </w:tc>
        <w:tc>
          <w:tcPr>
            <w:tcW w:w="697" w:type="dxa"/>
            <w:tcBorders>
              <w:top w:val="nil"/>
              <w:left w:val="nil"/>
              <w:bottom w:val="nil"/>
              <w:right w:val="nil"/>
            </w:tcBorders>
            <w:shd w:val="clear" w:color="auto" w:fill="auto"/>
            <w:noWrap/>
            <w:vAlign w:val="center"/>
            <w:hideMark/>
          </w:tcPr>
          <w:p w14:paraId="64FBF399" w14:textId="77777777" w:rsidR="00713B8F" w:rsidRPr="00713B8F" w:rsidRDefault="00713B8F" w:rsidP="00713B8F">
            <w:pPr>
              <w:spacing w:after="0" w:line="240" w:lineRule="auto"/>
              <w:jc w:val="right"/>
              <w:rPr>
                <w:rFonts w:cs="Arial"/>
                <w:sz w:val="16"/>
                <w:szCs w:val="16"/>
              </w:rPr>
            </w:pPr>
            <w:r w:rsidRPr="00713B8F">
              <w:rPr>
                <w:rFonts w:cs="Arial"/>
                <w:sz w:val="16"/>
                <w:szCs w:val="16"/>
              </w:rPr>
              <w:t>40,19</w:t>
            </w:r>
          </w:p>
        </w:tc>
        <w:tc>
          <w:tcPr>
            <w:tcW w:w="697" w:type="dxa"/>
            <w:tcBorders>
              <w:top w:val="nil"/>
              <w:left w:val="nil"/>
              <w:bottom w:val="nil"/>
              <w:right w:val="nil"/>
            </w:tcBorders>
            <w:shd w:val="clear" w:color="auto" w:fill="auto"/>
            <w:noWrap/>
            <w:vAlign w:val="center"/>
            <w:hideMark/>
          </w:tcPr>
          <w:p w14:paraId="30BD2F2A" w14:textId="77777777" w:rsidR="00713B8F" w:rsidRPr="00713B8F" w:rsidRDefault="00713B8F" w:rsidP="00713B8F">
            <w:pPr>
              <w:spacing w:after="0" w:line="240" w:lineRule="auto"/>
              <w:jc w:val="right"/>
              <w:rPr>
                <w:rFonts w:cs="Arial"/>
                <w:sz w:val="16"/>
                <w:szCs w:val="16"/>
              </w:rPr>
            </w:pPr>
            <w:r w:rsidRPr="00713B8F">
              <w:rPr>
                <w:rFonts w:cs="Arial"/>
                <w:sz w:val="16"/>
                <w:szCs w:val="16"/>
              </w:rPr>
              <w:t>41,15</w:t>
            </w:r>
          </w:p>
        </w:tc>
        <w:tc>
          <w:tcPr>
            <w:tcW w:w="697" w:type="dxa"/>
            <w:tcBorders>
              <w:top w:val="nil"/>
              <w:left w:val="nil"/>
              <w:bottom w:val="nil"/>
              <w:right w:val="nil"/>
            </w:tcBorders>
            <w:shd w:val="clear" w:color="auto" w:fill="auto"/>
            <w:noWrap/>
            <w:vAlign w:val="center"/>
            <w:hideMark/>
          </w:tcPr>
          <w:p w14:paraId="64C73E64" w14:textId="77777777" w:rsidR="00713B8F" w:rsidRPr="00713B8F" w:rsidRDefault="00713B8F" w:rsidP="00713B8F">
            <w:pPr>
              <w:spacing w:after="0" w:line="240" w:lineRule="auto"/>
              <w:jc w:val="right"/>
              <w:rPr>
                <w:rFonts w:cs="Arial"/>
                <w:sz w:val="16"/>
                <w:szCs w:val="16"/>
              </w:rPr>
            </w:pPr>
            <w:r w:rsidRPr="00713B8F">
              <w:rPr>
                <w:rFonts w:cs="Arial"/>
                <w:sz w:val="16"/>
                <w:szCs w:val="16"/>
              </w:rPr>
              <w:t>36,77</w:t>
            </w:r>
          </w:p>
        </w:tc>
        <w:tc>
          <w:tcPr>
            <w:tcW w:w="697" w:type="dxa"/>
            <w:tcBorders>
              <w:top w:val="nil"/>
              <w:left w:val="nil"/>
              <w:bottom w:val="nil"/>
              <w:right w:val="nil"/>
            </w:tcBorders>
            <w:shd w:val="clear" w:color="auto" w:fill="auto"/>
            <w:noWrap/>
            <w:vAlign w:val="center"/>
            <w:hideMark/>
          </w:tcPr>
          <w:p w14:paraId="4AB15DE4" w14:textId="77777777" w:rsidR="00713B8F" w:rsidRPr="00713B8F" w:rsidRDefault="00713B8F" w:rsidP="00713B8F">
            <w:pPr>
              <w:spacing w:after="0" w:line="240" w:lineRule="auto"/>
              <w:jc w:val="right"/>
              <w:rPr>
                <w:rFonts w:cs="Arial"/>
                <w:sz w:val="16"/>
                <w:szCs w:val="16"/>
              </w:rPr>
            </w:pPr>
            <w:r w:rsidRPr="00713B8F">
              <w:rPr>
                <w:rFonts w:cs="Arial"/>
                <w:sz w:val="16"/>
                <w:szCs w:val="16"/>
              </w:rPr>
              <w:t>38,73</w:t>
            </w:r>
          </w:p>
        </w:tc>
        <w:tc>
          <w:tcPr>
            <w:tcW w:w="697" w:type="dxa"/>
            <w:tcBorders>
              <w:top w:val="nil"/>
              <w:left w:val="nil"/>
              <w:bottom w:val="nil"/>
              <w:right w:val="nil"/>
            </w:tcBorders>
            <w:shd w:val="clear" w:color="auto" w:fill="auto"/>
            <w:noWrap/>
            <w:vAlign w:val="center"/>
            <w:hideMark/>
          </w:tcPr>
          <w:p w14:paraId="116BCC52" w14:textId="77777777" w:rsidR="00713B8F" w:rsidRPr="00713B8F" w:rsidRDefault="00713B8F" w:rsidP="00713B8F">
            <w:pPr>
              <w:spacing w:after="0" w:line="240" w:lineRule="auto"/>
              <w:jc w:val="right"/>
              <w:rPr>
                <w:rFonts w:cs="Arial"/>
                <w:sz w:val="16"/>
                <w:szCs w:val="16"/>
              </w:rPr>
            </w:pPr>
            <w:r w:rsidRPr="00713B8F">
              <w:rPr>
                <w:rFonts w:cs="Arial"/>
                <w:sz w:val="16"/>
                <w:szCs w:val="16"/>
              </w:rPr>
              <w:t>37,49</w:t>
            </w:r>
          </w:p>
        </w:tc>
        <w:tc>
          <w:tcPr>
            <w:tcW w:w="697" w:type="dxa"/>
            <w:tcBorders>
              <w:top w:val="nil"/>
              <w:left w:val="nil"/>
              <w:bottom w:val="nil"/>
              <w:right w:val="nil"/>
            </w:tcBorders>
            <w:shd w:val="clear" w:color="000000" w:fill="FFFFFF"/>
            <w:noWrap/>
            <w:vAlign w:val="center"/>
            <w:hideMark/>
          </w:tcPr>
          <w:p w14:paraId="6F8A2D1E"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36,11</w:t>
            </w:r>
          </w:p>
        </w:tc>
        <w:tc>
          <w:tcPr>
            <w:tcW w:w="697" w:type="dxa"/>
            <w:gridSpan w:val="2"/>
            <w:tcBorders>
              <w:top w:val="nil"/>
              <w:left w:val="nil"/>
              <w:bottom w:val="nil"/>
              <w:right w:val="nil"/>
            </w:tcBorders>
            <w:shd w:val="clear" w:color="000000" w:fill="FFFFFF"/>
            <w:noWrap/>
            <w:vAlign w:val="center"/>
            <w:hideMark/>
          </w:tcPr>
          <w:p w14:paraId="22F1D51B"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40,35</w:t>
            </w:r>
          </w:p>
        </w:tc>
      </w:tr>
      <w:tr w:rsidR="00713B8F" w:rsidRPr="00713B8F" w14:paraId="438E8F55" w14:textId="77777777" w:rsidTr="00713B8F">
        <w:trPr>
          <w:trHeight w:val="300"/>
        </w:trPr>
        <w:tc>
          <w:tcPr>
            <w:tcW w:w="1985" w:type="dxa"/>
            <w:tcBorders>
              <w:top w:val="nil"/>
              <w:left w:val="nil"/>
              <w:bottom w:val="nil"/>
              <w:right w:val="nil"/>
            </w:tcBorders>
            <w:shd w:val="clear" w:color="auto" w:fill="auto"/>
            <w:noWrap/>
            <w:vAlign w:val="center"/>
            <w:hideMark/>
          </w:tcPr>
          <w:p w14:paraId="54AABF88"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Ústecký kraj</w:t>
            </w:r>
          </w:p>
        </w:tc>
        <w:tc>
          <w:tcPr>
            <w:tcW w:w="697" w:type="dxa"/>
            <w:tcBorders>
              <w:top w:val="nil"/>
              <w:left w:val="nil"/>
              <w:bottom w:val="nil"/>
              <w:right w:val="nil"/>
            </w:tcBorders>
            <w:shd w:val="clear" w:color="auto" w:fill="auto"/>
            <w:noWrap/>
            <w:vAlign w:val="center"/>
            <w:hideMark/>
          </w:tcPr>
          <w:p w14:paraId="7022DB5D" w14:textId="77777777" w:rsidR="00713B8F" w:rsidRPr="00713B8F" w:rsidRDefault="00713B8F" w:rsidP="00713B8F">
            <w:pPr>
              <w:spacing w:after="0" w:line="240" w:lineRule="auto"/>
              <w:jc w:val="right"/>
              <w:rPr>
                <w:rFonts w:cs="Arial"/>
                <w:sz w:val="16"/>
                <w:szCs w:val="16"/>
              </w:rPr>
            </w:pPr>
            <w:r w:rsidRPr="00713B8F">
              <w:rPr>
                <w:rFonts w:cs="Arial"/>
                <w:sz w:val="16"/>
                <w:szCs w:val="16"/>
              </w:rPr>
              <w:t>45,19</w:t>
            </w:r>
          </w:p>
        </w:tc>
        <w:tc>
          <w:tcPr>
            <w:tcW w:w="697" w:type="dxa"/>
            <w:tcBorders>
              <w:top w:val="nil"/>
              <w:left w:val="nil"/>
              <w:bottom w:val="nil"/>
              <w:right w:val="nil"/>
            </w:tcBorders>
            <w:shd w:val="clear" w:color="auto" w:fill="auto"/>
            <w:noWrap/>
            <w:vAlign w:val="center"/>
            <w:hideMark/>
          </w:tcPr>
          <w:p w14:paraId="04468031" w14:textId="77777777" w:rsidR="00713B8F" w:rsidRPr="00713B8F" w:rsidRDefault="00713B8F" w:rsidP="00713B8F">
            <w:pPr>
              <w:spacing w:after="0" w:line="240" w:lineRule="auto"/>
              <w:jc w:val="right"/>
              <w:rPr>
                <w:rFonts w:cs="Arial"/>
                <w:sz w:val="16"/>
                <w:szCs w:val="16"/>
              </w:rPr>
            </w:pPr>
            <w:r w:rsidRPr="00713B8F">
              <w:rPr>
                <w:rFonts w:cs="Arial"/>
                <w:sz w:val="16"/>
                <w:szCs w:val="16"/>
              </w:rPr>
              <w:t>44,14</w:t>
            </w:r>
          </w:p>
        </w:tc>
        <w:tc>
          <w:tcPr>
            <w:tcW w:w="697" w:type="dxa"/>
            <w:tcBorders>
              <w:top w:val="nil"/>
              <w:left w:val="nil"/>
              <w:bottom w:val="nil"/>
              <w:right w:val="nil"/>
            </w:tcBorders>
            <w:shd w:val="clear" w:color="auto" w:fill="auto"/>
            <w:noWrap/>
            <w:vAlign w:val="center"/>
            <w:hideMark/>
          </w:tcPr>
          <w:p w14:paraId="1FB07F97" w14:textId="77777777" w:rsidR="00713B8F" w:rsidRPr="00713B8F" w:rsidRDefault="00713B8F" w:rsidP="00713B8F">
            <w:pPr>
              <w:spacing w:after="0" w:line="240" w:lineRule="auto"/>
              <w:jc w:val="right"/>
              <w:rPr>
                <w:rFonts w:cs="Arial"/>
                <w:sz w:val="16"/>
                <w:szCs w:val="16"/>
              </w:rPr>
            </w:pPr>
            <w:r w:rsidRPr="00713B8F">
              <w:rPr>
                <w:rFonts w:cs="Arial"/>
                <w:sz w:val="16"/>
                <w:szCs w:val="16"/>
              </w:rPr>
              <w:t>42,07</w:t>
            </w:r>
          </w:p>
        </w:tc>
        <w:tc>
          <w:tcPr>
            <w:tcW w:w="697" w:type="dxa"/>
            <w:tcBorders>
              <w:top w:val="nil"/>
              <w:left w:val="nil"/>
              <w:bottom w:val="nil"/>
              <w:right w:val="nil"/>
            </w:tcBorders>
            <w:shd w:val="clear" w:color="auto" w:fill="auto"/>
            <w:noWrap/>
            <w:vAlign w:val="center"/>
            <w:hideMark/>
          </w:tcPr>
          <w:p w14:paraId="511B88A4" w14:textId="77777777" w:rsidR="00713B8F" w:rsidRPr="00713B8F" w:rsidRDefault="00713B8F" w:rsidP="00713B8F">
            <w:pPr>
              <w:spacing w:after="0" w:line="240" w:lineRule="auto"/>
              <w:jc w:val="right"/>
              <w:rPr>
                <w:rFonts w:cs="Arial"/>
                <w:sz w:val="16"/>
                <w:szCs w:val="16"/>
              </w:rPr>
            </w:pPr>
            <w:r w:rsidRPr="00713B8F">
              <w:rPr>
                <w:rFonts w:cs="Arial"/>
                <w:sz w:val="16"/>
                <w:szCs w:val="16"/>
              </w:rPr>
              <w:t>50,37</w:t>
            </w:r>
          </w:p>
        </w:tc>
        <w:tc>
          <w:tcPr>
            <w:tcW w:w="697" w:type="dxa"/>
            <w:tcBorders>
              <w:top w:val="nil"/>
              <w:left w:val="nil"/>
              <w:bottom w:val="nil"/>
              <w:right w:val="nil"/>
            </w:tcBorders>
            <w:shd w:val="clear" w:color="auto" w:fill="auto"/>
            <w:noWrap/>
            <w:vAlign w:val="center"/>
            <w:hideMark/>
          </w:tcPr>
          <w:p w14:paraId="2855CBAE" w14:textId="77777777" w:rsidR="00713B8F" w:rsidRPr="00713B8F" w:rsidRDefault="00713B8F" w:rsidP="00713B8F">
            <w:pPr>
              <w:spacing w:after="0" w:line="240" w:lineRule="auto"/>
              <w:jc w:val="right"/>
              <w:rPr>
                <w:rFonts w:cs="Arial"/>
                <w:sz w:val="16"/>
                <w:szCs w:val="16"/>
              </w:rPr>
            </w:pPr>
            <w:r w:rsidRPr="00713B8F">
              <w:rPr>
                <w:rFonts w:cs="Arial"/>
                <w:sz w:val="16"/>
                <w:szCs w:val="16"/>
              </w:rPr>
              <w:t>44,78</w:t>
            </w:r>
          </w:p>
        </w:tc>
        <w:tc>
          <w:tcPr>
            <w:tcW w:w="697" w:type="dxa"/>
            <w:tcBorders>
              <w:top w:val="nil"/>
              <w:left w:val="nil"/>
              <w:bottom w:val="nil"/>
              <w:right w:val="nil"/>
            </w:tcBorders>
            <w:shd w:val="clear" w:color="auto" w:fill="auto"/>
            <w:noWrap/>
            <w:vAlign w:val="center"/>
            <w:hideMark/>
          </w:tcPr>
          <w:p w14:paraId="7E738C5A" w14:textId="77777777" w:rsidR="00713B8F" w:rsidRPr="00713B8F" w:rsidRDefault="00713B8F" w:rsidP="00713B8F">
            <w:pPr>
              <w:spacing w:after="0" w:line="240" w:lineRule="auto"/>
              <w:jc w:val="right"/>
              <w:rPr>
                <w:rFonts w:cs="Arial"/>
                <w:sz w:val="16"/>
                <w:szCs w:val="16"/>
              </w:rPr>
            </w:pPr>
            <w:r w:rsidRPr="00713B8F">
              <w:rPr>
                <w:rFonts w:cs="Arial"/>
                <w:sz w:val="16"/>
                <w:szCs w:val="16"/>
              </w:rPr>
              <w:t>48,15</w:t>
            </w:r>
          </w:p>
        </w:tc>
        <w:tc>
          <w:tcPr>
            <w:tcW w:w="697" w:type="dxa"/>
            <w:tcBorders>
              <w:top w:val="nil"/>
              <w:left w:val="nil"/>
              <w:bottom w:val="nil"/>
              <w:right w:val="nil"/>
            </w:tcBorders>
            <w:shd w:val="clear" w:color="auto" w:fill="auto"/>
            <w:noWrap/>
            <w:vAlign w:val="center"/>
            <w:hideMark/>
          </w:tcPr>
          <w:p w14:paraId="31DC571A" w14:textId="77777777" w:rsidR="00713B8F" w:rsidRPr="00713B8F" w:rsidRDefault="00713B8F" w:rsidP="00713B8F">
            <w:pPr>
              <w:spacing w:after="0" w:line="240" w:lineRule="auto"/>
              <w:jc w:val="right"/>
              <w:rPr>
                <w:rFonts w:cs="Arial"/>
                <w:sz w:val="16"/>
                <w:szCs w:val="16"/>
              </w:rPr>
            </w:pPr>
            <w:r w:rsidRPr="00713B8F">
              <w:rPr>
                <w:rFonts w:cs="Arial"/>
                <w:sz w:val="16"/>
                <w:szCs w:val="16"/>
              </w:rPr>
              <w:t>41,58</w:t>
            </w:r>
          </w:p>
        </w:tc>
        <w:tc>
          <w:tcPr>
            <w:tcW w:w="697" w:type="dxa"/>
            <w:tcBorders>
              <w:top w:val="nil"/>
              <w:left w:val="nil"/>
              <w:bottom w:val="nil"/>
              <w:right w:val="nil"/>
            </w:tcBorders>
            <w:shd w:val="clear" w:color="auto" w:fill="auto"/>
            <w:noWrap/>
            <w:vAlign w:val="center"/>
            <w:hideMark/>
          </w:tcPr>
          <w:p w14:paraId="6D064467" w14:textId="77777777" w:rsidR="00713B8F" w:rsidRPr="00713B8F" w:rsidRDefault="00713B8F" w:rsidP="00713B8F">
            <w:pPr>
              <w:spacing w:after="0" w:line="240" w:lineRule="auto"/>
              <w:jc w:val="right"/>
              <w:rPr>
                <w:rFonts w:cs="Arial"/>
                <w:sz w:val="16"/>
                <w:szCs w:val="16"/>
              </w:rPr>
            </w:pPr>
            <w:r w:rsidRPr="00713B8F">
              <w:rPr>
                <w:rFonts w:cs="Arial"/>
                <w:sz w:val="16"/>
                <w:szCs w:val="16"/>
              </w:rPr>
              <w:t>42,04</w:t>
            </w:r>
          </w:p>
        </w:tc>
        <w:tc>
          <w:tcPr>
            <w:tcW w:w="697" w:type="dxa"/>
            <w:tcBorders>
              <w:top w:val="nil"/>
              <w:left w:val="nil"/>
              <w:bottom w:val="nil"/>
              <w:right w:val="nil"/>
            </w:tcBorders>
            <w:shd w:val="clear" w:color="auto" w:fill="auto"/>
            <w:noWrap/>
            <w:vAlign w:val="center"/>
            <w:hideMark/>
          </w:tcPr>
          <w:p w14:paraId="247B19F5" w14:textId="77777777" w:rsidR="00713B8F" w:rsidRPr="00713B8F" w:rsidRDefault="00713B8F" w:rsidP="00713B8F">
            <w:pPr>
              <w:spacing w:after="0" w:line="240" w:lineRule="auto"/>
              <w:jc w:val="right"/>
              <w:rPr>
                <w:rFonts w:cs="Arial"/>
                <w:sz w:val="16"/>
                <w:szCs w:val="16"/>
              </w:rPr>
            </w:pPr>
            <w:r w:rsidRPr="00713B8F">
              <w:rPr>
                <w:rFonts w:cs="Arial"/>
                <w:sz w:val="16"/>
                <w:szCs w:val="16"/>
              </w:rPr>
              <w:t>41,72</w:t>
            </w:r>
          </w:p>
        </w:tc>
        <w:tc>
          <w:tcPr>
            <w:tcW w:w="697" w:type="dxa"/>
            <w:tcBorders>
              <w:top w:val="nil"/>
              <w:left w:val="nil"/>
              <w:bottom w:val="nil"/>
              <w:right w:val="nil"/>
            </w:tcBorders>
            <w:shd w:val="clear" w:color="000000" w:fill="FFFFFF"/>
            <w:noWrap/>
            <w:vAlign w:val="center"/>
            <w:hideMark/>
          </w:tcPr>
          <w:p w14:paraId="219F8D45"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39,07</w:t>
            </w:r>
          </w:p>
        </w:tc>
        <w:tc>
          <w:tcPr>
            <w:tcW w:w="697" w:type="dxa"/>
            <w:gridSpan w:val="2"/>
            <w:tcBorders>
              <w:top w:val="nil"/>
              <w:left w:val="nil"/>
              <w:bottom w:val="nil"/>
              <w:right w:val="nil"/>
            </w:tcBorders>
            <w:shd w:val="clear" w:color="000000" w:fill="FFFFFF"/>
            <w:noWrap/>
            <w:vAlign w:val="center"/>
            <w:hideMark/>
          </w:tcPr>
          <w:p w14:paraId="00FB4B90"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42,22</w:t>
            </w:r>
          </w:p>
        </w:tc>
      </w:tr>
      <w:tr w:rsidR="00713B8F" w:rsidRPr="00713B8F" w14:paraId="7925874B" w14:textId="77777777" w:rsidTr="00713B8F">
        <w:trPr>
          <w:trHeight w:val="300"/>
        </w:trPr>
        <w:tc>
          <w:tcPr>
            <w:tcW w:w="1985" w:type="dxa"/>
            <w:tcBorders>
              <w:top w:val="nil"/>
              <w:left w:val="nil"/>
              <w:bottom w:val="nil"/>
              <w:right w:val="nil"/>
            </w:tcBorders>
            <w:shd w:val="clear" w:color="auto" w:fill="auto"/>
            <w:noWrap/>
            <w:vAlign w:val="center"/>
            <w:hideMark/>
          </w:tcPr>
          <w:p w14:paraId="4F1D7650"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Liberecký kraj</w:t>
            </w:r>
          </w:p>
        </w:tc>
        <w:tc>
          <w:tcPr>
            <w:tcW w:w="697" w:type="dxa"/>
            <w:tcBorders>
              <w:top w:val="nil"/>
              <w:left w:val="nil"/>
              <w:bottom w:val="nil"/>
              <w:right w:val="nil"/>
            </w:tcBorders>
            <w:shd w:val="clear" w:color="auto" w:fill="auto"/>
            <w:noWrap/>
            <w:vAlign w:val="center"/>
            <w:hideMark/>
          </w:tcPr>
          <w:p w14:paraId="0B7530E1" w14:textId="77777777" w:rsidR="00713B8F" w:rsidRPr="00713B8F" w:rsidRDefault="00713B8F" w:rsidP="00713B8F">
            <w:pPr>
              <w:spacing w:after="0" w:line="240" w:lineRule="auto"/>
              <w:jc w:val="right"/>
              <w:rPr>
                <w:rFonts w:cs="Arial"/>
                <w:sz w:val="16"/>
                <w:szCs w:val="16"/>
              </w:rPr>
            </w:pPr>
            <w:r w:rsidRPr="00713B8F">
              <w:rPr>
                <w:rFonts w:cs="Arial"/>
                <w:sz w:val="16"/>
                <w:szCs w:val="16"/>
              </w:rPr>
              <w:t>46,75</w:t>
            </w:r>
          </w:p>
        </w:tc>
        <w:tc>
          <w:tcPr>
            <w:tcW w:w="697" w:type="dxa"/>
            <w:tcBorders>
              <w:top w:val="nil"/>
              <w:left w:val="nil"/>
              <w:bottom w:val="nil"/>
              <w:right w:val="nil"/>
            </w:tcBorders>
            <w:shd w:val="clear" w:color="auto" w:fill="auto"/>
            <w:noWrap/>
            <w:vAlign w:val="center"/>
            <w:hideMark/>
          </w:tcPr>
          <w:p w14:paraId="29E0D0F3" w14:textId="77777777" w:rsidR="00713B8F" w:rsidRPr="00713B8F" w:rsidRDefault="00713B8F" w:rsidP="00713B8F">
            <w:pPr>
              <w:spacing w:after="0" w:line="240" w:lineRule="auto"/>
              <w:jc w:val="right"/>
              <w:rPr>
                <w:rFonts w:cs="Arial"/>
                <w:sz w:val="16"/>
                <w:szCs w:val="16"/>
              </w:rPr>
            </w:pPr>
            <w:r w:rsidRPr="00713B8F">
              <w:rPr>
                <w:rFonts w:cs="Arial"/>
                <w:sz w:val="16"/>
                <w:szCs w:val="16"/>
              </w:rPr>
              <w:t>45,56</w:t>
            </w:r>
          </w:p>
        </w:tc>
        <w:tc>
          <w:tcPr>
            <w:tcW w:w="697" w:type="dxa"/>
            <w:tcBorders>
              <w:top w:val="nil"/>
              <w:left w:val="nil"/>
              <w:bottom w:val="nil"/>
              <w:right w:val="nil"/>
            </w:tcBorders>
            <w:shd w:val="clear" w:color="auto" w:fill="auto"/>
            <w:noWrap/>
            <w:vAlign w:val="center"/>
            <w:hideMark/>
          </w:tcPr>
          <w:p w14:paraId="30BCD05F" w14:textId="77777777" w:rsidR="00713B8F" w:rsidRPr="00713B8F" w:rsidRDefault="00713B8F" w:rsidP="00713B8F">
            <w:pPr>
              <w:spacing w:after="0" w:line="240" w:lineRule="auto"/>
              <w:jc w:val="right"/>
              <w:rPr>
                <w:rFonts w:cs="Arial"/>
                <w:sz w:val="16"/>
                <w:szCs w:val="16"/>
              </w:rPr>
            </w:pPr>
            <w:r w:rsidRPr="00713B8F">
              <w:rPr>
                <w:rFonts w:cs="Arial"/>
                <w:sz w:val="16"/>
                <w:szCs w:val="16"/>
              </w:rPr>
              <w:t>42,65</w:t>
            </w:r>
          </w:p>
        </w:tc>
        <w:tc>
          <w:tcPr>
            <w:tcW w:w="697" w:type="dxa"/>
            <w:tcBorders>
              <w:top w:val="nil"/>
              <w:left w:val="nil"/>
              <w:bottom w:val="nil"/>
              <w:right w:val="nil"/>
            </w:tcBorders>
            <w:shd w:val="clear" w:color="auto" w:fill="auto"/>
            <w:noWrap/>
            <w:vAlign w:val="center"/>
            <w:hideMark/>
          </w:tcPr>
          <w:p w14:paraId="56929B09" w14:textId="77777777" w:rsidR="00713B8F" w:rsidRPr="00713B8F" w:rsidRDefault="00713B8F" w:rsidP="00713B8F">
            <w:pPr>
              <w:spacing w:after="0" w:line="240" w:lineRule="auto"/>
              <w:jc w:val="right"/>
              <w:rPr>
                <w:rFonts w:cs="Arial"/>
                <w:sz w:val="16"/>
                <w:szCs w:val="16"/>
              </w:rPr>
            </w:pPr>
            <w:r w:rsidRPr="00713B8F">
              <w:rPr>
                <w:rFonts w:cs="Arial"/>
                <w:sz w:val="16"/>
                <w:szCs w:val="16"/>
              </w:rPr>
              <w:t>47,25</w:t>
            </w:r>
          </w:p>
        </w:tc>
        <w:tc>
          <w:tcPr>
            <w:tcW w:w="697" w:type="dxa"/>
            <w:tcBorders>
              <w:top w:val="nil"/>
              <w:left w:val="nil"/>
              <w:bottom w:val="nil"/>
              <w:right w:val="nil"/>
            </w:tcBorders>
            <w:shd w:val="clear" w:color="auto" w:fill="auto"/>
            <w:noWrap/>
            <w:vAlign w:val="center"/>
            <w:hideMark/>
          </w:tcPr>
          <w:p w14:paraId="51528FE5" w14:textId="77777777" w:rsidR="00713B8F" w:rsidRPr="00713B8F" w:rsidRDefault="00713B8F" w:rsidP="00713B8F">
            <w:pPr>
              <w:spacing w:after="0" w:line="240" w:lineRule="auto"/>
              <w:jc w:val="right"/>
              <w:rPr>
                <w:rFonts w:cs="Arial"/>
                <w:sz w:val="16"/>
                <w:szCs w:val="16"/>
              </w:rPr>
            </w:pPr>
            <w:r w:rsidRPr="00713B8F">
              <w:rPr>
                <w:rFonts w:cs="Arial"/>
                <w:sz w:val="16"/>
                <w:szCs w:val="16"/>
              </w:rPr>
              <w:t>40,17</w:t>
            </w:r>
          </w:p>
        </w:tc>
        <w:tc>
          <w:tcPr>
            <w:tcW w:w="697" w:type="dxa"/>
            <w:tcBorders>
              <w:top w:val="nil"/>
              <w:left w:val="nil"/>
              <w:bottom w:val="nil"/>
              <w:right w:val="nil"/>
            </w:tcBorders>
            <w:shd w:val="clear" w:color="auto" w:fill="auto"/>
            <w:noWrap/>
            <w:vAlign w:val="center"/>
            <w:hideMark/>
          </w:tcPr>
          <w:p w14:paraId="6767260C" w14:textId="77777777" w:rsidR="00713B8F" w:rsidRPr="00713B8F" w:rsidRDefault="00713B8F" w:rsidP="00713B8F">
            <w:pPr>
              <w:spacing w:after="0" w:line="240" w:lineRule="auto"/>
              <w:jc w:val="right"/>
              <w:rPr>
                <w:rFonts w:cs="Arial"/>
                <w:sz w:val="16"/>
                <w:szCs w:val="16"/>
              </w:rPr>
            </w:pPr>
            <w:r w:rsidRPr="00713B8F">
              <w:rPr>
                <w:rFonts w:cs="Arial"/>
                <w:sz w:val="16"/>
                <w:szCs w:val="16"/>
              </w:rPr>
              <w:t>43,16</w:t>
            </w:r>
          </w:p>
        </w:tc>
        <w:tc>
          <w:tcPr>
            <w:tcW w:w="697" w:type="dxa"/>
            <w:tcBorders>
              <w:top w:val="nil"/>
              <w:left w:val="nil"/>
              <w:bottom w:val="nil"/>
              <w:right w:val="nil"/>
            </w:tcBorders>
            <w:shd w:val="clear" w:color="auto" w:fill="auto"/>
            <w:noWrap/>
            <w:vAlign w:val="center"/>
            <w:hideMark/>
          </w:tcPr>
          <w:p w14:paraId="7B2B7CBD" w14:textId="77777777" w:rsidR="00713B8F" w:rsidRPr="00713B8F" w:rsidRDefault="00713B8F" w:rsidP="00713B8F">
            <w:pPr>
              <w:spacing w:after="0" w:line="240" w:lineRule="auto"/>
              <w:jc w:val="right"/>
              <w:rPr>
                <w:rFonts w:cs="Arial"/>
                <w:sz w:val="16"/>
                <w:szCs w:val="16"/>
              </w:rPr>
            </w:pPr>
            <w:r w:rsidRPr="00713B8F">
              <w:rPr>
                <w:rFonts w:cs="Arial"/>
                <w:sz w:val="16"/>
                <w:szCs w:val="16"/>
              </w:rPr>
              <w:t>37,80</w:t>
            </w:r>
          </w:p>
        </w:tc>
        <w:tc>
          <w:tcPr>
            <w:tcW w:w="697" w:type="dxa"/>
            <w:tcBorders>
              <w:top w:val="nil"/>
              <w:left w:val="nil"/>
              <w:bottom w:val="nil"/>
              <w:right w:val="nil"/>
            </w:tcBorders>
            <w:shd w:val="clear" w:color="auto" w:fill="auto"/>
            <w:noWrap/>
            <w:vAlign w:val="center"/>
            <w:hideMark/>
          </w:tcPr>
          <w:p w14:paraId="4E5D4B75" w14:textId="77777777" w:rsidR="00713B8F" w:rsidRPr="00713B8F" w:rsidRDefault="00713B8F" w:rsidP="00713B8F">
            <w:pPr>
              <w:spacing w:after="0" w:line="240" w:lineRule="auto"/>
              <w:jc w:val="right"/>
              <w:rPr>
                <w:rFonts w:cs="Arial"/>
                <w:sz w:val="16"/>
                <w:szCs w:val="16"/>
              </w:rPr>
            </w:pPr>
            <w:r w:rsidRPr="00713B8F">
              <w:rPr>
                <w:rFonts w:cs="Arial"/>
                <w:sz w:val="16"/>
                <w:szCs w:val="16"/>
              </w:rPr>
              <w:t>38,52</w:t>
            </w:r>
          </w:p>
        </w:tc>
        <w:tc>
          <w:tcPr>
            <w:tcW w:w="697" w:type="dxa"/>
            <w:tcBorders>
              <w:top w:val="nil"/>
              <w:left w:val="nil"/>
              <w:bottom w:val="nil"/>
              <w:right w:val="nil"/>
            </w:tcBorders>
            <w:shd w:val="clear" w:color="auto" w:fill="auto"/>
            <w:noWrap/>
            <w:vAlign w:val="center"/>
            <w:hideMark/>
          </w:tcPr>
          <w:p w14:paraId="6C249773" w14:textId="77777777" w:rsidR="00713B8F" w:rsidRPr="00713B8F" w:rsidRDefault="00713B8F" w:rsidP="00713B8F">
            <w:pPr>
              <w:spacing w:after="0" w:line="240" w:lineRule="auto"/>
              <w:jc w:val="right"/>
              <w:rPr>
                <w:rFonts w:cs="Arial"/>
                <w:sz w:val="16"/>
                <w:szCs w:val="16"/>
              </w:rPr>
            </w:pPr>
            <w:r w:rsidRPr="00713B8F">
              <w:rPr>
                <w:rFonts w:cs="Arial"/>
                <w:sz w:val="16"/>
                <w:szCs w:val="16"/>
              </w:rPr>
              <w:t>37,76</w:t>
            </w:r>
          </w:p>
        </w:tc>
        <w:tc>
          <w:tcPr>
            <w:tcW w:w="697" w:type="dxa"/>
            <w:tcBorders>
              <w:top w:val="nil"/>
              <w:left w:val="nil"/>
              <w:bottom w:val="nil"/>
              <w:right w:val="nil"/>
            </w:tcBorders>
            <w:shd w:val="clear" w:color="000000" w:fill="FFFFFF"/>
            <w:noWrap/>
            <w:vAlign w:val="center"/>
            <w:hideMark/>
          </w:tcPr>
          <w:p w14:paraId="52D30FB6"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35,32</w:t>
            </w:r>
          </w:p>
        </w:tc>
        <w:tc>
          <w:tcPr>
            <w:tcW w:w="697" w:type="dxa"/>
            <w:gridSpan w:val="2"/>
            <w:tcBorders>
              <w:top w:val="nil"/>
              <w:left w:val="nil"/>
              <w:bottom w:val="nil"/>
              <w:right w:val="nil"/>
            </w:tcBorders>
            <w:shd w:val="clear" w:color="000000" w:fill="FFFFFF"/>
            <w:noWrap/>
            <w:vAlign w:val="center"/>
            <w:hideMark/>
          </w:tcPr>
          <w:p w14:paraId="060E998E"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38,56</w:t>
            </w:r>
          </w:p>
        </w:tc>
      </w:tr>
      <w:tr w:rsidR="00713B8F" w:rsidRPr="00713B8F" w14:paraId="71E785C1" w14:textId="77777777" w:rsidTr="00713B8F">
        <w:trPr>
          <w:trHeight w:val="300"/>
        </w:trPr>
        <w:tc>
          <w:tcPr>
            <w:tcW w:w="1985" w:type="dxa"/>
            <w:tcBorders>
              <w:top w:val="nil"/>
              <w:left w:val="nil"/>
              <w:bottom w:val="nil"/>
              <w:right w:val="nil"/>
            </w:tcBorders>
            <w:shd w:val="clear" w:color="auto" w:fill="auto"/>
            <w:noWrap/>
            <w:vAlign w:val="center"/>
            <w:hideMark/>
          </w:tcPr>
          <w:p w14:paraId="2FC4369E"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Královéhradecký kraj</w:t>
            </w:r>
          </w:p>
        </w:tc>
        <w:tc>
          <w:tcPr>
            <w:tcW w:w="697" w:type="dxa"/>
            <w:tcBorders>
              <w:top w:val="nil"/>
              <w:left w:val="nil"/>
              <w:bottom w:val="nil"/>
              <w:right w:val="nil"/>
            </w:tcBorders>
            <w:shd w:val="clear" w:color="auto" w:fill="auto"/>
            <w:noWrap/>
            <w:vAlign w:val="center"/>
            <w:hideMark/>
          </w:tcPr>
          <w:p w14:paraId="07C7C410" w14:textId="77777777" w:rsidR="00713B8F" w:rsidRPr="00713B8F" w:rsidRDefault="00713B8F" w:rsidP="00713B8F">
            <w:pPr>
              <w:spacing w:after="0" w:line="240" w:lineRule="auto"/>
              <w:jc w:val="right"/>
              <w:rPr>
                <w:rFonts w:cs="Arial"/>
                <w:sz w:val="16"/>
                <w:szCs w:val="16"/>
              </w:rPr>
            </w:pPr>
            <w:r w:rsidRPr="00713B8F">
              <w:rPr>
                <w:rFonts w:cs="Arial"/>
                <w:sz w:val="16"/>
                <w:szCs w:val="16"/>
              </w:rPr>
              <w:t>44,65</w:t>
            </w:r>
          </w:p>
        </w:tc>
        <w:tc>
          <w:tcPr>
            <w:tcW w:w="697" w:type="dxa"/>
            <w:tcBorders>
              <w:top w:val="nil"/>
              <w:left w:val="nil"/>
              <w:bottom w:val="nil"/>
              <w:right w:val="nil"/>
            </w:tcBorders>
            <w:shd w:val="clear" w:color="auto" w:fill="auto"/>
            <w:noWrap/>
            <w:vAlign w:val="center"/>
            <w:hideMark/>
          </w:tcPr>
          <w:p w14:paraId="15B9577B" w14:textId="77777777" w:rsidR="00713B8F" w:rsidRPr="00713B8F" w:rsidRDefault="00713B8F" w:rsidP="00713B8F">
            <w:pPr>
              <w:spacing w:after="0" w:line="240" w:lineRule="auto"/>
              <w:jc w:val="right"/>
              <w:rPr>
                <w:rFonts w:cs="Arial"/>
                <w:sz w:val="16"/>
                <w:szCs w:val="16"/>
              </w:rPr>
            </w:pPr>
            <w:r w:rsidRPr="00713B8F">
              <w:rPr>
                <w:rFonts w:cs="Arial"/>
                <w:sz w:val="16"/>
                <w:szCs w:val="16"/>
              </w:rPr>
              <w:t>43,43</w:t>
            </w:r>
          </w:p>
        </w:tc>
        <w:tc>
          <w:tcPr>
            <w:tcW w:w="697" w:type="dxa"/>
            <w:tcBorders>
              <w:top w:val="nil"/>
              <w:left w:val="nil"/>
              <w:bottom w:val="nil"/>
              <w:right w:val="nil"/>
            </w:tcBorders>
            <w:shd w:val="clear" w:color="auto" w:fill="auto"/>
            <w:noWrap/>
            <w:vAlign w:val="center"/>
            <w:hideMark/>
          </w:tcPr>
          <w:p w14:paraId="025DCFF8" w14:textId="77777777" w:rsidR="00713B8F" w:rsidRPr="00713B8F" w:rsidRDefault="00713B8F" w:rsidP="00713B8F">
            <w:pPr>
              <w:spacing w:after="0" w:line="240" w:lineRule="auto"/>
              <w:jc w:val="right"/>
              <w:rPr>
                <w:rFonts w:cs="Arial"/>
                <w:sz w:val="16"/>
                <w:szCs w:val="16"/>
              </w:rPr>
            </w:pPr>
            <w:r w:rsidRPr="00713B8F">
              <w:rPr>
                <w:rFonts w:cs="Arial"/>
                <w:sz w:val="16"/>
                <w:szCs w:val="16"/>
              </w:rPr>
              <w:t>41,42</w:t>
            </w:r>
          </w:p>
        </w:tc>
        <w:tc>
          <w:tcPr>
            <w:tcW w:w="697" w:type="dxa"/>
            <w:tcBorders>
              <w:top w:val="nil"/>
              <w:left w:val="nil"/>
              <w:bottom w:val="nil"/>
              <w:right w:val="nil"/>
            </w:tcBorders>
            <w:shd w:val="clear" w:color="auto" w:fill="auto"/>
            <w:noWrap/>
            <w:vAlign w:val="center"/>
            <w:hideMark/>
          </w:tcPr>
          <w:p w14:paraId="64001F1B" w14:textId="77777777" w:rsidR="00713B8F" w:rsidRPr="00713B8F" w:rsidRDefault="00713B8F" w:rsidP="00713B8F">
            <w:pPr>
              <w:spacing w:after="0" w:line="240" w:lineRule="auto"/>
              <w:jc w:val="right"/>
              <w:rPr>
                <w:rFonts w:cs="Arial"/>
                <w:sz w:val="16"/>
                <w:szCs w:val="16"/>
              </w:rPr>
            </w:pPr>
            <w:r w:rsidRPr="00713B8F">
              <w:rPr>
                <w:rFonts w:cs="Arial"/>
                <w:sz w:val="16"/>
                <w:szCs w:val="16"/>
              </w:rPr>
              <w:t>45,20</w:t>
            </w:r>
          </w:p>
        </w:tc>
        <w:tc>
          <w:tcPr>
            <w:tcW w:w="697" w:type="dxa"/>
            <w:tcBorders>
              <w:top w:val="nil"/>
              <w:left w:val="nil"/>
              <w:bottom w:val="nil"/>
              <w:right w:val="nil"/>
            </w:tcBorders>
            <w:shd w:val="clear" w:color="auto" w:fill="auto"/>
            <w:noWrap/>
            <w:vAlign w:val="center"/>
            <w:hideMark/>
          </w:tcPr>
          <w:p w14:paraId="73B6299F" w14:textId="77777777" w:rsidR="00713B8F" w:rsidRPr="00713B8F" w:rsidRDefault="00713B8F" w:rsidP="00713B8F">
            <w:pPr>
              <w:spacing w:after="0" w:line="240" w:lineRule="auto"/>
              <w:jc w:val="right"/>
              <w:rPr>
                <w:rFonts w:cs="Arial"/>
                <w:sz w:val="16"/>
                <w:szCs w:val="16"/>
              </w:rPr>
            </w:pPr>
            <w:r w:rsidRPr="00713B8F">
              <w:rPr>
                <w:rFonts w:cs="Arial"/>
                <w:sz w:val="16"/>
                <w:szCs w:val="16"/>
              </w:rPr>
              <w:t>39,51</w:t>
            </w:r>
          </w:p>
        </w:tc>
        <w:tc>
          <w:tcPr>
            <w:tcW w:w="697" w:type="dxa"/>
            <w:tcBorders>
              <w:top w:val="nil"/>
              <w:left w:val="nil"/>
              <w:bottom w:val="nil"/>
              <w:right w:val="nil"/>
            </w:tcBorders>
            <w:shd w:val="clear" w:color="auto" w:fill="auto"/>
            <w:noWrap/>
            <w:vAlign w:val="center"/>
            <w:hideMark/>
          </w:tcPr>
          <w:p w14:paraId="2E67AF4D" w14:textId="77777777" w:rsidR="00713B8F" w:rsidRPr="00713B8F" w:rsidRDefault="00713B8F" w:rsidP="00713B8F">
            <w:pPr>
              <w:spacing w:after="0" w:line="240" w:lineRule="auto"/>
              <w:jc w:val="right"/>
              <w:rPr>
                <w:rFonts w:cs="Arial"/>
                <w:sz w:val="16"/>
                <w:szCs w:val="16"/>
              </w:rPr>
            </w:pPr>
            <w:r w:rsidRPr="00713B8F">
              <w:rPr>
                <w:rFonts w:cs="Arial"/>
                <w:sz w:val="16"/>
                <w:szCs w:val="16"/>
              </w:rPr>
              <w:t>43,69</w:t>
            </w:r>
          </w:p>
        </w:tc>
        <w:tc>
          <w:tcPr>
            <w:tcW w:w="697" w:type="dxa"/>
            <w:tcBorders>
              <w:top w:val="nil"/>
              <w:left w:val="nil"/>
              <w:bottom w:val="nil"/>
              <w:right w:val="nil"/>
            </w:tcBorders>
            <w:shd w:val="clear" w:color="auto" w:fill="auto"/>
            <w:noWrap/>
            <w:vAlign w:val="center"/>
            <w:hideMark/>
          </w:tcPr>
          <w:p w14:paraId="5ABCDE3C" w14:textId="77777777" w:rsidR="00713B8F" w:rsidRPr="00713B8F" w:rsidRDefault="00713B8F" w:rsidP="00713B8F">
            <w:pPr>
              <w:spacing w:after="0" w:line="240" w:lineRule="auto"/>
              <w:jc w:val="right"/>
              <w:rPr>
                <w:rFonts w:cs="Arial"/>
                <w:sz w:val="16"/>
                <w:szCs w:val="16"/>
              </w:rPr>
            </w:pPr>
            <w:r w:rsidRPr="00713B8F">
              <w:rPr>
                <w:rFonts w:cs="Arial"/>
                <w:sz w:val="16"/>
                <w:szCs w:val="16"/>
              </w:rPr>
              <w:t>38,42</w:t>
            </w:r>
          </w:p>
        </w:tc>
        <w:tc>
          <w:tcPr>
            <w:tcW w:w="697" w:type="dxa"/>
            <w:tcBorders>
              <w:top w:val="nil"/>
              <w:left w:val="nil"/>
              <w:bottom w:val="nil"/>
              <w:right w:val="nil"/>
            </w:tcBorders>
            <w:shd w:val="clear" w:color="auto" w:fill="auto"/>
            <w:noWrap/>
            <w:vAlign w:val="center"/>
            <w:hideMark/>
          </w:tcPr>
          <w:p w14:paraId="1AA685A8" w14:textId="77777777" w:rsidR="00713B8F" w:rsidRPr="00713B8F" w:rsidRDefault="00713B8F" w:rsidP="00713B8F">
            <w:pPr>
              <w:spacing w:after="0" w:line="240" w:lineRule="auto"/>
              <w:jc w:val="right"/>
              <w:rPr>
                <w:rFonts w:cs="Arial"/>
                <w:sz w:val="16"/>
                <w:szCs w:val="16"/>
              </w:rPr>
            </w:pPr>
            <w:r w:rsidRPr="00713B8F">
              <w:rPr>
                <w:rFonts w:cs="Arial"/>
                <w:sz w:val="16"/>
                <w:szCs w:val="16"/>
              </w:rPr>
              <w:t>39,01</w:t>
            </w:r>
          </w:p>
        </w:tc>
        <w:tc>
          <w:tcPr>
            <w:tcW w:w="697" w:type="dxa"/>
            <w:tcBorders>
              <w:top w:val="nil"/>
              <w:left w:val="nil"/>
              <w:bottom w:val="nil"/>
              <w:right w:val="nil"/>
            </w:tcBorders>
            <w:shd w:val="clear" w:color="auto" w:fill="auto"/>
            <w:noWrap/>
            <w:vAlign w:val="center"/>
            <w:hideMark/>
          </w:tcPr>
          <w:p w14:paraId="01623A0E" w14:textId="77777777" w:rsidR="00713B8F" w:rsidRPr="00713B8F" w:rsidRDefault="00713B8F" w:rsidP="00713B8F">
            <w:pPr>
              <w:spacing w:after="0" w:line="240" w:lineRule="auto"/>
              <w:jc w:val="right"/>
              <w:rPr>
                <w:rFonts w:cs="Arial"/>
                <w:sz w:val="16"/>
                <w:szCs w:val="16"/>
              </w:rPr>
            </w:pPr>
            <w:r w:rsidRPr="00713B8F">
              <w:rPr>
                <w:rFonts w:cs="Arial"/>
                <w:sz w:val="16"/>
                <w:szCs w:val="16"/>
              </w:rPr>
              <w:t>38,20</w:t>
            </w:r>
          </w:p>
        </w:tc>
        <w:tc>
          <w:tcPr>
            <w:tcW w:w="697" w:type="dxa"/>
            <w:tcBorders>
              <w:top w:val="nil"/>
              <w:left w:val="nil"/>
              <w:bottom w:val="nil"/>
              <w:right w:val="nil"/>
            </w:tcBorders>
            <w:shd w:val="clear" w:color="000000" w:fill="FFFFFF"/>
            <w:noWrap/>
            <w:vAlign w:val="center"/>
            <w:hideMark/>
          </w:tcPr>
          <w:p w14:paraId="3059CB28"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36,09</w:t>
            </w:r>
          </w:p>
        </w:tc>
        <w:tc>
          <w:tcPr>
            <w:tcW w:w="697" w:type="dxa"/>
            <w:gridSpan w:val="2"/>
            <w:tcBorders>
              <w:top w:val="nil"/>
              <w:left w:val="nil"/>
              <w:bottom w:val="nil"/>
              <w:right w:val="nil"/>
            </w:tcBorders>
            <w:shd w:val="clear" w:color="000000" w:fill="FFFFFF"/>
            <w:noWrap/>
            <w:vAlign w:val="center"/>
            <w:hideMark/>
          </w:tcPr>
          <w:p w14:paraId="7FD38D7A"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38,72</w:t>
            </w:r>
          </w:p>
        </w:tc>
      </w:tr>
      <w:tr w:rsidR="00713B8F" w:rsidRPr="00713B8F" w14:paraId="3A82C5C4" w14:textId="77777777" w:rsidTr="00713B8F">
        <w:trPr>
          <w:trHeight w:val="300"/>
        </w:trPr>
        <w:tc>
          <w:tcPr>
            <w:tcW w:w="1985" w:type="dxa"/>
            <w:tcBorders>
              <w:top w:val="nil"/>
              <w:left w:val="nil"/>
              <w:bottom w:val="nil"/>
              <w:right w:val="nil"/>
            </w:tcBorders>
            <w:shd w:val="clear" w:color="auto" w:fill="auto"/>
            <w:noWrap/>
            <w:vAlign w:val="center"/>
            <w:hideMark/>
          </w:tcPr>
          <w:p w14:paraId="5A032C15"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Pardubický kraj</w:t>
            </w:r>
          </w:p>
        </w:tc>
        <w:tc>
          <w:tcPr>
            <w:tcW w:w="697" w:type="dxa"/>
            <w:tcBorders>
              <w:top w:val="nil"/>
              <w:left w:val="nil"/>
              <w:bottom w:val="nil"/>
              <w:right w:val="nil"/>
            </w:tcBorders>
            <w:shd w:val="clear" w:color="auto" w:fill="auto"/>
            <w:noWrap/>
            <w:vAlign w:val="center"/>
            <w:hideMark/>
          </w:tcPr>
          <w:p w14:paraId="27D33B7E" w14:textId="77777777" w:rsidR="00713B8F" w:rsidRPr="00713B8F" w:rsidRDefault="00713B8F" w:rsidP="00713B8F">
            <w:pPr>
              <w:spacing w:after="0" w:line="240" w:lineRule="auto"/>
              <w:jc w:val="right"/>
              <w:rPr>
                <w:rFonts w:cs="Arial"/>
                <w:sz w:val="16"/>
                <w:szCs w:val="16"/>
              </w:rPr>
            </w:pPr>
            <w:r w:rsidRPr="00713B8F">
              <w:rPr>
                <w:rFonts w:cs="Arial"/>
                <w:sz w:val="16"/>
                <w:szCs w:val="16"/>
              </w:rPr>
              <w:t>46,75</w:t>
            </w:r>
          </w:p>
        </w:tc>
        <w:tc>
          <w:tcPr>
            <w:tcW w:w="697" w:type="dxa"/>
            <w:tcBorders>
              <w:top w:val="nil"/>
              <w:left w:val="nil"/>
              <w:bottom w:val="nil"/>
              <w:right w:val="nil"/>
            </w:tcBorders>
            <w:shd w:val="clear" w:color="auto" w:fill="auto"/>
            <w:noWrap/>
            <w:vAlign w:val="center"/>
            <w:hideMark/>
          </w:tcPr>
          <w:p w14:paraId="6D9E116F" w14:textId="77777777" w:rsidR="00713B8F" w:rsidRPr="00713B8F" w:rsidRDefault="00713B8F" w:rsidP="00713B8F">
            <w:pPr>
              <w:spacing w:after="0" w:line="240" w:lineRule="auto"/>
              <w:jc w:val="right"/>
              <w:rPr>
                <w:rFonts w:cs="Arial"/>
                <w:sz w:val="16"/>
                <w:szCs w:val="16"/>
              </w:rPr>
            </w:pPr>
            <w:r w:rsidRPr="00713B8F">
              <w:rPr>
                <w:rFonts w:cs="Arial"/>
                <w:sz w:val="16"/>
                <w:szCs w:val="16"/>
              </w:rPr>
              <w:t>44,55</w:t>
            </w:r>
          </w:p>
        </w:tc>
        <w:tc>
          <w:tcPr>
            <w:tcW w:w="697" w:type="dxa"/>
            <w:tcBorders>
              <w:top w:val="nil"/>
              <w:left w:val="nil"/>
              <w:bottom w:val="nil"/>
              <w:right w:val="nil"/>
            </w:tcBorders>
            <w:shd w:val="clear" w:color="auto" w:fill="auto"/>
            <w:noWrap/>
            <w:vAlign w:val="center"/>
            <w:hideMark/>
          </w:tcPr>
          <w:p w14:paraId="640FC629" w14:textId="77777777" w:rsidR="00713B8F" w:rsidRPr="00713B8F" w:rsidRDefault="00713B8F" w:rsidP="00713B8F">
            <w:pPr>
              <w:spacing w:after="0" w:line="240" w:lineRule="auto"/>
              <w:jc w:val="right"/>
              <w:rPr>
                <w:rFonts w:cs="Arial"/>
                <w:sz w:val="16"/>
                <w:szCs w:val="16"/>
              </w:rPr>
            </w:pPr>
            <w:r w:rsidRPr="00713B8F">
              <w:rPr>
                <w:rFonts w:cs="Arial"/>
                <w:sz w:val="16"/>
                <w:szCs w:val="16"/>
              </w:rPr>
              <w:t>41,27</w:t>
            </w:r>
          </w:p>
        </w:tc>
        <w:tc>
          <w:tcPr>
            <w:tcW w:w="697" w:type="dxa"/>
            <w:tcBorders>
              <w:top w:val="nil"/>
              <w:left w:val="nil"/>
              <w:bottom w:val="nil"/>
              <w:right w:val="nil"/>
            </w:tcBorders>
            <w:shd w:val="clear" w:color="auto" w:fill="auto"/>
            <w:noWrap/>
            <w:vAlign w:val="center"/>
            <w:hideMark/>
          </w:tcPr>
          <w:p w14:paraId="4C31F008" w14:textId="77777777" w:rsidR="00713B8F" w:rsidRPr="00713B8F" w:rsidRDefault="00713B8F" w:rsidP="00713B8F">
            <w:pPr>
              <w:spacing w:after="0" w:line="240" w:lineRule="auto"/>
              <w:jc w:val="right"/>
              <w:rPr>
                <w:rFonts w:cs="Arial"/>
                <w:sz w:val="16"/>
                <w:szCs w:val="16"/>
              </w:rPr>
            </w:pPr>
            <w:r w:rsidRPr="00713B8F">
              <w:rPr>
                <w:rFonts w:cs="Arial"/>
                <w:sz w:val="16"/>
                <w:szCs w:val="16"/>
              </w:rPr>
              <w:t>46,62</w:t>
            </w:r>
          </w:p>
        </w:tc>
        <w:tc>
          <w:tcPr>
            <w:tcW w:w="697" w:type="dxa"/>
            <w:tcBorders>
              <w:top w:val="nil"/>
              <w:left w:val="nil"/>
              <w:bottom w:val="nil"/>
              <w:right w:val="nil"/>
            </w:tcBorders>
            <w:shd w:val="clear" w:color="auto" w:fill="auto"/>
            <w:noWrap/>
            <w:vAlign w:val="center"/>
            <w:hideMark/>
          </w:tcPr>
          <w:p w14:paraId="32D23448" w14:textId="77777777" w:rsidR="00713B8F" w:rsidRPr="00713B8F" w:rsidRDefault="00713B8F" w:rsidP="00713B8F">
            <w:pPr>
              <w:spacing w:after="0" w:line="240" w:lineRule="auto"/>
              <w:jc w:val="right"/>
              <w:rPr>
                <w:rFonts w:cs="Arial"/>
                <w:sz w:val="16"/>
                <w:szCs w:val="16"/>
              </w:rPr>
            </w:pPr>
            <w:r w:rsidRPr="00713B8F">
              <w:rPr>
                <w:rFonts w:cs="Arial"/>
                <w:sz w:val="16"/>
                <w:szCs w:val="16"/>
              </w:rPr>
              <w:t>41,38</w:t>
            </w:r>
          </w:p>
        </w:tc>
        <w:tc>
          <w:tcPr>
            <w:tcW w:w="697" w:type="dxa"/>
            <w:tcBorders>
              <w:top w:val="nil"/>
              <w:left w:val="nil"/>
              <w:bottom w:val="nil"/>
              <w:right w:val="nil"/>
            </w:tcBorders>
            <w:shd w:val="clear" w:color="auto" w:fill="auto"/>
            <w:noWrap/>
            <w:vAlign w:val="center"/>
            <w:hideMark/>
          </w:tcPr>
          <w:p w14:paraId="452C6BAC" w14:textId="77777777" w:rsidR="00713B8F" w:rsidRPr="00713B8F" w:rsidRDefault="00713B8F" w:rsidP="00713B8F">
            <w:pPr>
              <w:spacing w:after="0" w:line="240" w:lineRule="auto"/>
              <w:jc w:val="right"/>
              <w:rPr>
                <w:rFonts w:cs="Arial"/>
                <w:sz w:val="16"/>
                <w:szCs w:val="16"/>
              </w:rPr>
            </w:pPr>
            <w:r w:rsidRPr="00713B8F">
              <w:rPr>
                <w:rFonts w:cs="Arial"/>
                <w:sz w:val="16"/>
                <w:szCs w:val="16"/>
              </w:rPr>
              <w:t>45,52</w:t>
            </w:r>
          </w:p>
        </w:tc>
        <w:tc>
          <w:tcPr>
            <w:tcW w:w="697" w:type="dxa"/>
            <w:tcBorders>
              <w:top w:val="nil"/>
              <w:left w:val="nil"/>
              <w:bottom w:val="nil"/>
              <w:right w:val="nil"/>
            </w:tcBorders>
            <w:shd w:val="clear" w:color="auto" w:fill="auto"/>
            <w:noWrap/>
            <w:vAlign w:val="center"/>
            <w:hideMark/>
          </w:tcPr>
          <w:p w14:paraId="542B8431" w14:textId="77777777" w:rsidR="00713B8F" w:rsidRPr="00713B8F" w:rsidRDefault="00713B8F" w:rsidP="00713B8F">
            <w:pPr>
              <w:spacing w:after="0" w:line="240" w:lineRule="auto"/>
              <w:jc w:val="right"/>
              <w:rPr>
                <w:rFonts w:cs="Arial"/>
                <w:sz w:val="16"/>
                <w:szCs w:val="16"/>
              </w:rPr>
            </w:pPr>
            <w:r w:rsidRPr="00713B8F">
              <w:rPr>
                <w:rFonts w:cs="Arial"/>
                <w:sz w:val="16"/>
                <w:szCs w:val="16"/>
              </w:rPr>
              <w:t>39,68</w:t>
            </w:r>
          </w:p>
        </w:tc>
        <w:tc>
          <w:tcPr>
            <w:tcW w:w="697" w:type="dxa"/>
            <w:tcBorders>
              <w:top w:val="nil"/>
              <w:left w:val="nil"/>
              <w:bottom w:val="nil"/>
              <w:right w:val="nil"/>
            </w:tcBorders>
            <w:shd w:val="clear" w:color="auto" w:fill="auto"/>
            <w:noWrap/>
            <w:vAlign w:val="center"/>
            <w:hideMark/>
          </w:tcPr>
          <w:p w14:paraId="247B3C6C" w14:textId="77777777" w:rsidR="00713B8F" w:rsidRPr="00713B8F" w:rsidRDefault="00713B8F" w:rsidP="00713B8F">
            <w:pPr>
              <w:spacing w:after="0" w:line="240" w:lineRule="auto"/>
              <w:jc w:val="right"/>
              <w:rPr>
                <w:rFonts w:cs="Arial"/>
                <w:sz w:val="16"/>
                <w:szCs w:val="16"/>
              </w:rPr>
            </w:pPr>
            <w:r w:rsidRPr="00713B8F">
              <w:rPr>
                <w:rFonts w:cs="Arial"/>
                <w:sz w:val="16"/>
                <w:szCs w:val="16"/>
              </w:rPr>
              <w:t>42,02</w:t>
            </w:r>
          </w:p>
        </w:tc>
        <w:tc>
          <w:tcPr>
            <w:tcW w:w="697" w:type="dxa"/>
            <w:tcBorders>
              <w:top w:val="nil"/>
              <w:left w:val="nil"/>
              <w:bottom w:val="nil"/>
              <w:right w:val="nil"/>
            </w:tcBorders>
            <w:shd w:val="clear" w:color="auto" w:fill="auto"/>
            <w:noWrap/>
            <w:vAlign w:val="center"/>
            <w:hideMark/>
          </w:tcPr>
          <w:p w14:paraId="26C9AEF0" w14:textId="77777777" w:rsidR="00713B8F" w:rsidRPr="00713B8F" w:rsidRDefault="00713B8F" w:rsidP="00713B8F">
            <w:pPr>
              <w:spacing w:after="0" w:line="240" w:lineRule="auto"/>
              <w:jc w:val="right"/>
              <w:rPr>
                <w:rFonts w:cs="Arial"/>
                <w:sz w:val="16"/>
                <w:szCs w:val="16"/>
              </w:rPr>
            </w:pPr>
            <w:r w:rsidRPr="00713B8F">
              <w:rPr>
                <w:rFonts w:cs="Arial"/>
                <w:sz w:val="16"/>
                <w:szCs w:val="16"/>
              </w:rPr>
              <w:t>40,95</w:t>
            </w:r>
          </w:p>
        </w:tc>
        <w:tc>
          <w:tcPr>
            <w:tcW w:w="697" w:type="dxa"/>
            <w:tcBorders>
              <w:top w:val="nil"/>
              <w:left w:val="nil"/>
              <w:bottom w:val="nil"/>
              <w:right w:val="nil"/>
            </w:tcBorders>
            <w:shd w:val="clear" w:color="000000" w:fill="FFFFFF"/>
            <w:noWrap/>
            <w:vAlign w:val="center"/>
            <w:hideMark/>
          </w:tcPr>
          <w:p w14:paraId="2248ED67"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38,29</w:t>
            </w:r>
          </w:p>
        </w:tc>
        <w:tc>
          <w:tcPr>
            <w:tcW w:w="697" w:type="dxa"/>
            <w:gridSpan w:val="2"/>
            <w:tcBorders>
              <w:top w:val="nil"/>
              <w:left w:val="nil"/>
              <w:bottom w:val="nil"/>
              <w:right w:val="nil"/>
            </w:tcBorders>
            <w:shd w:val="clear" w:color="000000" w:fill="FFFFFF"/>
            <w:noWrap/>
            <w:vAlign w:val="center"/>
            <w:hideMark/>
          </w:tcPr>
          <w:p w14:paraId="62C85571"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41,87</w:t>
            </w:r>
          </w:p>
        </w:tc>
      </w:tr>
      <w:tr w:rsidR="00713B8F" w:rsidRPr="00713B8F" w14:paraId="67B0BB02" w14:textId="77777777" w:rsidTr="00713B8F">
        <w:trPr>
          <w:trHeight w:val="300"/>
        </w:trPr>
        <w:tc>
          <w:tcPr>
            <w:tcW w:w="1985" w:type="dxa"/>
            <w:tcBorders>
              <w:top w:val="nil"/>
              <w:left w:val="nil"/>
              <w:bottom w:val="nil"/>
              <w:right w:val="nil"/>
            </w:tcBorders>
            <w:shd w:val="clear" w:color="auto" w:fill="auto"/>
            <w:noWrap/>
            <w:vAlign w:val="center"/>
            <w:hideMark/>
          </w:tcPr>
          <w:p w14:paraId="45E9B164"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Vysočina</w:t>
            </w:r>
          </w:p>
        </w:tc>
        <w:tc>
          <w:tcPr>
            <w:tcW w:w="697" w:type="dxa"/>
            <w:tcBorders>
              <w:top w:val="nil"/>
              <w:left w:val="nil"/>
              <w:bottom w:val="nil"/>
              <w:right w:val="nil"/>
            </w:tcBorders>
            <w:shd w:val="clear" w:color="auto" w:fill="auto"/>
            <w:noWrap/>
            <w:vAlign w:val="center"/>
            <w:hideMark/>
          </w:tcPr>
          <w:p w14:paraId="1145387C" w14:textId="77777777" w:rsidR="00713B8F" w:rsidRPr="00713B8F" w:rsidRDefault="00713B8F" w:rsidP="00713B8F">
            <w:pPr>
              <w:spacing w:after="0" w:line="240" w:lineRule="auto"/>
              <w:jc w:val="right"/>
              <w:rPr>
                <w:rFonts w:cs="Arial"/>
                <w:sz w:val="16"/>
                <w:szCs w:val="16"/>
              </w:rPr>
            </w:pPr>
            <w:r w:rsidRPr="00713B8F">
              <w:rPr>
                <w:rFonts w:cs="Arial"/>
                <w:sz w:val="16"/>
                <w:szCs w:val="16"/>
              </w:rPr>
              <w:t>46,02</w:t>
            </w:r>
          </w:p>
        </w:tc>
        <w:tc>
          <w:tcPr>
            <w:tcW w:w="697" w:type="dxa"/>
            <w:tcBorders>
              <w:top w:val="nil"/>
              <w:left w:val="nil"/>
              <w:bottom w:val="nil"/>
              <w:right w:val="nil"/>
            </w:tcBorders>
            <w:shd w:val="clear" w:color="auto" w:fill="auto"/>
            <w:noWrap/>
            <w:vAlign w:val="center"/>
            <w:hideMark/>
          </w:tcPr>
          <w:p w14:paraId="2794B31B" w14:textId="77777777" w:rsidR="00713B8F" w:rsidRPr="00713B8F" w:rsidRDefault="00713B8F" w:rsidP="00713B8F">
            <w:pPr>
              <w:spacing w:after="0" w:line="240" w:lineRule="auto"/>
              <w:jc w:val="right"/>
              <w:rPr>
                <w:rFonts w:cs="Arial"/>
                <w:sz w:val="16"/>
                <w:szCs w:val="16"/>
              </w:rPr>
            </w:pPr>
            <w:r w:rsidRPr="00713B8F">
              <w:rPr>
                <w:rFonts w:cs="Arial"/>
                <w:sz w:val="16"/>
                <w:szCs w:val="16"/>
              </w:rPr>
              <w:t>44,76</w:t>
            </w:r>
          </w:p>
        </w:tc>
        <w:tc>
          <w:tcPr>
            <w:tcW w:w="697" w:type="dxa"/>
            <w:tcBorders>
              <w:top w:val="nil"/>
              <w:left w:val="nil"/>
              <w:bottom w:val="nil"/>
              <w:right w:val="nil"/>
            </w:tcBorders>
            <w:shd w:val="clear" w:color="auto" w:fill="auto"/>
            <w:noWrap/>
            <w:vAlign w:val="center"/>
            <w:hideMark/>
          </w:tcPr>
          <w:p w14:paraId="0EA7E648" w14:textId="77777777" w:rsidR="00713B8F" w:rsidRPr="00713B8F" w:rsidRDefault="00713B8F" w:rsidP="00713B8F">
            <w:pPr>
              <w:spacing w:after="0" w:line="240" w:lineRule="auto"/>
              <w:jc w:val="right"/>
              <w:rPr>
                <w:rFonts w:cs="Arial"/>
                <w:sz w:val="16"/>
                <w:szCs w:val="16"/>
              </w:rPr>
            </w:pPr>
            <w:r w:rsidRPr="00713B8F">
              <w:rPr>
                <w:rFonts w:cs="Arial"/>
                <w:sz w:val="16"/>
                <w:szCs w:val="16"/>
              </w:rPr>
              <w:t>43,40</w:t>
            </w:r>
          </w:p>
        </w:tc>
        <w:tc>
          <w:tcPr>
            <w:tcW w:w="697" w:type="dxa"/>
            <w:tcBorders>
              <w:top w:val="nil"/>
              <w:left w:val="nil"/>
              <w:bottom w:val="nil"/>
              <w:right w:val="nil"/>
            </w:tcBorders>
            <w:shd w:val="clear" w:color="auto" w:fill="auto"/>
            <w:noWrap/>
            <w:vAlign w:val="center"/>
            <w:hideMark/>
          </w:tcPr>
          <w:p w14:paraId="5A3A18F8" w14:textId="77777777" w:rsidR="00713B8F" w:rsidRPr="00713B8F" w:rsidRDefault="00713B8F" w:rsidP="00713B8F">
            <w:pPr>
              <w:spacing w:after="0" w:line="240" w:lineRule="auto"/>
              <w:jc w:val="right"/>
              <w:rPr>
                <w:rFonts w:cs="Arial"/>
                <w:sz w:val="16"/>
                <w:szCs w:val="16"/>
              </w:rPr>
            </w:pPr>
            <w:r w:rsidRPr="00713B8F">
              <w:rPr>
                <w:rFonts w:cs="Arial"/>
                <w:sz w:val="16"/>
                <w:szCs w:val="16"/>
              </w:rPr>
              <w:t>45,56</w:t>
            </w:r>
          </w:p>
        </w:tc>
        <w:tc>
          <w:tcPr>
            <w:tcW w:w="697" w:type="dxa"/>
            <w:tcBorders>
              <w:top w:val="nil"/>
              <w:left w:val="nil"/>
              <w:bottom w:val="nil"/>
              <w:right w:val="nil"/>
            </w:tcBorders>
            <w:shd w:val="clear" w:color="auto" w:fill="auto"/>
            <w:noWrap/>
            <w:vAlign w:val="center"/>
            <w:hideMark/>
          </w:tcPr>
          <w:p w14:paraId="01DCC082" w14:textId="77777777" w:rsidR="00713B8F" w:rsidRPr="00713B8F" w:rsidRDefault="00713B8F" w:rsidP="00713B8F">
            <w:pPr>
              <w:spacing w:after="0" w:line="240" w:lineRule="auto"/>
              <w:jc w:val="right"/>
              <w:rPr>
                <w:rFonts w:cs="Arial"/>
                <w:sz w:val="16"/>
                <w:szCs w:val="16"/>
              </w:rPr>
            </w:pPr>
            <w:r w:rsidRPr="00713B8F">
              <w:rPr>
                <w:rFonts w:cs="Arial"/>
                <w:sz w:val="16"/>
                <w:szCs w:val="16"/>
              </w:rPr>
              <w:t>41,64</w:t>
            </w:r>
          </w:p>
        </w:tc>
        <w:tc>
          <w:tcPr>
            <w:tcW w:w="697" w:type="dxa"/>
            <w:tcBorders>
              <w:top w:val="nil"/>
              <w:left w:val="nil"/>
              <w:bottom w:val="nil"/>
              <w:right w:val="nil"/>
            </w:tcBorders>
            <w:shd w:val="clear" w:color="auto" w:fill="auto"/>
            <w:noWrap/>
            <w:vAlign w:val="center"/>
            <w:hideMark/>
          </w:tcPr>
          <w:p w14:paraId="0CD1E99C" w14:textId="77777777" w:rsidR="00713B8F" w:rsidRPr="00713B8F" w:rsidRDefault="00713B8F" w:rsidP="00713B8F">
            <w:pPr>
              <w:spacing w:after="0" w:line="240" w:lineRule="auto"/>
              <w:jc w:val="right"/>
              <w:rPr>
                <w:rFonts w:cs="Arial"/>
                <w:sz w:val="16"/>
                <w:szCs w:val="16"/>
              </w:rPr>
            </w:pPr>
            <w:r w:rsidRPr="00713B8F">
              <w:rPr>
                <w:rFonts w:cs="Arial"/>
                <w:sz w:val="16"/>
                <w:szCs w:val="16"/>
              </w:rPr>
              <w:t>46,57</w:t>
            </w:r>
          </w:p>
        </w:tc>
        <w:tc>
          <w:tcPr>
            <w:tcW w:w="697" w:type="dxa"/>
            <w:tcBorders>
              <w:top w:val="nil"/>
              <w:left w:val="nil"/>
              <w:bottom w:val="nil"/>
              <w:right w:val="nil"/>
            </w:tcBorders>
            <w:shd w:val="clear" w:color="auto" w:fill="auto"/>
            <w:noWrap/>
            <w:vAlign w:val="center"/>
            <w:hideMark/>
          </w:tcPr>
          <w:p w14:paraId="6BFBC9DB" w14:textId="77777777" w:rsidR="00713B8F" w:rsidRPr="00713B8F" w:rsidRDefault="00713B8F" w:rsidP="00713B8F">
            <w:pPr>
              <w:spacing w:after="0" w:line="240" w:lineRule="auto"/>
              <w:jc w:val="right"/>
              <w:rPr>
                <w:rFonts w:cs="Arial"/>
                <w:sz w:val="16"/>
                <w:szCs w:val="16"/>
              </w:rPr>
            </w:pPr>
            <w:r w:rsidRPr="00713B8F">
              <w:rPr>
                <w:rFonts w:cs="Arial"/>
                <w:sz w:val="16"/>
                <w:szCs w:val="16"/>
              </w:rPr>
              <w:t>40,40</w:t>
            </w:r>
          </w:p>
        </w:tc>
        <w:tc>
          <w:tcPr>
            <w:tcW w:w="697" w:type="dxa"/>
            <w:tcBorders>
              <w:top w:val="nil"/>
              <w:left w:val="nil"/>
              <w:bottom w:val="nil"/>
              <w:right w:val="nil"/>
            </w:tcBorders>
            <w:shd w:val="clear" w:color="auto" w:fill="auto"/>
            <w:noWrap/>
            <w:vAlign w:val="center"/>
            <w:hideMark/>
          </w:tcPr>
          <w:p w14:paraId="357BD2A2" w14:textId="77777777" w:rsidR="00713B8F" w:rsidRPr="00713B8F" w:rsidRDefault="00713B8F" w:rsidP="00713B8F">
            <w:pPr>
              <w:spacing w:after="0" w:line="240" w:lineRule="auto"/>
              <w:jc w:val="right"/>
              <w:rPr>
                <w:rFonts w:cs="Arial"/>
                <w:sz w:val="16"/>
                <w:szCs w:val="16"/>
              </w:rPr>
            </w:pPr>
            <w:r w:rsidRPr="00713B8F">
              <w:rPr>
                <w:rFonts w:cs="Arial"/>
                <w:sz w:val="16"/>
                <w:szCs w:val="16"/>
              </w:rPr>
              <w:t>43,72</w:t>
            </w:r>
          </w:p>
        </w:tc>
        <w:tc>
          <w:tcPr>
            <w:tcW w:w="697" w:type="dxa"/>
            <w:tcBorders>
              <w:top w:val="nil"/>
              <w:left w:val="nil"/>
              <w:bottom w:val="nil"/>
              <w:right w:val="nil"/>
            </w:tcBorders>
            <w:shd w:val="clear" w:color="auto" w:fill="auto"/>
            <w:noWrap/>
            <w:vAlign w:val="center"/>
            <w:hideMark/>
          </w:tcPr>
          <w:p w14:paraId="6A4C53C3" w14:textId="77777777" w:rsidR="00713B8F" w:rsidRPr="00713B8F" w:rsidRDefault="00713B8F" w:rsidP="00713B8F">
            <w:pPr>
              <w:spacing w:after="0" w:line="240" w:lineRule="auto"/>
              <w:jc w:val="right"/>
              <w:rPr>
                <w:rFonts w:cs="Arial"/>
                <w:sz w:val="16"/>
                <w:szCs w:val="16"/>
              </w:rPr>
            </w:pPr>
            <w:r w:rsidRPr="00713B8F">
              <w:rPr>
                <w:rFonts w:cs="Arial"/>
                <w:sz w:val="16"/>
                <w:szCs w:val="16"/>
              </w:rPr>
              <w:t>42,89</w:t>
            </w:r>
          </w:p>
        </w:tc>
        <w:tc>
          <w:tcPr>
            <w:tcW w:w="697" w:type="dxa"/>
            <w:tcBorders>
              <w:top w:val="nil"/>
              <w:left w:val="nil"/>
              <w:bottom w:val="nil"/>
              <w:right w:val="nil"/>
            </w:tcBorders>
            <w:shd w:val="clear" w:color="000000" w:fill="FFFFFF"/>
            <w:noWrap/>
            <w:vAlign w:val="center"/>
            <w:hideMark/>
          </w:tcPr>
          <w:p w14:paraId="0D36418D"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40,82</w:t>
            </w:r>
          </w:p>
        </w:tc>
        <w:tc>
          <w:tcPr>
            <w:tcW w:w="697" w:type="dxa"/>
            <w:gridSpan w:val="2"/>
            <w:tcBorders>
              <w:top w:val="nil"/>
              <w:left w:val="nil"/>
              <w:bottom w:val="nil"/>
              <w:right w:val="nil"/>
            </w:tcBorders>
            <w:shd w:val="clear" w:color="000000" w:fill="FFFFFF"/>
            <w:noWrap/>
            <w:vAlign w:val="center"/>
            <w:hideMark/>
          </w:tcPr>
          <w:p w14:paraId="757D6C4D"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45,24</w:t>
            </w:r>
          </w:p>
        </w:tc>
      </w:tr>
      <w:tr w:rsidR="00713B8F" w:rsidRPr="00713B8F" w14:paraId="4B7B5FD3" w14:textId="77777777" w:rsidTr="00713B8F">
        <w:trPr>
          <w:trHeight w:val="300"/>
        </w:trPr>
        <w:tc>
          <w:tcPr>
            <w:tcW w:w="1985" w:type="dxa"/>
            <w:tcBorders>
              <w:top w:val="nil"/>
              <w:left w:val="nil"/>
              <w:bottom w:val="nil"/>
              <w:right w:val="nil"/>
            </w:tcBorders>
            <w:shd w:val="clear" w:color="auto" w:fill="auto"/>
            <w:noWrap/>
            <w:vAlign w:val="center"/>
            <w:hideMark/>
          </w:tcPr>
          <w:p w14:paraId="02033171"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Jihomoravský kraj</w:t>
            </w:r>
          </w:p>
        </w:tc>
        <w:tc>
          <w:tcPr>
            <w:tcW w:w="697" w:type="dxa"/>
            <w:tcBorders>
              <w:top w:val="nil"/>
              <w:left w:val="nil"/>
              <w:bottom w:val="nil"/>
              <w:right w:val="nil"/>
            </w:tcBorders>
            <w:shd w:val="clear" w:color="auto" w:fill="auto"/>
            <w:noWrap/>
            <w:vAlign w:val="center"/>
            <w:hideMark/>
          </w:tcPr>
          <w:p w14:paraId="5BAD680D" w14:textId="77777777" w:rsidR="00713B8F" w:rsidRPr="00713B8F" w:rsidRDefault="00713B8F" w:rsidP="00713B8F">
            <w:pPr>
              <w:spacing w:after="0" w:line="240" w:lineRule="auto"/>
              <w:jc w:val="right"/>
              <w:rPr>
                <w:rFonts w:cs="Arial"/>
                <w:sz w:val="16"/>
                <w:szCs w:val="16"/>
              </w:rPr>
            </w:pPr>
            <w:r w:rsidRPr="00713B8F">
              <w:rPr>
                <w:rFonts w:cs="Arial"/>
                <w:sz w:val="16"/>
                <w:szCs w:val="16"/>
              </w:rPr>
              <w:t>46,57</w:t>
            </w:r>
          </w:p>
        </w:tc>
        <w:tc>
          <w:tcPr>
            <w:tcW w:w="697" w:type="dxa"/>
            <w:tcBorders>
              <w:top w:val="nil"/>
              <w:left w:val="nil"/>
              <w:bottom w:val="nil"/>
              <w:right w:val="nil"/>
            </w:tcBorders>
            <w:shd w:val="clear" w:color="auto" w:fill="auto"/>
            <w:noWrap/>
            <w:vAlign w:val="center"/>
            <w:hideMark/>
          </w:tcPr>
          <w:p w14:paraId="267D91DE" w14:textId="77777777" w:rsidR="00713B8F" w:rsidRPr="00713B8F" w:rsidRDefault="00713B8F" w:rsidP="00713B8F">
            <w:pPr>
              <w:spacing w:after="0" w:line="240" w:lineRule="auto"/>
              <w:jc w:val="right"/>
              <w:rPr>
                <w:rFonts w:cs="Arial"/>
                <w:sz w:val="16"/>
                <w:szCs w:val="16"/>
              </w:rPr>
            </w:pPr>
            <w:r w:rsidRPr="00713B8F">
              <w:rPr>
                <w:rFonts w:cs="Arial"/>
                <w:sz w:val="16"/>
                <w:szCs w:val="16"/>
              </w:rPr>
              <w:t>47,45</w:t>
            </w:r>
          </w:p>
        </w:tc>
        <w:tc>
          <w:tcPr>
            <w:tcW w:w="697" w:type="dxa"/>
            <w:tcBorders>
              <w:top w:val="nil"/>
              <w:left w:val="nil"/>
              <w:bottom w:val="nil"/>
              <w:right w:val="nil"/>
            </w:tcBorders>
            <w:shd w:val="clear" w:color="auto" w:fill="auto"/>
            <w:noWrap/>
            <w:vAlign w:val="center"/>
            <w:hideMark/>
          </w:tcPr>
          <w:p w14:paraId="3A51AEA4" w14:textId="77777777" w:rsidR="00713B8F" w:rsidRPr="00713B8F" w:rsidRDefault="00713B8F" w:rsidP="00713B8F">
            <w:pPr>
              <w:spacing w:after="0" w:line="240" w:lineRule="auto"/>
              <w:jc w:val="right"/>
              <w:rPr>
                <w:rFonts w:cs="Arial"/>
                <w:sz w:val="16"/>
                <w:szCs w:val="16"/>
              </w:rPr>
            </w:pPr>
            <w:r w:rsidRPr="00713B8F">
              <w:rPr>
                <w:rFonts w:cs="Arial"/>
                <w:sz w:val="16"/>
                <w:szCs w:val="16"/>
              </w:rPr>
              <w:t>45,42</w:t>
            </w:r>
          </w:p>
        </w:tc>
        <w:tc>
          <w:tcPr>
            <w:tcW w:w="697" w:type="dxa"/>
            <w:tcBorders>
              <w:top w:val="nil"/>
              <w:left w:val="nil"/>
              <w:bottom w:val="nil"/>
              <w:right w:val="nil"/>
            </w:tcBorders>
            <w:shd w:val="clear" w:color="auto" w:fill="auto"/>
            <w:noWrap/>
            <w:vAlign w:val="center"/>
            <w:hideMark/>
          </w:tcPr>
          <w:p w14:paraId="6AA59DDF" w14:textId="77777777" w:rsidR="00713B8F" w:rsidRPr="00713B8F" w:rsidRDefault="00713B8F" w:rsidP="00713B8F">
            <w:pPr>
              <w:spacing w:after="0" w:line="240" w:lineRule="auto"/>
              <w:jc w:val="right"/>
              <w:rPr>
                <w:rFonts w:cs="Arial"/>
                <w:sz w:val="16"/>
                <w:szCs w:val="16"/>
              </w:rPr>
            </w:pPr>
            <w:r w:rsidRPr="00713B8F">
              <w:rPr>
                <w:rFonts w:cs="Arial"/>
                <w:sz w:val="16"/>
                <w:szCs w:val="16"/>
              </w:rPr>
              <w:t>49,57</w:t>
            </w:r>
          </w:p>
        </w:tc>
        <w:tc>
          <w:tcPr>
            <w:tcW w:w="697" w:type="dxa"/>
            <w:tcBorders>
              <w:top w:val="nil"/>
              <w:left w:val="nil"/>
              <w:bottom w:val="nil"/>
              <w:right w:val="nil"/>
            </w:tcBorders>
            <w:shd w:val="clear" w:color="auto" w:fill="auto"/>
            <w:noWrap/>
            <w:vAlign w:val="center"/>
            <w:hideMark/>
          </w:tcPr>
          <w:p w14:paraId="6EA65B1C" w14:textId="77777777" w:rsidR="00713B8F" w:rsidRPr="00713B8F" w:rsidRDefault="00713B8F" w:rsidP="00713B8F">
            <w:pPr>
              <w:spacing w:after="0" w:line="240" w:lineRule="auto"/>
              <w:jc w:val="right"/>
              <w:rPr>
                <w:rFonts w:cs="Arial"/>
                <w:sz w:val="16"/>
                <w:szCs w:val="16"/>
              </w:rPr>
            </w:pPr>
            <w:r w:rsidRPr="00713B8F">
              <w:rPr>
                <w:rFonts w:cs="Arial"/>
                <w:sz w:val="16"/>
                <w:szCs w:val="16"/>
              </w:rPr>
              <w:t>43,54</w:t>
            </w:r>
          </w:p>
        </w:tc>
        <w:tc>
          <w:tcPr>
            <w:tcW w:w="697" w:type="dxa"/>
            <w:tcBorders>
              <w:top w:val="nil"/>
              <w:left w:val="nil"/>
              <w:bottom w:val="nil"/>
              <w:right w:val="nil"/>
            </w:tcBorders>
            <w:shd w:val="clear" w:color="auto" w:fill="auto"/>
            <w:noWrap/>
            <w:vAlign w:val="center"/>
            <w:hideMark/>
          </w:tcPr>
          <w:p w14:paraId="7F023EF9" w14:textId="77777777" w:rsidR="00713B8F" w:rsidRPr="00713B8F" w:rsidRDefault="00713B8F" w:rsidP="00713B8F">
            <w:pPr>
              <w:spacing w:after="0" w:line="240" w:lineRule="auto"/>
              <w:jc w:val="right"/>
              <w:rPr>
                <w:rFonts w:cs="Arial"/>
                <w:sz w:val="16"/>
                <w:szCs w:val="16"/>
              </w:rPr>
            </w:pPr>
            <w:r w:rsidRPr="00713B8F">
              <w:rPr>
                <w:rFonts w:cs="Arial"/>
                <w:sz w:val="16"/>
                <w:szCs w:val="16"/>
              </w:rPr>
              <w:t>47,24</w:t>
            </w:r>
          </w:p>
        </w:tc>
        <w:tc>
          <w:tcPr>
            <w:tcW w:w="697" w:type="dxa"/>
            <w:tcBorders>
              <w:top w:val="nil"/>
              <w:left w:val="nil"/>
              <w:bottom w:val="nil"/>
              <w:right w:val="nil"/>
            </w:tcBorders>
            <w:shd w:val="clear" w:color="auto" w:fill="auto"/>
            <w:noWrap/>
            <w:vAlign w:val="center"/>
            <w:hideMark/>
          </w:tcPr>
          <w:p w14:paraId="1436D5C3" w14:textId="77777777" w:rsidR="00713B8F" w:rsidRPr="00713B8F" w:rsidRDefault="00713B8F" w:rsidP="00713B8F">
            <w:pPr>
              <w:spacing w:after="0" w:line="240" w:lineRule="auto"/>
              <w:jc w:val="right"/>
              <w:rPr>
                <w:rFonts w:cs="Arial"/>
                <w:sz w:val="16"/>
                <w:szCs w:val="16"/>
              </w:rPr>
            </w:pPr>
            <w:r w:rsidRPr="00713B8F">
              <w:rPr>
                <w:rFonts w:cs="Arial"/>
                <w:sz w:val="16"/>
                <w:szCs w:val="16"/>
              </w:rPr>
              <w:t>41,39</w:t>
            </w:r>
          </w:p>
        </w:tc>
        <w:tc>
          <w:tcPr>
            <w:tcW w:w="697" w:type="dxa"/>
            <w:tcBorders>
              <w:top w:val="nil"/>
              <w:left w:val="nil"/>
              <w:bottom w:val="nil"/>
              <w:right w:val="nil"/>
            </w:tcBorders>
            <w:shd w:val="clear" w:color="auto" w:fill="auto"/>
            <w:noWrap/>
            <w:vAlign w:val="center"/>
            <w:hideMark/>
          </w:tcPr>
          <w:p w14:paraId="16B364B2" w14:textId="77777777" w:rsidR="00713B8F" w:rsidRPr="00713B8F" w:rsidRDefault="00713B8F" w:rsidP="00713B8F">
            <w:pPr>
              <w:spacing w:after="0" w:line="240" w:lineRule="auto"/>
              <w:jc w:val="right"/>
              <w:rPr>
                <w:rFonts w:cs="Arial"/>
                <w:sz w:val="16"/>
                <w:szCs w:val="16"/>
              </w:rPr>
            </w:pPr>
            <w:r w:rsidRPr="00713B8F">
              <w:rPr>
                <w:rFonts w:cs="Arial"/>
                <w:sz w:val="16"/>
                <w:szCs w:val="16"/>
              </w:rPr>
              <w:t>44,30</w:t>
            </w:r>
          </w:p>
        </w:tc>
        <w:tc>
          <w:tcPr>
            <w:tcW w:w="697" w:type="dxa"/>
            <w:tcBorders>
              <w:top w:val="nil"/>
              <w:left w:val="nil"/>
              <w:bottom w:val="nil"/>
              <w:right w:val="nil"/>
            </w:tcBorders>
            <w:shd w:val="clear" w:color="auto" w:fill="auto"/>
            <w:noWrap/>
            <w:vAlign w:val="center"/>
            <w:hideMark/>
          </w:tcPr>
          <w:p w14:paraId="7B2AC5BF" w14:textId="77777777" w:rsidR="00713B8F" w:rsidRPr="00713B8F" w:rsidRDefault="00713B8F" w:rsidP="00713B8F">
            <w:pPr>
              <w:spacing w:after="0" w:line="240" w:lineRule="auto"/>
              <w:jc w:val="right"/>
              <w:rPr>
                <w:rFonts w:cs="Arial"/>
                <w:sz w:val="16"/>
                <w:szCs w:val="16"/>
              </w:rPr>
            </w:pPr>
            <w:r w:rsidRPr="00713B8F">
              <w:rPr>
                <w:rFonts w:cs="Arial"/>
                <w:sz w:val="16"/>
                <w:szCs w:val="16"/>
              </w:rPr>
              <w:t>41,96</w:t>
            </w:r>
          </w:p>
        </w:tc>
        <w:tc>
          <w:tcPr>
            <w:tcW w:w="697" w:type="dxa"/>
            <w:tcBorders>
              <w:top w:val="nil"/>
              <w:left w:val="nil"/>
              <w:bottom w:val="nil"/>
              <w:right w:val="nil"/>
            </w:tcBorders>
            <w:shd w:val="clear" w:color="000000" w:fill="FFFFFF"/>
            <w:noWrap/>
            <w:vAlign w:val="center"/>
            <w:hideMark/>
          </w:tcPr>
          <w:p w14:paraId="32F11C5C"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39,95</w:t>
            </w:r>
          </w:p>
        </w:tc>
        <w:tc>
          <w:tcPr>
            <w:tcW w:w="697" w:type="dxa"/>
            <w:gridSpan w:val="2"/>
            <w:tcBorders>
              <w:top w:val="nil"/>
              <w:left w:val="nil"/>
              <w:bottom w:val="nil"/>
              <w:right w:val="nil"/>
            </w:tcBorders>
            <w:shd w:val="clear" w:color="000000" w:fill="FFFFFF"/>
            <w:noWrap/>
            <w:vAlign w:val="center"/>
            <w:hideMark/>
          </w:tcPr>
          <w:p w14:paraId="66D9C585"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43,98</w:t>
            </w:r>
          </w:p>
        </w:tc>
      </w:tr>
      <w:tr w:rsidR="00713B8F" w:rsidRPr="00713B8F" w14:paraId="73525D3A" w14:textId="77777777" w:rsidTr="00713B8F">
        <w:trPr>
          <w:trHeight w:val="300"/>
        </w:trPr>
        <w:tc>
          <w:tcPr>
            <w:tcW w:w="1985" w:type="dxa"/>
            <w:tcBorders>
              <w:top w:val="nil"/>
              <w:left w:val="nil"/>
              <w:bottom w:val="nil"/>
              <w:right w:val="nil"/>
            </w:tcBorders>
            <w:shd w:val="clear" w:color="auto" w:fill="auto"/>
            <w:noWrap/>
            <w:vAlign w:val="center"/>
            <w:hideMark/>
          </w:tcPr>
          <w:p w14:paraId="5717F9B1"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Olomoucký kraj</w:t>
            </w:r>
          </w:p>
        </w:tc>
        <w:tc>
          <w:tcPr>
            <w:tcW w:w="697" w:type="dxa"/>
            <w:tcBorders>
              <w:top w:val="nil"/>
              <w:left w:val="nil"/>
              <w:bottom w:val="nil"/>
              <w:right w:val="nil"/>
            </w:tcBorders>
            <w:shd w:val="clear" w:color="auto" w:fill="auto"/>
            <w:noWrap/>
            <w:vAlign w:val="center"/>
            <w:hideMark/>
          </w:tcPr>
          <w:p w14:paraId="2EBD1B6E" w14:textId="77777777" w:rsidR="00713B8F" w:rsidRPr="00713B8F" w:rsidRDefault="00713B8F" w:rsidP="00713B8F">
            <w:pPr>
              <w:spacing w:after="0" w:line="240" w:lineRule="auto"/>
              <w:jc w:val="right"/>
              <w:rPr>
                <w:rFonts w:cs="Arial"/>
                <w:sz w:val="16"/>
                <w:szCs w:val="16"/>
              </w:rPr>
            </w:pPr>
            <w:r w:rsidRPr="00713B8F">
              <w:rPr>
                <w:rFonts w:cs="Arial"/>
                <w:sz w:val="16"/>
                <w:szCs w:val="16"/>
              </w:rPr>
              <w:t>52,07</w:t>
            </w:r>
          </w:p>
        </w:tc>
        <w:tc>
          <w:tcPr>
            <w:tcW w:w="697" w:type="dxa"/>
            <w:tcBorders>
              <w:top w:val="nil"/>
              <w:left w:val="nil"/>
              <w:bottom w:val="nil"/>
              <w:right w:val="nil"/>
            </w:tcBorders>
            <w:shd w:val="clear" w:color="auto" w:fill="auto"/>
            <w:noWrap/>
            <w:vAlign w:val="center"/>
            <w:hideMark/>
          </w:tcPr>
          <w:p w14:paraId="27D21032" w14:textId="77777777" w:rsidR="00713B8F" w:rsidRPr="00713B8F" w:rsidRDefault="00713B8F" w:rsidP="00713B8F">
            <w:pPr>
              <w:spacing w:after="0" w:line="240" w:lineRule="auto"/>
              <w:jc w:val="right"/>
              <w:rPr>
                <w:rFonts w:cs="Arial"/>
                <w:sz w:val="16"/>
                <w:szCs w:val="16"/>
              </w:rPr>
            </w:pPr>
            <w:r w:rsidRPr="00713B8F">
              <w:rPr>
                <w:rFonts w:cs="Arial"/>
                <w:sz w:val="16"/>
                <w:szCs w:val="16"/>
              </w:rPr>
              <w:t>50,16</w:t>
            </w:r>
          </w:p>
        </w:tc>
        <w:tc>
          <w:tcPr>
            <w:tcW w:w="697" w:type="dxa"/>
            <w:tcBorders>
              <w:top w:val="nil"/>
              <w:left w:val="nil"/>
              <w:bottom w:val="nil"/>
              <w:right w:val="nil"/>
            </w:tcBorders>
            <w:shd w:val="clear" w:color="auto" w:fill="auto"/>
            <w:noWrap/>
            <w:vAlign w:val="center"/>
            <w:hideMark/>
          </w:tcPr>
          <w:p w14:paraId="40C421B6" w14:textId="77777777" w:rsidR="00713B8F" w:rsidRPr="00713B8F" w:rsidRDefault="00713B8F" w:rsidP="00713B8F">
            <w:pPr>
              <w:spacing w:after="0" w:line="240" w:lineRule="auto"/>
              <w:jc w:val="right"/>
              <w:rPr>
                <w:rFonts w:cs="Arial"/>
                <w:sz w:val="16"/>
                <w:szCs w:val="16"/>
              </w:rPr>
            </w:pPr>
            <w:r w:rsidRPr="00713B8F">
              <w:rPr>
                <w:rFonts w:cs="Arial"/>
                <w:sz w:val="16"/>
                <w:szCs w:val="16"/>
              </w:rPr>
              <w:t>50,52</w:t>
            </w:r>
          </w:p>
        </w:tc>
        <w:tc>
          <w:tcPr>
            <w:tcW w:w="697" w:type="dxa"/>
            <w:tcBorders>
              <w:top w:val="nil"/>
              <w:left w:val="nil"/>
              <w:bottom w:val="nil"/>
              <w:right w:val="nil"/>
            </w:tcBorders>
            <w:shd w:val="clear" w:color="auto" w:fill="auto"/>
            <w:noWrap/>
            <w:vAlign w:val="center"/>
            <w:hideMark/>
          </w:tcPr>
          <w:p w14:paraId="3F4E0AE6" w14:textId="77777777" w:rsidR="00713B8F" w:rsidRPr="00713B8F" w:rsidRDefault="00713B8F" w:rsidP="00713B8F">
            <w:pPr>
              <w:spacing w:after="0" w:line="240" w:lineRule="auto"/>
              <w:jc w:val="right"/>
              <w:rPr>
                <w:rFonts w:cs="Arial"/>
                <w:sz w:val="16"/>
                <w:szCs w:val="16"/>
              </w:rPr>
            </w:pPr>
            <w:r w:rsidRPr="00713B8F">
              <w:rPr>
                <w:rFonts w:cs="Arial"/>
                <w:sz w:val="16"/>
                <w:szCs w:val="16"/>
              </w:rPr>
              <w:t>54,53</w:t>
            </w:r>
          </w:p>
        </w:tc>
        <w:tc>
          <w:tcPr>
            <w:tcW w:w="697" w:type="dxa"/>
            <w:tcBorders>
              <w:top w:val="nil"/>
              <w:left w:val="nil"/>
              <w:bottom w:val="nil"/>
              <w:right w:val="nil"/>
            </w:tcBorders>
            <w:shd w:val="clear" w:color="auto" w:fill="auto"/>
            <w:noWrap/>
            <w:vAlign w:val="center"/>
            <w:hideMark/>
          </w:tcPr>
          <w:p w14:paraId="3004F3D8" w14:textId="77777777" w:rsidR="00713B8F" w:rsidRPr="00713B8F" w:rsidRDefault="00713B8F" w:rsidP="00713B8F">
            <w:pPr>
              <w:spacing w:after="0" w:line="240" w:lineRule="auto"/>
              <w:jc w:val="right"/>
              <w:rPr>
                <w:rFonts w:cs="Arial"/>
                <w:sz w:val="16"/>
                <w:szCs w:val="16"/>
              </w:rPr>
            </w:pPr>
            <w:r w:rsidRPr="00713B8F">
              <w:rPr>
                <w:rFonts w:cs="Arial"/>
                <w:sz w:val="16"/>
                <w:szCs w:val="16"/>
              </w:rPr>
              <w:t>48,03</w:t>
            </w:r>
          </w:p>
        </w:tc>
        <w:tc>
          <w:tcPr>
            <w:tcW w:w="697" w:type="dxa"/>
            <w:tcBorders>
              <w:top w:val="nil"/>
              <w:left w:val="nil"/>
              <w:bottom w:val="nil"/>
              <w:right w:val="nil"/>
            </w:tcBorders>
            <w:shd w:val="clear" w:color="auto" w:fill="auto"/>
            <w:noWrap/>
            <w:vAlign w:val="center"/>
            <w:hideMark/>
          </w:tcPr>
          <w:p w14:paraId="490B7A96" w14:textId="77777777" w:rsidR="00713B8F" w:rsidRPr="00713B8F" w:rsidRDefault="00713B8F" w:rsidP="00713B8F">
            <w:pPr>
              <w:spacing w:after="0" w:line="240" w:lineRule="auto"/>
              <w:jc w:val="right"/>
              <w:rPr>
                <w:rFonts w:cs="Arial"/>
                <w:sz w:val="16"/>
                <w:szCs w:val="16"/>
              </w:rPr>
            </w:pPr>
            <w:r w:rsidRPr="00713B8F">
              <w:rPr>
                <w:rFonts w:cs="Arial"/>
                <w:sz w:val="16"/>
                <w:szCs w:val="16"/>
              </w:rPr>
              <w:t>54,83</w:t>
            </w:r>
          </w:p>
        </w:tc>
        <w:tc>
          <w:tcPr>
            <w:tcW w:w="697" w:type="dxa"/>
            <w:tcBorders>
              <w:top w:val="nil"/>
              <w:left w:val="nil"/>
              <w:bottom w:val="nil"/>
              <w:right w:val="nil"/>
            </w:tcBorders>
            <w:shd w:val="clear" w:color="auto" w:fill="auto"/>
            <w:noWrap/>
            <w:vAlign w:val="center"/>
            <w:hideMark/>
          </w:tcPr>
          <w:p w14:paraId="586AB384" w14:textId="77777777" w:rsidR="00713B8F" w:rsidRPr="00713B8F" w:rsidRDefault="00713B8F" w:rsidP="00713B8F">
            <w:pPr>
              <w:spacing w:after="0" w:line="240" w:lineRule="auto"/>
              <w:jc w:val="right"/>
              <w:rPr>
                <w:rFonts w:cs="Arial"/>
                <w:sz w:val="16"/>
                <w:szCs w:val="16"/>
              </w:rPr>
            </w:pPr>
            <w:r w:rsidRPr="00713B8F">
              <w:rPr>
                <w:rFonts w:cs="Arial"/>
                <w:sz w:val="16"/>
                <w:szCs w:val="16"/>
              </w:rPr>
              <w:t>44,02</w:t>
            </w:r>
          </w:p>
        </w:tc>
        <w:tc>
          <w:tcPr>
            <w:tcW w:w="697" w:type="dxa"/>
            <w:tcBorders>
              <w:top w:val="nil"/>
              <w:left w:val="nil"/>
              <w:bottom w:val="nil"/>
              <w:right w:val="nil"/>
            </w:tcBorders>
            <w:shd w:val="clear" w:color="auto" w:fill="auto"/>
            <w:noWrap/>
            <w:vAlign w:val="center"/>
            <w:hideMark/>
          </w:tcPr>
          <w:p w14:paraId="1075C5CB" w14:textId="77777777" w:rsidR="00713B8F" w:rsidRPr="00713B8F" w:rsidRDefault="00713B8F" w:rsidP="00713B8F">
            <w:pPr>
              <w:spacing w:after="0" w:line="240" w:lineRule="auto"/>
              <w:jc w:val="right"/>
              <w:rPr>
                <w:rFonts w:cs="Arial"/>
                <w:sz w:val="16"/>
                <w:szCs w:val="16"/>
              </w:rPr>
            </w:pPr>
            <w:r w:rsidRPr="00713B8F">
              <w:rPr>
                <w:rFonts w:cs="Arial"/>
                <w:sz w:val="16"/>
                <w:szCs w:val="16"/>
              </w:rPr>
              <w:t>47,04</w:t>
            </w:r>
          </w:p>
        </w:tc>
        <w:tc>
          <w:tcPr>
            <w:tcW w:w="697" w:type="dxa"/>
            <w:tcBorders>
              <w:top w:val="nil"/>
              <w:left w:val="nil"/>
              <w:bottom w:val="nil"/>
              <w:right w:val="nil"/>
            </w:tcBorders>
            <w:shd w:val="clear" w:color="auto" w:fill="auto"/>
            <w:noWrap/>
            <w:vAlign w:val="center"/>
            <w:hideMark/>
          </w:tcPr>
          <w:p w14:paraId="1131B35F" w14:textId="77777777" w:rsidR="00713B8F" w:rsidRPr="00713B8F" w:rsidRDefault="00713B8F" w:rsidP="00713B8F">
            <w:pPr>
              <w:spacing w:after="0" w:line="240" w:lineRule="auto"/>
              <w:jc w:val="right"/>
              <w:rPr>
                <w:rFonts w:cs="Arial"/>
                <w:sz w:val="16"/>
                <w:szCs w:val="16"/>
              </w:rPr>
            </w:pPr>
            <w:r w:rsidRPr="00713B8F">
              <w:rPr>
                <w:rFonts w:cs="Arial"/>
                <w:sz w:val="16"/>
                <w:szCs w:val="16"/>
              </w:rPr>
              <w:t>44,99</w:t>
            </w:r>
          </w:p>
        </w:tc>
        <w:tc>
          <w:tcPr>
            <w:tcW w:w="697" w:type="dxa"/>
            <w:tcBorders>
              <w:top w:val="nil"/>
              <w:left w:val="nil"/>
              <w:bottom w:val="nil"/>
              <w:right w:val="nil"/>
            </w:tcBorders>
            <w:shd w:val="clear" w:color="000000" w:fill="FFFFFF"/>
            <w:noWrap/>
            <w:vAlign w:val="center"/>
            <w:hideMark/>
          </w:tcPr>
          <w:p w14:paraId="3ABB06F3"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42,67</w:t>
            </w:r>
          </w:p>
        </w:tc>
        <w:tc>
          <w:tcPr>
            <w:tcW w:w="697" w:type="dxa"/>
            <w:gridSpan w:val="2"/>
            <w:tcBorders>
              <w:top w:val="nil"/>
              <w:left w:val="nil"/>
              <w:bottom w:val="nil"/>
              <w:right w:val="nil"/>
            </w:tcBorders>
            <w:shd w:val="clear" w:color="000000" w:fill="FFFFFF"/>
            <w:noWrap/>
            <w:vAlign w:val="center"/>
            <w:hideMark/>
          </w:tcPr>
          <w:p w14:paraId="34065E09"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46,33</w:t>
            </w:r>
          </w:p>
        </w:tc>
      </w:tr>
      <w:tr w:rsidR="00713B8F" w:rsidRPr="00713B8F" w14:paraId="0DD859E3" w14:textId="77777777" w:rsidTr="00713B8F">
        <w:trPr>
          <w:trHeight w:val="300"/>
        </w:trPr>
        <w:tc>
          <w:tcPr>
            <w:tcW w:w="1985" w:type="dxa"/>
            <w:tcBorders>
              <w:top w:val="nil"/>
              <w:left w:val="nil"/>
              <w:bottom w:val="nil"/>
              <w:right w:val="nil"/>
            </w:tcBorders>
            <w:shd w:val="clear" w:color="auto" w:fill="auto"/>
            <w:noWrap/>
            <w:vAlign w:val="center"/>
            <w:hideMark/>
          </w:tcPr>
          <w:p w14:paraId="39CF71BB"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Zlínský kraj</w:t>
            </w:r>
          </w:p>
        </w:tc>
        <w:tc>
          <w:tcPr>
            <w:tcW w:w="697" w:type="dxa"/>
            <w:tcBorders>
              <w:top w:val="nil"/>
              <w:left w:val="nil"/>
              <w:bottom w:val="nil"/>
              <w:right w:val="nil"/>
            </w:tcBorders>
            <w:shd w:val="clear" w:color="auto" w:fill="auto"/>
            <w:noWrap/>
            <w:vAlign w:val="center"/>
            <w:hideMark/>
          </w:tcPr>
          <w:p w14:paraId="63E2F42B" w14:textId="77777777" w:rsidR="00713B8F" w:rsidRPr="00713B8F" w:rsidRDefault="00713B8F" w:rsidP="00713B8F">
            <w:pPr>
              <w:spacing w:after="0" w:line="240" w:lineRule="auto"/>
              <w:jc w:val="right"/>
              <w:rPr>
                <w:rFonts w:cs="Arial"/>
                <w:sz w:val="16"/>
                <w:szCs w:val="16"/>
              </w:rPr>
            </w:pPr>
            <w:r w:rsidRPr="00713B8F">
              <w:rPr>
                <w:rFonts w:cs="Arial"/>
                <w:sz w:val="16"/>
                <w:szCs w:val="16"/>
              </w:rPr>
              <w:t>57,32</w:t>
            </w:r>
          </w:p>
        </w:tc>
        <w:tc>
          <w:tcPr>
            <w:tcW w:w="697" w:type="dxa"/>
            <w:tcBorders>
              <w:top w:val="nil"/>
              <w:left w:val="nil"/>
              <w:bottom w:val="nil"/>
              <w:right w:val="nil"/>
            </w:tcBorders>
            <w:shd w:val="clear" w:color="auto" w:fill="auto"/>
            <w:noWrap/>
            <w:vAlign w:val="center"/>
            <w:hideMark/>
          </w:tcPr>
          <w:p w14:paraId="14BE01BF" w14:textId="77777777" w:rsidR="00713B8F" w:rsidRPr="00713B8F" w:rsidRDefault="00713B8F" w:rsidP="00713B8F">
            <w:pPr>
              <w:spacing w:after="0" w:line="240" w:lineRule="auto"/>
              <w:jc w:val="right"/>
              <w:rPr>
                <w:rFonts w:cs="Arial"/>
                <w:sz w:val="16"/>
                <w:szCs w:val="16"/>
              </w:rPr>
            </w:pPr>
            <w:r w:rsidRPr="00713B8F">
              <w:rPr>
                <w:rFonts w:cs="Arial"/>
                <w:sz w:val="16"/>
                <w:szCs w:val="16"/>
              </w:rPr>
              <w:t>55,88</w:t>
            </w:r>
          </w:p>
        </w:tc>
        <w:tc>
          <w:tcPr>
            <w:tcW w:w="697" w:type="dxa"/>
            <w:tcBorders>
              <w:top w:val="nil"/>
              <w:left w:val="nil"/>
              <w:bottom w:val="nil"/>
              <w:right w:val="nil"/>
            </w:tcBorders>
            <w:shd w:val="clear" w:color="auto" w:fill="auto"/>
            <w:noWrap/>
            <w:vAlign w:val="center"/>
            <w:hideMark/>
          </w:tcPr>
          <w:p w14:paraId="5855B3FB" w14:textId="77777777" w:rsidR="00713B8F" w:rsidRPr="00713B8F" w:rsidRDefault="00713B8F" w:rsidP="00713B8F">
            <w:pPr>
              <w:spacing w:after="0" w:line="240" w:lineRule="auto"/>
              <w:jc w:val="right"/>
              <w:rPr>
                <w:rFonts w:cs="Arial"/>
                <w:sz w:val="16"/>
                <w:szCs w:val="16"/>
              </w:rPr>
            </w:pPr>
            <w:r w:rsidRPr="00713B8F">
              <w:rPr>
                <w:rFonts w:cs="Arial"/>
                <w:sz w:val="16"/>
                <w:szCs w:val="16"/>
              </w:rPr>
              <w:t>55,54</w:t>
            </w:r>
          </w:p>
        </w:tc>
        <w:tc>
          <w:tcPr>
            <w:tcW w:w="697" w:type="dxa"/>
            <w:tcBorders>
              <w:top w:val="nil"/>
              <w:left w:val="nil"/>
              <w:bottom w:val="nil"/>
              <w:right w:val="nil"/>
            </w:tcBorders>
            <w:shd w:val="clear" w:color="auto" w:fill="auto"/>
            <w:noWrap/>
            <w:vAlign w:val="center"/>
            <w:hideMark/>
          </w:tcPr>
          <w:p w14:paraId="6AE69BD7" w14:textId="77777777" w:rsidR="00713B8F" w:rsidRPr="00713B8F" w:rsidRDefault="00713B8F" w:rsidP="00713B8F">
            <w:pPr>
              <w:spacing w:after="0" w:line="240" w:lineRule="auto"/>
              <w:jc w:val="right"/>
              <w:rPr>
                <w:rFonts w:cs="Arial"/>
                <w:sz w:val="16"/>
                <w:szCs w:val="16"/>
              </w:rPr>
            </w:pPr>
            <w:r w:rsidRPr="00713B8F">
              <w:rPr>
                <w:rFonts w:cs="Arial"/>
                <w:sz w:val="16"/>
                <w:szCs w:val="16"/>
              </w:rPr>
              <w:t>56,11</w:t>
            </w:r>
          </w:p>
        </w:tc>
        <w:tc>
          <w:tcPr>
            <w:tcW w:w="697" w:type="dxa"/>
            <w:tcBorders>
              <w:top w:val="nil"/>
              <w:left w:val="nil"/>
              <w:bottom w:val="nil"/>
              <w:right w:val="nil"/>
            </w:tcBorders>
            <w:shd w:val="clear" w:color="auto" w:fill="auto"/>
            <w:noWrap/>
            <w:vAlign w:val="center"/>
            <w:hideMark/>
          </w:tcPr>
          <w:p w14:paraId="2BF58A62" w14:textId="77777777" w:rsidR="00713B8F" w:rsidRPr="00713B8F" w:rsidRDefault="00713B8F" w:rsidP="00713B8F">
            <w:pPr>
              <w:spacing w:after="0" w:line="240" w:lineRule="auto"/>
              <w:jc w:val="right"/>
              <w:rPr>
                <w:rFonts w:cs="Arial"/>
                <w:sz w:val="16"/>
                <w:szCs w:val="16"/>
              </w:rPr>
            </w:pPr>
            <w:r w:rsidRPr="00713B8F">
              <w:rPr>
                <w:rFonts w:cs="Arial"/>
                <w:sz w:val="16"/>
                <w:szCs w:val="16"/>
              </w:rPr>
              <w:t>51,43</w:t>
            </w:r>
          </w:p>
        </w:tc>
        <w:tc>
          <w:tcPr>
            <w:tcW w:w="697" w:type="dxa"/>
            <w:tcBorders>
              <w:top w:val="nil"/>
              <w:left w:val="nil"/>
              <w:bottom w:val="nil"/>
              <w:right w:val="nil"/>
            </w:tcBorders>
            <w:shd w:val="clear" w:color="auto" w:fill="auto"/>
            <w:noWrap/>
            <w:vAlign w:val="center"/>
            <w:hideMark/>
          </w:tcPr>
          <w:p w14:paraId="05CA8E13" w14:textId="77777777" w:rsidR="00713B8F" w:rsidRPr="00713B8F" w:rsidRDefault="00713B8F" w:rsidP="00713B8F">
            <w:pPr>
              <w:spacing w:after="0" w:line="240" w:lineRule="auto"/>
              <w:jc w:val="right"/>
              <w:rPr>
                <w:rFonts w:cs="Arial"/>
                <w:sz w:val="16"/>
                <w:szCs w:val="16"/>
              </w:rPr>
            </w:pPr>
            <w:r w:rsidRPr="00713B8F">
              <w:rPr>
                <w:rFonts w:cs="Arial"/>
                <w:sz w:val="16"/>
                <w:szCs w:val="16"/>
              </w:rPr>
              <w:t>56,36</w:t>
            </w:r>
          </w:p>
        </w:tc>
        <w:tc>
          <w:tcPr>
            <w:tcW w:w="697" w:type="dxa"/>
            <w:tcBorders>
              <w:top w:val="nil"/>
              <w:left w:val="nil"/>
              <w:bottom w:val="nil"/>
              <w:right w:val="nil"/>
            </w:tcBorders>
            <w:shd w:val="clear" w:color="auto" w:fill="auto"/>
            <w:noWrap/>
            <w:vAlign w:val="center"/>
            <w:hideMark/>
          </w:tcPr>
          <w:p w14:paraId="46B9126B" w14:textId="77777777" w:rsidR="00713B8F" w:rsidRPr="00713B8F" w:rsidRDefault="00713B8F" w:rsidP="00713B8F">
            <w:pPr>
              <w:spacing w:after="0" w:line="240" w:lineRule="auto"/>
              <w:jc w:val="right"/>
              <w:rPr>
                <w:rFonts w:cs="Arial"/>
                <w:sz w:val="16"/>
                <w:szCs w:val="16"/>
              </w:rPr>
            </w:pPr>
            <w:r w:rsidRPr="00713B8F">
              <w:rPr>
                <w:rFonts w:cs="Arial"/>
                <w:sz w:val="16"/>
                <w:szCs w:val="16"/>
              </w:rPr>
              <w:t>47,01</w:t>
            </w:r>
          </w:p>
        </w:tc>
        <w:tc>
          <w:tcPr>
            <w:tcW w:w="697" w:type="dxa"/>
            <w:tcBorders>
              <w:top w:val="nil"/>
              <w:left w:val="nil"/>
              <w:bottom w:val="nil"/>
              <w:right w:val="nil"/>
            </w:tcBorders>
            <w:shd w:val="clear" w:color="auto" w:fill="auto"/>
            <w:noWrap/>
            <w:vAlign w:val="center"/>
            <w:hideMark/>
          </w:tcPr>
          <w:p w14:paraId="45047075" w14:textId="77777777" w:rsidR="00713B8F" w:rsidRPr="00713B8F" w:rsidRDefault="00713B8F" w:rsidP="00713B8F">
            <w:pPr>
              <w:spacing w:after="0" w:line="240" w:lineRule="auto"/>
              <w:jc w:val="right"/>
              <w:rPr>
                <w:rFonts w:cs="Arial"/>
                <w:sz w:val="16"/>
                <w:szCs w:val="16"/>
              </w:rPr>
            </w:pPr>
            <w:r w:rsidRPr="00713B8F">
              <w:rPr>
                <w:rFonts w:cs="Arial"/>
                <w:sz w:val="16"/>
                <w:szCs w:val="16"/>
              </w:rPr>
              <w:t>50,54</w:t>
            </w:r>
          </w:p>
        </w:tc>
        <w:tc>
          <w:tcPr>
            <w:tcW w:w="697" w:type="dxa"/>
            <w:tcBorders>
              <w:top w:val="nil"/>
              <w:left w:val="nil"/>
              <w:bottom w:val="nil"/>
              <w:right w:val="nil"/>
            </w:tcBorders>
            <w:shd w:val="clear" w:color="auto" w:fill="auto"/>
            <w:noWrap/>
            <w:vAlign w:val="center"/>
            <w:hideMark/>
          </w:tcPr>
          <w:p w14:paraId="565B0D52" w14:textId="77777777" w:rsidR="00713B8F" w:rsidRPr="00713B8F" w:rsidRDefault="00713B8F" w:rsidP="00713B8F">
            <w:pPr>
              <w:spacing w:after="0" w:line="240" w:lineRule="auto"/>
              <w:jc w:val="right"/>
              <w:rPr>
                <w:rFonts w:cs="Arial"/>
                <w:sz w:val="16"/>
                <w:szCs w:val="16"/>
              </w:rPr>
            </w:pPr>
            <w:r w:rsidRPr="00713B8F">
              <w:rPr>
                <w:rFonts w:cs="Arial"/>
                <w:sz w:val="16"/>
                <w:szCs w:val="16"/>
              </w:rPr>
              <w:t>48,24</w:t>
            </w:r>
          </w:p>
        </w:tc>
        <w:tc>
          <w:tcPr>
            <w:tcW w:w="697" w:type="dxa"/>
            <w:tcBorders>
              <w:top w:val="nil"/>
              <w:left w:val="nil"/>
              <w:bottom w:val="nil"/>
              <w:right w:val="nil"/>
            </w:tcBorders>
            <w:shd w:val="clear" w:color="000000" w:fill="FFFFFF"/>
            <w:noWrap/>
            <w:vAlign w:val="center"/>
            <w:hideMark/>
          </w:tcPr>
          <w:p w14:paraId="7E1AF44D"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46,11</w:t>
            </w:r>
          </w:p>
        </w:tc>
        <w:tc>
          <w:tcPr>
            <w:tcW w:w="697" w:type="dxa"/>
            <w:gridSpan w:val="2"/>
            <w:tcBorders>
              <w:top w:val="nil"/>
              <w:left w:val="nil"/>
              <w:bottom w:val="nil"/>
              <w:right w:val="nil"/>
            </w:tcBorders>
            <w:shd w:val="clear" w:color="000000" w:fill="FFFFFF"/>
            <w:noWrap/>
            <w:vAlign w:val="center"/>
            <w:hideMark/>
          </w:tcPr>
          <w:p w14:paraId="6B1B354A"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49,34</w:t>
            </w:r>
          </w:p>
        </w:tc>
      </w:tr>
      <w:tr w:rsidR="00713B8F" w:rsidRPr="00713B8F" w14:paraId="1575A57B" w14:textId="77777777" w:rsidTr="00713B8F">
        <w:trPr>
          <w:trHeight w:val="300"/>
        </w:trPr>
        <w:tc>
          <w:tcPr>
            <w:tcW w:w="1985" w:type="dxa"/>
            <w:tcBorders>
              <w:top w:val="nil"/>
              <w:left w:val="nil"/>
              <w:bottom w:val="nil"/>
              <w:right w:val="nil"/>
            </w:tcBorders>
            <w:shd w:val="clear" w:color="auto" w:fill="auto"/>
            <w:noWrap/>
            <w:vAlign w:val="center"/>
            <w:hideMark/>
          </w:tcPr>
          <w:p w14:paraId="3FFD12A3"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Moravskoslezský kraj</w:t>
            </w:r>
          </w:p>
        </w:tc>
        <w:tc>
          <w:tcPr>
            <w:tcW w:w="697" w:type="dxa"/>
            <w:tcBorders>
              <w:top w:val="nil"/>
              <w:left w:val="nil"/>
              <w:bottom w:val="nil"/>
              <w:right w:val="nil"/>
            </w:tcBorders>
            <w:shd w:val="clear" w:color="auto" w:fill="auto"/>
            <w:noWrap/>
            <w:vAlign w:val="center"/>
            <w:hideMark/>
          </w:tcPr>
          <w:p w14:paraId="7FC812C9" w14:textId="77777777" w:rsidR="00713B8F" w:rsidRPr="00713B8F" w:rsidRDefault="00713B8F" w:rsidP="00713B8F">
            <w:pPr>
              <w:spacing w:after="0" w:line="240" w:lineRule="auto"/>
              <w:jc w:val="right"/>
              <w:rPr>
                <w:rFonts w:cs="Arial"/>
                <w:sz w:val="16"/>
                <w:szCs w:val="16"/>
              </w:rPr>
            </w:pPr>
            <w:r w:rsidRPr="00713B8F">
              <w:rPr>
                <w:rFonts w:cs="Arial"/>
                <w:sz w:val="16"/>
                <w:szCs w:val="16"/>
              </w:rPr>
              <w:t>52,73</w:t>
            </w:r>
          </w:p>
        </w:tc>
        <w:tc>
          <w:tcPr>
            <w:tcW w:w="697" w:type="dxa"/>
            <w:tcBorders>
              <w:top w:val="nil"/>
              <w:left w:val="nil"/>
              <w:bottom w:val="nil"/>
              <w:right w:val="nil"/>
            </w:tcBorders>
            <w:shd w:val="clear" w:color="auto" w:fill="auto"/>
            <w:noWrap/>
            <w:vAlign w:val="center"/>
            <w:hideMark/>
          </w:tcPr>
          <w:p w14:paraId="398593B8" w14:textId="77777777" w:rsidR="00713B8F" w:rsidRPr="00713B8F" w:rsidRDefault="00713B8F" w:rsidP="00713B8F">
            <w:pPr>
              <w:spacing w:after="0" w:line="240" w:lineRule="auto"/>
              <w:jc w:val="right"/>
              <w:rPr>
                <w:rFonts w:cs="Arial"/>
                <w:sz w:val="16"/>
                <w:szCs w:val="16"/>
              </w:rPr>
            </w:pPr>
            <w:r w:rsidRPr="00713B8F">
              <w:rPr>
                <w:rFonts w:cs="Arial"/>
                <w:sz w:val="16"/>
                <w:szCs w:val="16"/>
              </w:rPr>
              <w:t>49,36</w:t>
            </w:r>
          </w:p>
        </w:tc>
        <w:tc>
          <w:tcPr>
            <w:tcW w:w="697" w:type="dxa"/>
            <w:tcBorders>
              <w:top w:val="nil"/>
              <w:left w:val="nil"/>
              <w:bottom w:val="nil"/>
              <w:right w:val="nil"/>
            </w:tcBorders>
            <w:shd w:val="clear" w:color="auto" w:fill="auto"/>
            <w:noWrap/>
            <w:vAlign w:val="center"/>
            <w:hideMark/>
          </w:tcPr>
          <w:p w14:paraId="5480C67F" w14:textId="77777777" w:rsidR="00713B8F" w:rsidRPr="00713B8F" w:rsidRDefault="00713B8F" w:rsidP="00713B8F">
            <w:pPr>
              <w:spacing w:after="0" w:line="240" w:lineRule="auto"/>
              <w:jc w:val="right"/>
              <w:rPr>
                <w:rFonts w:cs="Arial"/>
                <w:sz w:val="16"/>
                <w:szCs w:val="16"/>
              </w:rPr>
            </w:pPr>
            <w:r w:rsidRPr="00713B8F">
              <w:rPr>
                <w:rFonts w:cs="Arial"/>
                <w:sz w:val="16"/>
                <w:szCs w:val="16"/>
              </w:rPr>
              <w:t>48,19</w:t>
            </w:r>
          </w:p>
        </w:tc>
        <w:tc>
          <w:tcPr>
            <w:tcW w:w="697" w:type="dxa"/>
            <w:tcBorders>
              <w:top w:val="nil"/>
              <w:left w:val="nil"/>
              <w:bottom w:val="nil"/>
              <w:right w:val="nil"/>
            </w:tcBorders>
            <w:shd w:val="clear" w:color="auto" w:fill="auto"/>
            <w:noWrap/>
            <w:vAlign w:val="center"/>
            <w:hideMark/>
          </w:tcPr>
          <w:p w14:paraId="6B4BC901" w14:textId="77777777" w:rsidR="00713B8F" w:rsidRPr="00713B8F" w:rsidRDefault="00713B8F" w:rsidP="00713B8F">
            <w:pPr>
              <w:spacing w:after="0" w:line="240" w:lineRule="auto"/>
              <w:jc w:val="right"/>
              <w:rPr>
                <w:rFonts w:cs="Arial"/>
                <w:sz w:val="16"/>
                <w:szCs w:val="16"/>
              </w:rPr>
            </w:pPr>
            <w:r w:rsidRPr="00713B8F">
              <w:rPr>
                <w:rFonts w:cs="Arial"/>
                <w:sz w:val="16"/>
                <w:szCs w:val="16"/>
              </w:rPr>
              <w:t>52,23</w:t>
            </w:r>
          </w:p>
        </w:tc>
        <w:tc>
          <w:tcPr>
            <w:tcW w:w="697" w:type="dxa"/>
            <w:tcBorders>
              <w:top w:val="nil"/>
              <w:left w:val="nil"/>
              <w:bottom w:val="nil"/>
              <w:right w:val="nil"/>
            </w:tcBorders>
            <w:shd w:val="clear" w:color="auto" w:fill="auto"/>
            <w:noWrap/>
            <w:vAlign w:val="center"/>
            <w:hideMark/>
          </w:tcPr>
          <w:p w14:paraId="556B2785" w14:textId="77777777" w:rsidR="00713B8F" w:rsidRPr="00713B8F" w:rsidRDefault="00713B8F" w:rsidP="00713B8F">
            <w:pPr>
              <w:spacing w:after="0" w:line="240" w:lineRule="auto"/>
              <w:jc w:val="right"/>
              <w:rPr>
                <w:rFonts w:cs="Arial"/>
                <w:sz w:val="16"/>
                <w:szCs w:val="16"/>
              </w:rPr>
            </w:pPr>
            <w:r w:rsidRPr="00713B8F">
              <w:rPr>
                <w:rFonts w:cs="Arial"/>
                <w:sz w:val="16"/>
                <w:szCs w:val="16"/>
              </w:rPr>
              <w:t>47,58</w:t>
            </w:r>
          </w:p>
        </w:tc>
        <w:tc>
          <w:tcPr>
            <w:tcW w:w="697" w:type="dxa"/>
            <w:tcBorders>
              <w:top w:val="nil"/>
              <w:left w:val="nil"/>
              <w:bottom w:val="nil"/>
              <w:right w:val="nil"/>
            </w:tcBorders>
            <w:shd w:val="clear" w:color="auto" w:fill="auto"/>
            <w:noWrap/>
            <w:vAlign w:val="center"/>
            <w:hideMark/>
          </w:tcPr>
          <w:p w14:paraId="0AD7F269" w14:textId="77777777" w:rsidR="00713B8F" w:rsidRPr="00713B8F" w:rsidRDefault="00713B8F" w:rsidP="00713B8F">
            <w:pPr>
              <w:spacing w:after="0" w:line="240" w:lineRule="auto"/>
              <w:jc w:val="right"/>
              <w:rPr>
                <w:rFonts w:cs="Arial"/>
                <w:sz w:val="16"/>
                <w:szCs w:val="16"/>
              </w:rPr>
            </w:pPr>
            <w:r w:rsidRPr="00713B8F">
              <w:rPr>
                <w:rFonts w:cs="Arial"/>
                <w:sz w:val="16"/>
                <w:szCs w:val="16"/>
              </w:rPr>
              <w:t>53,41</w:t>
            </w:r>
          </w:p>
        </w:tc>
        <w:tc>
          <w:tcPr>
            <w:tcW w:w="697" w:type="dxa"/>
            <w:tcBorders>
              <w:top w:val="nil"/>
              <w:left w:val="nil"/>
              <w:bottom w:val="nil"/>
              <w:right w:val="nil"/>
            </w:tcBorders>
            <w:shd w:val="clear" w:color="auto" w:fill="auto"/>
            <w:noWrap/>
            <w:vAlign w:val="center"/>
            <w:hideMark/>
          </w:tcPr>
          <w:p w14:paraId="197B5880" w14:textId="77777777" w:rsidR="00713B8F" w:rsidRPr="00713B8F" w:rsidRDefault="00713B8F" w:rsidP="00713B8F">
            <w:pPr>
              <w:spacing w:after="0" w:line="240" w:lineRule="auto"/>
              <w:jc w:val="right"/>
              <w:rPr>
                <w:rFonts w:cs="Arial"/>
                <w:sz w:val="16"/>
                <w:szCs w:val="16"/>
              </w:rPr>
            </w:pPr>
            <w:r w:rsidRPr="00713B8F">
              <w:rPr>
                <w:rFonts w:cs="Arial"/>
                <w:sz w:val="16"/>
                <w:szCs w:val="16"/>
              </w:rPr>
              <w:t>46,03</w:t>
            </w:r>
          </w:p>
        </w:tc>
        <w:tc>
          <w:tcPr>
            <w:tcW w:w="697" w:type="dxa"/>
            <w:tcBorders>
              <w:top w:val="nil"/>
              <w:left w:val="nil"/>
              <w:bottom w:val="nil"/>
              <w:right w:val="nil"/>
            </w:tcBorders>
            <w:shd w:val="clear" w:color="auto" w:fill="auto"/>
            <w:noWrap/>
            <w:vAlign w:val="center"/>
            <w:hideMark/>
          </w:tcPr>
          <w:p w14:paraId="2BFEDC60" w14:textId="77777777" w:rsidR="00713B8F" w:rsidRPr="00713B8F" w:rsidRDefault="00713B8F" w:rsidP="00713B8F">
            <w:pPr>
              <w:spacing w:after="0" w:line="240" w:lineRule="auto"/>
              <w:jc w:val="right"/>
              <w:rPr>
                <w:rFonts w:cs="Arial"/>
                <w:sz w:val="16"/>
                <w:szCs w:val="16"/>
              </w:rPr>
            </w:pPr>
            <w:r w:rsidRPr="00713B8F">
              <w:rPr>
                <w:rFonts w:cs="Arial"/>
                <w:sz w:val="16"/>
                <w:szCs w:val="16"/>
              </w:rPr>
              <w:t>48,64</w:t>
            </w:r>
          </w:p>
        </w:tc>
        <w:tc>
          <w:tcPr>
            <w:tcW w:w="697" w:type="dxa"/>
            <w:tcBorders>
              <w:top w:val="nil"/>
              <w:left w:val="nil"/>
              <w:bottom w:val="nil"/>
              <w:right w:val="nil"/>
            </w:tcBorders>
            <w:shd w:val="clear" w:color="auto" w:fill="auto"/>
            <w:noWrap/>
            <w:vAlign w:val="center"/>
            <w:hideMark/>
          </w:tcPr>
          <w:p w14:paraId="6B59195A" w14:textId="77777777" w:rsidR="00713B8F" w:rsidRPr="00713B8F" w:rsidRDefault="00713B8F" w:rsidP="00713B8F">
            <w:pPr>
              <w:spacing w:after="0" w:line="240" w:lineRule="auto"/>
              <w:jc w:val="right"/>
              <w:rPr>
                <w:rFonts w:cs="Arial"/>
                <w:sz w:val="16"/>
                <w:szCs w:val="16"/>
              </w:rPr>
            </w:pPr>
            <w:r w:rsidRPr="00713B8F">
              <w:rPr>
                <w:rFonts w:cs="Arial"/>
                <w:sz w:val="16"/>
                <w:szCs w:val="16"/>
              </w:rPr>
              <w:t>47,38</w:t>
            </w:r>
          </w:p>
        </w:tc>
        <w:tc>
          <w:tcPr>
            <w:tcW w:w="697" w:type="dxa"/>
            <w:tcBorders>
              <w:top w:val="nil"/>
              <w:left w:val="nil"/>
              <w:bottom w:val="nil"/>
              <w:right w:val="nil"/>
            </w:tcBorders>
            <w:shd w:val="clear" w:color="000000" w:fill="FFFFFF"/>
            <w:noWrap/>
            <w:vAlign w:val="center"/>
            <w:hideMark/>
          </w:tcPr>
          <w:p w14:paraId="542E80AA"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44,36</w:t>
            </w:r>
          </w:p>
        </w:tc>
        <w:tc>
          <w:tcPr>
            <w:tcW w:w="697" w:type="dxa"/>
            <w:gridSpan w:val="2"/>
            <w:tcBorders>
              <w:top w:val="nil"/>
              <w:left w:val="nil"/>
              <w:bottom w:val="nil"/>
              <w:right w:val="nil"/>
            </w:tcBorders>
            <w:shd w:val="clear" w:color="000000" w:fill="FFFFFF"/>
            <w:noWrap/>
            <w:vAlign w:val="center"/>
            <w:hideMark/>
          </w:tcPr>
          <w:p w14:paraId="170AD40D"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48,98</w:t>
            </w:r>
          </w:p>
        </w:tc>
      </w:tr>
    </w:tbl>
    <w:p w14:paraId="777DD99E" w14:textId="5B5AA0BF" w:rsidR="00297A8F" w:rsidRDefault="00297A8F" w:rsidP="00E91FAA">
      <w:pPr>
        <w:spacing w:before="120"/>
        <w:jc w:val="both"/>
        <w:rPr>
          <w:b/>
        </w:rPr>
      </w:pPr>
      <w:r>
        <w:rPr>
          <w:rFonts w:cs="Arial"/>
          <w:sz w:val="16"/>
          <w:szCs w:val="16"/>
        </w:rPr>
        <w:t>Zdroj: ČSÚ</w:t>
      </w:r>
    </w:p>
    <w:p w14:paraId="163E74B9" w14:textId="015AEF39" w:rsidR="008917BA" w:rsidRDefault="00E91FAA" w:rsidP="00F022F9">
      <w:pPr>
        <w:jc w:val="both"/>
      </w:pPr>
      <w:r>
        <w:lastRenderedPageBreak/>
        <w:t xml:space="preserve">Zajímavá skutečnost nastala u kategorie </w:t>
      </w:r>
      <w:r w:rsidRPr="00E91FAA">
        <w:rPr>
          <w:b/>
        </w:rPr>
        <w:t>osob samostatně výdělečně činných</w:t>
      </w:r>
      <w:r>
        <w:t xml:space="preserve">, které do pracovní neschopnosti nastupují méně často než zaměstnanci (7 </w:t>
      </w:r>
      <w:r w:rsidR="00DB3F89">
        <w:t xml:space="preserve">oproti 21 případům </w:t>
      </w:r>
      <w:r>
        <w:t xml:space="preserve">na 100 pojištěnců </w:t>
      </w:r>
      <w:r w:rsidR="008917BA">
        <w:t xml:space="preserve">za 1. pol. 2019), ale pokud jsou ze zdravotních důvodů z výkonu práce </w:t>
      </w:r>
      <w:r w:rsidR="00DB3F89">
        <w:t xml:space="preserve">dočasně </w:t>
      </w:r>
      <w:r w:rsidR="008917BA">
        <w:t xml:space="preserve">indisponováni, průměrná délka jejich pracovní neschopnosti značně převyšuje </w:t>
      </w:r>
      <w:r w:rsidR="00350C28">
        <w:t xml:space="preserve">průměrnou </w:t>
      </w:r>
      <w:r w:rsidR="00E765D3">
        <w:t>délku pro zaměstnance</w:t>
      </w:r>
      <w:r w:rsidR="00DB3F89">
        <w:t xml:space="preserve">. </w:t>
      </w:r>
      <w:r w:rsidR="00E765D3">
        <w:t>D</w:t>
      </w:r>
      <w:r w:rsidR="008917BA">
        <w:t xml:space="preserve">očasná pracovní neschopnost </w:t>
      </w:r>
      <w:r w:rsidR="00E765D3">
        <w:t xml:space="preserve">OSVČ </w:t>
      </w:r>
      <w:r w:rsidR="008917BA">
        <w:t>trvá průměrně 113 dní, zatímco v podnicích majících 50 a více zaměstnanců se pohybuje okolo 40 dnů, u</w:t>
      </w:r>
      <w:r w:rsidR="0047242F">
        <w:t> </w:t>
      </w:r>
      <w:r w:rsidR="008917BA">
        <w:t xml:space="preserve">kategorie do 50 zaměstnanců pak 47,6 dne. </w:t>
      </w:r>
      <w:r w:rsidR="00E765D3">
        <w:t>D</w:t>
      </w:r>
      <w:r w:rsidR="008917BA">
        <w:t>oba pracovní neschopnosti OSVČ z důvodu nemoci (115,2</w:t>
      </w:r>
      <w:r w:rsidR="00614C38">
        <w:t> </w:t>
      </w:r>
      <w:r w:rsidR="008917BA">
        <w:t>dne)</w:t>
      </w:r>
      <w:r w:rsidR="00E765D3">
        <w:t xml:space="preserve"> dokonce</w:t>
      </w:r>
      <w:r w:rsidR="008917BA">
        <w:t xml:space="preserve"> převyšuje délku pracovní neschopnosti z důvodu pracovního či jiného úrazu, což u</w:t>
      </w:r>
      <w:r w:rsidR="00614C38">
        <w:t> </w:t>
      </w:r>
      <w:r w:rsidR="008917BA">
        <w:t>zaměstnanců je přesně naopak. Delší doba trvání pracovní neschopnosti u OSVČ může souviset se skutečností, že tato skupina pojištěnců v době prvních 14 dní trvání pracovní neschopnosti není finančně zabezpečena jako ostatní pojištěnci, je jim vypláceno až nemocenské od 15. dne. Vzhledem k tomuto faktu pak krátkodobé případy lehčích forem nemocí neřeší pracovní neschopností, tu si nechají vystavit až při onemocnění vážnější chorobou, která si žádá dlouhodobější pracovní neschopnost.</w:t>
      </w:r>
    </w:p>
    <w:p w14:paraId="1480DF17" w14:textId="56DC45BB" w:rsidR="00883D0A" w:rsidRDefault="00883D0A" w:rsidP="0064109D">
      <w:pPr>
        <w:spacing w:after="120"/>
        <w:jc w:val="both"/>
        <w:rPr>
          <w:b/>
        </w:rPr>
      </w:pPr>
      <w:r w:rsidRPr="00883D0A">
        <w:rPr>
          <w:b/>
        </w:rPr>
        <w:t xml:space="preserve">Graf 2.9: Průměrná délka trvání případu dočasné pracovní neschopnosti </w:t>
      </w:r>
      <w:r w:rsidR="00E765D3">
        <w:rPr>
          <w:b/>
        </w:rPr>
        <w:t>OSVČ a zaměstnanců dle</w:t>
      </w:r>
      <w:r w:rsidRPr="00883D0A">
        <w:rPr>
          <w:b/>
        </w:rPr>
        <w:t xml:space="preserve"> velikosti</w:t>
      </w:r>
      <w:r w:rsidR="00E765D3">
        <w:rPr>
          <w:b/>
        </w:rPr>
        <w:t xml:space="preserve"> </w:t>
      </w:r>
      <w:r w:rsidRPr="00883D0A">
        <w:rPr>
          <w:b/>
        </w:rPr>
        <w:t>podniku</w:t>
      </w:r>
      <w:r w:rsidR="00E765D3">
        <w:rPr>
          <w:b/>
        </w:rPr>
        <w:t xml:space="preserve"> </w:t>
      </w:r>
      <w:r w:rsidRPr="00883D0A">
        <w:rPr>
          <w:b/>
        </w:rPr>
        <w:t>v 1. pol. 2019</w:t>
      </w:r>
    </w:p>
    <w:p w14:paraId="2493034D" w14:textId="7CE3F8AD" w:rsidR="00DD6112" w:rsidRPr="00E91FAA" w:rsidRDefault="00713B8F" w:rsidP="00DD6112">
      <w:pPr>
        <w:jc w:val="both"/>
        <w:rPr>
          <w:b/>
        </w:rPr>
      </w:pPr>
      <w:r>
        <w:rPr>
          <w:noProof/>
        </w:rPr>
        <w:drawing>
          <wp:inline distT="0" distB="0" distL="0" distR="0" wp14:anchorId="431D8DB6" wp14:editId="18CA5824">
            <wp:extent cx="6134100" cy="3343275"/>
            <wp:effectExtent l="0" t="0" r="0" b="0"/>
            <wp:docPr id="54" name="Graf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DD6112">
        <w:rPr>
          <w:rFonts w:cs="Arial"/>
          <w:sz w:val="16"/>
          <w:szCs w:val="16"/>
        </w:rPr>
        <w:t>Zdroj: ČSÚ</w:t>
      </w:r>
    </w:p>
    <w:p w14:paraId="36F25F3D" w14:textId="16C27460" w:rsidR="0047735C" w:rsidRDefault="00977F2A" w:rsidP="0047242F">
      <w:pPr>
        <w:pStyle w:val="Nadpis3"/>
        <w:spacing w:after="100"/>
        <w:jc w:val="both"/>
      </w:pPr>
      <w:bookmarkStart w:id="5" w:name="_Toc23318729"/>
      <w:r>
        <w:t xml:space="preserve">4.2.3. Průměrné procento dočasné pracovní neschopnosti a průměrný denní stav </w:t>
      </w:r>
      <w:r w:rsidR="0047242F">
        <w:t xml:space="preserve">dočasně </w:t>
      </w:r>
      <w:r>
        <w:t>práce neschopných</w:t>
      </w:r>
      <w:bookmarkEnd w:id="5"/>
    </w:p>
    <w:p w14:paraId="0B3C7ED4" w14:textId="4D67688C" w:rsidR="002E0185" w:rsidRPr="002E0185" w:rsidRDefault="002E0185" w:rsidP="002E0185">
      <w:pPr>
        <w:jc w:val="both"/>
      </w:pPr>
      <w:r>
        <w:t>Nejkomplexnějším ukazatelem statistiky pracovní neschopnosti pro nemoc a úraz je průměrné procento dočasné pracovní neschopnosti.</w:t>
      </w:r>
      <w:r w:rsidRPr="002E0185">
        <w:t xml:space="preserve"> </w:t>
      </w:r>
      <w:r w:rsidRPr="00F40DD1">
        <w:t xml:space="preserve">Zohledňuje jak celkový počet případů pracovní neschopnosti (jak často lidé do pracovní neschopnosti nastupují), tak i průměrné trvání jednoho případu pracovní neschopnosti (jak dlouho v pracovní neschopnosti </w:t>
      </w:r>
      <w:r w:rsidR="00935C87">
        <w:t>setrvávají</w:t>
      </w:r>
      <w:r w:rsidRPr="00F40DD1">
        <w:t>).</w:t>
      </w:r>
      <w:r w:rsidR="00C26C4E">
        <w:t xml:space="preserve"> Statistiky pak doplňuje ještě další relativní ukazatel – průměrný denní stav práce neschopných, který </w:t>
      </w:r>
      <w:r w:rsidR="00935C87">
        <w:t>říká</w:t>
      </w:r>
      <w:r w:rsidR="00C26C4E">
        <w:t xml:space="preserve">, kolik </w:t>
      </w:r>
      <w:r w:rsidR="00935C87">
        <w:t xml:space="preserve">osob </w:t>
      </w:r>
      <w:r w:rsidR="00C26C4E">
        <w:t>průměrně denně chybělo na svém pracovišti v důsledku dočasné pracovní neschopnosti pro nemoc a úraz.</w:t>
      </w:r>
    </w:p>
    <w:p w14:paraId="2ADA526D" w14:textId="29FC0E1F" w:rsidR="003116A3" w:rsidRPr="003116A3" w:rsidRDefault="003116A3" w:rsidP="005A0510">
      <w:pPr>
        <w:pStyle w:val="Box1"/>
        <w:jc w:val="both"/>
        <w:rPr>
          <w:i/>
        </w:rPr>
      </w:pPr>
      <w:r>
        <w:rPr>
          <w:b/>
          <w:i/>
        </w:rPr>
        <w:t>P</w:t>
      </w:r>
      <w:r w:rsidRPr="003116A3">
        <w:rPr>
          <w:b/>
          <w:i/>
        </w:rPr>
        <w:t xml:space="preserve">růměrné procento </w:t>
      </w:r>
      <w:r>
        <w:rPr>
          <w:b/>
          <w:i/>
        </w:rPr>
        <w:t xml:space="preserve">dočasné </w:t>
      </w:r>
      <w:r w:rsidRPr="003116A3">
        <w:rPr>
          <w:b/>
          <w:i/>
        </w:rPr>
        <w:t xml:space="preserve">pracovní neschopnosti </w:t>
      </w:r>
      <w:r w:rsidR="008701E4" w:rsidRPr="00F46EA8">
        <w:rPr>
          <w:i/>
        </w:rPr>
        <w:t xml:space="preserve">– </w:t>
      </w:r>
      <w:r>
        <w:rPr>
          <w:i/>
        </w:rPr>
        <w:t>u</w:t>
      </w:r>
      <w:r w:rsidRPr="003116A3">
        <w:rPr>
          <w:i/>
        </w:rPr>
        <w:t>kazatel udává, kolik ze 100 pojištěnců je průměrně každý den v pracovní neschopnosti pro nemoc</w:t>
      </w:r>
      <w:r>
        <w:rPr>
          <w:i/>
        </w:rPr>
        <w:t xml:space="preserve"> či úraz. </w:t>
      </w:r>
      <w:r w:rsidRPr="003116A3">
        <w:rPr>
          <w:i/>
        </w:rPr>
        <w:t>Vyjadřuje podíl kalendářních dnů pracovní neschopnosti na celkovém kalendářním fondu pojištěnců ve sledovaném období (</w:t>
      </w:r>
      <w:r w:rsidR="00935C87">
        <w:rPr>
          <w:i/>
        </w:rPr>
        <w:t>pololetí</w:t>
      </w:r>
      <w:r w:rsidRPr="003116A3">
        <w:rPr>
          <w:i/>
        </w:rPr>
        <w:t xml:space="preserve">) vyjádřený v procentech. </w:t>
      </w:r>
    </w:p>
    <w:p w14:paraId="72B12D70" w14:textId="77777777" w:rsidR="0047242F" w:rsidRDefault="0047242F">
      <w:pPr>
        <w:spacing w:after="0" w:line="240" w:lineRule="auto"/>
        <w:rPr>
          <w:rFonts w:eastAsia="Calibri" w:cs="Arial"/>
          <w:i/>
          <w:szCs w:val="20"/>
          <w:u w:val="single"/>
        </w:rPr>
      </w:pPr>
      <w:r>
        <w:rPr>
          <w:i/>
          <w:u w:val="single"/>
        </w:rPr>
        <w:br w:type="page"/>
      </w:r>
    </w:p>
    <w:p w14:paraId="1498D70C" w14:textId="20B8F58F" w:rsidR="003116A3" w:rsidRPr="003116A3" w:rsidRDefault="003116A3" w:rsidP="005A0510">
      <w:pPr>
        <w:pStyle w:val="Box1"/>
        <w:jc w:val="both"/>
        <w:rPr>
          <w:i/>
          <w:u w:val="single"/>
        </w:rPr>
      </w:pPr>
      <w:r w:rsidRPr="003116A3">
        <w:rPr>
          <w:i/>
          <w:u w:val="single"/>
        </w:rPr>
        <w:lastRenderedPageBreak/>
        <w:t>Způsob výpočtu:</w:t>
      </w:r>
    </w:p>
    <w:p w14:paraId="467EAAB8" w14:textId="77777777" w:rsidR="00764989" w:rsidRDefault="003116A3" w:rsidP="005A0510">
      <w:pPr>
        <w:pStyle w:val="Box1"/>
        <w:jc w:val="both"/>
        <w:rPr>
          <w:i/>
        </w:rPr>
      </w:pPr>
      <w:r w:rsidRPr="003116A3">
        <w:rPr>
          <w:i/>
        </w:rPr>
        <w:t xml:space="preserve">Průměrné procento </w:t>
      </w:r>
      <w:r w:rsidR="00C53647">
        <w:rPr>
          <w:i/>
        </w:rPr>
        <w:t xml:space="preserve">dočasné </w:t>
      </w:r>
      <w:r w:rsidRPr="003116A3">
        <w:rPr>
          <w:i/>
        </w:rPr>
        <w:t>pracovní neschopnosti = počet kalendářních dnů dočasné pracovní neschopnosti x 10</w:t>
      </w:r>
      <w:r w:rsidR="0089159B">
        <w:rPr>
          <w:i/>
        </w:rPr>
        <w:t>0</w:t>
      </w:r>
      <w:r w:rsidRPr="003116A3">
        <w:rPr>
          <w:i/>
        </w:rPr>
        <w:t xml:space="preserve"> / (průměrný počet osob nemocensky pojištěných x počet kalendářních dnů ve sledovaném období</w:t>
      </w:r>
      <w:r w:rsidR="0089159B">
        <w:rPr>
          <w:i/>
        </w:rPr>
        <w:t>)</w:t>
      </w:r>
      <w:r w:rsidR="00764989">
        <w:rPr>
          <w:i/>
        </w:rPr>
        <w:t>.</w:t>
      </w:r>
    </w:p>
    <w:p w14:paraId="04683A00" w14:textId="77777777" w:rsidR="00764989" w:rsidRDefault="00764989" w:rsidP="005A0510">
      <w:pPr>
        <w:pStyle w:val="Box1"/>
        <w:jc w:val="both"/>
        <w:rPr>
          <w:i/>
        </w:rPr>
      </w:pPr>
    </w:p>
    <w:p w14:paraId="2D85CDB8" w14:textId="086CD465" w:rsidR="00764989" w:rsidRPr="0089159B" w:rsidRDefault="00764989" w:rsidP="005A0510">
      <w:pPr>
        <w:pStyle w:val="Box1"/>
        <w:jc w:val="both"/>
        <w:rPr>
          <w:i/>
        </w:rPr>
      </w:pPr>
      <w:r w:rsidRPr="0089159B">
        <w:rPr>
          <w:b/>
          <w:i/>
        </w:rPr>
        <w:t xml:space="preserve">Průměrný denní stav </w:t>
      </w:r>
      <w:r w:rsidR="0047242F">
        <w:rPr>
          <w:b/>
          <w:i/>
        </w:rPr>
        <w:t xml:space="preserve">dočasně </w:t>
      </w:r>
      <w:r w:rsidRPr="0089159B">
        <w:rPr>
          <w:b/>
          <w:i/>
        </w:rPr>
        <w:t>práce neschopných</w:t>
      </w:r>
      <w:r>
        <w:rPr>
          <w:b/>
          <w:i/>
        </w:rPr>
        <w:t xml:space="preserve"> </w:t>
      </w:r>
      <w:r w:rsidRPr="00F46EA8">
        <w:rPr>
          <w:i/>
        </w:rPr>
        <w:t xml:space="preserve">– </w:t>
      </w:r>
      <w:r>
        <w:rPr>
          <w:i/>
        </w:rPr>
        <w:t>u</w:t>
      </w:r>
      <w:r w:rsidRPr="0089159B">
        <w:rPr>
          <w:i/>
        </w:rPr>
        <w:t xml:space="preserve">kazatel </w:t>
      </w:r>
      <w:r>
        <w:rPr>
          <w:i/>
        </w:rPr>
        <w:t>vyjadřuje</w:t>
      </w:r>
      <w:r w:rsidRPr="0089159B">
        <w:rPr>
          <w:i/>
        </w:rPr>
        <w:t xml:space="preserve"> počet nemocensky pojištěných, kteří byli ve sledovaném období (</w:t>
      </w:r>
      <w:r w:rsidR="001D40F4">
        <w:rPr>
          <w:i/>
        </w:rPr>
        <w:t>pololetí</w:t>
      </w:r>
      <w:r w:rsidRPr="0089159B">
        <w:rPr>
          <w:i/>
        </w:rPr>
        <w:t>) průměrně denně nepřítomni v práci z důvod</w:t>
      </w:r>
      <w:r w:rsidR="0047242F">
        <w:rPr>
          <w:i/>
        </w:rPr>
        <w:t>u</w:t>
      </w:r>
      <w:r w:rsidRPr="0089159B">
        <w:rPr>
          <w:i/>
        </w:rPr>
        <w:t xml:space="preserve"> pracovní neschopnosti. </w:t>
      </w:r>
    </w:p>
    <w:p w14:paraId="0131DCC5" w14:textId="77777777" w:rsidR="00764989" w:rsidRPr="0089159B" w:rsidRDefault="00764989" w:rsidP="005A0510">
      <w:pPr>
        <w:pStyle w:val="Box1"/>
        <w:jc w:val="both"/>
        <w:rPr>
          <w:i/>
          <w:u w:val="single"/>
        </w:rPr>
      </w:pPr>
      <w:r w:rsidRPr="0089159B">
        <w:rPr>
          <w:i/>
          <w:u w:val="single"/>
        </w:rPr>
        <w:t>Způsob výpočtu:</w:t>
      </w:r>
    </w:p>
    <w:p w14:paraId="70EF2BA2" w14:textId="427235B9" w:rsidR="00764989" w:rsidRPr="00F46EA8" w:rsidRDefault="00764989" w:rsidP="005A0510">
      <w:pPr>
        <w:pStyle w:val="Box1"/>
        <w:jc w:val="both"/>
        <w:rPr>
          <w:i/>
        </w:rPr>
      </w:pPr>
      <w:r w:rsidRPr="0089159B">
        <w:rPr>
          <w:i/>
        </w:rPr>
        <w:t>Průměrný denní stav</w:t>
      </w:r>
      <w:r w:rsidR="0047242F">
        <w:rPr>
          <w:i/>
        </w:rPr>
        <w:t xml:space="preserve"> dočasně</w:t>
      </w:r>
      <w:r w:rsidRPr="0089159B">
        <w:rPr>
          <w:i/>
        </w:rPr>
        <w:t xml:space="preserve"> práce neschopných = </w:t>
      </w:r>
      <w:r w:rsidR="00D044F5">
        <w:rPr>
          <w:i/>
        </w:rPr>
        <w:t xml:space="preserve">počet </w:t>
      </w:r>
      <w:r w:rsidRPr="0089159B">
        <w:rPr>
          <w:i/>
        </w:rPr>
        <w:t>kalendářní</w:t>
      </w:r>
      <w:r w:rsidR="00D044F5">
        <w:rPr>
          <w:i/>
        </w:rPr>
        <w:t>ch</w:t>
      </w:r>
      <w:r w:rsidRPr="0089159B">
        <w:rPr>
          <w:i/>
        </w:rPr>
        <w:t xml:space="preserve"> dn</w:t>
      </w:r>
      <w:r w:rsidR="00D044F5">
        <w:rPr>
          <w:i/>
        </w:rPr>
        <w:t>ů</w:t>
      </w:r>
      <w:r w:rsidRPr="0089159B">
        <w:rPr>
          <w:i/>
        </w:rPr>
        <w:t xml:space="preserve"> dočasné pracovní neschopnosti / počet kalendářních dnů ve sledovaném období</w:t>
      </w:r>
      <w:r>
        <w:rPr>
          <w:i/>
        </w:rPr>
        <w:t>.</w:t>
      </w:r>
    </w:p>
    <w:p w14:paraId="43EE8AB9" w14:textId="727A206D" w:rsidR="00C45357" w:rsidRDefault="00935C87" w:rsidP="00F42CC1">
      <w:pPr>
        <w:pStyle w:val="Zkladntextodsazen"/>
        <w:spacing w:after="240" w:line="288" w:lineRule="auto"/>
        <w:ind w:left="0"/>
        <w:jc w:val="both"/>
        <w:rPr>
          <w:rFonts w:cs="Arial"/>
        </w:rPr>
      </w:pPr>
      <w:r>
        <w:rPr>
          <w:rFonts w:cs="Arial"/>
        </w:rPr>
        <w:t xml:space="preserve">V 1. pol. 2019 bylo v průměru 4,85 % pojištěnců </w:t>
      </w:r>
      <w:r w:rsidR="0021523B">
        <w:rPr>
          <w:rFonts w:cs="Arial"/>
        </w:rPr>
        <w:t>denně</w:t>
      </w:r>
      <w:r>
        <w:rPr>
          <w:rFonts w:cs="Arial"/>
        </w:rPr>
        <w:t xml:space="preserve"> v pracovní neschopnosti. </w:t>
      </w:r>
      <w:r w:rsidR="00F42CC1">
        <w:rPr>
          <w:rFonts w:cs="Arial"/>
        </w:rPr>
        <w:t xml:space="preserve">Ve stejném období roku 2018 činila hodnota ukazatele 4,76 %, došlo tedy k nárůstu o </w:t>
      </w:r>
      <w:r>
        <w:rPr>
          <w:rFonts w:cs="Arial"/>
        </w:rPr>
        <w:t>0,</w:t>
      </w:r>
      <w:r w:rsidR="0021523B">
        <w:rPr>
          <w:rFonts w:cs="Arial"/>
        </w:rPr>
        <w:t>09</w:t>
      </w:r>
      <w:r>
        <w:rPr>
          <w:rFonts w:cs="Arial"/>
        </w:rPr>
        <w:t xml:space="preserve"> </w:t>
      </w:r>
      <w:r w:rsidR="00F42CC1">
        <w:rPr>
          <w:rFonts w:cs="Arial"/>
        </w:rPr>
        <w:t>p. b</w:t>
      </w:r>
      <w:r>
        <w:rPr>
          <w:rFonts w:cs="Arial"/>
        </w:rPr>
        <w:t>. Hodnota tohoto ukazatele již od roku 201</w:t>
      </w:r>
      <w:r w:rsidR="00D044F5">
        <w:rPr>
          <w:rFonts w:cs="Arial"/>
        </w:rPr>
        <w:t>5</w:t>
      </w:r>
      <w:r>
        <w:rPr>
          <w:rFonts w:cs="Arial"/>
        </w:rPr>
        <w:t xml:space="preserve"> neustále roste a </w:t>
      </w:r>
      <w:r w:rsidR="00D044F5">
        <w:rPr>
          <w:rFonts w:cs="Arial"/>
        </w:rPr>
        <w:t xml:space="preserve">v současnosti se </w:t>
      </w:r>
      <w:r>
        <w:rPr>
          <w:rFonts w:cs="Arial"/>
        </w:rPr>
        <w:t>blíží k 5% hranici, která byla naposledy překročena v roce 2008.</w:t>
      </w:r>
      <w:r w:rsidR="00D46673">
        <w:rPr>
          <w:rFonts w:cs="Arial"/>
        </w:rPr>
        <w:t xml:space="preserve"> Vyšší procento dlouhodobě vykazují ženy. V 1. pol. 2019 bylo každý den v pracovní neschopnosti v průměru 5,35 % žen, kdežto 4,36 % mužů.</w:t>
      </w:r>
    </w:p>
    <w:p w14:paraId="0D644D23" w14:textId="6DF09298" w:rsidR="00C3345B" w:rsidRDefault="00690A91" w:rsidP="0064109D">
      <w:pPr>
        <w:spacing w:after="120"/>
        <w:jc w:val="both"/>
        <w:rPr>
          <w:b/>
        </w:rPr>
      </w:pPr>
      <w:r w:rsidRPr="00690A91">
        <w:rPr>
          <w:b/>
        </w:rPr>
        <w:t>Tab. 2.7</w:t>
      </w:r>
      <w:r>
        <w:rPr>
          <w:b/>
        </w:rPr>
        <w:t xml:space="preserve">: </w:t>
      </w:r>
      <w:r w:rsidRPr="00690A91">
        <w:rPr>
          <w:b/>
        </w:rPr>
        <w:t>Průměrné procento dočasné pracovní neschopnosti dle odvětví ekonomické činnosti</w:t>
      </w:r>
      <w:r w:rsidR="00C45357">
        <w:rPr>
          <w:b/>
        </w:rPr>
        <w:t xml:space="preserve"> (sekcí CZ-NACE)</w:t>
      </w:r>
      <w:r w:rsidRPr="00690A91">
        <w:rPr>
          <w:b/>
        </w:rPr>
        <w:t xml:space="preserve"> v 1. pol. 2010 – 1. pol. 2019</w:t>
      </w:r>
    </w:p>
    <w:tbl>
      <w:tblPr>
        <w:tblW w:w="9766" w:type="dxa"/>
        <w:tblCellMar>
          <w:left w:w="70" w:type="dxa"/>
          <w:right w:w="70" w:type="dxa"/>
        </w:tblCellMar>
        <w:tblLook w:val="04A0" w:firstRow="1" w:lastRow="0" w:firstColumn="1" w:lastColumn="0" w:noHBand="0" w:noVBand="1"/>
      </w:tblPr>
      <w:tblGrid>
        <w:gridCol w:w="3390"/>
        <w:gridCol w:w="635"/>
        <w:gridCol w:w="635"/>
        <w:gridCol w:w="635"/>
        <w:gridCol w:w="635"/>
        <w:gridCol w:w="635"/>
        <w:gridCol w:w="635"/>
        <w:gridCol w:w="635"/>
        <w:gridCol w:w="635"/>
        <w:gridCol w:w="635"/>
        <w:gridCol w:w="634"/>
        <w:gridCol w:w="27"/>
      </w:tblGrid>
      <w:tr w:rsidR="00690A91" w:rsidRPr="00690A91" w14:paraId="75609881" w14:textId="77777777" w:rsidTr="00B3736B">
        <w:trPr>
          <w:gridAfter w:val="1"/>
          <w:wAfter w:w="27" w:type="dxa"/>
          <w:trHeight w:val="302"/>
        </w:trPr>
        <w:tc>
          <w:tcPr>
            <w:tcW w:w="3390" w:type="dxa"/>
            <w:vMerge w:val="restart"/>
            <w:tcBorders>
              <w:top w:val="single" w:sz="4" w:space="0" w:color="auto"/>
              <w:left w:val="nil"/>
              <w:bottom w:val="single" w:sz="4" w:space="0" w:color="000000"/>
              <w:right w:val="nil"/>
            </w:tcBorders>
            <w:shd w:val="clear" w:color="000000" w:fill="F5DADD"/>
            <w:vAlign w:val="center"/>
            <w:hideMark/>
          </w:tcPr>
          <w:p w14:paraId="70EC923C" w14:textId="77777777" w:rsidR="00690A91" w:rsidRPr="00690A91" w:rsidRDefault="00690A91" w:rsidP="00690A91">
            <w:pPr>
              <w:spacing w:after="0" w:line="240" w:lineRule="auto"/>
              <w:jc w:val="center"/>
              <w:rPr>
                <w:rFonts w:ascii="Arial CE" w:hAnsi="Arial CE" w:cs="Arial CE"/>
                <w:sz w:val="16"/>
                <w:szCs w:val="16"/>
              </w:rPr>
            </w:pPr>
            <w:r w:rsidRPr="00690A91">
              <w:rPr>
                <w:rFonts w:ascii="Arial CE" w:hAnsi="Arial CE" w:cs="Arial CE"/>
                <w:sz w:val="16"/>
                <w:szCs w:val="16"/>
              </w:rPr>
              <w:t>Sekce CZ-NACE</w:t>
            </w:r>
          </w:p>
        </w:tc>
        <w:tc>
          <w:tcPr>
            <w:tcW w:w="6349" w:type="dxa"/>
            <w:gridSpan w:val="10"/>
            <w:tcBorders>
              <w:top w:val="single" w:sz="4" w:space="0" w:color="auto"/>
              <w:left w:val="single" w:sz="4" w:space="0" w:color="auto"/>
              <w:bottom w:val="single" w:sz="4" w:space="0" w:color="auto"/>
              <w:right w:val="nil"/>
            </w:tcBorders>
            <w:shd w:val="clear" w:color="000000" w:fill="F2DCDB"/>
            <w:vAlign w:val="center"/>
            <w:hideMark/>
          </w:tcPr>
          <w:p w14:paraId="3EB308AD" w14:textId="77777777" w:rsidR="00690A91" w:rsidRPr="00690A91" w:rsidRDefault="00690A91" w:rsidP="0021523B">
            <w:pPr>
              <w:spacing w:after="0" w:line="240" w:lineRule="auto"/>
              <w:jc w:val="center"/>
              <w:rPr>
                <w:rFonts w:ascii="Arial CE" w:hAnsi="Arial CE" w:cs="Arial CE"/>
                <w:sz w:val="16"/>
                <w:szCs w:val="16"/>
              </w:rPr>
            </w:pPr>
            <w:r w:rsidRPr="00690A91">
              <w:rPr>
                <w:rFonts w:ascii="Arial CE" w:hAnsi="Arial CE" w:cs="Arial CE"/>
                <w:sz w:val="16"/>
                <w:szCs w:val="16"/>
              </w:rPr>
              <w:t>Průměrné procento dočasné pracovní neschopnosti</w:t>
            </w:r>
          </w:p>
        </w:tc>
      </w:tr>
      <w:tr w:rsidR="00690A91" w:rsidRPr="00690A91" w14:paraId="30F9090D" w14:textId="77777777" w:rsidTr="00B3736B">
        <w:trPr>
          <w:gridAfter w:val="1"/>
          <w:wAfter w:w="27" w:type="dxa"/>
          <w:trHeight w:val="454"/>
        </w:trPr>
        <w:tc>
          <w:tcPr>
            <w:tcW w:w="3390" w:type="dxa"/>
            <w:vMerge/>
            <w:tcBorders>
              <w:top w:val="single" w:sz="4" w:space="0" w:color="auto"/>
              <w:left w:val="nil"/>
              <w:bottom w:val="single" w:sz="4" w:space="0" w:color="000000"/>
              <w:right w:val="nil"/>
            </w:tcBorders>
            <w:vAlign w:val="center"/>
            <w:hideMark/>
          </w:tcPr>
          <w:p w14:paraId="15C78DE5" w14:textId="77777777" w:rsidR="00690A91" w:rsidRPr="00690A91" w:rsidRDefault="00690A91" w:rsidP="00690A91">
            <w:pPr>
              <w:spacing w:after="0" w:line="240" w:lineRule="auto"/>
              <w:rPr>
                <w:rFonts w:ascii="Arial CE" w:hAnsi="Arial CE" w:cs="Arial CE"/>
                <w:sz w:val="16"/>
                <w:szCs w:val="16"/>
              </w:rPr>
            </w:pPr>
          </w:p>
        </w:tc>
        <w:tc>
          <w:tcPr>
            <w:tcW w:w="635" w:type="dxa"/>
            <w:tcBorders>
              <w:top w:val="nil"/>
              <w:left w:val="single" w:sz="4" w:space="0" w:color="auto"/>
              <w:bottom w:val="single" w:sz="4" w:space="0" w:color="auto"/>
              <w:right w:val="single" w:sz="4" w:space="0" w:color="auto"/>
            </w:tcBorders>
            <w:shd w:val="clear" w:color="000000" w:fill="F2DCDB"/>
            <w:vAlign w:val="center"/>
            <w:hideMark/>
          </w:tcPr>
          <w:p w14:paraId="239B3594"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2010</w:t>
            </w:r>
          </w:p>
        </w:tc>
        <w:tc>
          <w:tcPr>
            <w:tcW w:w="635" w:type="dxa"/>
            <w:tcBorders>
              <w:top w:val="nil"/>
              <w:left w:val="nil"/>
              <w:bottom w:val="single" w:sz="4" w:space="0" w:color="auto"/>
              <w:right w:val="single" w:sz="4" w:space="0" w:color="auto"/>
            </w:tcBorders>
            <w:shd w:val="clear" w:color="000000" w:fill="F2DCDB"/>
            <w:vAlign w:val="center"/>
            <w:hideMark/>
          </w:tcPr>
          <w:p w14:paraId="146328C3"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2011</w:t>
            </w:r>
          </w:p>
        </w:tc>
        <w:tc>
          <w:tcPr>
            <w:tcW w:w="635" w:type="dxa"/>
            <w:tcBorders>
              <w:top w:val="nil"/>
              <w:left w:val="nil"/>
              <w:bottom w:val="single" w:sz="4" w:space="0" w:color="auto"/>
              <w:right w:val="single" w:sz="4" w:space="0" w:color="auto"/>
            </w:tcBorders>
            <w:shd w:val="clear" w:color="000000" w:fill="F2DCDB"/>
            <w:vAlign w:val="center"/>
            <w:hideMark/>
          </w:tcPr>
          <w:p w14:paraId="3B1F8AF2"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2012</w:t>
            </w:r>
          </w:p>
        </w:tc>
        <w:tc>
          <w:tcPr>
            <w:tcW w:w="635" w:type="dxa"/>
            <w:tcBorders>
              <w:top w:val="nil"/>
              <w:left w:val="nil"/>
              <w:bottom w:val="single" w:sz="4" w:space="0" w:color="auto"/>
              <w:right w:val="single" w:sz="4" w:space="0" w:color="auto"/>
            </w:tcBorders>
            <w:shd w:val="clear" w:color="000000" w:fill="F2DCDB"/>
            <w:vAlign w:val="center"/>
            <w:hideMark/>
          </w:tcPr>
          <w:p w14:paraId="4422320B"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2013</w:t>
            </w:r>
          </w:p>
        </w:tc>
        <w:tc>
          <w:tcPr>
            <w:tcW w:w="635" w:type="dxa"/>
            <w:tcBorders>
              <w:top w:val="nil"/>
              <w:left w:val="nil"/>
              <w:bottom w:val="single" w:sz="4" w:space="0" w:color="auto"/>
              <w:right w:val="single" w:sz="4" w:space="0" w:color="auto"/>
            </w:tcBorders>
            <w:shd w:val="clear" w:color="000000" w:fill="F2DCDB"/>
            <w:vAlign w:val="center"/>
            <w:hideMark/>
          </w:tcPr>
          <w:p w14:paraId="6EE69873"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2014</w:t>
            </w:r>
          </w:p>
        </w:tc>
        <w:tc>
          <w:tcPr>
            <w:tcW w:w="635" w:type="dxa"/>
            <w:tcBorders>
              <w:top w:val="nil"/>
              <w:left w:val="nil"/>
              <w:bottom w:val="single" w:sz="4" w:space="0" w:color="auto"/>
              <w:right w:val="single" w:sz="4" w:space="0" w:color="auto"/>
            </w:tcBorders>
            <w:shd w:val="clear" w:color="000000" w:fill="F2DCDB"/>
            <w:vAlign w:val="center"/>
            <w:hideMark/>
          </w:tcPr>
          <w:p w14:paraId="1F73666C"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2015</w:t>
            </w:r>
          </w:p>
        </w:tc>
        <w:tc>
          <w:tcPr>
            <w:tcW w:w="635" w:type="dxa"/>
            <w:tcBorders>
              <w:top w:val="nil"/>
              <w:left w:val="nil"/>
              <w:bottom w:val="single" w:sz="4" w:space="0" w:color="auto"/>
              <w:right w:val="single" w:sz="4" w:space="0" w:color="auto"/>
            </w:tcBorders>
            <w:shd w:val="clear" w:color="000000" w:fill="F2DCDB"/>
            <w:vAlign w:val="center"/>
            <w:hideMark/>
          </w:tcPr>
          <w:p w14:paraId="292CED6A"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2016</w:t>
            </w:r>
          </w:p>
        </w:tc>
        <w:tc>
          <w:tcPr>
            <w:tcW w:w="635" w:type="dxa"/>
            <w:tcBorders>
              <w:top w:val="nil"/>
              <w:left w:val="nil"/>
              <w:bottom w:val="single" w:sz="4" w:space="0" w:color="auto"/>
              <w:right w:val="single" w:sz="4" w:space="0" w:color="auto"/>
            </w:tcBorders>
            <w:shd w:val="clear" w:color="000000" w:fill="F2DCDB"/>
            <w:vAlign w:val="center"/>
            <w:hideMark/>
          </w:tcPr>
          <w:p w14:paraId="3B9CCD7B"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2017</w:t>
            </w:r>
          </w:p>
        </w:tc>
        <w:tc>
          <w:tcPr>
            <w:tcW w:w="635" w:type="dxa"/>
            <w:tcBorders>
              <w:top w:val="nil"/>
              <w:left w:val="nil"/>
              <w:bottom w:val="single" w:sz="4" w:space="0" w:color="auto"/>
              <w:right w:val="nil"/>
            </w:tcBorders>
            <w:shd w:val="clear" w:color="000000" w:fill="F2DCDB"/>
            <w:vAlign w:val="center"/>
            <w:hideMark/>
          </w:tcPr>
          <w:p w14:paraId="0983B696"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2018</w:t>
            </w:r>
          </w:p>
        </w:tc>
        <w:tc>
          <w:tcPr>
            <w:tcW w:w="634" w:type="dxa"/>
            <w:tcBorders>
              <w:top w:val="nil"/>
              <w:left w:val="single" w:sz="4" w:space="0" w:color="auto"/>
              <w:bottom w:val="single" w:sz="4" w:space="0" w:color="auto"/>
              <w:right w:val="nil"/>
            </w:tcBorders>
            <w:shd w:val="clear" w:color="000000" w:fill="F2DCDB"/>
            <w:vAlign w:val="center"/>
            <w:hideMark/>
          </w:tcPr>
          <w:p w14:paraId="1D00563C" w14:textId="77777777" w:rsidR="00690A91" w:rsidRPr="00690A91" w:rsidRDefault="00690A91" w:rsidP="0021523B">
            <w:pPr>
              <w:spacing w:after="0" w:line="240" w:lineRule="auto"/>
              <w:jc w:val="center"/>
              <w:rPr>
                <w:rFonts w:cs="Arial"/>
                <w:sz w:val="16"/>
                <w:szCs w:val="16"/>
              </w:rPr>
            </w:pPr>
            <w:r w:rsidRPr="00690A91">
              <w:rPr>
                <w:rFonts w:cs="Arial"/>
                <w:sz w:val="16"/>
                <w:szCs w:val="16"/>
              </w:rPr>
              <w:t>1. pol. 2019</w:t>
            </w:r>
          </w:p>
        </w:tc>
      </w:tr>
      <w:tr w:rsidR="00690A91" w:rsidRPr="00690A91" w14:paraId="49EE51D2" w14:textId="77777777" w:rsidTr="00B3736B">
        <w:trPr>
          <w:trHeight w:val="287"/>
        </w:trPr>
        <w:tc>
          <w:tcPr>
            <w:tcW w:w="3390" w:type="dxa"/>
            <w:tcBorders>
              <w:top w:val="nil"/>
              <w:left w:val="nil"/>
              <w:bottom w:val="nil"/>
              <w:right w:val="nil"/>
            </w:tcBorders>
            <w:shd w:val="clear" w:color="auto" w:fill="auto"/>
            <w:vAlign w:val="center"/>
            <w:hideMark/>
          </w:tcPr>
          <w:p w14:paraId="5CDCF59D" w14:textId="7EF7C1DD" w:rsidR="00690A91" w:rsidRPr="00690A91" w:rsidRDefault="00690A91" w:rsidP="00496B5A">
            <w:pPr>
              <w:spacing w:after="0" w:line="240" w:lineRule="auto"/>
              <w:rPr>
                <w:rFonts w:ascii="Arial CE" w:hAnsi="Arial CE" w:cs="Arial CE"/>
                <w:b/>
                <w:bCs/>
                <w:sz w:val="16"/>
                <w:szCs w:val="16"/>
              </w:rPr>
            </w:pPr>
            <w:r w:rsidRPr="00690A91">
              <w:rPr>
                <w:rFonts w:ascii="Arial CE" w:hAnsi="Arial CE" w:cs="Arial CE"/>
                <w:b/>
                <w:bCs/>
                <w:sz w:val="16"/>
                <w:szCs w:val="16"/>
              </w:rPr>
              <w:t>Celkem</w:t>
            </w:r>
          </w:p>
        </w:tc>
        <w:tc>
          <w:tcPr>
            <w:tcW w:w="635" w:type="dxa"/>
            <w:tcBorders>
              <w:top w:val="nil"/>
              <w:left w:val="nil"/>
              <w:bottom w:val="nil"/>
              <w:right w:val="nil"/>
            </w:tcBorders>
            <w:shd w:val="clear" w:color="auto" w:fill="auto"/>
            <w:noWrap/>
            <w:vAlign w:val="center"/>
            <w:hideMark/>
          </w:tcPr>
          <w:p w14:paraId="23C7633A" w14:textId="77777777" w:rsidR="00690A91" w:rsidRPr="00690A91" w:rsidRDefault="00690A91" w:rsidP="00690A91">
            <w:pPr>
              <w:spacing w:after="0" w:line="240" w:lineRule="auto"/>
              <w:jc w:val="right"/>
              <w:rPr>
                <w:rFonts w:cs="Arial"/>
                <w:b/>
                <w:bCs/>
                <w:sz w:val="16"/>
                <w:szCs w:val="16"/>
              </w:rPr>
            </w:pPr>
            <w:r w:rsidRPr="00690A91">
              <w:rPr>
                <w:rFonts w:cs="Arial"/>
                <w:b/>
                <w:bCs/>
                <w:sz w:val="16"/>
                <w:szCs w:val="16"/>
              </w:rPr>
              <w:t>4,09</w:t>
            </w:r>
          </w:p>
        </w:tc>
        <w:tc>
          <w:tcPr>
            <w:tcW w:w="635" w:type="dxa"/>
            <w:tcBorders>
              <w:top w:val="nil"/>
              <w:left w:val="nil"/>
              <w:bottom w:val="nil"/>
              <w:right w:val="nil"/>
            </w:tcBorders>
            <w:shd w:val="clear" w:color="auto" w:fill="auto"/>
            <w:noWrap/>
            <w:vAlign w:val="center"/>
            <w:hideMark/>
          </w:tcPr>
          <w:p w14:paraId="33365DB8" w14:textId="77777777" w:rsidR="00690A91" w:rsidRPr="00690A91" w:rsidRDefault="00690A91" w:rsidP="00690A91">
            <w:pPr>
              <w:spacing w:after="0" w:line="240" w:lineRule="auto"/>
              <w:jc w:val="right"/>
              <w:rPr>
                <w:rFonts w:ascii="Arial CE" w:hAnsi="Arial CE" w:cs="Arial CE"/>
                <w:b/>
                <w:bCs/>
                <w:sz w:val="16"/>
                <w:szCs w:val="16"/>
              </w:rPr>
            </w:pPr>
            <w:r w:rsidRPr="00690A91">
              <w:rPr>
                <w:rFonts w:ascii="Arial CE" w:hAnsi="Arial CE" w:cs="Arial CE"/>
                <w:b/>
                <w:bCs/>
                <w:sz w:val="16"/>
                <w:szCs w:val="16"/>
              </w:rPr>
              <w:t>4,02</w:t>
            </w:r>
          </w:p>
        </w:tc>
        <w:tc>
          <w:tcPr>
            <w:tcW w:w="635" w:type="dxa"/>
            <w:tcBorders>
              <w:top w:val="nil"/>
              <w:left w:val="nil"/>
              <w:bottom w:val="nil"/>
              <w:right w:val="nil"/>
            </w:tcBorders>
            <w:shd w:val="clear" w:color="auto" w:fill="auto"/>
            <w:noWrap/>
            <w:vAlign w:val="center"/>
            <w:hideMark/>
          </w:tcPr>
          <w:p w14:paraId="47B637C8" w14:textId="77777777" w:rsidR="00690A91" w:rsidRPr="00690A91" w:rsidRDefault="00690A91" w:rsidP="00690A91">
            <w:pPr>
              <w:spacing w:after="0" w:line="240" w:lineRule="auto"/>
              <w:jc w:val="right"/>
              <w:rPr>
                <w:rFonts w:cs="Arial"/>
                <w:b/>
                <w:bCs/>
                <w:sz w:val="16"/>
                <w:szCs w:val="16"/>
              </w:rPr>
            </w:pPr>
            <w:r w:rsidRPr="00690A91">
              <w:rPr>
                <w:rFonts w:cs="Arial"/>
                <w:b/>
                <w:bCs/>
                <w:sz w:val="16"/>
                <w:szCs w:val="16"/>
              </w:rPr>
              <w:t>3,57</w:t>
            </w:r>
          </w:p>
        </w:tc>
        <w:tc>
          <w:tcPr>
            <w:tcW w:w="635" w:type="dxa"/>
            <w:tcBorders>
              <w:top w:val="nil"/>
              <w:left w:val="nil"/>
              <w:bottom w:val="nil"/>
              <w:right w:val="nil"/>
            </w:tcBorders>
            <w:shd w:val="clear" w:color="auto" w:fill="auto"/>
            <w:noWrap/>
            <w:vAlign w:val="center"/>
            <w:hideMark/>
          </w:tcPr>
          <w:p w14:paraId="3486C8A0" w14:textId="77777777" w:rsidR="00690A91" w:rsidRPr="00690A91" w:rsidRDefault="00690A91" w:rsidP="00690A91">
            <w:pPr>
              <w:spacing w:after="0" w:line="240" w:lineRule="auto"/>
              <w:jc w:val="right"/>
              <w:rPr>
                <w:rFonts w:cs="Arial"/>
                <w:b/>
                <w:bCs/>
                <w:sz w:val="16"/>
                <w:szCs w:val="16"/>
              </w:rPr>
            </w:pPr>
            <w:r w:rsidRPr="00690A91">
              <w:rPr>
                <w:rFonts w:cs="Arial"/>
                <w:b/>
                <w:bCs/>
                <w:sz w:val="16"/>
                <w:szCs w:val="16"/>
              </w:rPr>
              <w:t>3,99</w:t>
            </w:r>
          </w:p>
        </w:tc>
        <w:tc>
          <w:tcPr>
            <w:tcW w:w="635" w:type="dxa"/>
            <w:tcBorders>
              <w:top w:val="nil"/>
              <w:left w:val="nil"/>
              <w:bottom w:val="nil"/>
              <w:right w:val="nil"/>
            </w:tcBorders>
            <w:shd w:val="clear" w:color="auto" w:fill="auto"/>
            <w:noWrap/>
            <w:vAlign w:val="center"/>
            <w:hideMark/>
          </w:tcPr>
          <w:p w14:paraId="31CB7B37" w14:textId="77777777" w:rsidR="00690A91" w:rsidRPr="00690A91" w:rsidRDefault="00690A91" w:rsidP="00690A91">
            <w:pPr>
              <w:spacing w:after="0" w:line="240" w:lineRule="auto"/>
              <w:jc w:val="right"/>
              <w:rPr>
                <w:rFonts w:cs="Arial"/>
                <w:b/>
                <w:bCs/>
                <w:sz w:val="16"/>
                <w:szCs w:val="16"/>
              </w:rPr>
            </w:pPr>
            <w:r w:rsidRPr="00690A91">
              <w:rPr>
                <w:rFonts w:cs="Arial"/>
                <w:b/>
                <w:bCs/>
                <w:sz w:val="16"/>
                <w:szCs w:val="16"/>
              </w:rPr>
              <w:t>3,82</w:t>
            </w:r>
          </w:p>
        </w:tc>
        <w:tc>
          <w:tcPr>
            <w:tcW w:w="635" w:type="dxa"/>
            <w:tcBorders>
              <w:top w:val="nil"/>
              <w:left w:val="nil"/>
              <w:bottom w:val="nil"/>
              <w:right w:val="nil"/>
            </w:tcBorders>
            <w:shd w:val="clear" w:color="auto" w:fill="auto"/>
            <w:noWrap/>
            <w:vAlign w:val="center"/>
            <w:hideMark/>
          </w:tcPr>
          <w:p w14:paraId="6642C5B2" w14:textId="77777777" w:rsidR="00690A91" w:rsidRPr="00690A91" w:rsidRDefault="00690A91" w:rsidP="00690A91">
            <w:pPr>
              <w:spacing w:after="0" w:line="240" w:lineRule="auto"/>
              <w:jc w:val="right"/>
              <w:rPr>
                <w:rFonts w:cs="Arial"/>
                <w:b/>
                <w:bCs/>
                <w:sz w:val="16"/>
                <w:szCs w:val="16"/>
              </w:rPr>
            </w:pPr>
            <w:r w:rsidRPr="00690A91">
              <w:rPr>
                <w:rFonts w:cs="Arial"/>
                <w:b/>
                <w:bCs/>
                <w:sz w:val="16"/>
                <w:szCs w:val="16"/>
              </w:rPr>
              <w:t>4,33</w:t>
            </w:r>
          </w:p>
        </w:tc>
        <w:tc>
          <w:tcPr>
            <w:tcW w:w="635" w:type="dxa"/>
            <w:tcBorders>
              <w:top w:val="nil"/>
              <w:left w:val="nil"/>
              <w:bottom w:val="nil"/>
              <w:right w:val="nil"/>
            </w:tcBorders>
            <w:shd w:val="clear" w:color="auto" w:fill="auto"/>
            <w:noWrap/>
            <w:vAlign w:val="center"/>
            <w:hideMark/>
          </w:tcPr>
          <w:p w14:paraId="2AA719E7" w14:textId="77777777" w:rsidR="00690A91" w:rsidRPr="00690A91" w:rsidRDefault="00690A91" w:rsidP="00690A91">
            <w:pPr>
              <w:spacing w:after="0" w:line="240" w:lineRule="auto"/>
              <w:jc w:val="right"/>
              <w:rPr>
                <w:rFonts w:cs="Arial"/>
                <w:b/>
                <w:bCs/>
                <w:color w:val="000000"/>
                <w:sz w:val="16"/>
                <w:szCs w:val="16"/>
              </w:rPr>
            </w:pPr>
            <w:r w:rsidRPr="00690A91">
              <w:rPr>
                <w:rFonts w:cs="Arial"/>
                <w:b/>
                <w:bCs/>
                <w:color w:val="000000"/>
                <w:sz w:val="16"/>
                <w:szCs w:val="16"/>
              </w:rPr>
              <w:t>4,45</w:t>
            </w:r>
          </w:p>
        </w:tc>
        <w:tc>
          <w:tcPr>
            <w:tcW w:w="635" w:type="dxa"/>
            <w:tcBorders>
              <w:top w:val="nil"/>
              <w:left w:val="nil"/>
              <w:bottom w:val="nil"/>
              <w:right w:val="nil"/>
            </w:tcBorders>
            <w:shd w:val="clear" w:color="auto" w:fill="auto"/>
            <w:noWrap/>
            <w:vAlign w:val="center"/>
            <w:hideMark/>
          </w:tcPr>
          <w:p w14:paraId="67997D65" w14:textId="77777777" w:rsidR="00690A91" w:rsidRPr="00690A91" w:rsidRDefault="00690A91" w:rsidP="00690A91">
            <w:pPr>
              <w:spacing w:after="0" w:line="240" w:lineRule="auto"/>
              <w:jc w:val="right"/>
              <w:rPr>
                <w:rFonts w:cs="Arial"/>
                <w:b/>
                <w:bCs/>
                <w:color w:val="000000"/>
                <w:sz w:val="16"/>
                <w:szCs w:val="16"/>
              </w:rPr>
            </w:pPr>
            <w:r w:rsidRPr="00690A91">
              <w:rPr>
                <w:rFonts w:cs="Arial"/>
                <w:b/>
                <w:bCs/>
                <w:color w:val="000000"/>
                <w:sz w:val="16"/>
                <w:szCs w:val="16"/>
              </w:rPr>
              <w:t>4,62</w:t>
            </w:r>
          </w:p>
        </w:tc>
        <w:tc>
          <w:tcPr>
            <w:tcW w:w="635" w:type="dxa"/>
            <w:tcBorders>
              <w:top w:val="nil"/>
              <w:left w:val="nil"/>
              <w:bottom w:val="nil"/>
              <w:right w:val="nil"/>
            </w:tcBorders>
            <w:shd w:val="clear" w:color="000000" w:fill="FFFFFF"/>
            <w:noWrap/>
            <w:vAlign w:val="center"/>
            <w:hideMark/>
          </w:tcPr>
          <w:p w14:paraId="066C7AAA" w14:textId="77777777" w:rsidR="00690A91" w:rsidRPr="00690A91" w:rsidRDefault="00690A91" w:rsidP="00690A91">
            <w:pPr>
              <w:spacing w:after="0" w:line="240" w:lineRule="auto"/>
              <w:jc w:val="right"/>
              <w:rPr>
                <w:rFonts w:cs="Arial"/>
                <w:b/>
                <w:bCs/>
                <w:color w:val="000000"/>
                <w:sz w:val="16"/>
                <w:szCs w:val="16"/>
              </w:rPr>
            </w:pPr>
            <w:r w:rsidRPr="00690A91">
              <w:rPr>
                <w:rFonts w:cs="Arial"/>
                <w:b/>
                <w:bCs/>
                <w:color w:val="000000"/>
                <w:sz w:val="16"/>
                <w:szCs w:val="16"/>
              </w:rPr>
              <w:t>4,76</w:t>
            </w:r>
          </w:p>
        </w:tc>
        <w:tc>
          <w:tcPr>
            <w:tcW w:w="661" w:type="dxa"/>
            <w:gridSpan w:val="2"/>
            <w:tcBorders>
              <w:top w:val="nil"/>
              <w:left w:val="nil"/>
              <w:bottom w:val="nil"/>
              <w:right w:val="nil"/>
            </w:tcBorders>
            <w:shd w:val="clear" w:color="000000" w:fill="FFFFFF"/>
            <w:noWrap/>
            <w:vAlign w:val="center"/>
            <w:hideMark/>
          </w:tcPr>
          <w:p w14:paraId="0AAA7F9D" w14:textId="77777777" w:rsidR="00690A91" w:rsidRPr="00690A91" w:rsidRDefault="00690A91" w:rsidP="00690A91">
            <w:pPr>
              <w:spacing w:after="0" w:line="240" w:lineRule="auto"/>
              <w:jc w:val="right"/>
              <w:rPr>
                <w:rFonts w:cs="Arial"/>
                <w:b/>
                <w:bCs/>
                <w:color w:val="000000"/>
                <w:sz w:val="16"/>
                <w:szCs w:val="16"/>
              </w:rPr>
            </w:pPr>
            <w:r w:rsidRPr="00690A91">
              <w:rPr>
                <w:rFonts w:cs="Arial"/>
                <w:b/>
                <w:bCs/>
                <w:color w:val="000000"/>
                <w:sz w:val="16"/>
                <w:szCs w:val="16"/>
              </w:rPr>
              <w:t>4,85</w:t>
            </w:r>
          </w:p>
        </w:tc>
      </w:tr>
      <w:tr w:rsidR="00690A91" w:rsidRPr="00690A91" w14:paraId="3579469D" w14:textId="77777777" w:rsidTr="00B3736B">
        <w:trPr>
          <w:trHeight w:val="287"/>
        </w:trPr>
        <w:tc>
          <w:tcPr>
            <w:tcW w:w="3390" w:type="dxa"/>
            <w:tcBorders>
              <w:top w:val="nil"/>
              <w:left w:val="nil"/>
              <w:bottom w:val="nil"/>
              <w:right w:val="nil"/>
            </w:tcBorders>
            <w:shd w:val="clear" w:color="auto" w:fill="auto"/>
            <w:vAlign w:val="center"/>
            <w:hideMark/>
          </w:tcPr>
          <w:p w14:paraId="56C5D06F"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A – Zemědělství, lesnictví a rybářství</w:t>
            </w:r>
          </w:p>
        </w:tc>
        <w:tc>
          <w:tcPr>
            <w:tcW w:w="635" w:type="dxa"/>
            <w:tcBorders>
              <w:top w:val="nil"/>
              <w:left w:val="nil"/>
              <w:bottom w:val="nil"/>
              <w:right w:val="nil"/>
            </w:tcBorders>
            <w:shd w:val="clear" w:color="auto" w:fill="auto"/>
            <w:noWrap/>
            <w:vAlign w:val="center"/>
            <w:hideMark/>
          </w:tcPr>
          <w:p w14:paraId="7DDA28C8" w14:textId="77777777" w:rsidR="00690A91" w:rsidRPr="00690A91" w:rsidRDefault="00690A91" w:rsidP="00690A91">
            <w:pPr>
              <w:spacing w:after="0" w:line="240" w:lineRule="auto"/>
              <w:jc w:val="right"/>
              <w:rPr>
                <w:rFonts w:cs="Arial"/>
                <w:sz w:val="16"/>
                <w:szCs w:val="16"/>
              </w:rPr>
            </w:pPr>
            <w:r w:rsidRPr="00690A91">
              <w:rPr>
                <w:rFonts w:cs="Arial"/>
                <w:sz w:val="16"/>
                <w:szCs w:val="16"/>
              </w:rPr>
              <w:t>5,45</w:t>
            </w:r>
          </w:p>
        </w:tc>
        <w:tc>
          <w:tcPr>
            <w:tcW w:w="635" w:type="dxa"/>
            <w:tcBorders>
              <w:top w:val="nil"/>
              <w:left w:val="nil"/>
              <w:bottom w:val="nil"/>
              <w:right w:val="nil"/>
            </w:tcBorders>
            <w:shd w:val="clear" w:color="auto" w:fill="auto"/>
            <w:noWrap/>
            <w:vAlign w:val="center"/>
            <w:hideMark/>
          </w:tcPr>
          <w:p w14:paraId="355B8787"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5,23</w:t>
            </w:r>
          </w:p>
        </w:tc>
        <w:tc>
          <w:tcPr>
            <w:tcW w:w="635" w:type="dxa"/>
            <w:tcBorders>
              <w:top w:val="nil"/>
              <w:left w:val="nil"/>
              <w:bottom w:val="nil"/>
              <w:right w:val="nil"/>
            </w:tcBorders>
            <w:shd w:val="clear" w:color="auto" w:fill="auto"/>
            <w:noWrap/>
            <w:vAlign w:val="center"/>
            <w:hideMark/>
          </w:tcPr>
          <w:p w14:paraId="136B1E16" w14:textId="77777777" w:rsidR="00690A91" w:rsidRPr="00690A91" w:rsidRDefault="00690A91" w:rsidP="00690A91">
            <w:pPr>
              <w:spacing w:after="0" w:line="240" w:lineRule="auto"/>
              <w:jc w:val="right"/>
              <w:rPr>
                <w:rFonts w:cs="Arial"/>
                <w:sz w:val="16"/>
                <w:szCs w:val="16"/>
              </w:rPr>
            </w:pPr>
            <w:r w:rsidRPr="00690A91">
              <w:rPr>
                <w:rFonts w:cs="Arial"/>
                <w:sz w:val="16"/>
                <w:szCs w:val="16"/>
              </w:rPr>
              <w:t>4,55</w:t>
            </w:r>
          </w:p>
        </w:tc>
        <w:tc>
          <w:tcPr>
            <w:tcW w:w="635" w:type="dxa"/>
            <w:tcBorders>
              <w:top w:val="nil"/>
              <w:left w:val="nil"/>
              <w:bottom w:val="nil"/>
              <w:right w:val="nil"/>
            </w:tcBorders>
            <w:shd w:val="clear" w:color="auto" w:fill="auto"/>
            <w:noWrap/>
            <w:vAlign w:val="center"/>
            <w:hideMark/>
          </w:tcPr>
          <w:p w14:paraId="0F6DF5E1" w14:textId="77777777" w:rsidR="00690A91" w:rsidRPr="00690A91" w:rsidRDefault="00690A91" w:rsidP="00690A91">
            <w:pPr>
              <w:spacing w:after="0" w:line="240" w:lineRule="auto"/>
              <w:jc w:val="right"/>
              <w:rPr>
                <w:rFonts w:cs="Arial"/>
                <w:sz w:val="16"/>
                <w:szCs w:val="16"/>
              </w:rPr>
            </w:pPr>
            <w:r w:rsidRPr="00690A91">
              <w:rPr>
                <w:rFonts w:cs="Arial"/>
                <w:sz w:val="16"/>
                <w:szCs w:val="16"/>
              </w:rPr>
              <w:t>5,01</w:t>
            </w:r>
          </w:p>
        </w:tc>
        <w:tc>
          <w:tcPr>
            <w:tcW w:w="635" w:type="dxa"/>
            <w:tcBorders>
              <w:top w:val="nil"/>
              <w:left w:val="nil"/>
              <w:bottom w:val="nil"/>
              <w:right w:val="nil"/>
            </w:tcBorders>
            <w:shd w:val="clear" w:color="auto" w:fill="auto"/>
            <w:noWrap/>
            <w:vAlign w:val="center"/>
            <w:hideMark/>
          </w:tcPr>
          <w:p w14:paraId="087E81F2" w14:textId="77777777" w:rsidR="00690A91" w:rsidRPr="00690A91" w:rsidRDefault="00690A91" w:rsidP="00690A91">
            <w:pPr>
              <w:spacing w:after="0" w:line="240" w:lineRule="auto"/>
              <w:jc w:val="right"/>
              <w:rPr>
                <w:rFonts w:cs="Arial"/>
                <w:sz w:val="16"/>
                <w:szCs w:val="16"/>
              </w:rPr>
            </w:pPr>
            <w:r w:rsidRPr="00690A91">
              <w:rPr>
                <w:rFonts w:cs="Arial"/>
                <w:sz w:val="16"/>
                <w:szCs w:val="16"/>
              </w:rPr>
              <w:t>4,75</w:t>
            </w:r>
          </w:p>
        </w:tc>
        <w:tc>
          <w:tcPr>
            <w:tcW w:w="635" w:type="dxa"/>
            <w:tcBorders>
              <w:top w:val="nil"/>
              <w:left w:val="nil"/>
              <w:bottom w:val="nil"/>
              <w:right w:val="nil"/>
            </w:tcBorders>
            <w:shd w:val="clear" w:color="auto" w:fill="auto"/>
            <w:noWrap/>
            <w:vAlign w:val="center"/>
            <w:hideMark/>
          </w:tcPr>
          <w:p w14:paraId="784BE625" w14:textId="77777777" w:rsidR="00690A91" w:rsidRPr="00690A91" w:rsidRDefault="00690A91" w:rsidP="00690A91">
            <w:pPr>
              <w:spacing w:after="0" w:line="240" w:lineRule="auto"/>
              <w:jc w:val="right"/>
              <w:rPr>
                <w:rFonts w:cs="Arial"/>
                <w:sz w:val="16"/>
                <w:szCs w:val="16"/>
              </w:rPr>
            </w:pPr>
            <w:r w:rsidRPr="00690A91">
              <w:rPr>
                <w:rFonts w:cs="Arial"/>
                <w:sz w:val="16"/>
                <w:szCs w:val="16"/>
              </w:rPr>
              <w:t>5,32</w:t>
            </w:r>
          </w:p>
        </w:tc>
        <w:tc>
          <w:tcPr>
            <w:tcW w:w="635" w:type="dxa"/>
            <w:tcBorders>
              <w:top w:val="nil"/>
              <w:left w:val="nil"/>
              <w:bottom w:val="nil"/>
              <w:right w:val="nil"/>
            </w:tcBorders>
            <w:shd w:val="clear" w:color="auto" w:fill="auto"/>
            <w:noWrap/>
            <w:vAlign w:val="center"/>
            <w:hideMark/>
          </w:tcPr>
          <w:p w14:paraId="12C9135A"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5,43</w:t>
            </w:r>
          </w:p>
        </w:tc>
        <w:tc>
          <w:tcPr>
            <w:tcW w:w="635" w:type="dxa"/>
            <w:tcBorders>
              <w:top w:val="nil"/>
              <w:left w:val="nil"/>
              <w:bottom w:val="nil"/>
              <w:right w:val="nil"/>
            </w:tcBorders>
            <w:shd w:val="clear" w:color="auto" w:fill="auto"/>
            <w:noWrap/>
            <w:vAlign w:val="center"/>
            <w:hideMark/>
          </w:tcPr>
          <w:p w14:paraId="46F82B8D"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5,73</w:t>
            </w:r>
          </w:p>
        </w:tc>
        <w:tc>
          <w:tcPr>
            <w:tcW w:w="635" w:type="dxa"/>
            <w:tcBorders>
              <w:top w:val="nil"/>
              <w:left w:val="nil"/>
              <w:bottom w:val="nil"/>
              <w:right w:val="nil"/>
            </w:tcBorders>
            <w:shd w:val="clear" w:color="000000" w:fill="FFFFFF"/>
            <w:noWrap/>
            <w:vAlign w:val="center"/>
            <w:hideMark/>
          </w:tcPr>
          <w:p w14:paraId="39ABA17B"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5,79</w:t>
            </w:r>
          </w:p>
        </w:tc>
        <w:tc>
          <w:tcPr>
            <w:tcW w:w="661" w:type="dxa"/>
            <w:gridSpan w:val="2"/>
            <w:tcBorders>
              <w:top w:val="nil"/>
              <w:left w:val="nil"/>
              <w:bottom w:val="nil"/>
              <w:right w:val="nil"/>
            </w:tcBorders>
            <w:shd w:val="clear" w:color="000000" w:fill="FFFFFF"/>
            <w:noWrap/>
            <w:vAlign w:val="center"/>
            <w:hideMark/>
          </w:tcPr>
          <w:p w14:paraId="085EBCA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5,84</w:t>
            </w:r>
          </w:p>
        </w:tc>
      </w:tr>
      <w:tr w:rsidR="00690A91" w:rsidRPr="00690A91" w14:paraId="22DC210C" w14:textId="77777777" w:rsidTr="00B3736B">
        <w:trPr>
          <w:trHeight w:val="287"/>
        </w:trPr>
        <w:tc>
          <w:tcPr>
            <w:tcW w:w="3390" w:type="dxa"/>
            <w:tcBorders>
              <w:top w:val="nil"/>
              <w:left w:val="nil"/>
              <w:bottom w:val="nil"/>
              <w:right w:val="nil"/>
            </w:tcBorders>
            <w:shd w:val="clear" w:color="auto" w:fill="auto"/>
            <w:vAlign w:val="center"/>
            <w:hideMark/>
          </w:tcPr>
          <w:p w14:paraId="0896C1FD"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B – Těžba a dobývání</w:t>
            </w:r>
          </w:p>
        </w:tc>
        <w:tc>
          <w:tcPr>
            <w:tcW w:w="635" w:type="dxa"/>
            <w:tcBorders>
              <w:top w:val="nil"/>
              <w:left w:val="nil"/>
              <w:bottom w:val="nil"/>
              <w:right w:val="nil"/>
            </w:tcBorders>
            <w:shd w:val="clear" w:color="auto" w:fill="auto"/>
            <w:noWrap/>
            <w:vAlign w:val="center"/>
            <w:hideMark/>
          </w:tcPr>
          <w:p w14:paraId="1A9CCF4B" w14:textId="77777777" w:rsidR="00690A91" w:rsidRPr="00690A91" w:rsidRDefault="00690A91" w:rsidP="00690A91">
            <w:pPr>
              <w:spacing w:after="0" w:line="240" w:lineRule="auto"/>
              <w:jc w:val="right"/>
              <w:rPr>
                <w:rFonts w:cs="Arial"/>
                <w:sz w:val="16"/>
                <w:szCs w:val="16"/>
              </w:rPr>
            </w:pPr>
            <w:r w:rsidRPr="00690A91">
              <w:rPr>
                <w:rFonts w:cs="Arial"/>
                <w:sz w:val="16"/>
                <w:szCs w:val="16"/>
              </w:rPr>
              <w:t>4,39</w:t>
            </w:r>
          </w:p>
        </w:tc>
        <w:tc>
          <w:tcPr>
            <w:tcW w:w="635" w:type="dxa"/>
            <w:tcBorders>
              <w:top w:val="nil"/>
              <w:left w:val="nil"/>
              <w:bottom w:val="nil"/>
              <w:right w:val="nil"/>
            </w:tcBorders>
            <w:shd w:val="clear" w:color="auto" w:fill="auto"/>
            <w:noWrap/>
            <w:vAlign w:val="center"/>
            <w:hideMark/>
          </w:tcPr>
          <w:p w14:paraId="0CC9358F"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4,40</w:t>
            </w:r>
          </w:p>
        </w:tc>
        <w:tc>
          <w:tcPr>
            <w:tcW w:w="635" w:type="dxa"/>
            <w:tcBorders>
              <w:top w:val="nil"/>
              <w:left w:val="nil"/>
              <w:bottom w:val="nil"/>
              <w:right w:val="nil"/>
            </w:tcBorders>
            <w:shd w:val="clear" w:color="auto" w:fill="auto"/>
            <w:noWrap/>
            <w:vAlign w:val="center"/>
            <w:hideMark/>
          </w:tcPr>
          <w:p w14:paraId="1E18631A" w14:textId="77777777" w:rsidR="00690A91" w:rsidRPr="00690A91" w:rsidRDefault="00690A91" w:rsidP="00690A91">
            <w:pPr>
              <w:spacing w:after="0" w:line="240" w:lineRule="auto"/>
              <w:jc w:val="right"/>
              <w:rPr>
                <w:rFonts w:cs="Arial"/>
                <w:sz w:val="16"/>
                <w:szCs w:val="16"/>
              </w:rPr>
            </w:pPr>
            <w:r w:rsidRPr="00690A91">
              <w:rPr>
                <w:rFonts w:cs="Arial"/>
                <w:sz w:val="16"/>
                <w:szCs w:val="16"/>
              </w:rPr>
              <w:t>4,31</w:t>
            </w:r>
          </w:p>
        </w:tc>
        <w:tc>
          <w:tcPr>
            <w:tcW w:w="635" w:type="dxa"/>
            <w:tcBorders>
              <w:top w:val="nil"/>
              <w:left w:val="nil"/>
              <w:bottom w:val="nil"/>
              <w:right w:val="nil"/>
            </w:tcBorders>
            <w:shd w:val="clear" w:color="auto" w:fill="auto"/>
            <w:noWrap/>
            <w:vAlign w:val="center"/>
            <w:hideMark/>
          </w:tcPr>
          <w:p w14:paraId="289EA01B" w14:textId="77777777" w:rsidR="00690A91" w:rsidRPr="00690A91" w:rsidRDefault="00690A91" w:rsidP="00690A91">
            <w:pPr>
              <w:spacing w:after="0" w:line="240" w:lineRule="auto"/>
              <w:jc w:val="right"/>
              <w:rPr>
                <w:rFonts w:cs="Arial"/>
                <w:sz w:val="16"/>
                <w:szCs w:val="16"/>
              </w:rPr>
            </w:pPr>
            <w:r w:rsidRPr="00690A91">
              <w:rPr>
                <w:rFonts w:cs="Arial"/>
                <w:sz w:val="16"/>
                <w:szCs w:val="16"/>
              </w:rPr>
              <w:t>4,91</w:t>
            </w:r>
          </w:p>
        </w:tc>
        <w:tc>
          <w:tcPr>
            <w:tcW w:w="635" w:type="dxa"/>
            <w:tcBorders>
              <w:top w:val="nil"/>
              <w:left w:val="nil"/>
              <w:bottom w:val="nil"/>
              <w:right w:val="nil"/>
            </w:tcBorders>
            <w:shd w:val="clear" w:color="auto" w:fill="auto"/>
            <w:noWrap/>
            <w:vAlign w:val="center"/>
            <w:hideMark/>
          </w:tcPr>
          <w:p w14:paraId="68710678" w14:textId="77777777" w:rsidR="00690A91" w:rsidRPr="00690A91" w:rsidRDefault="00690A91" w:rsidP="00690A91">
            <w:pPr>
              <w:spacing w:after="0" w:line="240" w:lineRule="auto"/>
              <w:jc w:val="right"/>
              <w:rPr>
                <w:rFonts w:cs="Arial"/>
                <w:sz w:val="16"/>
                <w:szCs w:val="16"/>
              </w:rPr>
            </w:pPr>
            <w:r w:rsidRPr="00690A91">
              <w:rPr>
                <w:rFonts w:cs="Arial"/>
                <w:sz w:val="16"/>
                <w:szCs w:val="16"/>
              </w:rPr>
              <w:t>4,80</w:t>
            </w:r>
          </w:p>
        </w:tc>
        <w:tc>
          <w:tcPr>
            <w:tcW w:w="635" w:type="dxa"/>
            <w:tcBorders>
              <w:top w:val="nil"/>
              <w:left w:val="nil"/>
              <w:bottom w:val="nil"/>
              <w:right w:val="nil"/>
            </w:tcBorders>
            <w:shd w:val="clear" w:color="auto" w:fill="auto"/>
            <w:noWrap/>
            <w:vAlign w:val="center"/>
            <w:hideMark/>
          </w:tcPr>
          <w:p w14:paraId="5312218E" w14:textId="77777777" w:rsidR="00690A91" w:rsidRPr="00690A91" w:rsidRDefault="00690A91" w:rsidP="00690A91">
            <w:pPr>
              <w:spacing w:after="0" w:line="240" w:lineRule="auto"/>
              <w:jc w:val="right"/>
              <w:rPr>
                <w:rFonts w:cs="Arial"/>
                <w:sz w:val="16"/>
                <w:szCs w:val="16"/>
              </w:rPr>
            </w:pPr>
            <w:r w:rsidRPr="00690A91">
              <w:rPr>
                <w:rFonts w:cs="Arial"/>
                <w:sz w:val="16"/>
                <w:szCs w:val="16"/>
              </w:rPr>
              <w:t>5,05</w:t>
            </w:r>
          </w:p>
        </w:tc>
        <w:tc>
          <w:tcPr>
            <w:tcW w:w="635" w:type="dxa"/>
            <w:tcBorders>
              <w:top w:val="nil"/>
              <w:left w:val="nil"/>
              <w:bottom w:val="nil"/>
              <w:right w:val="nil"/>
            </w:tcBorders>
            <w:shd w:val="clear" w:color="auto" w:fill="auto"/>
            <w:noWrap/>
            <w:vAlign w:val="center"/>
            <w:hideMark/>
          </w:tcPr>
          <w:p w14:paraId="799E1701"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5,74</w:t>
            </w:r>
          </w:p>
        </w:tc>
        <w:tc>
          <w:tcPr>
            <w:tcW w:w="635" w:type="dxa"/>
            <w:tcBorders>
              <w:top w:val="nil"/>
              <w:left w:val="nil"/>
              <w:bottom w:val="nil"/>
              <w:right w:val="nil"/>
            </w:tcBorders>
            <w:shd w:val="clear" w:color="auto" w:fill="auto"/>
            <w:noWrap/>
            <w:vAlign w:val="center"/>
            <w:hideMark/>
          </w:tcPr>
          <w:p w14:paraId="40E57A13"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6,63</w:t>
            </w:r>
          </w:p>
        </w:tc>
        <w:tc>
          <w:tcPr>
            <w:tcW w:w="635" w:type="dxa"/>
            <w:tcBorders>
              <w:top w:val="nil"/>
              <w:left w:val="nil"/>
              <w:bottom w:val="nil"/>
              <w:right w:val="nil"/>
            </w:tcBorders>
            <w:shd w:val="clear" w:color="000000" w:fill="FFFFFF"/>
            <w:noWrap/>
            <w:vAlign w:val="center"/>
            <w:hideMark/>
          </w:tcPr>
          <w:p w14:paraId="3E88F65B"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5,87</w:t>
            </w:r>
          </w:p>
        </w:tc>
        <w:tc>
          <w:tcPr>
            <w:tcW w:w="661" w:type="dxa"/>
            <w:gridSpan w:val="2"/>
            <w:tcBorders>
              <w:top w:val="nil"/>
              <w:left w:val="nil"/>
              <w:bottom w:val="nil"/>
              <w:right w:val="nil"/>
            </w:tcBorders>
            <w:shd w:val="clear" w:color="000000" w:fill="FFFFFF"/>
            <w:noWrap/>
            <w:vAlign w:val="center"/>
            <w:hideMark/>
          </w:tcPr>
          <w:p w14:paraId="275FD787"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6,11</w:t>
            </w:r>
          </w:p>
        </w:tc>
      </w:tr>
      <w:tr w:rsidR="00690A91" w:rsidRPr="00690A91" w14:paraId="29272754" w14:textId="77777777" w:rsidTr="00B3736B">
        <w:trPr>
          <w:trHeight w:val="287"/>
        </w:trPr>
        <w:tc>
          <w:tcPr>
            <w:tcW w:w="3390" w:type="dxa"/>
            <w:tcBorders>
              <w:top w:val="nil"/>
              <w:left w:val="nil"/>
              <w:bottom w:val="nil"/>
              <w:right w:val="nil"/>
            </w:tcBorders>
            <w:shd w:val="clear" w:color="auto" w:fill="auto"/>
            <w:vAlign w:val="center"/>
            <w:hideMark/>
          </w:tcPr>
          <w:p w14:paraId="71EC9C61"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C – Zpracovatelský průmysl</w:t>
            </w:r>
          </w:p>
        </w:tc>
        <w:tc>
          <w:tcPr>
            <w:tcW w:w="635" w:type="dxa"/>
            <w:tcBorders>
              <w:top w:val="nil"/>
              <w:left w:val="nil"/>
              <w:bottom w:val="nil"/>
              <w:right w:val="nil"/>
            </w:tcBorders>
            <w:shd w:val="clear" w:color="auto" w:fill="auto"/>
            <w:noWrap/>
            <w:vAlign w:val="center"/>
            <w:hideMark/>
          </w:tcPr>
          <w:p w14:paraId="1D3818F8" w14:textId="77777777" w:rsidR="00690A91" w:rsidRPr="00690A91" w:rsidRDefault="00690A91" w:rsidP="00690A91">
            <w:pPr>
              <w:spacing w:after="0" w:line="240" w:lineRule="auto"/>
              <w:jc w:val="right"/>
              <w:rPr>
                <w:rFonts w:cs="Arial"/>
                <w:sz w:val="16"/>
                <w:szCs w:val="16"/>
              </w:rPr>
            </w:pPr>
            <w:r w:rsidRPr="00690A91">
              <w:rPr>
                <w:rFonts w:cs="Arial"/>
                <w:sz w:val="16"/>
                <w:szCs w:val="16"/>
              </w:rPr>
              <w:t>4,76</w:t>
            </w:r>
          </w:p>
        </w:tc>
        <w:tc>
          <w:tcPr>
            <w:tcW w:w="635" w:type="dxa"/>
            <w:tcBorders>
              <w:top w:val="nil"/>
              <w:left w:val="nil"/>
              <w:bottom w:val="nil"/>
              <w:right w:val="nil"/>
            </w:tcBorders>
            <w:shd w:val="clear" w:color="auto" w:fill="auto"/>
            <w:noWrap/>
            <w:vAlign w:val="center"/>
            <w:hideMark/>
          </w:tcPr>
          <w:p w14:paraId="0C22B2F2"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4,56</w:t>
            </w:r>
          </w:p>
        </w:tc>
        <w:tc>
          <w:tcPr>
            <w:tcW w:w="635" w:type="dxa"/>
            <w:tcBorders>
              <w:top w:val="nil"/>
              <w:left w:val="nil"/>
              <w:bottom w:val="nil"/>
              <w:right w:val="nil"/>
            </w:tcBorders>
            <w:shd w:val="clear" w:color="auto" w:fill="auto"/>
            <w:noWrap/>
            <w:vAlign w:val="center"/>
            <w:hideMark/>
          </w:tcPr>
          <w:p w14:paraId="2A37A104" w14:textId="77777777" w:rsidR="00690A91" w:rsidRPr="00690A91" w:rsidRDefault="00690A91" w:rsidP="00690A91">
            <w:pPr>
              <w:spacing w:after="0" w:line="240" w:lineRule="auto"/>
              <w:jc w:val="right"/>
              <w:rPr>
                <w:rFonts w:cs="Arial"/>
                <w:sz w:val="16"/>
                <w:szCs w:val="16"/>
              </w:rPr>
            </w:pPr>
            <w:r w:rsidRPr="00690A91">
              <w:rPr>
                <w:rFonts w:cs="Arial"/>
                <w:sz w:val="16"/>
                <w:szCs w:val="16"/>
              </w:rPr>
              <w:t>4,36</w:t>
            </w:r>
          </w:p>
        </w:tc>
        <w:tc>
          <w:tcPr>
            <w:tcW w:w="635" w:type="dxa"/>
            <w:tcBorders>
              <w:top w:val="nil"/>
              <w:left w:val="nil"/>
              <w:bottom w:val="nil"/>
              <w:right w:val="nil"/>
            </w:tcBorders>
            <w:shd w:val="clear" w:color="auto" w:fill="auto"/>
            <w:noWrap/>
            <w:vAlign w:val="center"/>
            <w:hideMark/>
          </w:tcPr>
          <w:p w14:paraId="3328EBA6" w14:textId="77777777" w:rsidR="00690A91" w:rsidRPr="00690A91" w:rsidRDefault="00690A91" w:rsidP="00690A91">
            <w:pPr>
              <w:spacing w:after="0" w:line="240" w:lineRule="auto"/>
              <w:jc w:val="right"/>
              <w:rPr>
                <w:rFonts w:cs="Arial"/>
                <w:sz w:val="16"/>
                <w:szCs w:val="16"/>
              </w:rPr>
            </w:pPr>
            <w:r w:rsidRPr="00690A91">
              <w:rPr>
                <w:rFonts w:cs="Arial"/>
                <w:sz w:val="16"/>
                <w:szCs w:val="16"/>
              </w:rPr>
              <w:t>4,84</w:t>
            </w:r>
          </w:p>
        </w:tc>
        <w:tc>
          <w:tcPr>
            <w:tcW w:w="635" w:type="dxa"/>
            <w:tcBorders>
              <w:top w:val="nil"/>
              <w:left w:val="nil"/>
              <w:bottom w:val="nil"/>
              <w:right w:val="nil"/>
            </w:tcBorders>
            <w:shd w:val="clear" w:color="auto" w:fill="auto"/>
            <w:noWrap/>
            <w:vAlign w:val="center"/>
            <w:hideMark/>
          </w:tcPr>
          <w:p w14:paraId="43E506F0" w14:textId="77777777" w:rsidR="00690A91" w:rsidRPr="00690A91" w:rsidRDefault="00690A91" w:rsidP="00690A91">
            <w:pPr>
              <w:spacing w:after="0" w:line="240" w:lineRule="auto"/>
              <w:jc w:val="right"/>
              <w:rPr>
                <w:rFonts w:cs="Arial"/>
                <w:sz w:val="16"/>
                <w:szCs w:val="16"/>
              </w:rPr>
            </w:pPr>
            <w:r w:rsidRPr="00690A91">
              <w:rPr>
                <w:rFonts w:cs="Arial"/>
                <w:sz w:val="16"/>
                <w:szCs w:val="16"/>
              </w:rPr>
              <w:t>4,63</w:t>
            </w:r>
          </w:p>
        </w:tc>
        <w:tc>
          <w:tcPr>
            <w:tcW w:w="635" w:type="dxa"/>
            <w:tcBorders>
              <w:top w:val="nil"/>
              <w:left w:val="nil"/>
              <w:bottom w:val="nil"/>
              <w:right w:val="nil"/>
            </w:tcBorders>
            <w:shd w:val="clear" w:color="auto" w:fill="auto"/>
            <w:noWrap/>
            <w:vAlign w:val="center"/>
            <w:hideMark/>
          </w:tcPr>
          <w:p w14:paraId="4447F18A" w14:textId="77777777" w:rsidR="00690A91" w:rsidRPr="00690A91" w:rsidRDefault="00690A91" w:rsidP="00690A91">
            <w:pPr>
              <w:spacing w:after="0" w:line="240" w:lineRule="auto"/>
              <w:jc w:val="right"/>
              <w:rPr>
                <w:rFonts w:cs="Arial"/>
                <w:sz w:val="16"/>
                <w:szCs w:val="16"/>
              </w:rPr>
            </w:pPr>
            <w:r w:rsidRPr="00690A91">
              <w:rPr>
                <w:rFonts w:cs="Arial"/>
                <w:sz w:val="16"/>
                <w:szCs w:val="16"/>
              </w:rPr>
              <w:t>5,33</w:t>
            </w:r>
          </w:p>
        </w:tc>
        <w:tc>
          <w:tcPr>
            <w:tcW w:w="635" w:type="dxa"/>
            <w:tcBorders>
              <w:top w:val="nil"/>
              <w:left w:val="nil"/>
              <w:bottom w:val="nil"/>
              <w:right w:val="nil"/>
            </w:tcBorders>
            <w:shd w:val="clear" w:color="auto" w:fill="auto"/>
            <w:noWrap/>
            <w:vAlign w:val="center"/>
            <w:hideMark/>
          </w:tcPr>
          <w:p w14:paraId="170A187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5,67</w:t>
            </w:r>
          </w:p>
        </w:tc>
        <w:tc>
          <w:tcPr>
            <w:tcW w:w="635" w:type="dxa"/>
            <w:tcBorders>
              <w:top w:val="nil"/>
              <w:left w:val="nil"/>
              <w:bottom w:val="nil"/>
              <w:right w:val="nil"/>
            </w:tcBorders>
            <w:shd w:val="clear" w:color="auto" w:fill="auto"/>
            <w:noWrap/>
            <w:vAlign w:val="center"/>
            <w:hideMark/>
          </w:tcPr>
          <w:p w14:paraId="795A800C"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5,86</w:t>
            </w:r>
          </w:p>
        </w:tc>
        <w:tc>
          <w:tcPr>
            <w:tcW w:w="635" w:type="dxa"/>
            <w:tcBorders>
              <w:top w:val="nil"/>
              <w:left w:val="nil"/>
              <w:bottom w:val="nil"/>
              <w:right w:val="nil"/>
            </w:tcBorders>
            <w:shd w:val="clear" w:color="000000" w:fill="FFFFFF"/>
            <w:noWrap/>
            <w:vAlign w:val="center"/>
            <w:hideMark/>
          </w:tcPr>
          <w:p w14:paraId="1FEF4A3E"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6,08</w:t>
            </w:r>
          </w:p>
        </w:tc>
        <w:tc>
          <w:tcPr>
            <w:tcW w:w="661" w:type="dxa"/>
            <w:gridSpan w:val="2"/>
            <w:tcBorders>
              <w:top w:val="nil"/>
              <w:left w:val="nil"/>
              <w:bottom w:val="nil"/>
              <w:right w:val="nil"/>
            </w:tcBorders>
            <w:shd w:val="clear" w:color="000000" w:fill="FFFFFF"/>
            <w:noWrap/>
            <w:vAlign w:val="center"/>
            <w:hideMark/>
          </w:tcPr>
          <w:p w14:paraId="39FFE5FE"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6,27</w:t>
            </w:r>
          </w:p>
        </w:tc>
      </w:tr>
      <w:tr w:rsidR="00690A91" w:rsidRPr="00690A91" w14:paraId="5886B9FF" w14:textId="77777777" w:rsidTr="00B3736B">
        <w:trPr>
          <w:trHeight w:val="454"/>
        </w:trPr>
        <w:tc>
          <w:tcPr>
            <w:tcW w:w="3390" w:type="dxa"/>
            <w:tcBorders>
              <w:top w:val="nil"/>
              <w:left w:val="nil"/>
              <w:bottom w:val="nil"/>
              <w:right w:val="nil"/>
            </w:tcBorders>
            <w:shd w:val="clear" w:color="auto" w:fill="auto"/>
            <w:vAlign w:val="center"/>
            <w:hideMark/>
          </w:tcPr>
          <w:p w14:paraId="239ADC08" w14:textId="77777777" w:rsid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D – Výroba a rozvod elektřiny, plynu, tepla</w:t>
            </w:r>
          </w:p>
          <w:p w14:paraId="5E1C8420" w14:textId="7FFF09A5" w:rsidR="00690A91" w:rsidRPr="00690A91" w:rsidRDefault="00690A91" w:rsidP="00690A91">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690A91">
              <w:rPr>
                <w:rFonts w:ascii="Arial CE" w:hAnsi="Arial CE" w:cs="Arial CE"/>
                <w:sz w:val="16"/>
                <w:szCs w:val="16"/>
              </w:rPr>
              <w:t xml:space="preserve"> a klimatizovaného vzduchu</w:t>
            </w:r>
          </w:p>
        </w:tc>
        <w:tc>
          <w:tcPr>
            <w:tcW w:w="635" w:type="dxa"/>
            <w:tcBorders>
              <w:top w:val="nil"/>
              <w:left w:val="nil"/>
              <w:bottom w:val="nil"/>
              <w:right w:val="nil"/>
            </w:tcBorders>
            <w:shd w:val="clear" w:color="auto" w:fill="auto"/>
            <w:noWrap/>
            <w:vAlign w:val="center"/>
            <w:hideMark/>
          </w:tcPr>
          <w:p w14:paraId="0705ABD3" w14:textId="77777777" w:rsidR="00690A91" w:rsidRPr="00690A91" w:rsidRDefault="00690A91" w:rsidP="00690A91">
            <w:pPr>
              <w:spacing w:after="0" w:line="240" w:lineRule="auto"/>
              <w:jc w:val="right"/>
              <w:rPr>
                <w:rFonts w:cs="Arial"/>
                <w:sz w:val="16"/>
                <w:szCs w:val="16"/>
              </w:rPr>
            </w:pPr>
            <w:r w:rsidRPr="00690A91">
              <w:rPr>
                <w:rFonts w:cs="Arial"/>
                <w:sz w:val="16"/>
                <w:szCs w:val="16"/>
              </w:rPr>
              <w:t>2,25</w:t>
            </w:r>
          </w:p>
        </w:tc>
        <w:tc>
          <w:tcPr>
            <w:tcW w:w="635" w:type="dxa"/>
            <w:tcBorders>
              <w:top w:val="nil"/>
              <w:left w:val="nil"/>
              <w:bottom w:val="nil"/>
              <w:right w:val="nil"/>
            </w:tcBorders>
            <w:shd w:val="clear" w:color="auto" w:fill="auto"/>
            <w:noWrap/>
            <w:vAlign w:val="center"/>
            <w:hideMark/>
          </w:tcPr>
          <w:p w14:paraId="7F9D7C37"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2,22</w:t>
            </w:r>
          </w:p>
        </w:tc>
        <w:tc>
          <w:tcPr>
            <w:tcW w:w="635" w:type="dxa"/>
            <w:tcBorders>
              <w:top w:val="nil"/>
              <w:left w:val="nil"/>
              <w:bottom w:val="nil"/>
              <w:right w:val="nil"/>
            </w:tcBorders>
            <w:shd w:val="clear" w:color="auto" w:fill="auto"/>
            <w:noWrap/>
            <w:vAlign w:val="center"/>
            <w:hideMark/>
          </w:tcPr>
          <w:p w14:paraId="57B33D85" w14:textId="77777777" w:rsidR="00690A91" w:rsidRPr="00690A91" w:rsidRDefault="00690A91" w:rsidP="00690A91">
            <w:pPr>
              <w:spacing w:after="0" w:line="240" w:lineRule="auto"/>
              <w:jc w:val="right"/>
              <w:rPr>
                <w:rFonts w:cs="Arial"/>
                <w:sz w:val="16"/>
                <w:szCs w:val="16"/>
              </w:rPr>
            </w:pPr>
            <w:r w:rsidRPr="00690A91">
              <w:rPr>
                <w:rFonts w:cs="Arial"/>
                <w:sz w:val="16"/>
                <w:szCs w:val="16"/>
              </w:rPr>
              <w:t>2,16</w:t>
            </w:r>
          </w:p>
        </w:tc>
        <w:tc>
          <w:tcPr>
            <w:tcW w:w="635" w:type="dxa"/>
            <w:tcBorders>
              <w:top w:val="nil"/>
              <w:left w:val="nil"/>
              <w:bottom w:val="nil"/>
              <w:right w:val="nil"/>
            </w:tcBorders>
            <w:shd w:val="clear" w:color="auto" w:fill="auto"/>
            <w:noWrap/>
            <w:vAlign w:val="center"/>
            <w:hideMark/>
          </w:tcPr>
          <w:p w14:paraId="124BF4C1" w14:textId="77777777" w:rsidR="00690A91" w:rsidRPr="00690A91" w:rsidRDefault="00690A91" w:rsidP="00690A91">
            <w:pPr>
              <w:spacing w:after="0" w:line="240" w:lineRule="auto"/>
              <w:jc w:val="right"/>
              <w:rPr>
                <w:rFonts w:cs="Arial"/>
                <w:sz w:val="16"/>
                <w:szCs w:val="16"/>
              </w:rPr>
            </w:pPr>
            <w:r w:rsidRPr="00690A91">
              <w:rPr>
                <w:rFonts w:cs="Arial"/>
                <w:sz w:val="16"/>
                <w:szCs w:val="16"/>
              </w:rPr>
              <w:t>2,37</w:t>
            </w:r>
          </w:p>
        </w:tc>
        <w:tc>
          <w:tcPr>
            <w:tcW w:w="635" w:type="dxa"/>
            <w:tcBorders>
              <w:top w:val="nil"/>
              <w:left w:val="nil"/>
              <w:bottom w:val="nil"/>
              <w:right w:val="nil"/>
            </w:tcBorders>
            <w:shd w:val="clear" w:color="auto" w:fill="auto"/>
            <w:noWrap/>
            <w:vAlign w:val="center"/>
            <w:hideMark/>
          </w:tcPr>
          <w:p w14:paraId="06F95700" w14:textId="77777777" w:rsidR="00690A91" w:rsidRPr="00690A91" w:rsidRDefault="00690A91" w:rsidP="00690A91">
            <w:pPr>
              <w:spacing w:after="0" w:line="240" w:lineRule="auto"/>
              <w:jc w:val="right"/>
              <w:rPr>
                <w:rFonts w:cs="Arial"/>
                <w:sz w:val="16"/>
                <w:szCs w:val="16"/>
              </w:rPr>
            </w:pPr>
            <w:r w:rsidRPr="00690A91">
              <w:rPr>
                <w:rFonts w:cs="Arial"/>
                <w:sz w:val="16"/>
                <w:szCs w:val="16"/>
              </w:rPr>
              <w:t>2,20</w:t>
            </w:r>
          </w:p>
        </w:tc>
        <w:tc>
          <w:tcPr>
            <w:tcW w:w="635" w:type="dxa"/>
            <w:tcBorders>
              <w:top w:val="nil"/>
              <w:left w:val="nil"/>
              <w:bottom w:val="nil"/>
              <w:right w:val="nil"/>
            </w:tcBorders>
            <w:shd w:val="clear" w:color="auto" w:fill="auto"/>
            <w:noWrap/>
            <w:vAlign w:val="center"/>
            <w:hideMark/>
          </w:tcPr>
          <w:p w14:paraId="268B4809" w14:textId="77777777" w:rsidR="00690A91" w:rsidRPr="00690A91" w:rsidRDefault="00690A91" w:rsidP="00690A91">
            <w:pPr>
              <w:spacing w:after="0" w:line="240" w:lineRule="auto"/>
              <w:jc w:val="right"/>
              <w:rPr>
                <w:rFonts w:cs="Arial"/>
                <w:sz w:val="16"/>
                <w:szCs w:val="16"/>
              </w:rPr>
            </w:pPr>
            <w:r w:rsidRPr="00690A91">
              <w:rPr>
                <w:rFonts w:cs="Arial"/>
                <w:sz w:val="16"/>
                <w:szCs w:val="16"/>
              </w:rPr>
              <w:t>2,75</w:t>
            </w:r>
          </w:p>
        </w:tc>
        <w:tc>
          <w:tcPr>
            <w:tcW w:w="635" w:type="dxa"/>
            <w:tcBorders>
              <w:top w:val="nil"/>
              <w:left w:val="nil"/>
              <w:bottom w:val="nil"/>
              <w:right w:val="nil"/>
            </w:tcBorders>
            <w:shd w:val="clear" w:color="auto" w:fill="auto"/>
            <w:noWrap/>
            <w:vAlign w:val="center"/>
            <w:hideMark/>
          </w:tcPr>
          <w:p w14:paraId="48573B1D"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2,76</w:t>
            </w:r>
          </w:p>
        </w:tc>
        <w:tc>
          <w:tcPr>
            <w:tcW w:w="635" w:type="dxa"/>
            <w:tcBorders>
              <w:top w:val="nil"/>
              <w:left w:val="nil"/>
              <w:bottom w:val="nil"/>
              <w:right w:val="nil"/>
            </w:tcBorders>
            <w:shd w:val="clear" w:color="auto" w:fill="auto"/>
            <w:noWrap/>
            <w:vAlign w:val="center"/>
            <w:hideMark/>
          </w:tcPr>
          <w:p w14:paraId="5583AA11"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3,07</w:t>
            </w:r>
          </w:p>
        </w:tc>
        <w:tc>
          <w:tcPr>
            <w:tcW w:w="635" w:type="dxa"/>
            <w:tcBorders>
              <w:top w:val="nil"/>
              <w:left w:val="nil"/>
              <w:bottom w:val="nil"/>
              <w:right w:val="nil"/>
            </w:tcBorders>
            <w:shd w:val="clear" w:color="000000" w:fill="FFFFFF"/>
            <w:noWrap/>
            <w:vAlign w:val="center"/>
            <w:hideMark/>
          </w:tcPr>
          <w:p w14:paraId="3720228C"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3,04</w:t>
            </w:r>
          </w:p>
        </w:tc>
        <w:tc>
          <w:tcPr>
            <w:tcW w:w="661" w:type="dxa"/>
            <w:gridSpan w:val="2"/>
            <w:tcBorders>
              <w:top w:val="nil"/>
              <w:left w:val="nil"/>
              <w:bottom w:val="nil"/>
              <w:right w:val="nil"/>
            </w:tcBorders>
            <w:shd w:val="clear" w:color="000000" w:fill="FFFFFF"/>
            <w:noWrap/>
            <w:vAlign w:val="center"/>
            <w:hideMark/>
          </w:tcPr>
          <w:p w14:paraId="66DA1C90"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3,28</w:t>
            </w:r>
          </w:p>
        </w:tc>
      </w:tr>
      <w:tr w:rsidR="00690A91" w:rsidRPr="00690A91" w14:paraId="05C52B7D" w14:textId="77777777" w:rsidTr="00B3736B">
        <w:trPr>
          <w:trHeight w:val="681"/>
        </w:trPr>
        <w:tc>
          <w:tcPr>
            <w:tcW w:w="3390" w:type="dxa"/>
            <w:tcBorders>
              <w:top w:val="nil"/>
              <w:left w:val="nil"/>
              <w:bottom w:val="nil"/>
              <w:right w:val="nil"/>
            </w:tcBorders>
            <w:shd w:val="clear" w:color="auto" w:fill="auto"/>
            <w:vAlign w:val="center"/>
            <w:hideMark/>
          </w:tcPr>
          <w:p w14:paraId="5853A197" w14:textId="77777777" w:rsid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E – Zásobování vodou; činnosti související</w:t>
            </w:r>
          </w:p>
          <w:p w14:paraId="4F617CD0" w14:textId="77777777" w:rsidR="00690A91" w:rsidRDefault="00690A91" w:rsidP="00690A91">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690A91">
              <w:rPr>
                <w:rFonts w:ascii="Arial CE" w:hAnsi="Arial CE" w:cs="Arial CE"/>
                <w:sz w:val="16"/>
                <w:szCs w:val="16"/>
              </w:rPr>
              <w:t xml:space="preserve"> s odpadními vodami, odpady</w:t>
            </w:r>
          </w:p>
          <w:p w14:paraId="439A44E0" w14:textId="2068E583" w:rsidR="00690A91" w:rsidRPr="00690A91" w:rsidRDefault="00690A91" w:rsidP="00690A91">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690A91">
              <w:rPr>
                <w:rFonts w:ascii="Arial CE" w:hAnsi="Arial CE" w:cs="Arial CE"/>
                <w:sz w:val="16"/>
                <w:szCs w:val="16"/>
              </w:rPr>
              <w:t xml:space="preserve"> a sanacemi</w:t>
            </w:r>
          </w:p>
        </w:tc>
        <w:tc>
          <w:tcPr>
            <w:tcW w:w="635" w:type="dxa"/>
            <w:tcBorders>
              <w:top w:val="nil"/>
              <w:left w:val="nil"/>
              <w:bottom w:val="nil"/>
              <w:right w:val="nil"/>
            </w:tcBorders>
            <w:shd w:val="clear" w:color="auto" w:fill="auto"/>
            <w:noWrap/>
            <w:vAlign w:val="center"/>
            <w:hideMark/>
          </w:tcPr>
          <w:p w14:paraId="10512C08" w14:textId="77777777" w:rsidR="00690A91" w:rsidRPr="00690A91" w:rsidRDefault="00690A91" w:rsidP="00690A91">
            <w:pPr>
              <w:spacing w:after="0" w:line="240" w:lineRule="auto"/>
              <w:jc w:val="right"/>
              <w:rPr>
                <w:rFonts w:cs="Arial"/>
                <w:sz w:val="16"/>
                <w:szCs w:val="16"/>
              </w:rPr>
            </w:pPr>
            <w:r w:rsidRPr="00690A91">
              <w:rPr>
                <w:rFonts w:cs="Arial"/>
                <w:sz w:val="16"/>
                <w:szCs w:val="16"/>
              </w:rPr>
              <w:t>4,08</w:t>
            </w:r>
          </w:p>
        </w:tc>
        <w:tc>
          <w:tcPr>
            <w:tcW w:w="635" w:type="dxa"/>
            <w:tcBorders>
              <w:top w:val="nil"/>
              <w:left w:val="nil"/>
              <w:bottom w:val="nil"/>
              <w:right w:val="nil"/>
            </w:tcBorders>
            <w:shd w:val="clear" w:color="auto" w:fill="auto"/>
            <w:noWrap/>
            <w:vAlign w:val="center"/>
            <w:hideMark/>
          </w:tcPr>
          <w:p w14:paraId="1512DC8A"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3,93</w:t>
            </w:r>
          </w:p>
        </w:tc>
        <w:tc>
          <w:tcPr>
            <w:tcW w:w="635" w:type="dxa"/>
            <w:tcBorders>
              <w:top w:val="nil"/>
              <w:left w:val="nil"/>
              <w:bottom w:val="nil"/>
              <w:right w:val="nil"/>
            </w:tcBorders>
            <w:shd w:val="clear" w:color="auto" w:fill="auto"/>
            <w:noWrap/>
            <w:vAlign w:val="center"/>
            <w:hideMark/>
          </w:tcPr>
          <w:p w14:paraId="0FA3655D" w14:textId="77777777" w:rsidR="00690A91" w:rsidRPr="00690A91" w:rsidRDefault="00690A91" w:rsidP="00690A91">
            <w:pPr>
              <w:spacing w:after="0" w:line="240" w:lineRule="auto"/>
              <w:jc w:val="right"/>
              <w:rPr>
                <w:rFonts w:cs="Arial"/>
                <w:sz w:val="16"/>
                <w:szCs w:val="16"/>
              </w:rPr>
            </w:pPr>
            <w:r w:rsidRPr="00690A91">
              <w:rPr>
                <w:rFonts w:cs="Arial"/>
                <w:sz w:val="16"/>
                <w:szCs w:val="16"/>
              </w:rPr>
              <w:t>3,57</w:t>
            </w:r>
          </w:p>
        </w:tc>
        <w:tc>
          <w:tcPr>
            <w:tcW w:w="635" w:type="dxa"/>
            <w:tcBorders>
              <w:top w:val="nil"/>
              <w:left w:val="nil"/>
              <w:bottom w:val="nil"/>
              <w:right w:val="nil"/>
            </w:tcBorders>
            <w:shd w:val="clear" w:color="auto" w:fill="auto"/>
            <w:noWrap/>
            <w:vAlign w:val="center"/>
            <w:hideMark/>
          </w:tcPr>
          <w:p w14:paraId="0A74625A" w14:textId="77777777" w:rsidR="00690A91" w:rsidRPr="00690A91" w:rsidRDefault="00690A91" w:rsidP="00690A91">
            <w:pPr>
              <w:spacing w:after="0" w:line="240" w:lineRule="auto"/>
              <w:jc w:val="right"/>
              <w:rPr>
                <w:rFonts w:cs="Arial"/>
                <w:sz w:val="16"/>
                <w:szCs w:val="16"/>
              </w:rPr>
            </w:pPr>
            <w:r w:rsidRPr="00690A91">
              <w:rPr>
                <w:rFonts w:cs="Arial"/>
                <w:sz w:val="16"/>
                <w:szCs w:val="16"/>
              </w:rPr>
              <w:t>3,90</w:t>
            </w:r>
          </w:p>
        </w:tc>
        <w:tc>
          <w:tcPr>
            <w:tcW w:w="635" w:type="dxa"/>
            <w:tcBorders>
              <w:top w:val="nil"/>
              <w:left w:val="nil"/>
              <w:bottom w:val="nil"/>
              <w:right w:val="nil"/>
            </w:tcBorders>
            <w:shd w:val="clear" w:color="auto" w:fill="auto"/>
            <w:noWrap/>
            <w:vAlign w:val="center"/>
            <w:hideMark/>
          </w:tcPr>
          <w:p w14:paraId="2DEDC7B3" w14:textId="77777777" w:rsidR="00690A91" w:rsidRPr="00690A91" w:rsidRDefault="00690A91" w:rsidP="00690A91">
            <w:pPr>
              <w:spacing w:after="0" w:line="240" w:lineRule="auto"/>
              <w:jc w:val="right"/>
              <w:rPr>
                <w:rFonts w:cs="Arial"/>
                <w:sz w:val="16"/>
                <w:szCs w:val="16"/>
              </w:rPr>
            </w:pPr>
            <w:r w:rsidRPr="00690A91">
              <w:rPr>
                <w:rFonts w:cs="Arial"/>
                <w:sz w:val="16"/>
                <w:szCs w:val="16"/>
              </w:rPr>
              <w:t>4,01</w:t>
            </w:r>
          </w:p>
        </w:tc>
        <w:tc>
          <w:tcPr>
            <w:tcW w:w="635" w:type="dxa"/>
            <w:tcBorders>
              <w:top w:val="nil"/>
              <w:left w:val="nil"/>
              <w:bottom w:val="nil"/>
              <w:right w:val="nil"/>
            </w:tcBorders>
            <w:shd w:val="clear" w:color="auto" w:fill="auto"/>
            <w:noWrap/>
            <w:vAlign w:val="center"/>
            <w:hideMark/>
          </w:tcPr>
          <w:p w14:paraId="1612EFED" w14:textId="77777777" w:rsidR="00690A91" w:rsidRPr="00690A91" w:rsidRDefault="00690A91" w:rsidP="00690A91">
            <w:pPr>
              <w:spacing w:after="0" w:line="240" w:lineRule="auto"/>
              <w:jc w:val="right"/>
              <w:rPr>
                <w:rFonts w:cs="Arial"/>
                <w:sz w:val="16"/>
                <w:szCs w:val="16"/>
              </w:rPr>
            </w:pPr>
            <w:r w:rsidRPr="00690A91">
              <w:rPr>
                <w:rFonts w:cs="Arial"/>
                <w:sz w:val="16"/>
                <w:szCs w:val="16"/>
              </w:rPr>
              <w:t>4,51</w:t>
            </w:r>
          </w:p>
        </w:tc>
        <w:tc>
          <w:tcPr>
            <w:tcW w:w="635" w:type="dxa"/>
            <w:tcBorders>
              <w:top w:val="nil"/>
              <w:left w:val="nil"/>
              <w:bottom w:val="nil"/>
              <w:right w:val="nil"/>
            </w:tcBorders>
            <w:shd w:val="clear" w:color="auto" w:fill="auto"/>
            <w:noWrap/>
            <w:vAlign w:val="center"/>
            <w:hideMark/>
          </w:tcPr>
          <w:p w14:paraId="6F8B1F07"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4,60</w:t>
            </w:r>
          </w:p>
        </w:tc>
        <w:tc>
          <w:tcPr>
            <w:tcW w:w="635" w:type="dxa"/>
            <w:tcBorders>
              <w:top w:val="nil"/>
              <w:left w:val="nil"/>
              <w:bottom w:val="nil"/>
              <w:right w:val="nil"/>
            </w:tcBorders>
            <w:shd w:val="clear" w:color="auto" w:fill="auto"/>
            <w:noWrap/>
            <w:vAlign w:val="center"/>
            <w:hideMark/>
          </w:tcPr>
          <w:p w14:paraId="473237C5"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4,98</w:t>
            </w:r>
          </w:p>
        </w:tc>
        <w:tc>
          <w:tcPr>
            <w:tcW w:w="635" w:type="dxa"/>
            <w:tcBorders>
              <w:top w:val="nil"/>
              <w:left w:val="nil"/>
              <w:bottom w:val="nil"/>
              <w:right w:val="nil"/>
            </w:tcBorders>
            <w:shd w:val="clear" w:color="000000" w:fill="FFFFFF"/>
            <w:noWrap/>
            <w:vAlign w:val="center"/>
            <w:hideMark/>
          </w:tcPr>
          <w:p w14:paraId="6C924D84"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5,20</w:t>
            </w:r>
          </w:p>
        </w:tc>
        <w:tc>
          <w:tcPr>
            <w:tcW w:w="661" w:type="dxa"/>
            <w:gridSpan w:val="2"/>
            <w:tcBorders>
              <w:top w:val="nil"/>
              <w:left w:val="nil"/>
              <w:bottom w:val="nil"/>
              <w:right w:val="nil"/>
            </w:tcBorders>
            <w:shd w:val="clear" w:color="000000" w:fill="FFFFFF"/>
            <w:noWrap/>
            <w:vAlign w:val="center"/>
            <w:hideMark/>
          </w:tcPr>
          <w:p w14:paraId="43B4AFB2"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5,42</w:t>
            </w:r>
          </w:p>
        </w:tc>
      </w:tr>
      <w:tr w:rsidR="00690A91" w:rsidRPr="00690A91" w14:paraId="2B4E6565" w14:textId="77777777" w:rsidTr="00B3736B">
        <w:trPr>
          <w:trHeight w:val="287"/>
        </w:trPr>
        <w:tc>
          <w:tcPr>
            <w:tcW w:w="3390" w:type="dxa"/>
            <w:tcBorders>
              <w:top w:val="nil"/>
              <w:left w:val="nil"/>
              <w:bottom w:val="nil"/>
              <w:right w:val="nil"/>
            </w:tcBorders>
            <w:shd w:val="clear" w:color="auto" w:fill="auto"/>
            <w:vAlign w:val="center"/>
            <w:hideMark/>
          </w:tcPr>
          <w:p w14:paraId="78221C7E"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F – Stavebnictví</w:t>
            </w:r>
          </w:p>
        </w:tc>
        <w:tc>
          <w:tcPr>
            <w:tcW w:w="635" w:type="dxa"/>
            <w:tcBorders>
              <w:top w:val="nil"/>
              <w:left w:val="nil"/>
              <w:bottom w:val="nil"/>
              <w:right w:val="nil"/>
            </w:tcBorders>
            <w:shd w:val="clear" w:color="auto" w:fill="auto"/>
            <w:noWrap/>
            <w:vAlign w:val="center"/>
            <w:hideMark/>
          </w:tcPr>
          <w:p w14:paraId="4FAC15EB" w14:textId="77777777" w:rsidR="00690A91" w:rsidRPr="00690A91" w:rsidRDefault="00690A91" w:rsidP="00690A91">
            <w:pPr>
              <w:spacing w:after="0" w:line="240" w:lineRule="auto"/>
              <w:jc w:val="right"/>
              <w:rPr>
                <w:rFonts w:cs="Arial"/>
                <w:sz w:val="16"/>
                <w:szCs w:val="16"/>
              </w:rPr>
            </w:pPr>
            <w:r w:rsidRPr="00690A91">
              <w:rPr>
                <w:rFonts w:cs="Arial"/>
                <w:sz w:val="16"/>
                <w:szCs w:val="16"/>
              </w:rPr>
              <w:t>5,63</w:t>
            </w:r>
          </w:p>
        </w:tc>
        <w:tc>
          <w:tcPr>
            <w:tcW w:w="635" w:type="dxa"/>
            <w:tcBorders>
              <w:top w:val="nil"/>
              <w:left w:val="nil"/>
              <w:bottom w:val="nil"/>
              <w:right w:val="nil"/>
            </w:tcBorders>
            <w:shd w:val="clear" w:color="auto" w:fill="auto"/>
            <w:noWrap/>
            <w:vAlign w:val="center"/>
            <w:hideMark/>
          </w:tcPr>
          <w:p w14:paraId="17D1B3DC"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5,67</w:t>
            </w:r>
          </w:p>
        </w:tc>
        <w:tc>
          <w:tcPr>
            <w:tcW w:w="635" w:type="dxa"/>
            <w:tcBorders>
              <w:top w:val="nil"/>
              <w:left w:val="nil"/>
              <w:bottom w:val="nil"/>
              <w:right w:val="nil"/>
            </w:tcBorders>
            <w:shd w:val="clear" w:color="auto" w:fill="auto"/>
            <w:noWrap/>
            <w:vAlign w:val="center"/>
            <w:hideMark/>
          </w:tcPr>
          <w:p w14:paraId="62EDD071" w14:textId="77777777" w:rsidR="00690A91" w:rsidRPr="00690A91" w:rsidRDefault="00690A91" w:rsidP="00690A91">
            <w:pPr>
              <w:spacing w:after="0" w:line="240" w:lineRule="auto"/>
              <w:jc w:val="right"/>
              <w:rPr>
                <w:rFonts w:cs="Arial"/>
                <w:sz w:val="16"/>
                <w:szCs w:val="16"/>
              </w:rPr>
            </w:pPr>
            <w:r w:rsidRPr="00690A91">
              <w:rPr>
                <w:rFonts w:cs="Arial"/>
                <w:sz w:val="16"/>
                <w:szCs w:val="16"/>
              </w:rPr>
              <w:t>4,81</w:t>
            </w:r>
          </w:p>
        </w:tc>
        <w:tc>
          <w:tcPr>
            <w:tcW w:w="635" w:type="dxa"/>
            <w:tcBorders>
              <w:top w:val="nil"/>
              <w:left w:val="nil"/>
              <w:bottom w:val="nil"/>
              <w:right w:val="nil"/>
            </w:tcBorders>
            <w:shd w:val="clear" w:color="auto" w:fill="auto"/>
            <w:noWrap/>
            <w:vAlign w:val="center"/>
            <w:hideMark/>
          </w:tcPr>
          <w:p w14:paraId="586270DE" w14:textId="77777777" w:rsidR="00690A91" w:rsidRPr="00690A91" w:rsidRDefault="00690A91" w:rsidP="00690A91">
            <w:pPr>
              <w:spacing w:after="0" w:line="240" w:lineRule="auto"/>
              <w:jc w:val="right"/>
              <w:rPr>
                <w:rFonts w:cs="Arial"/>
                <w:sz w:val="16"/>
                <w:szCs w:val="16"/>
              </w:rPr>
            </w:pPr>
            <w:r w:rsidRPr="00690A91">
              <w:rPr>
                <w:rFonts w:cs="Arial"/>
                <w:sz w:val="16"/>
                <w:szCs w:val="16"/>
              </w:rPr>
              <w:t>5,37</w:t>
            </w:r>
          </w:p>
        </w:tc>
        <w:tc>
          <w:tcPr>
            <w:tcW w:w="635" w:type="dxa"/>
            <w:tcBorders>
              <w:top w:val="nil"/>
              <w:left w:val="nil"/>
              <w:bottom w:val="nil"/>
              <w:right w:val="nil"/>
            </w:tcBorders>
            <w:shd w:val="clear" w:color="auto" w:fill="auto"/>
            <w:noWrap/>
            <w:vAlign w:val="center"/>
            <w:hideMark/>
          </w:tcPr>
          <w:p w14:paraId="5390CB1D" w14:textId="77777777" w:rsidR="00690A91" w:rsidRPr="00690A91" w:rsidRDefault="00690A91" w:rsidP="00690A91">
            <w:pPr>
              <w:spacing w:after="0" w:line="240" w:lineRule="auto"/>
              <w:jc w:val="right"/>
              <w:rPr>
                <w:rFonts w:cs="Arial"/>
                <w:sz w:val="16"/>
                <w:szCs w:val="16"/>
              </w:rPr>
            </w:pPr>
            <w:r w:rsidRPr="00690A91">
              <w:rPr>
                <w:rFonts w:cs="Arial"/>
                <w:sz w:val="16"/>
                <w:szCs w:val="16"/>
              </w:rPr>
              <w:t>4,92</w:t>
            </w:r>
          </w:p>
        </w:tc>
        <w:tc>
          <w:tcPr>
            <w:tcW w:w="635" w:type="dxa"/>
            <w:tcBorders>
              <w:top w:val="nil"/>
              <w:left w:val="nil"/>
              <w:bottom w:val="nil"/>
              <w:right w:val="nil"/>
            </w:tcBorders>
            <w:shd w:val="clear" w:color="auto" w:fill="auto"/>
            <w:noWrap/>
            <w:vAlign w:val="center"/>
            <w:hideMark/>
          </w:tcPr>
          <w:p w14:paraId="74CD08E6" w14:textId="77777777" w:rsidR="00690A91" w:rsidRPr="00690A91" w:rsidRDefault="00690A91" w:rsidP="00690A91">
            <w:pPr>
              <w:spacing w:after="0" w:line="240" w:lineRule="auto"/>
              <w:jc w:val="right"/>
              <w:rPr>
                <w:rFonts w:cs="Arial"/>
                <w:sz w:val="16"/>
                <w:szCs w:val="16"/>
              </w:rPr>
            </w:pPr>
            <w:r w:rsidRPr="00690A91">
              <w:rPr>
                <w:rFonts w:cs="Arial"/>
                <w:sz w:val="16"/>
                <w:szCs w:val="16"/>
              </w:rPr>
              <w:t>5,11</w:t>
            </w:r>
          </w:p>
        </w:tc>
        <w:tc>
          <w:tcPr>
            <w:tcW w:w="635" w:type="dxa"/>
            <w:tcBorders>
              <w:top w:val="nil"/>
              <w:left w:val="nil"/>
              <w:bottom w:val="nil"/>
              <w:right w:val="nil"/>
            </w:tcBorders>
            <w:shd w:val="clear" w:color="auto" w:fill="auto"/>
            <w:noWrap/>
            <w:vAlign w:val="center"/>
            <w:hideMark/>
          </w:tcPr>
          <w:p w14:paraId="78DB58E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5,17</w:t>
            </w:r>
          </w:p>
        </w:tc>
        <w:tc>
          <w:tcPr>
            <w:tcW w:w="635" w:type="dxa"/>
            <w:tcBorders>
              <w:top w:val="nil"/>
              <w:left w:val="nil"/>
              <w:bottom w:val="nil"/>
              <w:right w:val="nil"/>
            </w:tcBorders>
            <w:shd w:val="clear" w:color="auto" w:fill="auto"/>
            <w:noWrap/>
            <w:vAlign w:val="center"/>
            <w:hideMark/>
          </w:tcPr>
          <w:p w14:paraId="11EFD2EC"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5,32</w:t>
            </w:r>
          </w:p>
        </w:tc>
        <w:tc>
          <w:tcPr>
            <w:tcW w:w="635" w:type="dxa"/>
            <w:tcBorders>
              <w:top w:val="nil"/>
              <w:left w:val="nil"/>
              <w:bottom w:val="nil"/>
              <w:right w:val="nil"/>
            </w:tcBorders>
            <w:shd w:val="clear" w:color="000000" w:fill="FFFFFF"/>
            <w:noWrap/>
            <w:vAlign w:val="center"/>
            <w:hideMark/>
          </w:tcPr>
          <w:p w14:paraId="387B5238"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5,21</w:t>
            </w:r>
          </w:p>
        </w:tc>
        <w:tc>
          <w:tcPr>
            <w:tcW w:w="661" w:type="dxa"/>
            <w:gridSpan w:val="2"/>
            <w:tcBorders>
              <w:top w:val="nil"/>
              <w:left w:val="nil"/>
              <w:bottom w:val="nil"/>
              <w:right w:val="nil"/>
            </w:tcBorders>
            <w:shd w:val="clear" w:color="000000" w:fill="FFFFFF"/>
            <w:noWrap/>
            <w:vAlign w:val="center"/>
            <w:hideMark/>
          </w:tcPr>
          <w:p w14:paraId="6E0E07CE"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5,24</w:t>
            </w:r>
          </w:p>
        </w:tc>
      </w:tr>
      <w:tr w:rsidR="00690A91" w:rsidRPr="00690A91" w14:paraId="753C7B12" w14:textId="77777777" w:rsidTr="00B3736B">
        <w:trPr>
          <w:trHeight w:val="454"/>
        </w:trPr>
        <w:tc>
          <w:tcPr>
            <w:tcW w:w="3390" w:type="dxa"/>
            <w:tcBorders>
              <w:top w:val="nil"/>
              <w:left w:val="nil"/>
              <w:bottom w:val="nil"/>
              <w:right w:val="nil"/>
            </w:tcBorders>
            <w:shd w:val="clear" w:color="auto" w:fill="auto"/>
            <w:vAlign w:val="center"/>
            <w:hideMark/>
          </w:tcPr>
          <w:p w14:paraId="3D10C2A7" w14:textId="77777777" w:rsid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 xml:space="preserve">G – Velkoobchod a maloobchod; opravy </w:t>
            </w:r>
          </w:p>
          <w:p w14:paraId="79949B65" w14:textId="2DB4770C" w:rsidR="00690A91" w:rsidRPr="00690A91" w:rsidRDefault="00690A91" w:rsidP="00690A91">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a údržba </w:t>
            </w:r>
            <w:r w:rsidRPr="00690A91">
              <w:rPr>
                <w:rFonts w:ascii="Arial CE" w:hAnsi="Arial CE" w:cs="Arial CE"/>
                <w:sz w:val="16"/>
                <w:szCs w:val="16"/>
              </w:rPr>
              <w:t>motorových vozidel</w:t>
            </w:r>
          </w:p>
        </w:tc>
        <w:tc>
          <w:tcPr>
            <w:tcW w:w="635" w:type="dxa"/>
            <w:tcBorders>
              <w:top w:val="nil"/>
              <w:left w:val="nil"/>
              <w:bottom w:val="nil"/>
              <w:right w:val="nil"/>
            </w:tcBorders>
            <w:shd w:val="clear" w:color="auto" w:fill="auto"/>
            <w:noWrap/>
            <w:vAlign w:val="center"/>
            <w:hideMark/>
          </w:tcPr>
          <w:p w14:paraId="551A6B60" w14:textId="77777777" w:rsidR="00690A91" w:rsidRPr="00690A91" w:rsidRDefault="00690A91" w:rsidP="00690A91">
            <w:pPr>
              <w:spacing w:after="0" w:line="240" w:lineRule="auto"/>
              <w:jc w:val="right"/>
              <w:rPr>
                <w:rFonts w:cs="Arial"/>
                <w:sz w:val="16"/>
                <w:szCs w:val="16"/>
              </w:rPr>
            </w:pPr>
            <w:r w:rsidRPr="00690A91">
              <w:rPr>
                <w:rFonts w:cs="Arial"/>
                <w:sz w:val="16"/>
                <w:szCs w:val="16"/>
              </w:rPr>
              <w:t>4,21</w:t>
            </w:r>
          </w:p>
        </w:tc>
        <w:tc>
          <w:tcPr>
            <w:tcW w:w="635" w:type="dxa"/>
            <w:tcBorders>
              <w:top w:val="nil"/>
              <w:left w:val="nil"/>
              <w:bottom w:val="nil"/>
              <w:right w:val="nil"/>
            </w:tcBorders>
            <w:shd w:val="clear" w:color="auto" w:fill="auto"/>
            <w:noWrap/>
            <w:vAlign w:val="center"/>
            <w:hideMark/>
          </w:tcPr>
          <w:p w14:paraId="71961B1D"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4,02</w:t>
            </w:r>
          </w:p>
        </w:tc>
        <w:tc>
          <w:tcPr>
            <w:tcW w:w="635" w:type="dxa"/>
            <w:tcBorders>
              <w:top w:val="nil"/>
              <w:left w:val="nil"/>
              <w:bottom w:val="nil"/>
              <w:right w:val="nil"/>
            </w:tcBorders>
            <w:shd w:val="clear" w:color="auto" w:fill="auto"/>
            <w:noWrap/>
            <w:vAlign w:val="center"/>
            <w:hideMark/>
          </w:tcPr>
          <w:p w14:paraId="269B0E30" w14:textId="77777777" w:rsidR="00690A91" w:rsidRPr="00690A91" w:rsidRDefault="00690A91" w:rsidP="00690A91">
            <w:pPr>
              <w:spacing w:after="0" w:line="240" w:lineRule="auto"/>
              <w:jc w:val="right"/>
              <w:rPr>
                <w:rFonts w:cs="Arial"/>
                <w:sz w:val="16"/>
                <w:szCs w:val="16"/>
              </w:rPr>
            </w:pPr>
            <w:r w:rsidRPr="00690A91">
              <w:rPr>
                <w:rFonts w:cs="Arial"/>
                <w:sz w:val="16"/>
                <w:szCs w:val="16"/>
              </w:rPr>
              <w:t>3,53</w:t>
            </w:r>
          </w:p>
        </w:tc>
        <w:tc>
          <w:tcPr>
            <w:tcW w:w="635" w:type="dxa"/>
            <w:tcBorders>
              <w:top w:val="nil"/>
              <w:left w:val="nil"/>
              <w:bottom w:val="nil"/>
              <w:right w:val="nil"/>
            </w:tcBorders>
            <w:shd w:val="clear" w:color="auto" w:fill="auto"/>
            <w:noWrap/>
            <w:vAlign w:val="center"/>
            <w:hideMark/>
          </w:tcPr>
          <w:p w14:paraId="257C1B95" w14:textId="77777777" w:rsidR="00690A91" w:rsidRPr="00690A91" w:rsidRDefault="00690A91" w:rsidP="00690A91">
            <w:pPr>
              <w:spacing w:after="0" w:line="240" w:lineRule="auto"/>
              <w:jc w:val="right"/>
              <w:rPr>
                <w:rFonts w:cs="Arial"/>
                <w:sz w:val="16"/>
                <w:szCs w:val="16"/>
              </w:rPr>
            </w:pPr>
            <w:r w:rsidRPr="00690A91">
              <w:rPr>
                <w:rFonts w:cs="Arial"/>
                <w:sz w:val="16"/>
                <w:szCs w:val="16"/>
              </w:rPr>
              <w:t>3,87</w:t>
            </w:r>
          </w:p>
        </w:tc>
        <w:tc>
          <w:tcPr>
            <w:tcW w:w="635" w:type="dxa"/>
            <w:tcBorders>
              <w:top w:val="nil"/>
              <w:left w:val="nil"/>
              <w:bottom w:val="nil"/>
              <w:right w:val="nil"/>
            </w:tcBorders>
            <w:shd w:val="clear" w:color="auto" w:fill="auto"/>
            <w:noWrap/>
            <w:vAlign w:val="center"/>
            <w:hideMark/>
          </w:tcPr>
          <w:p w14:paraId="253AFC4C" w14:textId="77777777" w:rsidR="00690A91" w:rsidRPr="00690A91" w:rsidRDefault="00690A91" w:rsidP="00690A91">
            <w:pPr>
              <w:spacing w:after="0" w:line="240" w:lineRule="auto"/>
              <w:jc w:val="right"/>
              <w:rPr>
                <w:rFonts w:cs="Arial"/>
                <w:sz w:val="16"/>
                <w:szCs w:val="16"/>
              </w:rPr>
            </w:pPr>
            <w:r w:rsidRPr="00690A91">
              <w:rPr>
                <w:rFonts w:cs="Arial"/>
                <w:sz w:val="16"/>
                <w:szCs w:val="16"/>
              </w:rPr>
              <w:t>3,77</w:t>
            </w:r>
          </w:p>
        </w:tc>
        <w:tc>
          <w:tcPr>
            <w:tcW w:w="635" w:type="dxa"/>
            <w:tcBorders>
              <w:top w:val="nil"/>
              <w:left w:val="nil"/>
              <w:bottom w:val="nil"/>
              <w:right w:val="nil"/>
            </w:tcBorders>
            <w:shd w:val="clear" w:color="auto" w:fill="auto"/>
            <w:noWrap/>
            <w:vAlign w:val="center"/>
            <w:hideMark/>
          </w:tcPr>
          <w:p w14:paraId="62EDA8ED" w14:textId="77777777" w:rsidR="00690A91" w:rsidRPr="00690A91" w:rsidRDefault="00690A91" w:rsidP="00690A91">
            <w:pPr>
              <w:spacing w:after="0" w:line="240" w:lineRule="auto"/>
              <w:jc w:val="right"/>
              <w:rPr>
                <w:rFonts w:cs="Arial"/>
                <w:sz w:val="16"/>
                <w:szCs w:val="16"/>
              </w:rPr>
            </w:pPr>
            <w:r w:rsidRPr="00690A91">
              <w:rPr>
                <w:rFonts w:cs="Arial"/>
                <w:sz w:val="16"/>
                <w:szCs w:val="16"/>
              </w:rPr>
              <w:t>4,15</w:t>
            </w:r>
          </w:p>
        </w:tc>
        <w:tc>
          <w:tcPr>
            <w:tcW w:w="635" w:type="dxa"/>
            <w:tcBorders>
              <w:top w:val="nil"/>
              <w:left w:val="nil"/>
              <w:bottom w:val="nil"/>
              <w:right w:val="nil"/>
            </w:tcBorders>
            <w:shd w:val="clear" w:color="auto" w:fill="auto"/>
            <w:noWrap/>
            <w:vAlign w:val="center"/>
            <w:hideMark/>
          </w:tcPr>
          <w:p w14:paraId="52768A93"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4,42</w:t>
            </w:r>
          </w:p>
        </w:tc>
        <w:tc>
          <w:tcPr>
            <w:tcW w:w="635" w:type="dxa"/>
            <w:tcBorders>
              <w:top w:val="nil"/>
              <w:left w:val="nil"/>
              <w:bottom w:val="nil"/>
              <w:right w:val="nil"/>
            </w:tcBorders>
            <w:shd w:val="clear" w:color="auto" w:fill="auto"/>
            <w:noWrap/>
            <w:vAlign w:val="center"/>
            <w:hideMark/>
          </w:tcPr>
          <w:p w14:paraId="28AF1A9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4,59</w:t>
            </w:r>
          </w:p>
        </w:tc>
        <w:tc>
          <w:tcPr>
            <w:tcW w:w="635" w:type="dxa"/>
            <w:tcBorders>
              <w:top w:val="nil"/>
              <w:left w:val="nil"/>
              <w:bottom w:val="nil"/>
              <w:right w:val="nil"/>
            </w:tcBorders>
            <w:shd w:val="clear" w:color="000000" w:fill="FFFFFF"/>
            <w:noWrap/>
            <w:vAlign w:val="center"/>
            <w:hideMark/>
          </w:tcPr>
          <w:p w14:paraId="609D0AD8"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4,87</w:t>
            </w:r>
          </w:p>
        </w:tc>
        <w:tc>
          <w:tcPr>
            <w:tcW w:w="661" w:type="dxa"/>
            <w:gridSpan w:val="2"/>
            <w:tcBorders>
              <w:top w:val="nil"/>
              <w:left w:val="nil"/>
              <w:bottom w:val="nil"/>
              <w:right w:val="nil"/>
            </w:tcBorders>
            <w:shd w:val="clear" w:color="000000" w:fill="FFFFFF"/>
            <w:noWrap/>
            <w:vAlign w:val="center"/>
            <w:hideMark/>
          </w:tcPr>
          <w:p w14:paraId="03B5EC72"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5,07</w:t>
            </w:r>
          </w:p>
        </w:tc>
      </w:tr>
      <w:tr w:rsidR="00690A91" w:rsidRPr="00690A91" w14:paraId="6E48EE78" w14:textId="77777777" w:rsidTr="00B3736B">
        <w:trPr>
          <w:trHeight w:val="287"/>
        </w:trPr>
        <w:tc>
          <w:tcPr>
            <w:tcW w:w="3390" w:type="dxa"/>
            <w:tcBorders>
              <w:top w:val="nil"/>
              <w:left w:val="nil"/>
              <w:bottom w:val="nil"/>
              <w:right w:val="nil"/>
            </w:tcBorders>
            <w:shd w:val="clear" w:color="auto" w:fill="auto"/>
            <w:vAlign w:val="center"/>
            <w:hideMark/>
          </w:tcPr>
          <w:p w14:paraId="2C4A6171"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H – Doprava a skladování</w:t>
            </w:r>
          </w:p>
        </w:tc>
        <w:tc>
          <w:tcPr>
            <w:tcW w:w="635" w:type="dxa"/>
            <w:tcBorders>
              <w:top w:val="nil"/>
              <w:left w:val="nil"/>
              <w:bottom w:val="nil"/>
              <w:right w:val="nil"/>
            </w:tcBorders>
            <w:shd w:val="clear" w:color="auto" w:fill="auto"/>
            <w:noWrap/>
            <w:vAlign w:val="center"/>
            <w:hideMark/>
          </w:tcPr>
          <w:p w14:paraId="3C89084A" w14:textId="77777777" w:rsidR="00690A91" w:rsidRPr="00690A91" w:rsidRDefault="00690A91" w:rsidP="00690A91">
            <w:pPr>
              <w:spacing w:after="0" w:line="240" w:lineRule="auto"/>
              <w:jc w:val="right"/>
              <w:rPr>
                <w:rFonts w:cs="Arial"/>
                <w:sz w:val="16"/>
                <w:szCs w:val="16"/>
              </w:rPr>
            </w:pPr>
            <w:r w:rsidRPr="00690A91">
              <w:rPr>
                <w:rFonts w:cs="Arial"/>
                <w:sz w:val="16"/>
                <w:szCs w:val="16"/>
              </w:rPr>
              <w:t>4,25</w:t>
            </w:r>
          </w:p>
        </w:tc>
        <w:tc>
          <w:tcPr>
            <w:tcW w:w="635" w:type="dxa"/>
            <w:tcBorders>
              <w:top w:val="nil"/>
              <w:left w:val="nil"/>
              <w:bottom w:val="nil"/>
              <w:right w:val="nil"/>
            </w:tcBorders>
            <w:shd w:val="clear" w:color="auto" w:fill="auto"/>
            <w:noWrap/>
            <w:vAlign w:val="center"/>
            <w:hideMark/>
          </w:tcPr>
          <w:p w14:paraId="700FC95C"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4,01</w:t>
            </w:r>
          </w:p>
        </w:tc>
        <w:tc>
          <w:tcPr>
            <w:tcW w:w="635" w:type="dxa"/>
            <w:tcBorders>
              <w:top w:val="nil"/>
              <w:left w:val="nil"/>
              <w:bottom w:val="nil"/>
              <w:right w:val="nil"/>
            </w:tcBorders>
            <w:shd w:val="clear" w:color="auto" w:fill="auto"/>
            <w:noWrap/>
            <w:vAlign w:val="center"/>
            <w:hideMark/>
          </w:tcPr>
          <w:p w14:paraId="28ACBD64" w14:textId="77777777" w:rsidR="00690A91" w:rsidRPr="00690A91" w:rsidRDefault="00690A91" w:rsidP="00690A91">
            <w:pPr>
              <w:spacing w:after="0" w:line="240" w:lineRule="auto"/>
              <w:jc w:val="right"/>
              <w:rPr>
                <w:rFonts w:cs="Arial"/>
                <w:sz w:val="16"/>
                <w:szCs w:val="16"/>
              </w:rPr>
            </w:pPr>
            <w:r w:rsidRPr="00690A91">
              <w:rPr>
                <w:rFonts w:cs="Arial"/>
                <w:sz w:val="16"/>
                <w:szCs w:val="16"/>
              </w:rPr>
              <w:t>3,63</w:t>
            </w:r>
          </w:p>
        </w:tc>
        <w:tc>
          <w:tcPr>
            <w:tcW w:w="635" w:type="dxa"/>
            <w:tcBorders>
              <w:top w:val="nil"/>
              <w:left w:val="nil"/>
              <w:bottom w:val="nil"/>
              <w:right w:val="nil"/>
            </w:tcBorders>
            <w:shd w:val="clear" w:color="auto" w:fill="auto"/>
            <w:noWrap/>
            <w:vAlign w:val="center"/>
            <w:hideMark/>
          </w:tcPr>
          <w:p w14:paraId="05EA7F9F" w14:textId="77777777" w:rsidR="00690A91" w:rsidRPr="00690A91" w:rsidRDefault="00690A91" w:rsidP="00690A91">
            <w:pPr>
              <w:spacing w:after="0" w:line="240" w:lineRule="auto"/>
              <w:jc w:val="right"/>
              <w:rPr>
                <w:rFonts w:cs="Arial"/>
                <w:sz w:val="16"/>
                <w:szCs w:val="16"/>
              </w:rPr>
            </w:pPr>
            <w:r w:rsidRPr="00690A91">
              <w:rPr>
                <w:rFonts w:cs="Arial"/>
                <w:sz w:val="16"/>
                <w:szCs w:val="16"/>
              </w:rPr>
              <w:t>4,14</w:t>
            </w:r>
          </w:p>
        </w:tc>
        <w:tc>
          <w:tcPr>
            <w:tcW w:w="635" w:type="dxa"/>
            <w:tcBorders>
              <w:top w:val="nil"/>
              <w:left w:val="nil"/>
              <w:bottom w:val="nil"/>
              <w:right w:val="nil"/>
            </w:tcBorders>
            <w:shd w:val="clear" w:color="auto" w:fill="auto"/>
            <w:noWrap/>
            <w:vAlign w:val="center"/>
            <w:hideMark/>
          </w:tcPr>
          <w:p w14:paraId="102EA585" w14:textId="77777777" w:rsidR="00690A91" w:rsidRPr="00690A91" w:rsidRDefault="00690A91" w:rsidP="00690A91">
            <w:pPr>
              <w:spacing w:after="0" w:line="240" w:lineRule="auto"/>
              <w:jc w:val="right"/>
              <w:rPr>
                <w:rFonts w:cs="Arial"/>
                <w:sz w:val="16"/>
                <w:szCs w:val="16"/>
              </w:rPr>
            </w:pPr>
            <w:r w:rsidRPr="00690A91">
              <w:rPr>
                <w:rFonts w:cs="Arial"/>
                <w:sz w:val="16"/>
                <w:szCs w:val="16"/>
              </w:rPr>
              <w:t>3,98</w:t>
            </w:r>
          </w:p>
        </w:tc>
        <w:tc>
          <w:tcPr>
            <w:tcW w:w="635" w:type="dxa"/>
            <w:tcBorders>
              <w:top w:val="nil"/>
              <w:left w:val="nil"/>
              <w:bottom w:val="nil"/>
              <w:right w:val="nil"/>
            </w:tcBorders>
            <w:shd w:val="clear" w:color="auto" w:fill="auto"/>
            <w:noWrap/>
            <w:vAlign w:val="center"/>
            <w:hideMark/>
          </w:tcPr>
          <w:p w14:paraId="68909FFA" w14:textId="77777777" w:rsidR="00690A91" w:rsidRPr="00690A91" w:rsidRDefault="00690A91" w:rsidP="00690A91">
            <w:pPr>
              <w:spacing w:after="0" w:line="240" w:lineRule="auto"/>
              <w:jc w:val="right"/>
              <w:rPr>
                <w:rFonts w:cs="Arial"/>
                <w:sz w:val="16"/>
                <w:szCs w:val="16"/>
              </w:rPr>
            </w:pPr>
            <w:r w:rsidRPr="00690A91">
              <w:rPr>
                <w:rFonts w:cs="Arial"/>
                <w:sz w:val="16"/>
                <w:szCs w:val="16"/>
              </w:rPr>
              <w:t>4,35</w:t>
            </w:r>
          </w:p>
        </w:tc>
        <w:tc>
          <w:tcPr>
            <w:tcW w:w="635" w:type="dxa"/>
            <w:tcBorders>
              <w:top w:val="nil"/>
              <w:left w:val="nil"/>
              <w:bottom w:val="nil"/>
              <w:right w:val="nil"/>
            </w:tcBorders>
            <w:shd w:val="clear" w:color="auto" w:fill="auto"/>
            <w:noWrap/>
            <w:vAlign w:val="center"/>
            <w:hideMark/>
          </w:tcPr>
          <w:p w14:paraId="0F5630A9"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4,46</w:t>
            </w:r>
          </w:p>
        </w:tc>
        <w:tc>
          <w:tcPr>
            <w:tcW w:w="635" w:type="dxa"/>
            <w:tcBorders>
              <w:top w:val="nil"/>
              <w:left w:val="nil"/>
              <w:bottom w:val="nil"/>
              <w:right w:val="nil"/>
            </w:tcBorders>
            <w:shd w:val="clear" w:color="auto" w:fill="auto"/>
            <w:noWrap/>
            <w:vAlign w:val="center"/>
            <w:hideMark/>
          </w:tcPr>
          <w:p w14:paraId="78957A04"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4,75</w:t>
            </w:r>
          </w:p>
        </w:tc>
        <w:tc>
          <w:tcPr>
            <w:tcW w:w="635" w:type="dxa"/>
            <w:tcBorders>
              <w:top w:val="nil"/>
              <w:left w:val="nil"/>
              <w:bottom w:val="nil"/>
              <w:right w:val="nil"/>
            </w:tcBorders>
            <w:shd w:val="clear" w:color="000000" w:fill="FFFFFF"/>
            <w:noWrap/>
            <w:vAlign w:val="center"/>
            <w:hideMark/>
          </w:tcPr>
          <w:p w14:paraId="1976D541"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5,07</w:t>
            </w:r>
          </w:p>
        </w:tc>
        <w:tc>
          <w:tcPr>
            <w:tcW w:w="661" w:type="dxa"/>
            <w:gridSpan w:val="2"/>
            <w:tcBorders>
              <w:top w:val="nil"/>
              <w:left w:val="nil"/>
              <w:bottom w:val="nil"/>
              <w:right w:val="nil"/>
            </w:tcBorders>
            <w:shd w:val="clear" w:color="000000" w:fill="FFFFFF"/>
            <w:noWrap/>
            <w:vAlign w:val="center"/>
            <w:hideMark/>
          </w:tcPr>
          <w:p w14:paraId="7EDFE45E"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5,11</w:t>
            </w:r>
          </w:p>
        </w:tc>
      </w:tr>
      <w:tr w:rsidR="00690A91" w:rsidRPr="00690A91" w14:paraId="3EAD3BC8" w14:textId="77777777" w:rsidTr="00B3736B">
        <w:trPr>
          <w:trHeight w:val="287"/>
        </w:trPr>
        <w:tc>
          <w:tcPr>
            <w:tcW w:w="3390" w:type="dxa"/>
            <w:tcBorders>
              <w:top w:val="nil"/>
              <w:left w:val="nil"/>
              <w:bottom w:val="nil"/>
              <w:right w:val="nil"/>
            </w:tcBorders>
            <w:shd w:val="clear" w:color="auto" w:fill="auto"/>
            <w:vAlign w:val="center"/>
            <w:hideMark/>
          </w:tcPr>
          <w:p w14:paraId="7EF16967"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I – Ubytování, stravování a pohostinství</w:t>
            </w:r>
          </w:p>
        </w:tc>
        <w:tc>
          <w:tcPr>
            <w:tcW w:w="635" w:type="dxa"/>
            <w:tcBorders>
              <w:top w:val="nil"/>
              <w:left w:val="nil"/>
              <w:bottom w:val="nil"/>
              <w:right w:val="nil"/>
            </w:tcBorders>
            <w:shd w:val="clear" w:color="auto" w:fill="auto"/>
            <w:noWrap/>
            <w:vAlign w:val="center"/>
            <w:hideMark/>
          </w:tcPr>
          <w:p w14:paraId="0E657F58" w14:textId="77777777" w:rsidR="00690A91" w:rsidRPr="00690A91" w:rsidRDefault="00690A91" w:rsidP="00690A91">
            <w:pPr>
              <w:spacing w:after="0" w:line="240" w:lineRule="auto"/>
              <w:jc w:val="right"/>
              <w:rPr>
                <w:rFonts w:cs="Arial"/>
                <w:sz w:val="16"/>
                <w:szCs w:val="16"/>
              </w:rPr>
            </w:pPr>
            <w:r w:rsidRPr="00690A91">
              <w:rPr>
                <w:rFonts w:cs="Arial"/>
                <w:sz w:val="16"/>
                <w:szCs w:val="16"/>
              </w:rPr>
              <w:t>4,56</w:t>
            </w:r>
          </w:p>
        </w:tc>
        <w:tc>
          <w:tcPr>
            <w:tcW w:w="635" w:type="dxa"/>
            <w:tcBorders>
              <w:top w:val="nil"/>
              <w:left w:val="nil"/>
              <w:bottom w:val="nil"/>
              <w:right w:val="nil"/>
            </w:tcBorders>
            <w:shd w:val="clear" w:color="auto" w:fill="auto"/>
            <w:noWrap/>
            <w:vAlign w:val="center"/>
            <w:hideMark/>
          </w:tcPr>
          <w:p w14:paraId="66D30E3C"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4,62</w:t>
            </w:r>
          </w:p>
        </w:tc>
        <w:tc>
          <w:tcPr>
            <w:tcW w:w="635" w:type="dxa"/>
            <w:tcBorders>
              <w:top w:val="nil"/>
              <w:left w:val="nil"/>
              <w:bottom w:val="nil"/>
              <w:right w:val="nil"/>
            </w:tcBorders>
            <w:shd w:val="clear" w:color="auto" w:fill="auto"/>
            <w:noWrap/>
            <w:vAlign w:val="center"/>
            <w:hideMark/>
          </w:tcPr>
          <w:p w14:paraId="49D607A3" w14:textId="77777777" w:rsidR="00690A91" w:rsidRPr="00690A91" w:rsidRDefault="00690A91" w:rsidP="00690A91">
            <w:pPr>
              <w:spacing w:after="0" w:line="240" w:lineRule="auto"/>
              <w:jc w:val="right"/>
              <w:rPr>
                <w:rFonts w:cs="Arial"/>
                <w:sz w:val="16"/>
                <w:szCs w:val="16"/>
              </w:rPr>
            </w:pPr>
            <w:r w:rsidRPr="00690A91">
              <w:rPr>
                <w:rFonts w:cs="Arial"/>
                <w:sz w:val="16"/>
                <w:szCs w:val="16"/>
              </w:rPr>
              <w:t>3,72</w:t>
            </w:r>
          </w:p>
        </w:tc>
        <w:tc>
          <w:tcPr>
            <w:tcW w:w="635" w:type="dxa"/>
            <w:tcBorders>
              <w:top w:val="nil"/>
              <w:left w:val="nil"/>
              <w:bottom w:val="nil"/>
              <w:right w:val="nil"/>
            </w:tcBorders>
            <w:shd w:val="clear" w:color="auto" w:fill="auto"/>
            <w:noWrap/>
            <w:vAlign w:val="center"/>
            <w:hideMark/>
          </w:tcPr>
          <w:p w14:paraId="32EFCB03" w14:textId="77777777" w:rsidR="00690A91" w:rsidRPr="00690A91" w:rsidRDefault="00690A91" w:rsidP="00690A91">
            <w:pPr>
              <w:spacing w:after="0" w:line="240" w:lineRule="auto"/>
              <w:jc w:val="right"/>
              <w:rPr>
                <w:rFonts w:cs="Arial"/>
                <w:sz w:val="16"/>
                <w:szCs w:val="16"/>
              </w:rPr>
            </w:pPr>
            <w:r w:rsidRPr="00690A91">
              <w:rPr>
                <w:rFonts w:cs="Arial"/>
                <w:sz w:val="16"/>
                <w:szCs w:val="16"/>
              </w:rPr>
              <w:t>4,09</w:t>
            </w:r>
          </w:p>
        </w:tc>
        <w:tc>
          <w:tcPr>
            <w:tcW w:w="635" w:type="dxa"/>
            <w:tcBorders>
              <w:top w:val="nil"/>
              <w:left w:val="nil"/>
              <w:bottom w:val="nil"/>
              <w:right w:val="nil"/>
            </w:tcBorders>
            <w:shd w:val="clear" w:color="auto" w:fill="auto"/>
            <w:noWrap/>
            <w:vAlign w:val="center"/>
            <w:hideMark/>
          </w:tcPr>
          <w:p w14:paraId="344C00EA" w14:textId="77777777" w:rsidR="00690A91" w:rsidRPr="00690A91" w:rsidRDefault="00690A91" w:rsidP="00690A91">
            <w:pPr>
              <w:spacing w:after="0" w:line="240" w:lineRule="auto"/>
              <w:jc w:val="right"/>
              <w:rPr>
                <w:rFonts w:cs="Arial"/>
                <w:sz w:val="16"/>
                <w:szCs w:val="16"/>
              </w:rPr>
            </w:pPr>
            <w:r w:rsidRPr="00690A91">
              <w:rPr>
                <w:rFonts w:cs="Arial"/>
                <w:sz w:val="16"/>
                <w:szCs w:val="16"/>
              </w:rPr>
              <w:t>3,95</w:t>
            </w:r>
          </w:p>
        </w:tc>
        <w:tc>
          <w:tcPr>
            <w:tcW w:w="635" w:type="dxa"/>
            <w:tcBorders>
              <w:top w:val="nil"/>
              <w:left w:val="nil"/>
              <w:bottom w:val="nil"/>
              <w:right w:val="nil"/>
            </w:tcBorders>
            <w:shd w:val="clear" w:color="auto" w:fill="auto"/>
            <w:noWrap/>
            <w:vAlign w:val="center"/>
            <w:hideMark/>
          </w:tcPr>
          <w:p w14:paraId="62CBEE24" w14:textId="77777777" w:rsidR="00690A91" w:rsidRPr="00690A91" w:rsidRDefault="00690A91" w:rsidP="00690A91">
            <w:pPr>
              <w:spacing w:after="0" w:line="240" w:lineRule="auto"/>
              <w:jc w:val="right"/>
              <w:rPr>
                <w:rFonts w:cs="Arial"/>
                <w:sz w:val="16"/>
                <w:szCs w:val="16"/>
              </w:rPr>
            </w:pPr>
            <w:r w:rsidRPr="00690A91">
              <w:rPr>
                <w:rFonts w:cs="Arial"/>
                <w:sz w:val="16"/>
                <w:szCs w:val="16"/>
              </w:rPr>
              <w:t>4,28</w:t>
            </w:r>
          </w:p>
        </w:tc>
        <w:tc>
          <w:tcPr>
            <w:tcW w:w="635" w:type="dxa"/>
            <w:tcBorders>
              <w:top w:val="nil"/>
              <w:left w:val="nil"/>
              <w:bottom w:val="nil"/>
              <w:right w:val="nil"/>
            </w:tcBorders>
            <w:shd w:val="clear" w:color="auto" w:fill="auto"/>
            <w:noWrap/>
            <w:vAlign w:val="center"/>
            <w:hideMark/>
          </w:tcPr>
          <w:p w14:paraId="447BD2D0"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4,33</w:t>
            </w:r>
          </w:p>
        </w:tc>
        <w:tc>
          <w:tcPr>
            <w:tcW w:w="635" w:type="dxa"/>
            <w:tcBorders>
              <w:top w:val="nil"/>
              <w:left w:val="nil"/>
              <w:bottom w:val="nil"/>
              <w:right w:val="nil"/>
            </w:tcBorders>
            <w:shd w:val="clear" w:color="auto" w:fill="auto"/>
            <w:noWrap/>
            <w:vAlign w:val="center"/>
            <w:hideMark/>
          </w:tcPr>
          <w:p w14:paraId="5D535971"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4,44</w:t>
            </w:r>
          </w:p>
        </w:tc>
        <w:tc>
          <w:tcPr>
            <w:tcW w:w="635" w:type="dxa"/>
            <w:tcBorders>
              <w:top w:val="nil"/>
              <w:left w:val="nil"/>
              <w:bottom w:val="nil"/>
              <w:right w:val="nil"/>
            </w:tcBorders>
            <w:shd w:val="clear" w:color="000000" w:fill="FFFFFF"/>
            <w:noWrap/>
            <w:vAlign w:val="center"/>
            <w:hideMark/>
          </w:tcPr>
          <w:p w14:paraId="619B22C2"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4,64</w:t>
            </w:r>
          </w:p>
        </w:tc>
        <w:tc>
          <w:tcPr>
            <w:tcW w:w="661" w:type="dxa"/>
            <w:gridSpan w:val="2"/>
            <w:tcBorders>
              <w:top w:val="nil"/>
              <w:left w:val="nil"/>
              <w:bottom w:val="nil"/>
              <w:right w:val="nil"/>
            </w:tcBorders>
            <w:shd w:val="clear" w:color="000000" w:fill="FFFFFF"/>
            <w:noWrap/>
            <w:vAlign w:val="center"/>
            <w:hideMark/>
          </w:tcPr>
          <w:p w14:paraId="17915D19"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4,76</w:t>
            </w:r>
          </w:p>
        </w:tc>
      </w:tr>
      <w:tr w:rsidR="00690A91" w:rsidRPr="00690A91" w14:paraId="46BD2D71" w14:textId="77777777" w:rsidTr="00B3736B">
        <w:trPr>
          <w:trHeight w:val="287"/>
        </w:trPr>
        <w:tc>
          <w:tcPr>
            <w:tcW w:w="3390" w:type="dxa"/>
            <w:tcBorders>
              <w:top w:val="nil"/>
              <w:left w:val="nil"/>
              <w:bottom w:val="nil"/>
              <w:right w:val="nil"/>
            </w:tcBorders>
            <w:shd w:val="clear" w:color="auto" w:fill="auto"/>
            <w:vAlign w:val="center"/>
            <w:hideMark/>
          </w:tcPr>
          <w:p w14:paraId="16DB4E3C"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J – Informační a komunikační činnosti</w:t>
            </w:r>
          </w:p>
        </w:tc>
        <w:tc>
          <w:tcPr>
            <w:tcW w:w="635" w:type="dxa"/>
            <w:tcBorders>
              <w:top w:val="nil"/>
              <w:left w:val="nil"/>
              <w:bottom w:val="nil"/>
              <w:right w:val="nil"/>
            </w:tcBorders>
            <w:shd w:val="clear" w:color="auto" w:fill="auto"/>
            <w:noWrap/>
            <w:vAlign w:val="center"/>
            <w:hideMark/>
          </w:tcPr>
          <w:p w14:paraId="765520D2" w14:textId="77777777" w:rsidR="00690A91" w:rsidRPr="00690A91" w:rsidRDefault="00690A91" w:rsidP="00690A91">
            <w:pPr>
              <w:spacing w:after="0" w:line="240" w:lineRule="auto"/>
              <w:jc w:val="right"/>
              <w:rPr>
                <w:rFonts w:cs="Arial"/>
                <w:sz w:val="16"/>
                <w:szCs w:val="16"/>
              </w:rPr>
            </w:pPr>
            <w:r w:rsidRPr="00690A91">
              <w:rPr>
                <w:rFonts w:cs="Arial"/>
                <w:sz w:val="16"/>
                <w:szCs w:val="16"/>
              </w:rPr>
              <w:t>2,15</w:t>
            </w:r>
          </w:p>
        </w:tc>
        <w:tc>
          <w:tcPr>
            <w:tcW w:w="635" w:type="dxa"/>
            <w:tcBorders>
              <w:top w:val="nil"/>
              <w:left w:val="nil"/>
              <w:bottom w:val="nil"/>
              <w:right w:val="nil"/>
            </w:tcBorders>
            <w:shd w:val="clear" w:color="auto" w:fill="auto"/>
            <w:noWrap/>
            <w:vAlign w:val="center"/>
            <w:hideMark/>
          </w:tcPr>
          <w:p w14:paraId="3AD90E01"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2,10</w:t>
            </w:r>
          </w:p>
        </w:tc>
        <w:tc>
          <w:tcPr>
            <w:tcW w:w="635" w:type="dxa"/>
            <w:tcBorders>
              <w:top w:val="nil"/>
              <w:left w:val="nil"/>
              <w:bottom w:val="nil"/>
              <w:right w:val="nil"/>
            </w:tcBorders>
            <w:shd w:val="clear" w:color="auto" w:fill="auto"/>
            <w:noWrap/>
            <w:vAlign w:val="center"/>
            <w:hideMark/>
          </w:tcPr>
          <w:p w14:paraId="33FAFDA0" w14:textId="77777777" w:rsidR="00690A91" w:rsidRPr="00690A91" w:rsidRDefault="00690A91" w:rsidP="00690A91">
            <w:pPr>
              <w:spacing w:after="0" w:line="240" w:lineRule="auto"/>
              <w:jc w:val="right"/>
              <w:rPr>
                <w:rFonts w:cs="Arial"/>
                <w:sz w:val="16"/>
                <w:szCs w:val="16"/>
              </w:rPr>
            </w:pPr>
            <w:r w:rsidRPr="00690A91">
              <w:rPr>
                <w:rFonts w:cs="Arial"/>
                <w:sz w:val="16"/>
                <w:szCs w:val="16"/>
              </w:rPr>
              <w:t>1,73</w:t>
            </w:r>
          </w:p>
        </w:tc>
        <w:tc>
          <w:tcPr>
            <w:tcW w:w="635" w:type="dxa"/>
            <w:tcBorders>
              <w:top w:val="nil"/>
              <w:left w:val="nil"/>
              <w:bottom w:val="nil"/>
              <w:right w:val="nil"/>
            </w:tcBorders>
            <w:shd w:val="clear" w:color="auto" w:fill="auto"/>
            <w:noWrap/>
            <w:vAlign w:val="center"/>
            <w:hideMark/>
          </w:tcPr>
          <w:p w14:paraId="3EE0C4FB" w14:textId="77777777" w:rsidR="00690A91" w:rsidRPr="00690A91" w:rsidRDefault="00690A91" w:rsidP="00690A91">
            <w:pPr>
              <w:spacing w:after="0" w:line="240" w:lineRule="auto"/>
              <w:jc w:val="right"/>
              <w:rPr>
                <w:rFonts w:cs="Arial"/>
                <w:sz w:val="16"/>
                <w:szCs w:val="16"/>
              </w:rPr>
            </w:pPr>
            <w:r w:rsidRPr="00690A91">
              <w:rPr>
                <w:rFonts w:cs="Arial"/>
                <w:sz w:val="16"/>
                <w:szCs w:val="16"/>
              </w:rPr>
              <w:t>1,86</w:t>
            </w:r>
          </w:p>
        </w:tc>
        <w:tc>
          <w:tcPr>
            <w:tcW w:w="635" w:type="dxa"/>
            <w:tcBorders>
              <w:top w:val="nil"/>
              <w:left w:val="nil"/>
              <w:bottom w:val="nil"/>
              <w:right w:val="nil"/>
            </w:tcBorders>
            <w:shd w:val="clear" w:color="auto" w:fill="auto"/>
            <w:noWrap/>
            <w:vAlign w:val="center"/>
            <w:hideMark/>
          </w:tcPr>
          <w:p w14:paraId="4FF1B390" w14:textId="77777777" w:rsidR="00690A91" w:rsidRPr="00690A91" w:rsidRDefault="00690A91" w:rsidP="00690A91">
            <w:pPr>
              <w:spacing w:after="0" w:line="240" w:lineRule="auto"/>
              <w:jc w:val="right"/>
              <w:rPr>
                <w:rFonts w:cs="Arial"/>
                <w:sz w:val="16"/>
                <w:szCs w:val="16"/>
              </w:rPr>
            </w:pPr>
            <w:r w:rsidRPr="00690A91">
              <w:rPr>
                <w:rFonts w:cs="Arial"/>
                <w:sz w:val="16"/>
                <w:szCs w:val="16"/>
              </w:rPr>
              <w:t>1,70</w:t>
            </w:r>
          </w:p>
        </w:tc>
        <w:tc>
          <w:tcPr>
            <w:tcW w:w="635" w:type="dxa"/>
            <w:tcBorders>
              <w:top w:val="nil"/>
              <w:left w:val="nil"/>
              <w:bottom w:val="nil"/>
              <w:right w:val="nil"/>
            </w:tcBorders>
            <w:shd w:val="clear" w:color="auto" w:fill="auto"/>
            <w:noWrap/>
            <w:vAlign w:val="center"/>
            <w:hideMark/>
          </w:tcPr>
          <w:p w14:paraId="0682881D" w14:textId="77777777" w:rsidR="00690A91" w:rsidRPr="00690A91" w:rsidRDefault="00690A91" w:rsidP="00690A91">
            <w:pPr>
              <w:spacing w:after="0" w:line="240" w:lineRule="auto"/>
              <w:jc w:val="right"/>
              <w:rPr>
                <w:rFonts w:cs="Arial"/>
                <w:sz w:val="16"/>
                <w:szCs w:val="16"/>
              </w:rPr>
            </w:pPr>
            <w:r w:rsidRPr="00690A91">
              <w:rPr>
                <w:rFonts w:cs="Arial"/>
                <w:sz w:val="16"/>
                <w:szCs w:val="16"/>
              </w:rPr>
              <w:t>1,91</w:t>
            </w:r>
          </w:p>
        </w:tc>
        <w:tc>
          <w:tcPr>
            <w:tcW w:w="635" w:type="dxa"/>
            <w:tcBorders>
              <w:top w:val="nil"/>
              <w:left w:val="nil"/>
              <w:bottom w:val="nil"/>
              <w:right w:val="nil"/>
            </w:tcBorders>
            <w:shd w:val="clear" w:color="auto" w:fill="auto"/>
            <w:noWrap/>
            <w:vAlign w:val="center"/>
            <w:hideMark/>
          </w:tcPr>
          <w:p w14:paraId="58AC6A1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1,80</w:t>
            </w:r>
          </w:p>
        </w:tc>
        <w:tc>
          <w:tcPr>
            <w:tcW w:w="635" w:type="dxa"/>
            <w:tcBorders>
              <w:top w:val="nil"/>
              <w:left w:val="nil"/>
              <w:bottom w:val="nil"/>
              <w:right w:val="nil"/>
            </w:tcBorders>
            <w:shd w:val="clear" w:color="auto" w:fill="auto"/>
            <w:noWrap/>
            <w:vAlign w:val="center"/>
            <w:hideMark/>
          </w:tcPr>
          <w:p w14:paraId="696FF9D5"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1,91</w:t>
            </w:r>
          </w:p>
        </w:tc>
        <w:tc>
          <w:tcPr>
            <w:tcW w:w="635" w:type="dxa"/>
            <w:tcBorders>
              <w:top w:val="nil"/>
              <w:left w:val="nil"/>
              <w:bottom w:val="nil"/>
              <w:right w:val="nil"/>
            </w:tcBorders>
            <w:shd w:val="clear" w:color="000000" w:fill="FFFFFF"/>
            <w:noWrap/>
            <w:vAlign w:val="center"/>
            <w:hideMark/>
          </w:tcPr>
          <w:p w14:paraId="07D040AA"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2,03</w:t>
            </w:r>
          </w:p>
        </w:tc>
        <w:tc>
          <w:tcPr>
            <w:tcW w:w="661" w:type="dxa"/>
            <w:gridSpan w:val="2"/>
            <w:tcBorders>
              <w:top w:val="nil"/>
              <w:left w:val="nil"/>
              <w:bottom w:val="nil"/>
              <w:right w:val="nil"/>
            </w:tcBorders>
            <w:shd w:val="clear" w:color="000000" w:fill="FFFFFF"/>
            <w:noWrap/>
            <w:vAlign w:val="center"/>
            <w:hideMark/>
          </w:tcPr>
          <w:p w14:paraId="5B4D7CE4"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1,97</w:t>
            </w:r>
          </w:p>
        </w:tc>
      </w:tr>
      <w:tr w:rsidR="00690A91" w:rsidRPr="00690A91" w14:paraId="1813B0E5" w14:textId="77777777" w:rsidTr="00B3736B">
        <w:trPr>
          <w:trHeight w:val="287"/>
        </w:trPr>
        <w:tc>
          <w:tcPr>
            <w:tcW w:w="3390" w:type="dxa"/>
            <w:tcBorders>
              <w:top w:val="nil"/>
              <w:left w:val="nil"/>
              <w:bottom w:val="nil"/>
              <w:right w:val="nil"/>
            </w:tcBorders>
            <w:shd w:val="clear" w:color="auto" w:fill="auto"/>
            <w:vAlign w:val="center"/>
            <w:hideMark/>
          </w:tcPr>
          <w:p w14:paraId="62851021"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K – Peněžnictví a pojišťovnictví</w:t>
            </w:r>
          </w:p>
        </w:tc>
        <w:tc>
          <w:tcPr>
            <w:tcW w:w="635" w:type="dxa"/>
            <w:tcBorders>
              <w:top w:val="nil"/>
              <w:left w:val="nil"/>
              <w:bottom w:val="nil"/>
              <w:right w:val="nil"/>
            </w:tcBorders>
            <w:shd w:val="clear" w:color="auto" w:fill="auto"/>
            <w:noWrap/>
            <w:vAlign w:val="center"/>
            <w:hideMark/>
          </w:tcPr>
          <w:p w14:paraId="25C8B827" w14:textId="77777777" w:rsidR="00690A91" w:rsidRPr="00690A91" w:rsidRDefault="00690A91" w:rsidP="00690A91">
            <w:pPr>
              <w:spacing w:after="0" w:line="240" w:lineRule="auto"/>
              <w:jc w:val="right"/>
              <w:rPr>
                <w:rFonts w:cs="Arial"/>
                <w:sz w:val="16"/>
                <w:szCs w:val="16"/>
              </w:rPr>
            </w:pPr>
            <w:r w:rsidRPr="00690A91">
              <w:rPr>
                <w:rFonts w:cs="Arial"/>
                <w:sz w:val="16"/>
                <w:szCs w:val="16"/>
              </w:rPr>
              <w:t>2,85</w:t>
            </w:r>
          </w:p>
        </w:tc>
        <w:tc>
          <w:tcPr>
            <w:tcW w:w="635" w:type="dxa"/>
            <w:tcBorders>
              <w:top w:val="nil"/>
              <w:left w:val="nil"/>
              <w:bottom w:val="nil"/>
              <w:right w:val="nil"/>
            </w:tcBorders>
            <w:shd w:val="clear" w:color="auto" w:fill="auto"/>
            <w:noWrap/>
            <w:vAlign w:val="center"/>
            <w:hideMark/>
          </w:tcPr>
          <w:p w14:paraId="204D74CE"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2,86</w:t>
            </w:r>
          </w:p>
        </w:tc>
        <w:tc>
          <w:tcPr>
            <w:tcW w:w="635" w:type="dxa"/>
            <w:tcBorders>
              <w:top w:val="nil"/>
              <w:left w:val="nil"/>
              <w:bottom w:val="nil"/>
              <w:right w:val="nil"/>
            </w:tcBorders>
            <w:shd w:val="clear" w:color="auto" w:fill="auto"/>
            <w:noWrap/>
            <w:vAlign w:val="center"/>
            <w:hideMark/>
          </w:tcPr>
          <w:p w14:paraId="5686C4FF" w14:textId="77777777" w:rsidR="00690A91" w:rsidRPr="00690A91" w:rsidRDefault="00690A91" w:rsidP="00690A91">
            <w:pPr>
              <w:spacing w:after="0" w:line="240" w:lineRule="auto"/>
              <w:jc w:val="right"/>
              <w:rPr>
                <w:rFonts w:cs="Arial"/>
                <w:sz w:val="16"/>
                <w:szCs w:val="16"/>
              </w:rPr>
            </w:pPr>
            <w:r w:rsidRPr="00690A91">
              <w:rPr>
                <w:rFonts w:cs="Arial"/>
                <w:sz w:val="16"/>
                <w:szCs w:val="16"/>
              </w:rPr>
              <w:t>2,36</w:t>
            </w:r>
          </w:p>
        </w:tc>
        <w:tc>
          <w:tcPr>
            <w:tcW w:w="635" w:type="dxa"/>
            <w:tcBorders>
              <w:top w:val="nil"/>
              <w:left w:val="nil"/>
              <w:bottom w:val="nil"/>
              <w:right w:val="nil"/>
            </w:tcBorders>
            <w:shd w:val="clear" w:color="auto" w:fill="auto"/>
            <w:noWrap/>
            <w:vAlign w:val="center"/>
            <w:hideMark/>
          </w:tcPr>
          <w:p w14:paraId="0B405364" w14:textId="77777777" w:rsidR="00690A91" w:rsidRPr="00690A91" w:rsidRDefault="00690A91" w:rsidP="00690A91">
            <w:pPr>
              <w:spacing w:after="0" w:line="240" w:lineRule="auto"/>
              <w:jc w:val="right"/>
              <w:rPr>
                <w:rFonts w:cs="Arial"/>
                <w:sz w:val="16"/>
                <w:szCs w:val="16"/>
              </w:rPr>
            </w:pPr>
            <w:r w:rsidRPr="00690A91">
              <w:rPr>
                <w:rFonts w:cs="Arial"/>
                <w:sz w:val="16"/>
                <w:szCs w:val="16"/>
              </w:rPr>
              <w:t>2,48</w:t>
            </w:r>
          </w:p>
        </w:tc>
        <w:tc>
          <w:tcPr>
            <w:tcW w:w="635" w:type="dxa"/>
            <w:tcBorders>
              <w:top w:val="nil"/>
              <w:left w:val="nil"/>
              <w:bottom w:val="nil"/>
              <w:right w:val="nil"/>
            </w:tcBorders>
            <w:shd w:val="clear" w:color="auto" w:fill="auto"/>
            <w:noWrap/>
            <w:vAlign w:val="center"/>
            <w:hideMark/>
          </w:tcPr>
          <w:p w14:paraId="3DCBD442" w14:textId="77777777" w:rsidR="00690A91" w:rsidRPr="00690A91" w:rsidRDefault="00690A91" w:rsidP="00690A91">
            <w:pPr>
              <w:spacing w:after="0" w:line="240" w:lineRule="auto"/>
              <w:jc w:val="right"/>
              <w:rPr>
                <w:rFonts w:cs="Arial"/>
                <w:sz w:val="16"/>
                <w:szCs w:val="16"/>
              </w:rPr>
            </w:pPr>
            <w:r w:rsidRPr="00690A91">
              <w:rPr>
                <w:rFonts w:cs="Arial"/>
                <w:sz w:val="16"/>
                <w:szCs w:val="16"/>
              </w:rPr>
              <w:t>2,45</w:t>
            </w:r>
          </w:p>
        </w:tc>
        <w:tc>
          <w:tcPr>
            <w:tcW w:w="635" w:type="dxa"/>
            <w:tcBorders>
              <w:top w:val="nil"/>
              <w:left w:val="nil"/>
              <w:bottom w:val="nil"/>
              <w:right w:val="nil"/>
            </w:tcBorders>
            <w:shd w:val="clear" w:color="auto" w:fill="auto"/>
            <w:noWrap/>
            <w:vAlign w:val="center"/>
            <w:hideMark/>
          </w:tcPr>
          <w:p w14:paraId="4F9AB2E7" w14:textId="77777777" w:rsidR="00690A91" w:rsidRPr="00690A91" w:rsidRDefault="00690A91" w:rsidP="00690A91">
            <w:pPr>
              <w:spacing w:after="0" w:line="240" w:lineRule="auto"/>
              <w:jc w:val="right"/>
              <w:rPr>
                <w:rFonts w:cs="Arial"/>
                <w:sz w:val="16"/>
                <w:szCs w:val="16"/>
              </w:rPr>
            </w:pPr>
            <w:r w:rsidRPr="00690A91">
              <w:rPr>
                <w:rFonts w:cs="Arial"/>
                <w:sz w:val="16"/>
                <w:szCs w:val="16"/>
              </w:rPr>
              <w:t>2,80</w:t>
            </w:r>
          </w:p>
        </w:tc>
        <w:tc>
          <w:tcPr>
            <w:tcW w:w="635" w:type="dxa"/>
            <w:tcBorders>
              <w:top w:val="nil"/>
              <w:left w:val="nil"/>
              <w:bottom w:val="nil"/>
              <w:right w:val="nil"/>
            </w:tcBorders>
            <w:shd w:val="clear" w:color="auto" w:fill="auto"/>
            <w:noWrap/>
            <w:vAlign w:val="center"/>
            <w:hideMark/>
          </w:tcPr>
          <w:p w14:paraId="7CCE3A55"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2,66</w:t>
            </w:r>
          </w:p>
        </w:tc>
        <w:tc>
          <w:tcPr>
            <w:tcW w:w="635" w:type="dxa"/>
            <w:tcBorders>
              <w:top w:val="nil"/>
              <w:left w:val="nil"/>
              <w:bottom w:val="nil"/>
              <w:right w:val="nil"/>
            </w:tcBorders>
            <w:shd w:val="clear" w:color="auto" w:fill="auto"/>
            <w:noWrap/>
            <w:vAlign w:val="center"/>
            <w:hideMark/>
          </w:tcPr>
          <w:p w14:paraId="0EA0B6BC"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2,74</w:t>
            </w:r>
          </w:p>
        </w:tc>
        <w:tc>
          <w:tcPr>
            <w:tcW w:w="635" w:type="dxa"/>
            <w:tcBorders>
              <w:top w:val="nil"/>
              <w:left w:val="nil"/>
              <w:bottom w:val="nil"/>
              <w:right w:val="nil"/>
            </w:tcBorders>
            <w:shd w:val="clear" w:color="000000" w:fill="FFFFFF"/>
            <w:noWrap/>
            <w:vAlign w:val="center"/>
            <w:hideMark/>
          </w:tcPr>
          <w:p w14:paraId="468EF47B"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2,76</w:t>
            </w:r>
          </w:p>
        </w:tc>
        <w:tc>
          <w:tcPr>
            <w:tcW w:w="661" w:type="dxa"/>
            <w:gridSpan w:val="2"/>
            <w:tcBorders>
              <w:top w:val="nil"/>
              <w:left w:val="nil"/>
              <w:bottom w:val="nil"/>
              <w:right w:val="nil"/>
            </w:tcBorders>
            <w:shd w:val="clear" w:color="000000" w:fill="FFFFFF"/>
            <w:noWrap/>
            <w:vAlign w:val="center"/>
            <w:hideMark/>
          </w:tcPr>
          <w:p w14:paraId="7545F6A3"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2,74</w:t>
            </w:r>
          </w:p>
        </w:tc>
      </w:tr>
      <w:tr w:rsidR="00690A91" w:rsidRPr="00690A91" w14:paraId="0843BACB" w14:textId="77777777" w:rsidTr="00B3736B">
        <w:trPr>
          <w:trHeight w:val="287"/>
        </w:trPr>
        <w:tc>
          <w:tcPr>
            <w:tcW w:w="3390" w:type="dxa"/>
            <w:tcBorders>
              <w:top w:val="nil"/>
              <w:left w:val="nil"/>
              <w:bottom w:val="nil"/>
              <w:right w:val="nil"/>
            </w:tcBorders>
            <w:shd w:val="clear" w:color="auto" w:fill="auto"/>
            <w:vAlign w:val="center"/>
            <w:hideMark/>
          </w:tcPr>
          <w:p w14:paraId="46760766"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L – Činnosti v oblasti nemovitostí</w:t>
            </w:r>
          </w:p>
        </w:tc>
        <w:tc>
          <w:tcPr>
            <w:tcW w:w="635" w:type="dxa"/>
            <w:tcBorders>
              <w:top w:val="nil"/>
              <w:left w:val="nil"/>
              <w:bottom w:val="nil"/>
              <w:right w:val="nil"/>
            </w:tcBorders>
            <w:shd w:val="clear" w:color="auto" w:fill="auto"/>
            <w:noWrap/>
            <w:vAlign w:val="center"/>
            <w:hideMark/>
          </w:tcPr>
          <w:p w14:paraId="3906B576" w14:textId="77777777" w:rsidR="00690A91" w:rsidRPr="00690A91" w:rsidRDefault="00690A91" w:rsidP="00690A91">
            <w:pPr>
              <w:spacing w:after="0" w:line="240" w:lineRule="auto"/>
              <w:jc w:val="right"/>
              <w:rPr>
                <w:rFonts w:cs="Arial"/>
                <w:sz w:val="16"/>
                <w:szCs w:val="16"/>
              </w:rPr>
            </w:pPr>
            <w:r w:rsidRPr="00690A91">
              <w:rPr>
                <w:rFonts w:cs="Arial"/>
                <w:sz w:val="16"/>
                <w:szCs w:val="16"/>
              </w:rPr>
              <w:t>3,19</w:t>
            </w:r>
          </w:p>
        </w:tc>
        <w:tc>
          <w:tcPr>
            <w:tcW w:w="635" w:type="dxa"/>
            <w:tcBorders>
              <w:top w:val="nil"/>
              <w:left w:val="nil"/>
              <w:bottom w:val="nil"/>
              <w:right w:val="nil"/>
            </w:tcBorders>
            <w:shd w:val="clear" w:color="auto" w:fill="auto"/>
            <w:noWrap/>
            <w:vAlign w:val="center"/>
            <w:hideMark/>
          </w:tcPr>
          <w:p w14:paraId="516C4ECD"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3,15</w:t>
            </w:r>
          </w:p>
        </w:tc>
        <w:tc>
          <w:tcPr>
            <w:tcW w:w="635" w:type="dxa"/>
            <w:tcBorders>
              <w:top w:val="nil"/>
              <w:left w:val="nil"/>
              <w:bottom w:val="nil"/>
              <w:right w:val="nil"/>
            </w:tcBorders>
            <w:shd w:val="clear" w:color="auto" w:fill="auto"/>
            <w:noWrap/>
            <w:vAlign w:val="center"/>
            <w:hideMark/>
          </w:tcPr>
          <w:p w14:paraId="4317EDA2" w14:textId="77777777" w:rsidR="00690A91" w:rsidRPr="00690A91" w:rsidRDefault="00690A91" w:rsidP="00690A91">
            <w:pPr>
              <w:spacing w:after="0" w:line="240" w:lineRule="auto"/>
              <w:jc w:val="right"/>
              <w:rPr>
                <w:rFonts w:cs="Arial"/>
                <w:sz w:val="16"/>
                <w:szCs w:val="16"/>
              </w:rPr>
            </w:pPr>
            <w:r w:rsidRPr="00690A91">
              <w:rPr>
                <w:rFonts w:cs="Arial"/>
                <w:sz w:val="16"/>
                <w:szCs w:val="16"/>
              </w:rPr>
              <w:t>2,31</w:t>
            </w:r>
          </w:p>
        </w:tc>
        <w:tc>
          <w:tcPr>
            <w:tcW w:w="635" w:type="dxa"/>
            <w:tcBorders>
              <w:top w:val="nil"/>
              <w:left w:val="nil"/>
              <w:bottom w:val="nil"/>
              <w:right w:val="nil"/>
            </w:tcBorders>
            <w:shd w:val="clear" w:color="auto" w:fill="auto"/>
            <w:noWrap/>
            <w:vAlign w:val="center"/>
            <w:hideMark/>
          </w:tcPr>
          <w:p w14:paraId="08042D8E" w14:textId="77777777" w:rsidR="00690A91" w:rsidRPr="00690A91" w:rsidRDefault="00690A91" w:rsidP="00690A91">
            <w:pPr>
              <w:spacing w:after="0" w:line="240" w:lineRule="auto"/>
              <w:jc w:val="right"/>
              <w:rPr>
                <w:rFonts w:cs="Arial"/>
                <w:sz w:val="16"/>
                <w:szCs w:val="16"/>
              </w:rPr>
            </w:pPr>
            <w:r w:rsidRPr="00690A91">
              <w:rPr>
                <w:rFonts w:cs="Arial"/>
                <w:sz w:val="16"/>
                <w:szCs w:val="16"/>
              </w:rPr>
              <w:t>2,39</w:t>
            </w:r>
          </w:p>
        </w:tc>
        <w:tc>
          <w:tcPr>
            <w:tcW w:w="635" w:type="dxa"/>
            <w:tcBorders>
              <w:top w:val="nil"/>
              <w:left w:val="nil"/>
              <w:bottom w:val="nil"/>
              <w:right w:val="nil"/>
            </w:tcBorders>
            <w:shd w:val="clear" w:color="auto" w:fill="auto"/>
            <w:noWrap/>
            <w:vAlign w:val="center"/>
            <w:hideMark/>
          </w:tcPr>
          <w:p w14:paraId="235461ED" w14:textId="77777777" w:rsidR="00690A91" w:rsidRPr="00690A91" w:rsidRDefault="00690A91" w:rsidP="00690A91">
            <w:pPr>
              <w:spacing w:after="0" w:line="240" w:lineRule="auto"/>
              <w:jc w:val="right"/>
              <w:rPr>
                <w:rFonts w:cs="Arial"/>
                <w:sz w:val="16"/>
                <w:szCs w:val="16"/>
              </w:rPr>
            </w:pPr>
            <w:r w:rsidRPr="00690A91">
              <w:rPr>
                <w:rFonts w:cs="Arial"/>
                <w:sz w:val="16"/>
                <w:szCs w:val="16"/>
              </w:rPr>
              <w:t>2,24</w:t>
            </w:r>
          </w:p>
        </w:tc>
        <w:tc>
          <w:tcPr>
            <w:tcW w:w="635" w:type="dxa"/>
            <w:tcBorders>
              <w:top w:val="nil"/>
              <w:left w:val="nil"/>
              <w:bottom w:val="nil"/>
              <w:right w:val="nil"/>
            </w:tcBorders>
            <w:shd w:val="clear" w:color="auto" w:fill="auto"/>
            <w:noWrap/>
            <w:vAlign w:val="center"/>
            <w:hideMark/>
          </w:tcPr>
          <w:p w14:paraId="773D838E" w14:textId="77777777" w:rsidR="00690A91" w:rsidRPr="00690A91" w:rsidRDefault="00690A91" w:rsidP="00690A91">
            <w:pPr>
              <w:spacing w:after="0" w:line="240" w:lineRule="auto"/>
              <w:jc w:val="right"/>
              <w:rPr>
                <w:rFonts w:cs="Arial"/>
                <w:sz w:val="16"/>
                <w:szCs w:val="16"/>
              </w:rPr>
            </w:pPr>
            <w:r w:rsidRPr="00690A91">
              <w:rPr>
                <w:rFonts w:cs="Arial"/>
                <w:sz w:val="16"/>
                <w:szCs w:val="16"/>
              </w:rPr>
              <w:t>2,45</w:t>
            </w:r>
          </w:p>
        </w:tc>
        <w:tc>
          <w:tcPr>
            <w:tcW w:w="635" w:type="dxa"/>
            <w:tcBorders>
              <w:top w:val="nil"/>
              <w:left w:val="nil"/>
              <w:bottom w:val="nil"/>
              <w:right w:val="nil"/>
            </w:tcBorders>
            <w:shd w:val="clear" w:color="auto" w:fill="auto"/>
            <w:noWrap/>
            <w:vAlign w:val="center"/>
            <w:hideMark/>
          </w:tcPr>
          <w:p w14:paraId="0DECE336"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2,40</w:t>
            </w:r>
          </w:p>
        </w:tc>
        <w:tc>
          <w:tcPr>
            <w:tcW w:w="635" w:type="dxa"/>
            <w:tcBorders>
              <w:top w:val="nil"/>
              <w:left w:val="nil"/>
              <w:bottom w:val="nil"/>
              <w:right w:val="nil"/>
            </w:tcBorders>
            <w:shd w:val="clear" w:color="auto" w:fill="auto"/>
            <w:noWrap/>
            <w:vAlign w:val="center"/>
            <w:hideMark/>
          </w:tcPr>
          <w:p w14:paraId="53D55593"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2,43</w:t>
            </w:r>
          </w:p>
        </w:tc>
        <w:tc>
          <w:tcPr>
            <w:tcW w:w="635" w:type="dxa"/>
            <w:tcBorders>
              <w:top w:val="nil"/>
              <w:left w:val="nil"/>
              <w:bottom w:val="nil"/>
              <w:right w:val="nil"/>
            </w:tcBorders>
            <w:shd w:val="clear" w:color="000000" w:fill="FFFFFF"/>
            <w:noWrap/>
            <w:vAlign w:val="center"/>
            <w:hideMark/>
          </w:tcPr>
          <w:p w14:paraId="3A40C2C4"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2,52</w:t>
            </w:r>
          </w:p>
        </w:tc>
        <w:tc>
          <w:tcPr>
            <w:tcW w:w="661" w:type="dxa"/>
            <w:gridSpan w:val="2"/>
            <w:tcBorders>
              <w:top w:val="nil"/>
              <w:left w:val="nil"/>
              <w:bottom w:val="nil"/>
              <w:right w:val="nil"/>
            </w:tcBorders>
            <w:shd w:val="clear" w:color="000000" w:fill="FFFFFF"/>
            <w:noWrap/>
            <w:vAlign w:val="center"/>
            <w:hideMark/>
          </w:tcPr>
          <w:p w14:paraId="617CB54A"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2,65</w:t>
            </w:r>
          </w:p>
        </w:tc>
      </w:tr>
      <w:tr w:rsidR="00690A91" w:rsidRPr="00690A91" w14:paraId="75BC4746" w14:textId="77777777" w:rsidTr="00B3736B">
        <w:trPr>
          <w:trHeight w:val="454"/>
        </w:trPr>
        <w:tc>
          <w:tcPr>
            <w:tcW w:w="3390" w:type="dxa"/>
            <w:tcBorders>
              <w:top w:val="nil"/>
              <w:left w:val="nil"/>
              <w:bottom w:val="nil"/>
              <w:right w:val="nil"/>
            </w:tcBorders>
            <w:shd w:val="clear" w:color="auto" w:fill="auto"/>
            <w:vAlign w:val="center"/>
            <w:hideMark/>
          </w:tcPr>
          <w:p w14:paraId="2961A83B"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M – Profesní, vědecké a technické činnosti</w:t>
            </w:r>
          </w:p>
        </w:tc>
        <w:tc>
          <w:tcPr>
            <w:tcW w:w="635" w:type="dxa"/>
            <w:tcBorders>
              <w:top w:val="nil"/>
              <w:left w:val="nil"/>
              <w:bottom w:val="nil"/>
              <w:right w:val="nil"/>
            </w:tcBorders>
            <w:shd w:val="clear" w:color="auto" w:fill="auto"/>
            <w:noWrap/>
            <w:vAlign w:val="center"/>
            <w:hideMark/>
          </w:tcPr>
          <w:p w14:paraId="227FB8E6" w14:textId="77777777" w:rsidR="00690A91" w:rsidRPr="00690A91" w:rsidRDefault="00690A91" w:rsidP="00690A91">
            <w:pPr>
              <w:spacing w:after="0" w:line="240" w:lineRule="auto"/>
              <w:jc w:val="right"/>
              <w:rPr>
                <w:rFonts w:cs="Arial"/>
                <w:sz w:val="16"/>
                <w:szCs w:val="16"/>
              </w:rPr>
            </w:pPr>
            <w:r w:rsidRPr="00690A91">
              <w:rPr>
                <w:rFonts w:cs="Arial"/>
                <w:sz w:val="16"/>
                <w:szCs w:val="16"/>
              </w:rPr>
              <w:t>2,92</w:t>
            </w:r>
          </w:p>
        </w:tc>
        <w:tc>
          <w:tcPr>
            <w:tcW w:w="635" w:type="dxa"/>
            <w:tcBorders>
              <w:top w:val="nil"/>
              <w:left w:val="nil"/>
              <w:bottom w:val="nil"/>
              <w:right w:val="nil"/>
            </w:tcBorders>
            <w:shd w:val="clear" w:color="auto" w:fill="auto"/>
            <w:noWrap/>
            <w:vAlign w:val="center"/>
            <w:hideMark/>
          </w:tcPr>
          <w:p w14:paraId="18E524C0"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2,89</w:t>
            </w:r>
          </w:p>
        </w:tc>
        <w:tc>
          <w:tcPr>
            <w:tcW w:w="635" w:type="dxa"/>
            <w:tcBorders>
              <w:top w:val="nil"/>
              <w:left w:val="nil"/>
              <w:bottom w:val="nil"/>
              <w:right w:val="nil"/>
            </w:tcBorders>
            <w:shd w:val="clear" w:color="auto" w:fill="auto"/>
            <w:noWrap/>
            <w:vAlign w:val="center"/>
            <w:hideMark/>
          </w:tcPr>
          <w:p w14:paraId="29BFA162" w14:textId="77777777" w:rsidR="00690A91" w:rsidRPr="00690A91" w:rsidRDefault="00690A91" w:rsidP="00690A91">
            <w:pPr>
              <w:spacing w:after="0" w:line="240" w:lineRule="auto"/>
              <w:jc w:val="right"/>
              <w:rPr>
                <w:rFonts w:cs="Arial"/>
                <w:sz w:val="16"/>
                <w:szCs w:val="16"/>
              </w:rPr>
            </w:pPr>
            <w:r w:rsidRPr="00690A91">
              <w:rPr>
                <w:rFonts w:cs="Arial"/>
                <w:sz w:val="16"/>
                <w:szCs w:val="16"/>
              </w:rPr>
              <w:t>2,22</w:t>
            </w:r>
          </w:p>
        </w:tc>
        <w:tc>
          <w:tcPr>
            <w:tcW w:w="635" w:type="dxa"/>
            <w:tcBorders>
              <w:top w:val="nil"/>
              <w:left w:val="nil"/>
              <w:bottom w:val="nil"/>
              <w:right w:val="nil"/>
            </w:tcBorders>
            <w:shd w:val="clear" w:color="auto" w:fill="auto"/>
            <w:noWrap/>
            <w:vAlign w:val="center"/>
            <w:hideMark/>
          </w:tcPr>
          <w:p w14:paraId="379EF8F4" w14:textId="77777777" w:rsidR="00690A91" w:rsidRPr="00690A91" w:rsidRDefault="00690A91" w:rsidP="00690A91">
            <w:pPr>
              <w:spacing w:after="0" w:line="240" w:lineRule="auto"/>
              <w:jc w:val="right"/>
              <w:rPr>
                <w:rFonts w:cs="Arial"/>
                <w:sz w:val="16"/>
                <w:szCs w:val="16"/>
              </w:rPr>
            </w:pPr>
            <w:r w:rsidRPr="00690A91">
              <w:rPr>
                <w:rFonts w:cs="Arial"/>
                <w:sz w:val="16"/>
                <w:szCs w:val="16"/>
              </w:rPr>
              <w:t>2,37</w:t>
            </w:r>
          </w:p>
        </w:tc>
        <w:tc>
          <w:tcPr>
            <w:tcW w:w="635" w:type="dxa"/>
            <w:tcBorders>
              <w:top w:val="nil"/>
              <w:left w:val="nil"/>
              <w:bottom w:val="nil"/>
              <w:right w:val="nil"/>
            </w:tcBorders>
            <w:shd w:val="clear" w:color="auto" w:fill="auto"/>
            <w:noWrap/>
            <w:vAlign w:val="center"/>
            <w:hideMark/>
          </w:tcPr>
          <w:p w14:paraId="68C18600" w14:textId="77777777" w:rsidR="00690A91" w:rsidRPr="00690A91" w:rsidRDefault="00690A91" w:rsidP="00690A91">
            <w:pPr>
              <w:spacing w:after="0" w:line="240" w:lineRule="auto"/>
              <w:jc w:val="right"/>
              <w:rPr>
                <w:rFonts w:cs="Arial"/>
                <w:sz w:val="16"/>
                <w:szCs w:val="16"/>
              </w:rPr>
            </w:pPr>
            <w:r w:rsidRPr="00690A91">
              <w:rPr>
                <w:rFonts w:cs="Arial"/>
                <w:sz w:val="16"/>
                <w:szCs w:val="16"/>
              </w:rPr>
              <w:t>2,15</w:t>
            </w:r>
          </w:p>
        </w:tc>
        <w:tc>
          <w:tcPr>
            <w:tcW w:w="635" w:type="dxa"/>
            <w:tcBorders>
              <w:top w:val="nil"/>
              <w:left w:val="nil"/>
              <w:bottom w:val="nil"/>
              <w:right w:val="nil"/>
            </w:tcBorders>
            <w:shd w:val="clear" w:color="auto" w:fill="auto"/>
            <w:noWrap/>
            <w:vAlign w:val="center"/>
            <w:hideMark/>
          </w:tcPr>
          <w:p w14:paraId="633E9446" w14:textId="77777777" w:rsidR="00690A91" w:rsidRPr="00690A91" w:rsidRDefault="00690A91" w:rsidP="00690A91">
            <w:pPr>
              <w:spacing w:after="0" w:line="240" w:lineRule="auto"/>
              <w:jc w:val="right"/>
              <w:rPr>
                <w:rFonts w:cs="Arial"/>
                <w:sz w:val="16"/>
                <w:szCs w:val="16"/>
              </w:rPr>
            </w:pPr>
            <w:r w:rsidRPr="00690A91">
              <w:rPr>
                <w:rFonts w:cs="Arial"/>
                <w:sz w:val="16"/>
                <w:szCs w:val="16"/>
              </w:rPr>
              <w:t>2,41</w:t>
            </w:r>
          </w:p>
        </w:tc>
        <w:tc>
          <w:tcPr>
            <w:tcW w:w="635" w:type="dxa"/>
            <w:tcBorders>
              <w:top w:val="nil"/>
              <w:left w:val="nil"/>
              <w:bottom w:val="nil"/>
              <w:right w:val="nil"/>
            </w:tcBorders>
            <w:shd w:val="clear" w:color="auto" w:fill="auto"/>
            <w:noWrap/>
            <w:vAlign w:val="center"/>
            <w:hideMark/>
          </w:tcPr>
          <w:p w14:paraId="72CB3F4E"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2,38</w:t>
            </w:r>
          </w:p>
        </w:tc>
        <w:tc>
          <w:tcPr>
            <w:tcW w:w="635" w:type="dxa"/>
            <w:tcBorders>
              <w:top w:val="nil"/>
              <w:left w:val="nil"/>
              <w:bottom w:val="nil"/>
              <w:right w:val="nil"/>
            </w:tcBorders>
            <w:shd w:val="clear" w:color="auto" w:fill="auto"/>
            <w:noWrap/>
            <w:vAlign w:val="center"/>
            <w:hideMark/>
          </w:tcPr>
          <w:p w14:paraId="7A489987"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2,52</w:t>
            </w:r>
          </w:p>
        </w:tc>
        <w:tc>
          <w:tcPr>
            <w:tcW w:w="635" w:type="dxa"/>
            <w:tcBorders>
              <w:top w:val="nil"/>
              <w:left w:val="nil"/>
              <w:bottom w:val="nil"/>
              <w:right w:val="nil"/>
            </w:tcBorders>
            <w:shd w:val="clear" w:color="000000" w:fill="FFFFFF"/>
            <w:noWrap/>
            <w:vAlign w:val="center"/>
            <w:hideMark/>
          </w:tcPr>
          <w:p w14:paraId="4E36DC88"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2,62</w:t>
            </w:r>
          </w:p>
        </w:tc>
        <w:tc>
          <w:tcPr>
            <w:tcW w:w="661" w:type="dxa"/>
            <w:gridSpan w:val="2"/>
            <w:tcBorders>
              <w:top w:val="nil"/>
              <w:left w:val="nil"/>
              <w:bottom w:val="nil"/>
              <w:right w:val="nil"/>
            </w:tcBorders>
            <w:shd w:val="clear" w:color="000000" w:fill="FFFFFF"/>
            <w:noWrap/>
            <w:vAlign w:val="center"/>
            <w:hideMark/>
          </w:tcPr>
          <w:p w14:paraId="29B73D6D"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2,57</w:t>
            </w:r>
          </w:p>
        </w:tc>
      </w:tr>
      <w:tr w:rsidR="00690A91" w:rsidRPr="00690A91" w14:paraId="31E7659A" w14:textId="77777777" w:rsidTr="00B3736B">
        <w:trPr>
          <w:trHeight w:val="287"/>
        </w:trPr>
        <w:tc>
          <w:tcPr>
            <w:tcW w:w="3390" w:type="dxa"/>
            <w:tcBorders>
              <w:top w:val="nil"/>
              <w:left w:val="nil"/>
              <w:bottom w:val="nil"/>
              <w:right w:val="nil"/>
            </w:tcBorders>
            <w:shd w:val="clear" w:color="auto" w:fill="auto"/>
            <w:vAlign w:val="center"/>
            <w:hideMark/>
          </w:tcPr>
          <w:p w14:paraId="53074FF9"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N – Administrativní a podpůrné činnosti</w:t>
            </w:r>
          </w:p>
        </w:tc>
        <w:tc>
          <w:tcPr>
            <w:tcW w:w="635" w:type="dxa"/>
            <w:tcBorders>
              <w:top w:val="nil"/>
              <w:left w:val="nil"/>
              <w:bottom w:val="nil"/>
              <w:right w:val="nil"/>
            </w:tcBorders>
            <w:shd w:val="clear" w:color="auto" w:fill="auto"/>
            <w:noWrap/>
            <w:vAlign w:val="center"/>
            <w:hideMark/>
          </w:tcPr>
          <w:p w14:paraId="5A93F3EC" w14:textId="77777777" w:rsidR="00690A91" w:rsidRPr="00690A91" w:rsidRDefault="00690A91" w:rsidP="00690A91">
            <w:pPr>
              <w:spacing w:after="0" w:line="240" w:lineRule="auto"/>
              <w:jc w:val="right"/>
              <w:rPr>
                <w:rFonts w:cs="Arial"/>
                <w:sz w:val="16"/>
                <w:szCs w:val="16"/>
              </w:rPr>
            </w:pPr>
            <w:r w:rsidRPr="00690A91">
              <w:rPr>
                <w:rFonts w:cs="Arial"/>
                <w:sz w:val="16"/>
                <w:szCs w:val="16"/>
              </w:rPr>
              <w:t>4,55</w:t>
            </w:r>
          </w:p>
        </w:tc>
        <w:tc>
          <w:tcPr>
            <w:tcW w:w="635" w:type="dxa"/>
            <w:tcBorders>
              <w:top w:val="nil"/>
              <w:left w:val="nil"/>
              <w:bottom w:val="nil"/>
              <w:right w:val="nil"/>
            </w:tcBorders>
            <w:shd w:val="clear" w:color="auto" w:fill="auto"/>
            <w:noWrap/>
            <w:vAlign w:val="center"/>
            <w:hideMark/>
          </w:tcPr>
          <w:p w14:paraId="79019739"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4,53</w:t>
            </w:r>
          </w:p>
        </w:tc>
        <w:tc>
          <w:tcPr>
            <w:tcW w:w="635" w:type="dxa"/>
            <w:tcBorders>
              <w:top w:val="nil"/>
              <w:left w:val="nil"/>
              <w:bottom w:val="nil"/>
              <w:right w:val="nil"/>
            </w:tcBorders>
            <w:shd w:val="clear" w:color="auto" w:fill="auto"/>
            <w:noWrap/>
            <w:vAlign w:val="center"/>
            <w:hideMark/>
          </w:tcPr>
          <w:p w14:paraId="4D135487" w14:textId="77777777" w:rsidR="00690A91" w:rsidRPr="00690A91" w:rsidRDefault="00690A91" w:rsidP="00690A91">
            <w:pPr>
              <w:spacing w:after="0" w:line="240" w:lineRule="auto"/>
              <w:jc w:val="right"/>
              <w:rPr>
                <w:rFonts w:cs="Arial"/>
                <w:sz w:val="16"/>
                <w:szCs w:val="16"/>
              </w:rPr>
            </w:pPr>
            <w:r w:rsidRPr="00690A91">
              <w:rPr>
                <w:rFonts w:cs="Arial"/>
                <w:sz w:val="16"/>
                <w:szCs w:val="16"/>
              </w:rPr>
              <w:t>3,94</w:t>
            </w:r>
          </w:p>
        </w:tc>
        <w:tc>
          <w:tcPr>
            <w:tcW w:w="635" w:type="dxa"/>
            <w:tcBorders>
              <w:top w:val="nil"/>
              <w:left w:val="nil"/>
              <w:bottom w:val="nil"/>
              <w:right w:val="nil"/>
            </w:tcBorders>
            <w:shd w:val="clear" w:color="auto" w:fill="auto"/>
            <w:noWrap/>
            <w:vAlign w:val="center"/>
            <w:hideMark/>
          </w:tcPr>
          <w:p w14:paraId="799E8B64" w14:textId="77777777" w:rsidR="00690A91" w:rsidRPr="00690A91" w:rsidRDefault="00690A91" w:rsidP="00690A91">
            <w:pPr>
              <w:spacing w:after="0" w:line="240" w:lineRule="auto"/>
              <w:jc w:val="right"/>
              <w:rPr>
                <w:rFonts w:cs="Arial"/>
                <w:sz w:val="16"/>
                <w:szCs w:val="16"/>
              </w:rPr>
            </w:pPr>
            <w:r w:rsidRPr="00690A91">
              <w:rPr>
                <w:rFonts w:cs="Arial"/>
                <w:sz w:val="16"/>
                <w:szCs w:val="16"/>
              </w:rPr>
              <w:t>4,45</w:t>
            </w:r>
          </w:p>
        </w:tc>
        <w:tc>
          <w:tcPr>
            <w:tcW w:w="635" w:type="dxa"/>
            <w:tcBorders>
              <w:top w:val="nil"/>
              <w:left w:val="nil"/>
              <w:bottom w:val="nil"/>
              <w:right w:val="nil"/>
            </w:tcBorders>
            <w:shd w:val="clear" w:color="auto" w:fill="auto"/>
            <w:noWrap/>
            <w:vAlign w:val="center"/>
            <w:hideMark/>
          </w:tcPr>
          <w:p w14:paraId="52567F0D" w14:textId="77777777" w:rsidR="00690A91" w:rsidRPr="00690A91" w:rsidRDefault="00690A91" w:rsidP="00690A91">
            <w:pPr>
              <w:spacing w:after="0" w:line="240" w:lineRule="auto"/>
              <w:jc w:val="right"/>
              <w:rPr>
                <w:rFonts w:cs="Arial"/>
                <w:sz w:val="16"/>
                <w:szCs w:val="16"/>
              </w:rPr>
            </w:pPr>
            <w:r w:rsidRPr="00690A91">
              <w:rPr>
                <w:rFonts w:cs="Arial"/>
                <w:sz w:val="16"/>
                <w:szCs w:val="16"/>
              </w:rPr>
              <w:t>4,52</w:t>
            </w:r>
          </w:p>
        </w:tc>
        <w:tc>
          <w:tcPr>
            <w:tcW w:w="635" w:type="dxa"/>
            <w:tcBorders>
              <w:top w:val="nil"/>
              <w:left w:val="nil"/>
              <w:bottom w:val="nil"/>
              <w:right w:val="nil"/>
            </w:tcBorders>
            <w:shd w:val="clear" w:color="auto" w:fill="auto"/>
            <w:noWrap/>
            <w:vAlign w:val="center"/>
            <w:hideMark/>
          </w:tcPr>
          <w:p w14:paraId="5B54FC26" w14:textId="77777777" w:rsidR="00690A91" w:rsidRPr="00690A91" w:rsidRDefault="00690A91" w:rsidP="00690A91">
            <w:pPr>
              <w:spacing w:after="0" w:line="240" w:lineRule="auto"/>
              <w:jc w:val="right"/>
              <w:rPr>
                <w:rFonts w:cs="Arial"/>
                <w:sz w:val="16"/>
                <w:szCs w:val="16"/>
              </w:rPr>
            </w:pPr>
            <w:r w:rsidRPr="00690A91">
              <w:rPr>
                <w:rFonts w:cs="Arial"/>
                <w:sz w:val="16"/>
                <w:szCs w:val="16"/>
              </w:rPr>
              <w:t>5,31</w:t>
            </w:r>
          </w:p>
        </w:tc>
        <w:tc>
          <w:tcPr>
            <w:tcW w:w="635" w:type="dxa"/>
            <w:tcBorders>
              <w:top w:val="nil"/>
              <w:left w:val="nil"/>
              <w:bottom w:val="nil"/>
              <w:right w:val="nil"/>
            </w:tcBorders>
            <w:shd w:val="clear" w:color="auto" w:fill="auto"/>
            <w:noWrap/>
            <w:vAlign w:val="center"/>
            <w:hideMark/>
          </w:tcPr>
          <w:p w14:paraId="665A2341"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5,53</w:t>
            </w:r>
          </w:p>
        </w:tc>
        <w:tc>
          <w:tcPr>
            <w:tcW w:w="635" w:type="dxa"/>
            <w:tcBorders>
              <w:top w:val="nil"/>
              <w:left w:val="nil"/>
              <w:bottom w:val="nil"/>
              <w:right w:val="nil"/>
            </w:tcBorders>
            <w:shd w:val="clear" w:color="auto" w:fill="auto"/>
            <w:noWrap/>
            <w:vAlign w:val="center"/>
            <w:hideMark/>
          </w:tcPr>
          <w:p w14:paraId="2B077292"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5,53</w:t>
            </w:r>
          </w:p>
        </w:tc>
        <w:tc>
          <w:tcPr>
            <w:tcW w:w="635" w:type="dxa"/>
            <w:tcBorders>
              <w:top w:val="nil"/>
              <w:left w:val="nil"/>
              <w:bottom w:val="nil"/>
              <w:right w:val="nil"/>
            </w:tcBorders>
            <w:shd w:val="clear" w:color="000000" w:fill="FFFFFF"/>
            <w:noWrap/>
            <w:vAlign w:val="center"/>
            <w:hideMark/>
          </w:tcPr>
          <w:p w14:paraId="57C30B7A"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5,65</w:t>
            </w:r>
          </w:p>
        </w:tc>
        <w:tc>
          <w:tcPr>
            <w:tcW w:w="661" w:type="dxa"/>
            <w:gridSpan w:val="2"/>
            <w:tcBorders>
              <w:top w:val="nil"/>
              <w:left w:val="nil"/>
              <w:bottom w:val="nil"/>
              <w:right w:val="nil"/>
            </w:tcBorders>
            <w:shd w:val="clear" w:color="000000" w:fill="FFFFFF"/>
            <w:noWrap/>
            <w:vAlign w:val="center"/>
            <w:hideMark/>
          </w:tcPr>
          <w:p w14:paraId="709C2940"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5,67</w:t>
            </w:r>
          </w:p>
        </w:tc>
      </w:tr>
      <w:tr w:rsidR="00690A91" w:rsidRPr="00690A91" w14:paraId="75F6B292" w14:textId="77777777" w:rsidTr="00B3736B">
        <w:trPr>
          <w:trHeight w:val="454"/>
        </w:trPr>
        <w:tc>
          <w:tcPr>
            <w:tcW w:w="3390" w:type="dxa"/>
            <w:tcBorders>
              <w:top w:val="nil"/>
              <w:left w:val="nil"/>
              <w:bottom w:val="nil"/>
              <w:right w:val="nil"/>
            </w:tcBorders>
            <w:shd w:val="clear" w:color="auto" w:fill="auto"/>
            <w:vAlign w:val="center"/>
            <w:hideMark/>
          </w:tcPr>
          <w:p w14:paraId="53D1A4F1" w14:textId="77777777" w:rsid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O – Veřejná správa a obrana; povinné</w:t>
            </w:r>
          </w:p>
          <w:p w14:paraId="15318769" w14:textId="78B855EE" w:rsidR="00690A91" w:rsidRPr="00690A91" w:rsidRDefault="00690A91" w:rsidP="00690A91">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690A91">
              <w:rPr>
                <w:rFonts w:ascii="Arial CE" w:hAnsi="Arial CE" w:cs="Arial CE"/>
                <w:sz w:val="16"/>
                <w:szCs w:val="16"/>
              </w:rPr>
              <w:t xml:space="preserve"> sociální zabezpečení</w:t>
            </w:r>
          </w:p>
        </w:tc>
        <w:tc>
          <w:tcPr>
            <w:tcW w:w="635" w:type="dxa"/>
            <w:tcBorders>
              <w:top w:val="nil"/>
              <w:left w:val="nil"/>
              <w:bottom w:val="nil"/>
              <w:right w:val="nil"/>
            </w:tcBorders>
            <w:shd w:val="clear" w:color="auto" w:fill="auto"/>
            <w:noWrap/>
            <w:vAlign w:val="center"/>
            <w:hideMark/>
          </w:tcPr>
          <w:p w14:paraId="28247F0B" w14:textId="77777777" w:rsidR="00690A91" w:rsidRPr="00690A91" w:rsidRDefault="00690A91" w:rsidP="00690A91">
            <w:pPr>
              <w:spacing w:after="0" w:line="240" w:lineRule="auto"/>
              <w:jc w:val="right"/>
              <w:rPr>
                <w:rFonts w:cs="Arial"/>
                <w:sz w:val="16"/>
                <w:szCs w:val="16"/>
              </w:rPr>
            </w:pPr>
            <w:r w:rsidRPr="00690A91">
              <w:rPr>
                <w:rFonts w:cs="Arial"/>
                <w:sz w:val="16"/>
                <w:szCs w:val="16"/>
              </w:rPr>
              <w:t>2,93</w:t>
            </w:r>
          </w:p>
        </w:tc>
        <w:tc>
          <w:tcPr>
            <w:tcW w:w="635" w:type="dxa"/>
            <w:tcBorders>
              <w:top w:val="nil"/>
              <w:left w:val="nil"/>
              <w:bottom w:val="nil"/>
              <w:right w:val="nil"/>
            </w:tcBorders>
            <w:shd w:val="clear" w:color="auto" w:fill="auto"/>
            <w:noWrap/>
            <w:vAlign w:val="center"/>
            <w:hideMark/>
          </w:tcPr>
          <w:p w14:paraId="1B2A8FCE"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3,12</w:t>
            </w:r>
          </w:p>
        </w:tc>
        <w:tc>
          <w:tcPr>
            <w:tcW w:w="635" w:type="dxa"/>
            <w:tcBorders>
              <w:top w:val="nil"/>
              <w:left w:val="nil"/>
              <w:bottom w:val="nil"/>
              <w:right w:val="nil"/>
            </w:tcBorders>
            <w:shd w:val="clear" w:color="auto" w:fill="auto"/>
            <w:noWrap/>
            <w:vAlign w:val="center"/>
            <w:hideMark/>
          </w:tcPr>
          <w:p w14:paraId="4ADB9E43" w14:textId="77777777" w:rsidR="00690A91" w:rsidRPr="00690A91" w:rsidRDefault="00690A91" w:rsidP="00690A91">
            <w:pPr>
              <w:spacing w:after="0" w:line="240" w:lineRule="auto"/>
              <w:jc w:val="right"/>
              <w:rPr>
                <w:rFonts w:cs="Arial"/>
                <w:sz w:val="16"/>
                <w:szCs w:val="16"/>
              </w:rPr>
            </w:pPr>
            <w:r w:rsidRPr="00690A91">
              <w:rPr>
                <w:rFonts w:cs="Arial"/>
                <w:sz w:val="16"/>
                <w:szCs w:val="16"/>
              </w:rPr>
              <w:t>2,86</w:t>
            </w:r>
          </w:p>
        </w:tc>
        <w:tc>
          <w:tcPr>
            <w:tcW w:w="635" w:type="dxa"/>
            <w:tcBorders>
              <w:top w:val="nil"/>
              <w:left w:val="nil"/>
              <w:bottom w:val="nil"/>
              <w:right w:val="nil"/>
            </w:tcBorders>
            <w:shd w:val="clear" w:color="auto" w:fill="auto"/>
            <w:noWrap/>
            <w:vAlign w:val="center"/>
            <w:hideMark/>
          </w:tcPr>
          <w:p w14:paraId="665354AB" w14:textId="77777777" w:rsidR="00690A91" w:rsidRPr="00690A91" w:rsidRDefault="00690A91" w:rsidP="00690A91">
            <w:pPr>
              <w:spacing w:after="0" w:line="240" w:lineRule="auto"/>
              <w:jc w:val="right"/>
              <w:rPr>
                <w:rFonts w:cs="Arial"/>
                <w:sz w:val="16"/>
                <w:szCs w:val="16"/>
              </w:rPr>
            </w:pPr>
            <w:r w:rsidRPr="00690A91">
              <w:rPr>
                <w:rFonts w:cs="Arial"/>
                <w:sz w:val="16"/>
                <w:szCs w:val="16"/>
              </w:rPr>
              <w:t>2,94</w:t>
            </w:r>
          </w:p>
        </w:tc>
        <w:tc>
          <w:tcPr>
            <w:tcW w:w="635" w:type="dxa"/>
            <w:tcBorders>
              <w:top w:val="nil"/>
              <w:left w:val="nil"/>
              <w:bottom w:val="nil"/>
              <w:right w:val="nil"/>
            </w:tcBorders>
            <w:shd w:val="clear" w:color="auto" w:fill="auto"/>
            <w:noWrap/>
            <w:vAlign w:val="center"/>
            <w:hideMark/>
          </w:tcPr>
          <w:p w14:paraId="25E40647" w14:textId="77777777" w:rsidR="00690A91" w:rsidRPr="00690A91" w:rsidRDefault="00690A91" w:rsidP="00690A91">
            <w:pPr>
              <w:spacing w:after="0" w:line="240" w:lineRule="auto"/>
              <w:jc w:val="right"/>
              <w:rPr>
                <w:rFonts w:cs="Arial"/>
                <w:sz w:val="16"/>
                <w:szCs w:val="16"/>
              </w:rPr>
            </w:pPr>
            <w:r w:rsidRPr="00690A91">
              <w:rPr>
                <w:rFonts w:cs="Arial"/>
                <w:sz w:val="16"/>
                <w:szCs w:val="16"/>
              </w:rPr>
              <w:t>2,83</w:t>
            </w:r>
          </w:p>
        </w:tc>
        <w:tc>
          <w:tcPr>
            <w:tcW w:w="635" w:type="dxa"/>
            <w:tcBorders>
              <w:top w:val="nil"/>
              <w:left w:val="nil"/>
              <w:bottom w:val="nil"/>
              <w:right w:val="nil"/>
            </w:tcBorders>
            <w:shd w:val="clear" w:color="auto" w:fill="auto"/>
            <w:noWrap/>
            <w:vAlign w:val="center"/>
            <w:hideMark/>
          </w:tcPr>
          <w:p w14:paraId="37D1A9AF" w14:textId="77777777" w:rsidR="00690A91" w:rsidRPr="00690A91" w:rsidRDefault="00690A91" w:rsidP="00690A91">
            <w:pPr>
              <w:spacing w:after="0" w:line="240" w:lineRule="auto"/>
              <w:jc w:val="right"/>
              <w:rPr>
                <w:rFonts w:cs="Arial"/>
                <w:sz w:val="16"/>
                <w:szCs w:val="16"/>
              </w:rPr>
            </w:pPr>
            <w:r w:rsidRPr="00690A91">
              <w:rPr>
                <w:rFonts w:cs="Arial"/>
                <w:sz w:val="16"/>
                <w:szCs w:val="16"/>
              </w:rPr>
              <w:t>3,33</w:t>
            </w:r>
          </w:p>
        </w:tc>
        <w:tc>
          <w:tcPr>
            <w:tcW w:w="635" w:type="dxa"/>
            <w:tcBorders>
              <w:top w:val="nil"/>
              <w:left w:val="nil"/>
              <w:bottom w:val="nil"/>
              <w:right w:val="nil"/>
            </w:tcBorders>
            <w:shd w:val="clear" w:color="auto" w:fill="auto"/>
            <w:noWrap/>
            <w:vAlign w:val="center"/>
            <w:hideMark/>
          </w:tcPr>
          <w:p w14:paraId="01677AE4"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3,36</w:t>
            </w:r>
          </w:p>
        </w:tc>
        <w:tc>
          <w:tcPr>
            <w:tcW w:w="635" w:type="dxa"/>
            <w:tcBorders>
              <w:top w:val="nil"/>
              <w:left w:val="nil"/>
              <w:bottom w:val="nil"/>
              <w:right w:val="nil"/>
            </w:tcBorders>
            <w:shd w:val="clear" w:color="auto" w:fill="auto"/>
            <w:noWrap/>
            <w:vAlign w:val="center"/>
            <w:hideMark/>
          </w:tcPr>
          <w:p w14:paraId="79E227E9"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3,42</w:t>
            </w:r>
          </w:p>
        </w:tc>
        <w:tc>
          <w:tcPr>
            <w:tcW w:w="635" w:type="dxa"/>
            <w:tcBorders>
              <w:top w:val="nil"/>
              <w:left w:val="nil"/>
              <w:bottom w:val="nil"/>
              <w:right w:val="nil"/>
            </w:tcBorders>
            <w:shd w:val="clear" w:color="000000" w:fill="FFFFFF"/>
            <w:noWrap/>
            <w:vAlign w:val="center"/>
            <w:hideMark/>
          </w:tcPr>
          <w:p w14:paraId="7422007E"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3,55</w:t>
            </w:r>
          </w:p>
        </w:tc>
        <w:tc>
          <w:tcPr>
            <w:tcW w:w="661" w:type="dxa"/>
            <w:gridSpan w:val="2"/>
            <w:tcBorders>
              <w:top w:val="nil"/>
              <w:left w:val="nil"/>
              <w:bottom w:val="nil"/>
              <w:right w:val="nil"/>
            </w:tcBorders>
            <w:shd w:val="clear" w:color="000000" w:fill="FFFFFF"/>
            <w:noWrap/>
            <w:vAlign w:val="center"/>
            <w:hideMark/>
          </w:tcPr>
          <w:p w14:paraId="5779C7E6"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3,54</w:t>
            </w:r>
          </w:p>
        </w:tc>
      </w:tr>
      <w:tr w:rsidR="00690A91" w:rsidRPr="00690A91" w14:paraId="340161AC" w14:textId="77777777" w:rsidTr="00B3736B">
        <w:trPr>
          <w:trHeight w:val="287"/>
        </w:trPr>
        <w:tc>
          <w:tcPr>
            <w:tcW w:w="3390" w:type="dxa"/>
            <w:tcBorders>
              <w:top w:val="nil"/>
              <w:left w:val="nil"/>
              <w:bottom w:val="nil"/>
              <w:right w:val="nil"/>
            </w:tcBorders>
            <w:shd w:val="clear" w:color="auto" w:fill="auto"/>
            <w:vAlign w:val="center"/>
            <w:hideMark/>
          </w:tcPr>
          <w:p w14:paraId="142D7A16"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P – Vzdělávání</w:t>
            </w:r>
          </w:p>
        </w:tc>
        <w:tc>
          <w:tcPr>
            <w:tcW w:w="635" w:type="dxa"/>
            <w:tcBorders>
              <w:top w:val="nil"/>
              <w:left w:val="nil"/>
              <w:bottom w:val="nil"/>
              <w:right w:val="nil"/>
            </w:tcBorders>
            <w:shd w:val="clear" w:color="auto" w:fill="auto"/>
            <w:noWrap/>
            <w:vAlign w:val="center"/>
            <w:hideMark/>
          </w:tcPr>
          <w:p w14:paraId="2FB158F6" w14:textId="77777777" w:rsidR="00690A91" w:rsidRPr="00690A91" w:rsidRDefault="00690A91" w:rsidP="00690A91">
            <w:pPr>
              <w:spacing w:after="0" w:line="240" w:lineRule="auto"/>
              <w:jc w:val="right"/>
              <w:rPr>
                <w:rFonts w:cs="Arial"/>
                <w:sz w:val="16"/>
                <w:szCs w:val="16"/>
              </w:rPr>
            </w:pPr>
            <w:r w:rsidRPr="00690A91">
              <w:rPr>
                <w:rFonts w:cs="Arial"/>
                <w:sz w:val="16"/>
                <w:szCs w:val="16"/>
              </w:rPr>
              <w:t>2,74</w:t>
            </w:r>
          </w:p>
        </w:tc>
        <w:tc>
          <w:tcPr>
            <w:tcW w:w="635" w:type="dxa"/>
            <w:tcBorders>
              <w:top w:val="nil"/>
              <w:left w:val="nil"/>
              <w:bottom w:val="nil"/>
              <w:right w:val="nil"/>
            </w:tcBorders>
            <w:shd w:val="clear" w:color="auto" w:fill="auto"/>
            <w:noWrap/>
            <w:vAlign w:val="center"/>
            <w:hideMark/>
          </w:tcPr>
          <w:p w14:paraId="41AEAD55"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2,75</w:t>
            </w:r>
          </w:p>
        </w:tc>
        <w:tc>
          <w:tcPr>
            <w:tcW w:w="635" w:type="dxa"/>
            <w:tcBorders>
              <w:top w:val="nil"/>
              <w:left w:val="nil"/>
              <w:bottom w:val="nil"/>
              <w:right w:val="nil"/>
            </w:tcBorders>
            <w:shd w:val="clear" w:color="auto" w:fill="auto"/>
            <w:noWrap/>
            <w:vAlign w:val="center"/>
            <w:hideMark/>
          </w:tcPr>
          <w:p w14:paraId="653C7928" w14:textId="77777777" w:rsidR="00690A91" w:rsidRPr="00690A91" w:rsidRDefault="00690A91" w:rsidP="00690A91">
            <w:pPr>
              <w:spacing w:after="0" w:line="240" w:lineRule="auto"/>
              <w:jc w:val="right"/>
              <w:rPr>
                <w:rFonts w:cs="Arial"/>
                <w:sz w:val="16"/>
                <w:szCs w:val="16"/>
              </w:rPr>
            </w:pPr>
            <w:r w:rsidRPr="00690A91">
              <w:rPr>
                <w:rFonts w:cs="Arial"/>
                <w:sz w:val="16"/>
                <w:szCs w:val="16"/>
              </w:rPr>
              <w:t>2,38</w:t>
            </w:r>
          </w:p>
        </w:tc>
        <w:tc>
          <w:tcPr>
            <w:tcW w:w="635" w:type="dxa"/>
            <w:tcBorders>
              <w:top w:val="nil"/>
              <w:left w:val="nil"/>
              <w:bottom w:val="nil"/>
              <w:right w:val="nil"/>
            </w:tcBorders>
            <w:shd w:val="clear" w:color="auto" w:fill="auto"/>
            <w:noWrap/>
            <w:vAlign w:val="center"/>
            <w:hideMark/>
          </w:tcPr>
          <w:p w14:paraId="5C00E738" w14:textId="77777777" w:rsidR="00690A91" w:rsidRPr="00690A91" w:rsidRDefault="00690A91" w:rsidP="00690A91">
            <w:pPr>
              <w:spacing w:after="0" w:line="240" w:lineRule="auto"/>
              <w:jc w:val="right"/>
              <w:rPr>
                <w:rFonts w:cs="Arial"/>
                <w:sz w:val="16"/>
                <w:szCs w:val="16"/>
              </w:rPr>
            </w:pPr>
            <w:r w:rsidRPr="00690A91">
              <w:rPr>
                <w:rFonts w:cs="Arial"/>
                <w:sz w:val="16"/>
                <w:szCs w:val="16"/>
              </w:rPr>
              <w:t>2,68</w:t>
            </w:r>
          </w:p>
        </w:tc>
        <w:tc>
          <w:tcPr>
            <w:tcW w:w="635" w:type="dxa"/>
            <w:tcBorders>
              <w:top w:val="nil"/>
              <w:left w:val="nil"/>
              <w:bottom w:val="nil"/>
              <w:right w:val="nil"/>
            </w:tcBorders>
            <w:shd w:val="clear" w:color="auto" w:fill="auto"/>
            <w:noWrap/>
            <w:vAlign w:val="center"/>
            <w:hideMark/>
          </w:tcPr>
          <w:p w14:paraId="29B33A91" w14:textId="77777777" w:rsidR="00690A91" w:rsidRPr="00690A91" w:rsidRDefault="00690A91" w:rsidP="00690A91">
            <w:pPr>
              <w:spacing w:after="0" w:line="240" w:lineRule="auto"/>
              <w:jc w:val="right"/>
              <w:rPr>
                <w:rFonts w:cs="Arial"/>
                <w:sz w:val="16"/>
                <w:szCs w:val="16"/>
              </w:rPr>
            </w:pPr>
            <w:r w:rsidRPr="00690A91">
              <w:rPr>
                <w:rFonts w:cs="Arial"/>
                <w:sz w:val="16"/>
                <w:szCs w:val="16"/>
              </w:rPr>
              <w:t>2,56</w:t>
            </w:r>
          </w:p>
        </w:tc>
        <w:tc>
          <w:tcPr>
            <w:tcW w:w="635" w:type="dxa"/>
            <w:tcBorders>
              <w:top w:val="nil"/>
              <w:left w:val="nil"/>
              <w:bottom w:val="nil"/>
              <w:right w:val="nil"/>
            </w:tcBorders>
            <w:shd w:val="clear" w:color="auto" w:fill="auto"/>
            <w:noWrap/>
            <w:vAlign w:val="center"/>
            <w:hideMark/>
          </w:tcPr>
          <w:p w14:paraId="5BDAA3BE" w14:textId="77777777" w:rsidR="00690A91" w:rsidRPr="00690A91" w:rsidRDefault="00690A91" w:rsidP="00690A91">
            <w:pPr>
              <w:spacing w:after="0" w:line="240" w:lineRule="auto"/>
              <w:jc w:val="right"/>
              <w:rPr>
                <w:rFonts w:cs="Arial"/>
                <w:sz w:val="16"/>
                <w:szCs w:val="16"/>
              </w:rPr>
            </w:pPr>
            <w:r w:rsidRPr="00690A91">
              <w:rPr>
                <w:rFonts w:cs="Arial"/>
                <w:sz w:val="16"/>
                <w:szCs w:val="16"/>
              </w:rPr>
              <w:t>3,08</w:t>
            </w:r>
          </w:p>
        </w:tc>
        <w:tc>
          <w:tcPr>
            <w:tcW w:w="635" w:type="dxa"/>
            <w:tcBorders>
              <w:top w:val="nil"/>
              <w:left w:val="nil"/>
              <w:bottom w:val="nil"/>
              <w:right w:val="nil"/>
            </w:tcBorders>
            <w:shd w:val="clear" w:color="auto" w:fill="auto"/>
            <w:noWrap/>
            <w:vAlign w:val="center"/>
            <w:hideMark/>
          </w:tcPr>
          <w:p w14:paraId="6DC88C68"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3,10</w:t>
            </w:r>
          </w:p>
        </w:tc>
        <w:tc>
          <w:tcPr>
            <w:tcW w:w="635" w:type="dxa"/>
            <w:tcBorders>
              <w:top w:val="nil"/>
              <w:left w:val="nil"/>
              <w:bottom w:val="nil"/>
              <w:right w:val="nil"/>
            </w:tcBorders>
            <w:shd w:val="clear" w:color="auto" w:fill="auto"/>
            <w:noWrap/>
            <w:vAlign w:val="center"/>
            <w:hideMark/>
          </w:tcPr>
          <w:p w14:paraId="41BF708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3,34</w:t>
            </w:r>
          </w:p>
        </w:tc>
        <w:tc>
          <w:tcPr>
            <w:tcW w:w="635" w:type="dxa"/>
            <w:tcBorders>
              <w:top w:val="nil"/>
              <w:left w:val="nil"/>
              <w:bottom w:val="nil"/>
              <w:right w:val="nil"/>
            </w:tcBorders>
            <w:shd w:val="clear" w:color="000000" w:fill="FFFFFF"/>
            <w:noWrap/>
            <w:vAlign w:val="center"/>
            <w:hideMark/>
          </w:tcPr>
          <w:p w14:paraId="684E04AC"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3,46</w:t>
            </w:r>
          </w:p>
        </w:tc>
        <w:tc>
          <w:tcPr>
            <w:tcW w:w="661" w:type="dxa"/>
            <w:gridSpan w:val="2"/>
            <w:tcBorders>
              <w:top w:val="nil"/>
              <w:left w:val="nil"/>
              <w:bottom w:val="nil"/>
              <w:right w:val="nil"/>
            </w:tcBorders>
            <w:shd w:val="clear" w:color="000000" w:fill="FFFFFF"/>
            <w:noWrap/>
            <w:vAlign w:val="center"/>
            <w:hideMark/>
          </w:tcPr>
          <w:p w14:paraId="14163BD0"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3,41</w:t>
            </w:r>
          </w:p>
        </w:tc>
      </w:tr>
      <w:tr w:rsidR="00690A91" w:rsidRPr="00690A91" w14:paraId="704B7DA3" w14:textId="77777777" w:rsidTr="00B3736B">
        <w:trPr>
          <w:trHeight w:val="287"/>
        </w:trPr>
        <w:tc>
          <w:tcPr>
            <w:tcW w:w="3390" w:type="dxa"/>
            <w:tcBorders>
              <w:top w:val="nil"/>
              <w:left w:val="nil"/>
              <w:bottom w:val="nil"/>
              <w:right w:val="nil"/>
            </w:tcBorders>
            <w:shd w:val="clear" w:color="auto" w:fill="auto"/>
            <w:vAlign w:val="center"/>
            <w:hideMark/>
          </w:tcPr>
          <w:p w14:paraId="340CC56C"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Q – Zdravotní a sociální péče</w:t>
            </w:r>
          </w:p>
        </w:tc>
        <w:tc>
          <w:tcPr>
            <w:tcW w:w="635" w:type="dxa"/>
            <w:tcBorders>
              <w:top w:val="nil"/>
              <w:left w:val="nil"/>
              <w:bottom w:val="nil"/>
              <w:right w:val="nil"/>
            </w:tcBorders>
            <w:shd w:val="clear" w:color="auto" w:fill="auto"/>
            <w:noWrap/>
            <w:vAlign w:val="center"/>
            <w:hideMark/>
          </w:tcPr>
          <w:p w14:paraId="68FE9414" w14:textId="77777777" w:rsidR="00690A91" w:rsidRPr="00690A91" w:rsidRDefault="00690A91" w:rsidP="00690A91">
            <w:pPr>
              <w:spacing w:after="0" w:line="240" w:lineRule="auto"/>
              <w:jc w:val="right"/>
              <w:rPr>
                <w:rFonts w:cs="Arial"/>
                <w:sz w:val="16"/>
                <w:szCs w:val="16"/>
              </w:rPr>
            </w:pPr>
            <w:r w:rsidRPr="00690A91">
              <w:rPr>
                <w:rFonts w:cs="Arial"/>
                <w:sz w:val="16"/>
                <w:szCs w:val="16"/>
              </w:rPr>
              <w:t>3,57</w:t>
            </w:r>
          </w:p>
        </w:tc>
        <w:tc>
          <w:tcPr>
            <w:tcW w:w="635" w:type="dxa"/>
            <w:tcBorders>
              <w:top w:val="nil"/>
              <w:left w:val="nil"/>
              <w:bottom w:val="nil"/>
              <w:right w:val="nil"/>
            </w:tcBorders>
            <w:shd w:val="clear" w:color="auto" w:fill="auto"/>
            <w:noWrap/>
            <w:vAlign w:val="center"/>
            <w:hideMark/>
          </w:tcPr>
          <w:p w14:paraId="0983A6ED"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3,74</w:t>
            </w:r>
          </w:p>
        </w:tc>
        <w:tc>
          <w:tcPr>
            <w:tcW w:w="635" w:type="dxa"/>
            <w:tcBorders>
              <w:top w:val="nil"/>
              <w:left w:val="nil"/>
              <w:bottom w:val="nil"/>
              <w:right w:val="nil"/>
            </w:tcBorders>
            <w:shd w:val="clear" w:color="auto" w:fill="auto"/>
            <w:noWrap/>
            <w:vAlign w:val="center"/>
            <w:hideMark/>
          </w:tcPr>
          <w:p w14:paraId="1AA7758B" w14:textId="77777777" w:rsidR="00690A91" w:rsidRPr="00690A91" w:rsidRDefault="00690A91" w:rsidP="00690A91">
            <w:pPr>
              <w:spacing w:after="0" w:line="240" w:lineRule="auto"/>
              <w:jc w:val="right"/>
              <w:rPr>
                <w:rFonts w:cs="Arial"/>
                <w:sz w:val="16"/>
                <w:szCs w:val="16"/>
              </w:rPr>
            </w:pPr>
            <w:r w:rsidRPr="00690A91">
              <w:rPr>
                <w:rFonts w:cs="Arial"/>
                <w:sz w:val="16"/>
                <w:szCs w:val="16"/>
              </w:rPr>
              <w:t>3,42</w:t>
            </w:r>
          </w:p>
        </w:tc>
        <w:tc>
          <w:tcPr>
            <w:tcW w:w="635" w:type="dxa"/>
            <w:tcBorders>
              <w:top w:val="nil"/>
              <w:left w:val="nil"/>
              <w:bottom w:val="nil"/>
              <w:right w:val="nil"/>
            </w:tcBorders>
            <w:shd w:val="clear" w:color="auto" w:fill="auto"/>
            <w:noWrap/>
            <w:vAlign w:val="center"/>
            <w:hideMark/>
          </w:tcPr>
          <w:p w14:paraId="255505C0" w14:textId="77777777" w:rsidR="00690A91" w:rsidRPr="00690A91" w:rsidRDefault="00690A91" w:rsidP="00690A91">
            <w:pPr>
              <w:spacing w:after="0" w:line="240" w:lineRule="auto"/>
              <w:jc w:val="right"/>
              <w:rPr>
                <w:rFonts w:cs="Arial"/>
                <w:sz w:val="16"/>
                <w:szCs w:val="16"/>
              </w:rPr>
            </w:pPr>
            <w:r w:rsidRPr="00690A91">
              <w:rPr>
                <w:rFonts w:cs="Arial"/>
                <w:sz w:val="16"/>
                <w:szCs w:val="16"/>
              </w:rPr>
              <w:t>3,71</w:t>
            </w:r>
          </w:p>
        </w:tc>
        <w:tc>
          <w:tcPr>
            <w:tcW w:w="635" w:type="dxa"/>
            <w:tcBorders>
              <w:top w:val="nil"/>
              <w:left w:val="nil"/>
              <w:bottom w:val="nil"/>
              <w:right w:val="nil"/>
            </w:tcBorders>
            <w:shd w:val="clear" w:color="auto" w:fill="auto"/>
            <w:noWrap/>
            <w:vAlign w:val="center"/>
            <w:hideMark/>
          </w:tcPr>
          <w:p w14:paraId="49CA6FB1" w14:textId="77777777" w:rsidR="00690A91" w:rsidRPr="00690A91" w:rsidRDefault="00690A91" w:rsidP="00690A91">
            <w:pPr>
              <w:spacing w:after="0" w:line="240" w:lineRule="auto"/>
              <w:jc w:val="right"/>
              <w:rPr>
                <w:rFonts w:cs="Arial"/>
                <w:sz w:val="16"/>
                <w:szCs w:val="16"/>
              </w:rPr>
            </w:pPr>
            <w:r w:rsidRPr="00690A91">
              <w:rPr>
                <w:rFonts w:cs="Arial"/>
                <w:sz w:val="16"/>
                <w:szCs w:val="16"/>
              </w:rPr>
              <w:t>3,72</w:t>
            </w:r>
          </w:p>
        </w:tc>
        <w:tc>
          <w:tcPr>
            <w:tcW w:w="635" w:type="dxa"/>
            <w:tcBorders>
              <w:top w:val="nil"/>
              <w:left w:val="nil"/>
              <w:bottom w:val="nil"/>
              <w:right w:val="nil"/>
            </w:tcBorders>
            <w:shd w:val="clear" w:color="auto" w:fill="auto"/>
            <w:noWrap/>
            <w:vAlign w:val="center"/>
            <w:hideMark/>
          </w:tcPr>
          <w:p w14:paraId="762BA414" w14:textId="77777777" w:rsidR="00690A91" w:rsidRPr="00690A91" w:rsidRDefault="00690A91" w:rsidP="00690A91">
            <w:pPr>
              <w:spacing w:after="0" w:line="240" w:lineRule="auto"/>
              <w:jc w:val="right"/>
              <w:rPr>
                <w:rFonts w:cs="Arial"/>
                <w:sz w:val="16"/>
                <w:szCs w:val="16"/>
              </w:rPr>
            </w:pPr>
            <w:r w:rsidRPr="00690A91">
              <w:rPr>
                <w:rFonts w:cs="Arial"/>
                <w:sz w:val="16"/>
                <w:szCs w:val="16"/>
              </w:rPr>
              <w:t>4,26</w:t>
            </w:r>
          </w:p>
        </w:tc>
        <w:tc>
          <w:tcPr>
            <w:tcW w:w="635" w:type="dxa"/>
            <w:tcBorders>
              <w:top w:val="nil"/>
              <w:left w:val="nil"/>
              <w:bottom w:val="nil"/>
              <w:right w:val="nil"/>
            </w:tcBorders>
            <w:shd w:val="clear" w:color="auto" w:fill="auto"/>
            <w:noWrap/>
            <w:vAlign w:val="center"/>
            <w:hideMark/>
          </w:tcPr>
          <w:p w14:paraId="034277C0"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4,33</w:t>
            </w:r>
          </w:p>
        </w:tc>
        <w:tc>
          <w:tcPr>
            <w:tcW w:w="635" w:type="dxa"/>
            <w:tcBorders>
              <w:top w:val="nil"/>
              <w:left w:val="nil"/>
              <w:bottom w:val="nil"/>
              <w:right w:val="nil"/>
            </w:tcBorders>
            <w:shd w:val="clear" w:color="auto" w:fill="auto"/>
            <w:noWrap/>
            <w:vAlign w:val="center"/>
            <w:hideMark/>
          </w:tcPr>
          <w:p w14:paraId="27F8A431"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4,52</w:t>
            </w:r>
          </w:p>
        </w:tc>
        <w:tc>
          <w:tcPr>
            <w:tcW w:w="635" w:type="dxa"/>
            <w:tcBorders>
              <w:top w:val="nil"/>
              <w:left w:val="nil"/>
              <w:bottom w:val="nil"/>
              <w:right w:val="nil"/>
            </w:tcBorders>
            <w:shd w:val="clear" w:color="000000" w:fill="FFFFFF"/>
            <w:noWrap/>
            <w:vAlign w:val="center"/>
            <w:hideMark/>
          </w:tcPr>
          <w:p w14:paraId="08BFC26D"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4,61</w:t>
            </w:r>
          </w:p>
        </w:tc>
        <w:tc>
          <w:tcPr>
            <w:tcW w:w="661" w:type="dxa"/>
            <w:gridSpan w:val="2"/>
            <w:tcBorders>
              <w:top w:val="nil"/>
              <w:left w:val="nil"/>
              <w:bottom w:val="nil"/>
              <w:right w:val="nil"/>
            </w:tcBorders>
            <w:shd w:val="clear" w:color="000000" w:fill="FFFFFF"/>
            <w:noWrap/>
            <w:vAlign w:val="center"/>
            <w:hideMark/>
          </w:tcPr>
          <w:p w14:paraId="3F9272D0"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4,69</w:t>
            </w:r>
          </w:p>
        </w:tc>
      </w:tr>
      <w:tr w:rsidR="00690A91" w:rsidRPr="00690A91" w14:paraId="484748EA" w14:textId="77777777" w:rsidTr="00B3736B">
        <w:trPr>
          <w:trHeight w:val="454"/>
        </w:trPr>
        <w:tc>
          <w:tcPr>
            <w:tcW w:w="3390" w:type="dxa"/>
            <w:tcBorders>
              <w:top w:val="nil"/>
              <w:left w:val="nil"/>
              <w:bottom w:val="nil"/>
              <w:right w:val="nil"/>
            </w:tcBorders>
            <w:shd w:val="clear" w:color="auto" w:fill="auto"/>
            <w:vAlign w:val="center"/>
            <w:hideMark/>
          </w:tcPr>
          <w:p w14:paraId="1B1FBB85"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R – Kulturní, zábavní a rekreační činnosti</w:t>
            </w:r>
          </w:p>
        </w:tc>
        <w:tc>
          <w:tcPr>
            <w:tcW w:w="635" w:type="dxa"/>
            <w:tcBorders>
              <w:top w:val="nil"/>
              <w:left w:val="nil"/>
              <w:bottom w:val="nil"/>
              <w:right w:val="nil"/>
            </w:tcBorders>
            <w:shd w:val="clear" w:color="auto" w:fill="auto"/>
            <w:noWrap/>
            <w:vAlign w:val="center"/>
            <w:hideMark/>
          </w:tcPr>
          <w:p w14:paraId="2B69A6F9" w14:textId="77777777" w:rsidR="00690A91" w:rsidRPr="00690A91" w:rsidRDefault="00690A91" w:rsidP="00690A91">
            <w:pPr>
              <w:spacing w:after="0" w:line="240" w:lineRule="auto"/>
              <w:jc w:val="right"/>
              <w:rPr>
                <w:rFonts w:cs="Arial"/>
                <w:sz w:val="16"/>
                <w:szCs w:val="16"/>
              </w:rPr>
            </w:pPr>
            <w:r w:rsidRPr="00690A91">
              <w:rPr>
                <w:rFonts w:cs="Arial"/>
                <w:sz w:val="16"/>
                <w:szCs w:val="16"/>
              </w:rPr>
              <w:t>2,94</w:t>
            </w:r>
          </w:p>
        </w:tc>
        <w:tc>
          <w:tcPr>
            <w:tcW w:w="635" w:type="dxa"/>
            <w:tcBorders>
              <w:top w:val="nil"/>
              <w:left w:val="nil"/>
              <w:bottom w:val="nil"/>
              <w:right w:val="nil"/>
            </w:tcBorders>
            <w:shd w:val="clear" w:color="auto" w:fill="auto"/>
            <w:noWrap/>
            <w:vAlign w:val="center"/>
            <w:hideMark/>
          </w:tcPr>
          <w:p w14:paraId="0F376724"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2,90</w:t>
            </w:r>
          </w:p>
        </w:tc>
        <w:tc>
          <w:tcPr>
            <w:tcW w:w="635" w:type="dxa"/>
            <w:tcBorders>
              <w:top w:val="nil"/>
              <w:left w:val="nil"/>
              <w:bottom w:val="nil"/>
              <w:right w:val="nil"/>
            </w:tcBorders>
            <w:shd w:val="clear" w:color="auto" w:fill="auto"/>
            <w:noWrap/>
            <w:vAlign w:val="center"/>
            <w:hideMark/>
          </w:tcPr>
          <w:p w14:paraId="5B7C8AE5" w14:textId="77777777" w:rsidR="00690A91" w:rsidRPr="00690A91" w:rsidRDefault="00690A91" w:rsidP="00690A91">
            <w:pPr>
              <w:spacing w:after="0" w:line="240" w:lineRule="auto"/>
              <w:jc w:val="right"/>
              <w:rPr>
                <w:rFonts w:cs="Arial"/>
                <w:sz w:val="16"/>
                <w:szCs w:val="16"/>
              </w:rPr>
            </w:pPr>
            <w:r w:rsidRPr="00690A91">
              <w:rPr>
                <w:rFonts w:cs="Arial"/>
                <w:sz w:val="16"/>
                <w:szCs w:val="16"/>
              </w:rPr>
              <w:t>2,45</w:t>
            </w:r>
          </w:p>
        </w:tc>
        <w:tc>
          <w:tcPr>
            <w:tcW w:w="635" w:type="dxa"/>
            <w:tcBorders>
              <w:top w:val="nil"/>
              <w:left w:val="nil"/>
              <w:bottom w:val="nil"/>
              <w:right w:val="nil"/>
            </w:tcBorders>
            <w:shd w:val="clear" w:color="auto" w:fill="auto"/>
            <w:noWrap/>
            <w:vAlign w:val="center"/>
            <w:hideMark/>
          </w:tcPr>
          <w:p w14:paraId="53E96395" w14:textId="77777777" w:rsidR="00690A91" w:rsidRPr="00690A91" w:rsidRDefault="00690A91" w:rsidP="00690A91">
            <w:pPr>
              <w:spacing w:after="0" w:line="240" w:lineRule="auto"/>
              <w:jc w:val="right"/>
              <w:rPr>
                <w:rFonts w:cs="Arial"/>
                <w:sz w:val="16"/>
                <w:szCs w:val="16"/>
              </w:rPr>
            </w:pPr>
            <w:r w:rsidRPr="00690A91">
              <w:rPr>
                <w:rFonts w:cs="Arial"/>
                <w:sz w:val="16"/>
                <w:szCs w:val="16"/>
              </w:rPr>
              <w:t>2,71</w:t>
            </w:r>
          </w:p>
        </w:tc>
        <w:tc>
          <w:tcPr>
            <w:tcW w:w="635" w:type="dxa"/>
            <w:tcBorders>
              <w:top w:val="nil"/>
              <w:left w:val="nil"/>
              <w:bottom w:val="nil"/>
              <w:right w:val="nil"/>
            </w:tcBorders>
            <w:shd w:val="clear" w:color="auto" w:fill="auto"/>
            <w:noWrap/>
            <w:vAlign w:val="center"/>
            <w:hideMark/>
          </w:tcPr>
          <w:p w14:paraId="3B9E36A7" w14:textId="77777777" w:rsidR="00690A91" w:rsidRPr="00690A91" w:rsidRDefault="00690A91" w:rsidP="00690A91">
            <w:pPr>
              <w:spacing w:after="0" w:line="240" w:lineRule="auto"/>
              <w:jc w:val="right"/>
              <w:rPr>
                <w:rFonts w:cs="Arial"/>
                <w:sz w:val="16"/>
                <w:szCs w:val="16"/>
              </w:rPr>
            </w:pPr>
            <w:r w:rsidRPr="00690A91">
              <w:rPr>
                <w:rFonts w:cs="Arial"/>
                <w:sz w:val="16"/>
                <w:szCs w:val="16"/>
              </w:rPr>
              <w:t>2,61</w:t>
            </w:r>
          </w:p>
        </w:tc>
        <w:tc>
          <w:tcPr>
            <w:tcW w:w="635" w:type="dxa"/>
            <w:tcBorders>
              <w:top w:val="nil"/>
              <w:left w:val="nil"/>
              <w:bottom w:val="nil"/>
              <w:right w:val="nil"/>
            </w:tcBorders>
            <w:shd w:val="clear" w:color="auto" w:fill="auto"/>
            <w:noWrap/>
            <w:vAlign w:val="center"/>
            <w:hideMark/>
          </w:tcPr>
          <w:p w14:paraId="3FA3713F" w14:textId="77777777" w:rsidR="00690A91" w:rsidRPr="00690A91" w:rsidRDefault="00690A91" w:rsidP="00690A91">
            <w:pPr>
              <w:spacing w:after="0" w:line="240" w:lineRule="auto"/>
              <w:jc w:val="right"/>
              <w:rPr>
                <w:rFonts w:cs="Arial"/>
                <w:sz w:val="16"/>
                <w:szCs w:val="16"/>
              </w:rPr>
            </w:pPr>
            <w:r w:rsidRPr="00690A91">
              <w:rPr>
                <w:rFonts w:cs="Arial"/>
                <w:sz w:val="16"/>
                <w:szCs w:val="16"/>
              </w:rPr>
              <w:t>2,97</w:t>
            </w:r>
          </w:p>
        </w:tc>
        <w:tc>
          <w:tcPr>
            <w:tcW w:w="635" w:type="dxa"/>
            <w:tcBorders>
              <w:top w:val="nil"/>
              <w:left w:val="nil"/>
              <w:bottom w:val="nil"/>
              <w:right w:val="nil"/>
            </w:tcBorders>
            <w:shd w:val="clear" w:color="auto" w:fill="auto"/>
            <w:noWrap/>
            <w:vAlign w:val="center"/>
            <w:hideMark/>
          </w:tcPr>
          <w:p w14:paraId="7C3C49C9"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3,07</w:t>
            </w:r>
          </w:p>
        </w:tc>
        <w:tc>
          <w:tcPr>
            <w:tcW w:w="635" w:type="dxa"/>
            <w:tcBorders>
              <w:top w:val="nil"/>
              <w:left w:val="nil"/>
              <w:bottom w:val="nil"/>
              <w:right w:val="nil"/>
            </w:tcBorders>
            <w:shd w:val="clear" w:color="auto" w:fill="auto"/>
            <w:noWrap/>
            <w:vAlign w:val="center"/>
            <w:hideMark/>
          </w:tcPr>
          <w:p w14:paraId="2FE7A44C"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3,16</w:t>
            </w:r>
          </w:p>
        </w:tc>
        <w:tc>
          <w:tcPr>
            <w:tcW w:w="635" w:type="dxa"/>
            <w:tcBorders>
              <w:top w:val="nil"/>
              <w:left w:val="nil"/>
              <w:bottom w:val="nil"/>
              <w:right w:val="nil"/>
            </w:tcBorders>
            <w:shd w:val="clear" w:color="000000" w:fill="FFFFFF"/>
            <w:noWrap/>
            <w:vAlign w:val="center"/>
            <w:hideMark/>
          </w:tcPr>
          <w:p w14:paraId="6496D03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3,30</w:t>
            </w:r>
          </w:p>
        </w:tc>
        <w:tc>
          <w:tcPr>
            <w:tcW w:w="661" w:type="dxa"/>
            <w:gridSpan w:val="2"/>
            <w:tcBorders>
              <w:top w:val="nil"/>
              <w:left w:val="nil"/>
              <w:bottom w:val="nil"/>
              <w:right w:val="nil"/>
            </w:tcBorders>
            <w:shd w:val="clear" w:color="000000" w:fill="FFFFFF"/>
            <w:noWrap/>
            <w:vAlign w:val="center"/>
            <w:hideMark/>
          </w:tcPr>
          <w:p w14:paraId="08BFFC86"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3,28</w:t>
            </w:r>
          </w:p>
        </w:tc>
      </w:tr>
      <w:tr w:rsidR="00690A91" w:rsidRPr="00690A91" w14:paraId="70AB2112" w14:textId="77777777" w:rsidTr="00B3736B">
        <w:trPr>
          <w:trHeight w:val="287"/>
        </w:trPr>
        <w:tc>
          <w:tcPr>
            <w:tcW w:w="3390" w:type="dxa"/>
            <w:tcBorders>
              <w:top w:val="nil"/>
              <w:left w:val="nil"/>
              <w:bottom w:val="nil"/>
              <w:right w:val="nil"/>
            </w:tcBorders>
            <w:shd w:val="clear" w:color="auto" w:fill="auto"/>
            <w:vAlign w:val="center"/>
            <w:hideMark/>
          </w:tcPr>
          <w:p w14:paraId="71C52799"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S – Ostatní činnosti</w:t>
            </w:r>
          </w:p>
        </w:tc>
        <w:tc>
          <w:tcPr>
            <w:tcW w:w="635" w:type="dxa"/>
            <w:tcBorders>
              <w:top w:val="nil"/>
              <w:left w:val="nil"/>
              <w:bottom w:val="nil"/>
              <w:right w:val="nil"/>
            </w:tcBorders>
            <w:shd w:val="clear" w:color="auto" w:fill="auto"/>
            <w:noWrap/>
            <w:vAlign w:val="center"/>
            <w:hideMark/>
          </w:tcPr>
          <w:p w14:paraId="338D1CAF" w14:textId="77777777" w:rsidR="00690A91" w:rsidRPr="00690A91" w:rsidRDefault="00690A91" w:rsidP="00690A91">
            <w:pPr>
              <w:spacing w:after="0" w:line="240" w:lineRule="auto"/>
              <w:jc w:val="right"/>
              <w:rPr>
                <w:rFonts w:cs="Arial"/>
                <w:sz w:val="16"/>
                <w:szCs w:val="16"/>
              </w:rPr>
            </w:pPr>
            <w:r w:rsidRPr="00690A91">
              <w:rPr>
                <w:rFonts w:cs="Arial"/>
                <w:sz w:val="16"/>
                <w:szCs w:val="16"/>
              </w:rPr>
              <w:t>3,72</w:t>
            </w:r>
          </w:p>
        </w:tc>
        <w:tc>
          <w:tcPr>
            <w:tcW w:w="635" w:type="dxa"/>
            <w:tcBorders>
              <w:top w:val="nil"/>
              <w:left w:val="nil"/>
              <w:bottom w:val="nil"/>
              <w:right w:val="nil"/>
            </w:tcBorders>
            <w:shd w:val="clear" w:color="auto" w:fill="auto"/>
            <w:noWrap/>
            <w:vAlign w:val="center"/>
            <w:hideMark/>
          </w:tcPr>
          <w:p w14:paraId="4792220B"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3,99</w:t>
            </w:r>
          </w:p>
        </w:tc>
        <w:tc>
          <w:tcPr>
            <w:tcW w:w="635" w:type="dxa"/>
            <w:tcBorders>
              <w:top w:val="nil"/>
              <w:left w:val="nil"/>
              <w:bottom w:val="nil"/>
              <w:right w:val="nil"/>
            </w:tcBorders>
            <w:shd w:val="clear" w:color="auto" w:fill="auto"/>
            <w:noWrap/>
            <w:vAlign w:val="center"/>
            <w:hideMark/>
          </w:tcPr>
          <w:p w14:paraId="4C30C9E0" w14:textId="77777777" w:rsidR="00690A91" w:rsidRPr="00690A91" w:rsidRDefault="00690A91" w:rsidP="00690A91">
            <w:pPr>
              <w:spacing w:after="0" w:line="240" w:lineRule="auto"/>
              <w:jc w:val="right"/>
              <w:rPr>
                <w:rFonts w:cs="Arial"/>
                <w:sz w:val="16"/>
                <w:szCs w:val="16"/>
              </w:rPr>
            </w:pPr>
            <w:r w:rsidRPr="00690A91">
              <w:rPr>
                <w:rFonts w:cs="Arial"/>
                <w:sz w:val="16"/>
                <w:szCs w:val="16"/>
              </w:rPr>
              <w:t>3,13</w:t>
            </w:r>
          </w:p>
        </w:tc>
        <w:tc>
          <w:tcPr>
            <w:tcW w:w="635" w:type="dxa"/>
            <w:tcBorders>
              <w:top w:val="nil"/>
              <w:left w:val="nil"/>
              <w:bottom w:val="nil"/>
              <w:right w:val="nil"/>
            </w:tcBorders>
            <w:shd w:val="clear" w:color="auto" w:fill="auto"/>
            <w:noWrap/>
            <w:vAlign w:val="center"/>
            <w:hideMark/>
          </w:tcPr>
          <w:p w14:paraId="06BD73F7" w14:textId="77777777" w:rsidR="00690A91" w:rsidRPr="00690A91" w:rsidRDefault="00690A91" w:rsidP="00690A91">
            <w:pPr>
              <w:spacing w:after="0" w:line="240" w:lineRule="auto"/>
              <w:jc w:val="right"/>
              <w:rPr>
                <w:rFonts w:cs="Arial"/>
                <w:sz w:val="16"/>
                <w:szCs w:val="16"/>
              </w:rPr>
            </w:pPr>
            <w:r w:rsidRPr="00690A91">
              <w:rPr>
                <w:rFonts w:cs="Arial"/>
                <w:sz w:val="16"/>
                <w:szCs w:val="16"/>
              </w:rPr>
              <w:t>3,45</w:t>
            </w:r>
          </w:p>
        </w:tc>
        <w:tc>
          <w:tcPr>
            <w:tcW w:w="635" w:type="dxa"/>
            <w:tcBorders>
              <w:top w:val="nil"/>
              <w:left w:val="nil"/>
              <w:bottom w:val="nil"/>
              <w:right w:val="nil"/>
            </w:tcBorders>
            <w:shd w:val="clear" w:color="auto" w:fill="auto"/>
            <w:noWrap/>
            <w:vAlign w:val="center"/>
            <w:hideMark/>
          </w:tcPr>
          <w:p w14:paraId="2D167930" w14:textId="77777777" w:rsidR="00690A91" w:rsidRPr="00690A91" w:rsidRDefault="00690A91" w:rsidP="00690A91">
            <w:pPr>
              <w:spacing w:after="0" w:line="240" w:lineRule="auto"/>
              <w:jc w:val="right"/>
              <w:rPr>
                <w:rFonts w:cs="Arial"/>
                <w:sz w:val="16"/>
                <w:szCs w:val="16"/>
              </w:rPr>
            </w:pPr>
            <w:r w:rsidRPr="00690A91">
              <w:rPr>
                <w:rFonts w:cs="Arial"/>
                <w:sz w:val="16"/>
                <w:szCs w:val="16"/>
              </w:rPr>
              <w:t>3,33</w:t>
            </w:r>
          </w:p>
        </w:tc>
        <w:tc>
          <w:tcPr>
            <w:tcW w:w="635" w:type="dxa"/>
            <w:tcBorders>
              <w:top w:val="nil"/>
              <w:left w:val="nil"/>
              <w:bottom w:val="nil"/>
              <w:right w:val="nil"/>
            </w:tcBorders>
            <w:shd w:val="clear" w:color="auto" w:fill="auto"/>
            <w:noWrap/>
            <w:vAlign w:val="center"/>
            <w:hideMark/>
          </w:tcPr>
          <w:p w14:paraId="5233F197" w14:textId="77777777" w:rsidR="00690A91" w:rsidRPr="00690A91" w:rsidRDefault="00690A91" w:rsidP="00690A91">
            <w:pPr>
              <w:spacing w:after="0" w:line="240" w:lineRule="auto"/>
              <w:jc w:val="right"/>
              <w:rPr>
                <w:rFonts w:cs="Arial"/>
                <w:sz w:val="16"/>
                <w:szCs w:val="16"/>
              </w:rPr>
            </w:pPr>
            <w:r w:rsidRPr="00690A91">
              <w:rPr>
                <w:rFonts w:cs="Arial"/>
                <w:sz w:val="16"/>
                <w:szCs w:val="16"/>
              </w:rPr>
              <w:t>3,73</w:t>
            </w:r>
          </w:p>
        </w:tc>
        <w:tc>
          <w:tcPr>
            <w:tcW w:w="635" w:type="dxa"/>
            <w:tcBorders>
              <w:top w:val="nil"/>
              <w:left w:val="nil"/>
              <w:bottom w:val="nil"/>
              <w:right w:val="nil"/>
            </w:tcBorders>
            <w:shd w:val="clear" w:color="auto" w:fill="auto"/>
            <w:noWrap/>
            <w:vAlign w:val="center"/>
            <w:hideMark/>
          </w:tcPr>
          <w:p w14:paraId="2DC80ED0"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4,02</w:t>
            </w:r>
          </w:p>
        </w:tc>
        <w:tc>
          <w:tcPr>
            <w:tcW w:w="635" w:type="dxa"/>
            <w:tcBorders>
              <w:top w:val="nil"/>
              <w:left w:val="nil"/>
              <w:bottom w:val="nil"/>
              <w:right w:val="nil"/>
            </w:tcBorders>
            <w:shd w:val="clear" w:color="auto" w:fill="auto"/>
            <w:noWrap/>
            <w:vAlign w:val="center"/>
            <w:hideMark/>
          </w:tcPr>
          <w:p w14:paraId="6EED1D0C"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3,90</w:t>
            </w:r>
          </w:p>
        </w:tc>
        <w:tc>
          <w:tcPr>
            <w:tcW w:w="635" w:type="dxa"/>
            <w:tcBorders>
              <w:top w:val="nil"/>
              <w:left w:val="nil"/>
              <w:bottom w:val="nil"/>
              <w:right w:val="nil"/>
            </w:tcBorders>
            <w:shd w:val="clear" w:color="000000" w:fill="FFFFFF"/>
            <w:noWrap/>
            <w:vAlign w:val="center"/>
            <w:hideMark/>
          </w:tcPr>
          <w:p w14:paraId="19804D3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4,00</w:t>
            </w:r>
          </w:p>
        </w:tc>
        <w:tc>
          <w:tcPr>
            <w:tcW w:w="661" w:type="dxa"/>
            <w:gridSpan w:val="2"/>
            <w:tcBorders>
              <w:top w:val="nil"/>
              <w:left w:val="nil"/>
              <w:bottom w:val="nil"/>
              <w:right w:val="nil"/>
            </w:tcBorders>
            <w:shd w:val="clear" w:color="000000" w:fill="FFFFFF"/>
            <w:noWrap/>
            <w:vAlign w:val="center"/>
            <w:hideMark/>
          </w:tcPr>
          <w:p w14:paraId="6A203556"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4,11</w:t>
            </w:r>
          </w:p>
        </w:tc>
      </w:tr>
    </w:tbl>
    <w:p w14:paraId="1E97430B" w14:textId="20281038" w:rsidR="00C3345B" w:rsidRDefault="00C3345B" w:rsidP="00C45357">
      <w:pPr>
        <w:spacing w:before="120"/>
        <w:jc w:val="both"/>
        <w:rPr>
          <w:rFonts w:cs="Arial"/>
          <w:sz w:val="16"/>
          <w:szCs w:val="16"/>
        </w:rPr>
      </w:pPr>
      <w:r>
        <w:rPr>
          <w:rFonts w:cs="Arial"/>
          <w:sz w:val="16"/>
          <w:szCs w:val="16"/>
        </w:rPr>
        <w:t>Zdroj: ČSÚ</w:t>
      </w:r>
    </w:p>
    <w:p w14:paraId="09FE00F5" w14:textId="2B4F4541" w:rsidR="00907B59" w:rsidRDefault="00907B59" w:rsidP="00907B59">
      <w:pPr>
        <w:pStyle w:val="Zkladntextodsazen"/>
        <w:spacing w:after="240" w:line="288" w:lineRule="auto"/>
        <w:ind w:left="0"/>
        <w:jc w:val="both"/>
        <w:rPr>
          <w:b/>
        </w:rPr>
      </w:pPr>
      <w:r w:rsidRPr="00BD15F7">
        <w:rPr>
          <w:rFonts w:cs="Arial"/>
        </w:rPr>
        <w:lastRenderedPageBreak/>
        <w:t xml:space="preserve">Nejvyšší průměrné procento dočasné pracovní neschopnosti </w:t>
      </w:r>
      <w:r>
        <w:rPr>
          <w:rFonts w:cs="Arial"/>
        </w:rPr>
        <w:t xml:space="preserve">z hlediska </w:t>
      </w:r>
      <w:r w:rsidRPr="00F42CC1">
        <w:rPr>
          <w:rFonts w:cs="Arial"/>
          <w:b/>
        </w:rPr>
        <w:t>odvětvové činnosti</w:t>
      </w:r>
      <w:r w:rsidRPr="00BD15F7">
        <w:rPr>
          <w:rFonts w:cs="Arial"/>
        </w:rPr>
        <w:t xml:space="preserve"> v 1. pol. 201</w:t>
      </w:r>
      <w:r>
        <w:rPr>
          <w:rFonts w:cs="Arial"/>
        </w:rPr>
        <w:t xml:space="preserve">9 </w:t>
      </w:r>
      <w:r w:rsidRPr="00BD15F7">
        <w:rPr>
          <w:rFonts w:cs="Arial"/>
        </w:rPr>
        <w:t xml:space="preserve">bylo zaznamenáno </w:t>
      </w:r>
      <w:r>
        <w:rPr>
          <w:rFonts w:cs="Arial"/>
        </w:rPr>
        <w:t>ve</w:t>
      </w:r>
      <w:r w:rsidRPr="00BD15F7">
        <w:rPr>
          <w:rFonts w:cs="Arial"/>
        </w:rPr>
        <w:t xml:space="preserve"> Zpracovatelsk</w:t>
      </w:r>
      <w:r>
        <w:rPr>
          <w:rFonts w:cs="Arial"/>
        </w:rPr>
        <w:t>ém</w:t>
      </w:r>
      <w:r w:rsidRPr="00BD15F7">
        <w:rPr>
          <w:rFonts w:cs="Arial"/>
        </w:rPr>
        <w:t xml:space="preserve"> průmysl</w:t>
      </w:r>
      <w:r>
        <w:rPr>
          <w:rFonts w:cs="Arial"/>
        </w:rPr>
        <w:t>u</w:t>
      </w:r>
      <w:r w:rsidRPr="00BD15F7">
        <w:rPr>
          <w:rFonts w:cs="Arial"/>
        </w:rPr>
        <w:t xml:space="preserve"> (6,</w:t>
      </w:r>
      <w:r>
        <w:rPr>
          <w:rFonts w:cs="Arial"/>
        </w:rPr>
        <w:t xml:space="preserve">3 %). Jinými slovy v průměru 6 % pojištěnců pracujících ve Zpracovatelském průmyslu bylo denně v pracovní neschopnosti. Další odvětví s vyšším podílem osob dočasně práce neschopných byla </w:t>
      </w:r>
      <w:r w:rsidRPr="00BD15F7">
        <w:rPr>
          <w:rFonts w:cs="Arial"/>
        </w:rPr>
        <w:t>Těžba a dobývání (</w:t>
      </w:r>
      <w:r>
        <w:rPr>
          <w:rFonts w:cs="Arial"/>
        </w:rPr>
        <w:t>6,1 %</w:t>
      </w:r>
      <w:r w:rsidRPr="00BD15F7">
        <w:rPr>
          <w:rFonts w:cs="Arial"/>
        </w:rPr>
        <w:t>), Zemědělství, lesnictví a rybářství (5,8</w:t>
      </w:r>
      <w:r>
        <w:rPr>
          <w:rFonts w:cs="Arial"/>
        </w:rPr>
        <w:t xml:space="preserve"> %</w:t>
      </w:r>
      <w:r w:rsidRPr="00BD15F7">
        <w:rPr>
          <w:rFonts w:cs="Arial"/>
        </w:rPr>
        <w:t>)</w:t>
      </w:r>
      <w:r>
        <w:rPr>
          <w:rFonts w:cs="Arial"/>
        </w:rPr>
        <w:t xml:space="preserve"> a </w:t>
      </w:r>
      <w:r w:rsidRPr="00BD15F7">
        <w:rPr>
          <w:rFonts w:cs="Arial"/>
        </w:rPr>
        <w:t>Administrativní a podpůrné činnosti (5,</w:t>
      </w:r>
      <w:r>
        <w:rPr>
          <w:rFonts w:cs="Arial"/>
        </w:rPr>
        <w:t>7 %</w:t>
      </w:r>
      <w:r w:rsidRPr="00BD15F7">
        <w:rPr>
          <w:rFonts w:cs="Arial"/>
        </w:rPr>
        <w:t xml:space="preserve">). </w:t>
      </w:r>
      <w:r>
        <w:rPr>
          <w:rFonts w:cs="Arial"/>
        </w:rPr>
        <w:t xml:space="preserve">Naopak nejméně pojištěnců v pracovní neschopnosti ze 100 bylo evidováno v odvětví </w:t>
      </w:r>
      <w:r w:rsidRPr="00BD15F7">
        <w:rPr>
          <w:rFonts w:cs="Arial"/>
        </w:rPr>
        <w:t>Inform</w:t>
      </w:r>
      <w:r>
        <w:rPr>
          <w:rFonts w:cs="Arial"/>
        </w:rPr>
        <w:t>ační a komunikační činnosti (2</w:t>
      </w:r>
      <w:r w:rsidRPr="00BD15F7">
        <w:rPr>
          <w:rFonts w:cs="Arial"/>
        </w:rPr>
        <w:t>),</w:t>
      </w:r>
      <w:r>
        <w:rPr>
          <w:rFonts w:cs="Arial"/>
        </w:rPr>
        <w:t xml:space="preserve"> </w:t>
      </w:r>
      <w:r w:rsidRPr="00BD15F7">
        <w:rPr>
          <w:rFonts w:cs="Arial"/>
        </w:rPr>
        <w:t>Profesní, vědecké a technické činnosti (2,6)</w:t>
      </w:r>
      <w:r>
        <w:rPr>
          <w:rFonts w:cs="Arial"/>
        </w:rPr>
        <w:t xml:space="preserve"> a</w:t>
      </w:r>
      <w:r w:rsidRPr="00BD15F7">
        <w:rPr>
          <w:rFonts w:cs="Arial"/>
        </w:rPr>
        <w:t xml:space="preserve"> Činnosti v oblasti nemovitostí (2,</w:t>
      </w:r>
      <w:r>
        <w:rPr>
          <w:rFonts w:cs="Arial"/>
        </w:rPr>
        <w:t>7)</w:t>
      </w:r>
      <w:r w:rsidRPr="00BD15F7">
        <w:rPr>
          <w:rFonts w:cs="Arial"/>
        </w:rPr>
        <w:t xml:space="preserve">. Podrobněji </w:t>
      </w:r>
      <w:r>
        <w:rPr>
          <w:rFonts w:cs="Arial"/>
        </w:rPr>
        <w:t xml:space="preserve">dle odvětví ekonomické činnosti </w:t>
      </w:r>
      <w:r w:rsidRPr="00BD15F7">
        <w:rPr>
          <w:rFonts w:cs="Arial"/>
        </w:rPr>
        <w:t xml:space="preserve">viz </w:t>
      </w:r>
      <w:r>
        <w:rPr>
          <w:rFonts w:cs="Arial"/>
        </w:rPr>
        <w:t>tab. 2.7 a graf 2.10.</w:t>
      </w:r>
    </w:p>
    <w:p w14:paraId="60A5B9C0" w14:textId="1DEF3EA8" w:rsidR="00764989" w:rsidRPr="00DD6112" w:rsidRDefault="00690A91" w:rsidP="0064109D">
      <w:pPr>
        <w:spacing w:after="120"/>
        <w:jc w:val="both"/>
        <w:rPr>
          <w:b/>
        </w:rPr>
      </w:pPr>
      <w:r w:rsidRPr="00690A91">
        <w:rPr>
          <w:b/>
        </w:rPr>
        <w:t xml:space="preserve">Graf 2.10: Průměrné procento dočasné pracovní neschopnosti dle odvětví ekonomické činnosti </w:t>
      </w:r>
      <w:r>
        <w:rPr>
          <w:b/>
        </w:rPr>
        <w:t xml:space="preserve">(sekcí CZ-NACE) </w:t>
      </w:r>
      <w:r w:rsidRPr="00690A91">
        <w:rPr>
          <w:b/>
        </w:rPr>
        <w:t>v 1. pol. 2019</w:t>
      </w:r>
    </w:p>
    <w:p w14:paraId="6C41577D" w14:textId="2B01AF68" w:rsidR="00764989" w:rsidRPr="00171A2F" w:rsidRDefault="00B3736B" w:rsidP="00171A2F">
      <w:r>
        <w:rPr>
          <w:noProof/>
        </w:rPr>
        <w:drawing>
          <wp:inline distT="0" distB="0" distL="0" distR="0" wp14:anchorId="41B3F052" wp14:editId="065DCD83">
            <wp:extent cx="6162675" cy="5495925"/>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cs="Arial"/>
          <w:sz w:val="16"/>
          <w:szCs w:val="16"/>
        </w:rPr>
        <w:t xml:space="preserve"> </w:t>
      </w:r>
      <w:r w:rsidR="00764989">
        <w:rPr>
          <w:rFonts w:cs="Arial"/>
          <w:sz w:val="16"/>
          <w:szCs w:val="16"/>
        </w:rPr>
        <w:t>Zdroj: ČSÚ</w:t>
      </w:r>
    </w:p>
    <w:p w14:paraId="5CF18572" w14:textId="4DE1F3E2" w:rsidR="00907B59" w:rsidRPr="0062268C" w:rsidRDefault="00907B59" w:rsidP="00907B59">
      <w:pPr>
        <w:jc w:val="both"/>
        <w:rPr>
          <w:rFonts w:cs="Arial"/>
        </w:rPr>
      </w:pPr>
      <w:r>
        <w:rPr>
          <w:rFonts w:cs="Arial"/>
        </w:rPr>
        <w:t>Z </w:t>
      </w:r>
      <w:r w:rsidRPr="007A03CD">
        <w:rPr>
          <w:rFonts w:cs="Arial"/>
          <w:b/>
        </w:rPr>
        <w:t>regionálního pohledu</w:t>
      </w:r>
      <w:r>
        <w:rPr>
          <w:rFonts w:cs="Arial"/>
        </w:rPr>
        <w:t xml:space="preserve"> zaznamenaly n</w:t>
      </w:r>
      <w:r w:rsidRPr="0062268C">
        <w:rPr>
          <w:rFonts w:cs="Arial"/>
        </w:rPr>
        <w:t xml:space="preserve">ejvyšší </w:t>
      </w:r>
      <w:r>
        <w:rPr>
          <w:rFonts w:cs="Arial"/>
        </w:rPr>
        <w:t xml:space="preserve">hodnotu </w:t>
      </w:r>
      <w:r w:rsidRPr="0062268C">
        <w:rPr>
          <w:rFonts w:cs="Arial"/>
        </w:rPr>
        <w:t>průměrné</w:t>
      </w:r>
      <w:r>
        <w:rPr>
          <w:rFonts w:cs="Arial"/>
        </w:rPr>
        <w:t xml:space="preserve">ho procenta </w:t>
      </w:r>
      <w:r w:rsidRPr="0062268C">
        <w:rPr>
          <w:rFonts w:cs="Arial"/>
        </w:rPr>
        <w:t xml:space="preserve">pracovní neschopnosti </w:t>
      </w:r>
      <w:r>
        <w:rPr>
          <w:rFonts w:cs="Arial"/>
        </w:rPr>
        <w:t>v 1. pol. 2019</w:t>
      </w:r>
      <w:r w:rsidRPr="0062268C">
        <w:rPr>
          <w:rFonts w:cs="Arial"/>
        </w:rPr>
        <w:t xml:space="preserve"> </w:t>
      </w:r>
      <w:r>
        <w:rPr>
          <w:rFonts w:cs="Arial"/>
        </w:rPr>
        <w:t xml:space="preserve">kraje </w:t>
      </w:r>
      <w:r w:rsidRPr="0062268C">
        <w:rPr>
          <w:rFonts w:cs="Arial"/>
        </w:rPr>
        <w:t>Moravskoslezsk</w:t>
      </w:r>
      <w:r>
        <w:rPr>
          <w:rFonts w:cs="Arial"/>
        </w:rPr>
        <w:t xml:space="preserve">ý </w:t>
      </w:r>
      <w:r w:rsidRPr="0062268C">
        <w:rPr>
          <w:rFonts w:cs="Arial"/>
        </w:rPr>
        <w:t>(</w:t>
      </w:r>
      <w:r>
        <w:rPr>
          <w:rFonts w:cs="Arial"/>
        </w:rPr>
        <w:t>6 %</w:t>
      </w:r>
      <w:r w:rsidRPr="0062268C">
        <w:rPr>
          <w:rFonts w:cs="Arial"/>
        </w:rPr>
        <w:t>), Zlí</w:t>
      </w:r>
      <w:r>
        <w:rPr>
          <w:rFonts w:cs="Arial"/>
        </w:rPr>
        <w:t xml:space="preserve">nský (5,8 %) a Vysočina </w:t>
      </w:r>
      <w:r w:rsidRPr="0062268C">
        <w:rPr>
          <w:rFonts w:cs="Arial"/>
        </w:rPr>
        <w:t>(5,</w:t>
      </w:r>
      <w:r>
        <w:rPr>
          <w:rFonts w:cs="Arial"/>
        </w:rPr>
        <w:t>6 %</w:t>
      </w:r>
      <w:r w:rsidRPr="0062268C">
        <w:rPr>
          <w:rFonts w:cs="Arial"/>
        </w:rPr>
        <w:t>). Pra</w:t>
      </w:r>
      <w:r>
        <w:rPr>
          <w:rFonts w:cs="Arial"/>
        </w:rPr>
        <w:t>ha</w:t>
      </w:r>
      <w:r w:rsidRPr="0062268C">
        <w:rPr>
          <w:rFonts w:cs="Arial"/>
        </w:rPr>
        <w:t xml:space="preserve"> </w:t>
      </w:r>
      <w:r>
        <w:rPr>
          <w:rFonts w:cs="Arial"/>
        </w:rPr>
        <w:t>díky nejnižšímu</w:t>
      </w:r>
      <w:r w:rsidRPr="0062268C">
        <w:rPr>
          <w:rFonts w:cs="Arial"/>
        </w:rPr>
        <w:t xml:space="preserve"> počtu případů pracovní neschopnosti na 100 pojištěnců a krátké průměrné době trvání dočasné pracovní neschopnosti </w:t>
      </w:r>
      <w:r>
        <w:rPr>
          <w:rFonts w:cs="Arial"/>
        </w:rPr>
        <w:t xml:space="preserve">zaujímá </w:t>
      </w:r>
      <w:r w:rsidRPr="0062268C">
        <w:rPr>
          <w:rFonts w:cs="Arial"/>
        </w:rPr>
        <w:t xml:space="preserve">nejnižší </w:t>
      </w:r>
      <w:r>
        <w:rPr>
          <w:rFonts w:cs="Arial"/>
        </w:rPr>
        <w:t>procento práce neschopných na 100 pojištěnců denně. Zatímco hodnoty všech ostatních 13 krajů se nachází v rozmezí 4,</w:t>
      </w:r>
      <w:r w:rsidR="004E061D">
        <w:rPr>
          <w:rFonts w:cs="Arial"/>
        </w:rPr>
        <w:t>8</w:t>
      </w:r>
      <w:r>
        <w:rPr>
          <w:rFonts w:cs="Arial"/>
        </w:rPr>
        <w:t>–6 %, ukazatel v Praze v 1. pol. 2019 dosáhl hodnoty pouze 3,6 %. Toto výsadní postavení si kraj hl. m. Praha drží už řadu let, jak je zřejmé z tab. 2.8.</w:t>
      </w:r>
    </w:p>
    <w:p w14:paraId="38995BD4" w14:textId="77777777" w:rsidR="00907B59" w:rsidRDefault="00907B59" w:rsidP="00907B59">
      <w:pPr>
        <w:jc w:val="both"/>
        <w:rPr>
          <w:rFonts w:cs="Arial"/>
        </w:rPr>
      </w:pPr>
      <w:r>
        <w:rPr>
          <w:rFonts w:cs="Arial"/>
        </w:rPr>
        <w:lastRenderedPageBreak/>
        <w:t xml:space="preserve">Podle </w:t>
      </w:r>
      <w:r w:rsidRPr="007A03CD">
        <w:rPr>
          <w:rFonts w:cs="Arial"/>
          <w:b/>
        </w:rPr>
        <w:t>detailnějšího územního členění</w:t>
      </w:r>
      <w:r w:rsidRPr="0062268C">
        <w:rPr>
          <w:rFonts w:cs="Arial"/>
        </w:rPr>
        <w:t xml:space="preserve"> </w:t>
      </w:r>
      <w:r>
        <w:rPr>
          <w:rFonts w:cs="Arial"/>
        </w:rPr>
        <w:t>se okresem s nejvyšším průměrným procentem dočasné pracovní neschopnosti v 1. pol. 2019 staly Prachatice (6,2%), následované okresy Břeclav (6 %) a Karviná (5,8 %). Nejnižší hodnotu průměrného procenta pracovní neschopnosti vykazovaly okresy Jeseník</w:t>
      </w:r>
      <w:r>
        <w:rPr>
          <w:rStyle w:val="Znakapoznpodarou"/>
          <w:rFonts w:cs="Arial"/>
        </w:rPr>
        <w:footnoteReference w:id="2"/>
      </w:r>
      <w:r>
        <w:rPr>
          <w:rFonts w:cs="Arial"/>
        </w:rPr>
        <w:t xml:space="preserve"> (2,1 %) a již zmíněná Praha (3,2 %). Hodnotu ukazatele pod 3,5% hranici zaznamenaly ještě okresy Brno-Město (3,3 %) a Mělník (3,5 %).</w:t>
      </w:r>
    </w:p>
    <w:p w14:paraId="4374691A" w14:textId="6144EF04" w:rsidR="00EF49F3" w:rsidRDefault="00EF49F3" w:rsidP="0019246C">
      <w:pPr>
        <w:spacing w:after="120"/>
        <w:jc w:val="both"/>
        <w:rPr>
          <w:b/>
        </w:rPr>
      </w:pPr>
      <w:r w:rsidRPr="00EF49F3">
        <w:rPr>
          <w:b/>
        </w:rPr>
        <w:t xml:space="preserve">Graf 2.11: Průměrné procento </w:t>
      </w:r>
      <w:r w:rsidR="00040960">
        <w:rPr>
          <w:b/>
        </w:rPr>
        <w:t xml:space="preserve">dočasné </w:t>
      </w:r>
      <w:r w:rsidRPr="00EF49F3">
        <w:rPr>
          <w:b/>
        </w:rPr>
        <w:t>pracovní neschopnosti podle krajů ČR v 1. pol. 2019</w:t>
      </w:r>
    </w:p>
    <w:p w14:paraId="14FA6768" w14:textId="4E36FC09" w:rsidR="002110A0" w:rsidRPr="00171A2F" w:rsidRDefault="00EF49F3" w:rsidP="00171A2F">
      <w:r>
        <w:rPr>
          <w:noProof/>
        </w:rPr>
        <w:drawing>
          <wp:inline distT="0" distB="0" distL="0" distR="0" wp14:anchorId="1525EBA3" wp14:editId="4F8FD15A">
            <wp:extent cx="6096000" cy="3581400"/>
            <wp:effectExtent l="0" t="0" r="0" b="0"/>
            <wp:docPr id="60" name="Graf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2110A0">
        <w:rPr>
          <w:rFonts w:cs="Arial"/>
          <w:sz w:val="16"/>
          <w:szCs w:val="16"/>
        </w:rPr>
        <w:t>Zdroj: ČSÚ</w:t>
      </w:r>
    </w:p>
    <w:p w14:paraId="55692423" w14:textId="4574789B" w:rsidR="00907B59" w:rsidRDefault="00907B59" w:rsidP="00907B59">
      <w:pPr>
        <w:pStyle w:val="Zkladntextodsazen"/>
        <w:spacing w:after="240" w:line="288" w:lineRule="auto"/>
        <w:ind w:left="0"/>
        <w:jc w:val="both"/>
        <w:rPr>
          <w:rFonts w:cs="Arial"/>
        </w:rPr>
      </w:pPr>
      <w:r>
        <w:rPr>
          <w:rFonts w:cs="Arial"/>
        </w:rPr>
        <w:t xml:space="preserve">Obdobný ukazatel jako průměrné procento dočasné pracovní neschopnosti, avšak v absolutním vyjádření, představuje </w:t>
      </w:r>
      <w:r w:rsidRPr="00985367">
        <w:rPr>
          <w:rFonts w:cs="Arial"/>
          <w:b/>
        </w:rPr>
        <w:t>průměrný denní stav dočasně práce neschopných</w:t>
      </w:r>
      <w:r>
        <w:rPr>
          <w:rFonts w:cs="Arial"/>
        </w:rPr>
        <w:t>. Udává, kolik nemocensky pojištěných osob bylo ve sledovaném období (zde pololetí) průměrně denně nepřítomno v práci z důvodu pracovní neschopnosti pro nemoc a úraz.</w:t>
      </w:r>
    </w:p>
    <w:p w14:paraId="3D9C29DB" w14:textId="678E5283" w:rsidR="00907B59" w:rsidRDefault="00907B59" w:rsidP="00907B59">
      <w:pPr>
        <w:jc w:val="both"/>
        <w:rPr>
          <w:rFonts w:cs="Arial"/>
        </w:rPr>
      </w:pPr>
      <w:r>
        <w:rPr>
          <w:rFonts w:cs="Arial"/>
        </w:rPr>
        <w:t xml:space="preserve">V 1. pol. 2019 v České republice kvůli dočasné pracovní neschopnosti způsobené nemocí či úrazem denně chybělo na pracovištích 229 712 nemocensky pojištěných osob. Oproti 1. pololetí předchozího roku, kdy hodnota činila 224 441 pojištěnců, se jedná o 2,3% nárůst (o 5,3 tis. více). Jedná se o nejvyšší průměrný denní stav práce neschopných od 1. pol. 2008. </w:t>
      </w:r>
    </w:p>
    <w:p w14:paraId="1BBDE48C" w14:textId="1A236F3E" w:rsidR="004E061D" w:rsidRDefault="00907B59" w:rsidP="00907B59">
      <w:pPr>
        <w:jc w:val="both"/>
        <w:rPr>
          <w:rFonts w:cs="Arial"/>
        </w:rPr>
      </w:pPr>
      <w:r>
        <w:rPr>
          <w:rFonts w:cs="Arial"/>
        </w:rPr>
        <w:t>V 1. pol. 2019 bylo v neschopnosti pro nemoc 198 124 pojištěnců, v důsledku pracovního úrazu 7 321 a následkem ostatních úrazů 24 267 nemocensky pojištěných. Nejvíce pojištěnců chybělo ve Zpracovatelském průmyslu (77 729 osob), dále v odvětví Velkoobchod a maloobchod; opravy a údržba motorových vozidel (31 705 osob), zatímco nejméně pojištěnců v odvětví Výroba a rozvod elektřiny, plynu, tepla a klimatizovaného vzduchu (1 264 osob). Tyto hodnoty jsou do značné míry ovlivněné tím, jaký podíl zaujímá daná sekce v národním hospodářství a kolik zaměstnává osob.</w:t>
      </w:r>
    </w:p>
    <w:p w14:paraId="657A267D" w14:textId="6F79227A" w:rsidR="00907B59" w:rsidRDefault="004E061D" w:rsidP="004E061D">
      <w:pPr>
        <w:spacing w:after="0" w:line="240" w:lineRule="auto"/>
        <w:rPr>
          <w:rFonts w:cs="Arial"/>
        </w:rPr>
      </w:pPr>
      <w:r>
        <w:rPr>
          <w:rFonts w:cs="Arial"/>
        </w:rPr>
        <w:br w:type="page"/>
      </w:r>
    </w:p>
    <w:p w14:paraId="655DCC3B" w14:textId="368026C7" w:rsidR="004852BF" w:rsidRDefault="00EF49F3" w:rsidP="0064109D">
      <w:pPr>
        <w:spacing w:after="120"/>
        <w:jc w:val="both"/>
        <w:rPr>
          <w:b/>
        </w:rPr>
      </w:pPr>
      <w:r>
        <w:rPr>
          <w:b/>
        </w:rPr>
        <w:lastRenderedPageBreak/>
        <w:t xml:space="preserve">Tab. 2.8: </w:t>
      </w:r>
      <w:r w:rsidRPr="00EF49F3">
        <w:rPr>
          <w:b/>
        </w:rPr>
        <w:t>Průměrné procento dočasné pracovn</w:t>
      </w:r>
      <w:r w:rsidR="00040960">
        <w:rPr>
          <w:b/>
        </w:rPr>
        <w:t xml:space="preserve">í neschopnosti podle krajů ČR v </w:t>
      </w:r>
      <w:r w:rsidRPr="00EF49F3">
        <w:rPr>
          <w:b/>
        </w:rPr>
        <w:t>1. pol. 2008 – 1. pol. 2019</w:t>
      </w:r>
    </w:p>
    <w:tbl>
      <w:tblPr>
        <w:tblW w:w="9568" w:type="dxa"/>
        <w:tblCellMar>
          <w:left w:w="70" w:type="dxa"/>
          <w:right w:w="70" w:type="dxa"/>
        </w:tblCellMar>
        <w:tblLook w:val="04A0" w:firstRow="1" w:lastRow="0" w:firstColumn="1" w:lastColumn="0" w:noHBand="0" w:noVBand="1"/>
      </w:tblPr>
      <w:tblGrid>
        <w:gridCol w:w="2080"/>
        <w:gridCol w:w="624"/>
        <w:gridCol w:w="624"/>
        <w:gridCol w:w="624"/>
        <w:gridCol w:w="624"/>
        <w:gridCol w:w="624"/>
        <w:gridCol w:w="624"/>
        <w:gridCol w:w="624"/>
        <w:gridCol w:w="624"/>
        <w:gridCol w:w="624"/>
        <w:gridCol w:w="624"/>
        <w:gridCol w:w="624"/>
        <w:gridCol w:w="624"/>
      </w:tblGrid>
      <w:tr w:rsidR="00EF49F3" w:rsidRPr="00EF49F3" w14:paraId="2D7FD54C" w14:textId="77777777" w:rsidTr="00EF49F3">
        <w:trPr>
          <w:trHeight w:val="225"/>
        </w:trPr>
        <w:tc>
          <w:tcPr>
            <w:tcW w:w="2080" w:type="dxa"/>
            <w:vMerge w:val="restart"/>
            <w:tcBorders>
              <w:top w:val="single" w:sz="4" w:space="0" w:color="auto"/>
              <w:left w:val="nil"/>
              <w:bottom w:val="single" w:sz="4" w:space="0" w:color="000000"/>
              <w:right w:val="nil"/>
            </w:tcBorders>
            <w:shd w:val="clear" w:color="000000" w:fill="F2DCDB"/>
            <w:vAlign w:val="center"/>
            <w:hideMark/>
          </w:tcPr>
          <w:p w14:paraId="636964D8" w14:textId="77777777" w:rsidR="00EF49F3" w:rsidRPr="00EF49F3" w:rsidRDefault="00EF49F3" w:rsidP="00EF49F3">
            <w:pPr>
              <w:spacing w:after="0" w:line="240" w:lineRule="auto"/>
              <w:jc w:val="center"/>
              <w:rPr>
                <w:rFonts w:cs="Arial"/>
                <w:sz w:val="16"/>
                <w:szCs w:val="16"/>
              </w:rPr>
            </w:pPr>
            <w:r w:rsidRPr="00EF49F3">
              <w:rPr>
                <w:rFonts w:cs="Arial"/>
                <w:sz w:val="16"/>
                <w:szCs w:val="16"/>
              </w:rPr>
              <w:t>Kraj ČR</w:t>
            </w:r>
          </w:p>
        </w:tc>
        <w:tc>
          <w:tcPr>
            <w:tcW w:w="7488" w:type="dxa"/>
            <w:gridSpan w:val="12"/>
            <w:tcBorders>
              <w:top w:val="single" w:sz="4" w:space="0" w:color="auto"/>
              <w:left w:val="single" w:sz="4" w:space="0" w:color="auto"/>
              <w:bottom w:val="single" w:sz="4" w:space="0" w:color="auto"/>
              <w:right w:val="nil"/>
            </w:tcBorders>
            <w:shd w:val="clear" w:color="000000" w:fill="F2DCDB"/>
            <w:noWrap/>
            <w:vAlign w:val="bottom"/>
            <w:hideMark/>
          </w:tcPr>
          <w:p w14:paraId="5D4EA795" w14:textId="77777777" w:rsidR="00EF49F3" w:rsidRPr="00EF49F3" w:rsidRDefault="00EF49F3" w:rsidP="00EF49F3">
            <w:pPr>
              <w:spacing w:after="0" w:line="240" w:lineRule="auto"/>
              <w:jc w:val="center"/>
              <w:rPr>
                <w:rFonts w:cs="Arial"/>
                <w:sz w:val="16"/>
                <w:szCs w:val="16"/>
              </w:rPr>
            </w:pPr>
            <w:r w:rsidRPr="00EF49F3">
              <w:rPr>
                <w:rFonts w:cs="Arial"/>
                <w:sz w:val="16"/>
                <w:szCs w:val="16"/>
              </w:rPr>
              <w:t>Průměrné procento dočasné pracovní neschopnosti</w:t>
            </w:r>
          </w:p>
        </w:tc>
      </w:tr>
      <w:tr w:rsidR="00EF49F3" w:rsidRPr="00EF49F3" w14:paraId="28E665C3" w14:textId="77777777" w:rsidTr="00A073EB">
        <w:trPr>
          <w:trHeight w:val="450"/>
        </w:trPr>
        <w:tc>
          <w:tcPr>
            <w:tcW w:w="2080" w:type="dxa"/>
            <w:vMerge/>
            <w:tcBorders>
              <w:top w:val="single" w:sz="4" w:space="0" w:color="auto"/>
              <w:left w:val="nil"/>
              <w:bottom w:val="single" w:sz="4" w:space="0" w:color="000000"/>
              <w:right w:val="nil"/>
            </w:tcBorders>
            <w:vAlign w:val="center"/>
            <w:hideMark/>
          </w:tcPr>
          <w:p w14:paraId="1C269A1B" w14:textId="77777777" w:rsidR="00EF49F3" w:rsidRPr="00EF49F3" w:rsidRDefault="00EF49F3" w:rsidP="00EF49F3">
            <w:pPr>
              <w:spacing w:after="0" w:line="240" w:lineRule="auto"/>
              <w:rPr>
                <w:rFonts w:cs="Arial"/>
                <w:sz w:val="16"/>
                <w:szCs w:val="16"/>
              </w:rPr>
            </w:pPr>
          </w:p>
        </w:tc>
        <w:tc>
          <w:tcPr>
            <w:tcW w:w="624" w:type="dxa"/>
            <w:tcBorders>
              <w:top w:val="nil"/>
              <w:left w:val="single" w:sz="4" w:space="0" w:color="auto"/>
              <w:bottom w:val="single" w:sz="4" w:space="0" w:color="auto"/>
              <w:right w:val="single" w:sz="4" w:space="0" w:color="auto"/>
            </w:tcBorders>
            <w:shd w:val="clear" w:color="000000" w:fill="F2DCDB"/>
            <w:vAlign w:val="center"/>
            <w:hideMark/>
          </w:tcPr>
          <w:p w14:paraId="0FF2BAF4"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2008</w:t>
            </w:r>
          </w:p>
        </w:tc>
        <w:tc>
          <w:tcPr>
            <w:tcW w:w="624" w:type="dxa"/>
            <w:tcBorders>
              <w:top w:val="nil"/>
              <w:left w:val="nil"/>
              <w:bottom w:val="single" w:sz="4" w:space="0" w:color="auto"/>
              <w:right w:val="single" w:sz="4" w:space="0" w:color="auto"/>
            </w:tcBorders>
            <w:shd w:val="clear" w:color="000000" w:fill="F2DCDB"/>
            <w:vAlign w:val="center"/>
            <w:hideMark/>
          </w:tcPr>
          <w:p w14:paraId="6DFADE81"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2009</w:t>
            </w:r>
          </w:p>
        </w:tc>
        <w:tc>
          <w:tcPr>
            <w:tcW w:w="624" w:type="dxa"/>
            <w:tcBorders>
              <w:top w:val="nil"/>
              <w:left w:val="nil"/>
              <w:bottom w:val="single" w:sz="4" w:space="0" w:color="auto"/>
              <w:right w:val="single" w:sz="4" w:space="0" w:color="auto"/>
            </w:tcBorders>
            <w:shd w:val="clear" w:color="000000" w:fill="F2DCDB"/>
            <w:vAlign w:val="center"/>
            <w:hideMark/>
          </w:tcPr>
          <w:p w14:paraId="4C370016"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2010</w:t>
            </w:r>
          </w:p>
        </w:tc>
        <w:tc>
          <w:tcPr>
            <w:tcW w:w="624" w:type="dxa"/>
            <w:tcBorders>
              <w:top w:val="nil"/>
              <w:left w:val="nil"/>
              <w:bottom w:val="single" w:sz="4" w:space="0" w:color="auto"/>
              <w:right w:val="single" w:sz="4" w:space="0" w:color="auto"/>
            </w:tcBorders>
            <w:shd w:val="clear" w:color="000000" w:fill="F2DCDB"/>
            <w:vAlign w:val="center"/>
            <w:hideMark/>
          </w:tcPr>
          <w:p w14:paraId="750B2454"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2011</w:t>
            </w:r>
          </w:p>
        </w:tc>
        <w:tc>
          <w:tcPr>
            <w:tcW w:w="624" w:type="dxa"/>
            <w:tcBorders>
              <w:top w:val="nil"/>
              <w:left w:val="nil"/>
              <w:bottom w:val="single" w:sz="4" w:space="0" w:color="auto"/>
              <w:right w:val="single" w:sz="4" w:space="0" w:color="auto"/>
            </w:tcBorders>
            <w:shd w:val="clear" w:color="000000" w:fill="F2DCDB"/>
            <w:vAlign w:val="center"/>
            <w:hideMark/>
          </w:tcPr>
          <w:p w14:paraId="477DB0A3"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2012</w:t>
            </w:r>
          </w:p>
        </w:tc>
        <w:tc>
          <w:tcPr>
            <w:tcW w:w="624" w:type="dxa"/>
            <w:tcBorders>
              <w:top w:val="nil"/>
              <w:left w:val="nil"/>
              <w:bottom w:val="single" w:sz="4" w:space="0" w:color="auto"/>
              <w:right w:val="single" w:sz="4" w:space="0" w:color="auto"/>
            </w:tcBorders>
            <w:shd w:val="clear" w:color="000000" w:fill="F2DCDB"/>
            <w:vAlign w:val="center"/>
            <w:hideMark/>
          </w:tcPr>
          <w:p w14:paraId="3BEE3C73"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2013</w:t>
            </w:r>
          </w:p>
        </w:tc>
        <w:tc>
          <w:tcPr>
            <w:tcW w:w="624" w:type="dxa"/>
            <w:tcBorders>
              <w:top w:val="nil"/>
              <w:left w:val="nil"/>
              <w:bottom w:val="single" w:sz="4" w:space="0" w:color="auto"/>
              <w:right w:val="single" w:sz="4" w:space="0" w:color="auto"/>
            </w:tcBorders>
            <w:shd w:val="clear" w:color="000000" w:fill="F2DCDB"/>
            <w:vAlign w:val="center"/>
            <w:hideMark/>
          </w:tcPr>
          <w:p w14:paraId="3D91DC72"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2014</w:t>
            </w:r>
          </w:p>
        </w:tc>
        <w:tc>
          <w:tcPr>
            <w:tcW w:w="624" w:type="dxa"/>
            <w:tcBorders>
              <w:top w:val="nil"/>
              <w:left w:val="nil"/>
              <w:bottom w:val="single" w:sz="4" w:space="0" w:color="auto"/>
              <w:right w:val="single" w:sz="4" w:space="0" w:color="auto"/>
            </w:tcBorders>
            <w:shd w:val="clear" w:color="000000" w:fill="F2DCDB"/>
            <w:vAlign w:val="center"/>
            <w:hideMark/>
          </w:tcPr>
          <w:p w14:paraId="1FC2E4FF"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2015</w:t>
            </w:r>
          </w:p>
        </w:tc>
        <w:tc>
          <w:tcPr>
            <w:tcW w:w="624" w:type="dxa"/>
            <w:tcBorders>
              <w:top w:val="nil"/>
              <w:left w:val="nil"/>
              <w:bottom w:val="single" w:sz="4" w:space="0" w:color="auto"/>
              <w:right w:val="single" w:sz="4" w:space="0" w:color="auto"/>
            </w:tcBorders>
            <w:shd w:val="clear" w:color="000000" w:fill="F2DCDB"/>
            <w:vAlign w:val="center"/>
            <w:hideMark/>
          </w:tcPr>
          <w:p w14:paraId="12D7CD7A"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2016</w:t>
            </w:r>
          </w:p>
        </w:tc>
        <w:tc>
          <w:tcPr>
            <w:tcW w:w="624" w:type="dxa"/>
            <w:tcBorders>
              <w:top w:val="nil"/>
              <w:left w:val="nil"/>
              <w:bottom w:val="single" w:sz="4" w:space="0" w:color="auto"/>
              <w:right w:val="single" w:sz="4" w:space="0" w:color="auto"/>
            </w:tcBorders>
            <w:shd w:val="clear" w:color="000000" w:fill="F2DCDB"/>
            <w:vAlign w:val="center"/>
            <w:hideMark/>
          </w:tcPr>
          <w:p w14:paraId="7BF275B1"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2017</w:t>
            </w:r>
          </w:p>
        </w:tc>
        <w:tc>
          <w:tcPr>
            <w:tcW w:w="624" w:type="dxa"/>
            <w:tcBorders>
              <w:top w:val="nil"/>
              <w:left w:val="nil"/>
              <w:bottom w:val="single" w:sz="4" w:space="0" w:color="auto"/>
              <w:right w:val="nil"/>
            </w:tcBorders>
            <w:shd w:val="clear" w:color="000000" w:fill="F2DCDB"/>
            <w:vAlign w:val="center"/>
            <w:hideMark/>
          </w:tcPr>
          <w:p w14:paraId="1F9A063B"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2018</w:t>
            </w:r>
          </w:p>
        </w:tc>
        <w:tc>
          <w:tcPr>
            <w:tcW w:w="624" w:type="dxa"/>
            <w:tcBorders>
              <w:top w:val="nil"/>
              <w:left w:val="single" w:sz="4" w:space="0" w:color="auto"/>
              <w:bottom w:val="single" w:sz="4" w:space="0" w:color="auto"/>
              <w:right w:val="nil"/>
            </w:tcBorders>
            <w:shd w:val="clear" w:color="000000" w:fill="F2DCDB"/>
            <w:vAlign w:val="center"/>
            <w:hideMark/>
          </w:tcPr>
          <w:p w14:paraId="72EDD3E1" w14:textId="77777777" w:rsidR="00EF49F3" w:rsidRPr="00EF49F3" w:rsidRDefault="00EF49F3" w:rsidP="00A073EB">
            <w:pPr>
              <w:spacing w:after="0" w:line="240" w:lineRule="auto"/>
              <w:jc w:val="center"/>
              <w:rPr>
                <w:rFonts w:cs="Arial"/>
                <w:sz w:val="16"/>
                <w:szCs w:val="16"/>
              </w:rPr>
            </w:pPr>
            <w:r w:rsidRPr="00EF49F3">
              <w:rPr>
                <w:rFonts w:cs="Arial"/>
                <w:sz w:val="16"/>
                <w:szCs w:val="16"/>
              </w:rPr>
              <w:t>1. pol. 2019</w:t>
            </w:r>
          </w:p>
        </w:tc>
      </w:tr>
      <w:tr w:rsidR="00EF49F3" w:rsidRPr="00EF49F3" w14:paraId="5205C70F" w14:textId="77777777" w:rsidTr="00EF49F3">
        <w:trPr>
          <w:trHeight w:val="300"/>
        </w:trPr>
        <w:tc>
          <w:tcPr>
            <w:tcW w:w="2080" w:type="dxa"/>
            <w:tcBorders>
              <w:top w:val="nil"/>
              <w:left w:val="nil"/>
              <w:bottom w:val="nil"/>
              <w:right w:val="nil"/>
            </w:tcBorders>
            <w:shd w:val="clear" w:color="auto" w:fill="auto"/>
            <w:noWrap/>
            <w:vAlign w:val="center"/>
            <w:hideMark/>
          </w:tcPr>
          <w:p w14:paraId="29DAA99B" w14:textId="77777777" w:rsidR="00EF49F3" w:rsidRPr="00EF49F3" w:rsidRDefault="00EF49F3" w:rsidP="00EF49F3">
            <w:pPr>
              <w:spacing w:after="0" w:line="240" w:lineRule="auto"/>
              <w:rPr>
                <w:rFonts w:cs="Arial"/>
                <w:b/>
                <w:bCs/>
                <w:sz w:val="16"/>
                <w:szCs w:val="16"/>
              </w:rPr>
            </w:pPr>
            <w:r w:rsidRPr="00EF49F3">
              <w:rPr>
                <w:rFonts w:cs="Arial"/>
                <w:b/>
                <w:bCs/>
                <w:sz w:val="16"/>
                <w:szCs w:val="16"/>
              </w:rPr>
              <w:t>ČR celkem</w:t>
            </w:r>
          </w:p>
        </w:tc>
        <w:tc>
          <w:tcPr>
            <w:tcW w:w="624" w:type="dxa"/>
            <w:tcBorders>
              <w:top w:val="nil"/>
              <w:left w:val="nil"/>
              <w:bottom w:val="nil"/>
              <w:right w:val="nil"/>
            </w:tcBorders>
            <w:shd w:val="clear" w:color="auto" w:fill="auto"/>
            <w:noWrap/>
            <w:vAlign w:val="center"/>
            <w:hideMark/>
          </w:tcPr>
          <w:p w14:paraId="44A968E3"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5,16</w:t>
            </w:r>
          </w:p>
        </w:tc>
        <w:tc>
          <w:tcPr>
            <w:tcW w:w="624" w:type="dxa"/>
            <w:tcBorders>
              <w:top w:val="nil"/>
              <w:left w:val="nil"/>
              <w:bottom w:val="nil"/>
              <w:right w:val="nil"/>
            </w:tcBorders>
            <w:shd w:val="clear" w:color="auto" w:fill="auto"/>
            <w:noWrap/>
            <w:vAlign w:val="center"/>
            <w:hideMark/>
          </w:tcPr>
          <w:p w14:paraId="3229B48B"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4,37</w:t>
            </w:r>
          </w:p>
        </w:tc>
        <w:tc>
          <w:tcPr>
            <w:tcW w:w="624" w:type="dxa"/>
            <w:tcBorders>
              <w:top w:val="nil"/>
              <w:left w:val="nil"/>
              <w:bottom w:val="nil"/>
              <w:right w:val="nil"/>
            </w:tcBorders>
            <w:shd w:val="clear" w:color="auto" w:fill="auto"/>
            <w:noWrap/>
            <w:vAlign w:val="center"/>
            <w:hideMark/>
          </w:tcPr>
          <w:p w14:paraId="04FFF771"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4,09</w:t>
            </w:r>
          </w:p>
        </w:tc>
        <w:tc>
          <w:tcPr>
            <w:tcW w:w="624" w:type="dxa"/>
            <w:tcBorders>
              <w:top w:val="nil"/>
              <w:left w:val="nil"/>
              <w:bottom w:val="nil"/>
              <w:right w:val="nil"/>
            </w:tcBorders>
            <w:shd w:val="clear" w:color="auto" w:fill="auto"/>
            <w:noWrap/>
            <w:vAlign w:val="center"/>
            <w:hideMark/>
          </w:tcPr>
          <w:p w14:paraId="6AC44D57"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4,02</w:t>
            </w:r>
          </w:p>
        </w:tc>
        <w:tc>
          <w:tcPr>
            <w:tcW w:w="624" w:type="dxa"/>
            <w:tcBorders>
              <w:top w:val="nil"/>
              <w:left w:val="nil"/>
              <w:bottom w:val="nil"/>
              <w:right w:val="nil"/>
            </w:tcBorders>
            <w:shd w:val="clear" w:color="auto" w:fill="auto"/>
            <w:noWrap/>
            <w:vAlign w:val="center"/>
            <w:hideMark/>
          </w:tcPr>
          <w:p w14:paraId="07D7F1A7"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3,57</w:t>
            </w:r>
          </w:p>
        </w:tc>
        <w:tc>
          <w:tcPr>
            <w:tcW w:w="624" w:type="dxa"/>
            <w:tcBorders>
              <w:top w:val="nil"/>
              <w:left w:val="nil"/>
              <w:bottom w:val="nil"/>
              <w:right w:val="nil"/>
            </w:tcBorders>
            <w:shd w:val="clear" w:color="auto" w:fill="auto"/>
            <w:noWrap/>
            <w:vAlign w:val="center"/>
            <w:hideMark/>
          </w:tcPr>
          <w:p w14:paraId="025E4E7E"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3,99</w:t>
            </w:r>
          </w:p>
        </w:tc>
        <w:tc>
          <w:tcPr>
            <w:tcW w:w="624" w:type="dxa"/>
            <w:tcBorders>
              <w:top w:val="nil"/>
              <w:left w:val="nil"/>
              <w:bottom w:val="nil"/>
              <w:right w:val="nil"/>
            </w:tcBorders>
            <w:shd w:val="clear" w:color="auto" w:fill="auto"/>
            <w:noWrap/>
            <w:vAlign w:val="center"/>
            <w:hideMark/>
          </w:tcPr>
          <w:p w14:paraId="76F5DB70"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3,82</w:t>
            </w:r>
          </w:p>
        </w:tc>
        <w:tc>
          <w:tcPr>
            <w:tcW w:w="624" w:type="dxa"/>
            <w:tcBorders>
              <w:top w:val="nil"/>
              <w:left w:val="nil"/>
              <w:bottom w:val="nil"/>
              <w:right w:val="nil"/>
            </w:tcBorders>
            <w:shd w:val="clear" w:color="auto" w:fill="auto"/>
            <w:noWrap/>
            <w:vAlign w:val="center"/>
            <w:hideMark/>
          </w:tcPr>
          <w:p w14:paraId="50F04336"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4,33</w:t>
            </w:r>
          </w:p>
        </w:tc>
        <w:tc>
          <w:tcPr>
            <w:tcW w:w="624" w:type="dxa"/>
            <w:tcBorders>
              <w:top w:val="nil"/>
              <w:left w:val="nil"/>
              <w:bottom w:val="nil"/>
              <w:right w:val="nil"/>
            </w:tcBorders>
            <w:shd w:val="clear" w:color="auto" w:fill="auto"/>
            <w:noWrap/>
            <w:vAlign w:val="center"/>
            <w:hideMark/>
          </w:tcPr>
          <w:p w14:paraId="2C4F5233"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4,45</w:t>
            </w:r>
          </w:p>
        </w:tc>
        <w:tc>
          <w:tcPr>
            <w:tcW w:w="624" w:type="dxa"/>
            <w:tcBorders>
              <w:top w:val="nil"/>
              <w:left w:val="nil"/>
              <w:bottom w:val="nil"/>
              <w:right w:val="nil"/>
            </w:tcBorders>
            <w:shd w:val="clear" w:color="auto" w:fill="auto"/>
            <w:noWrap/>
            <w:vAlign w:val="center"/>
            <w:hideMark/>
          </w:tcPr>
          <w:p w14:paraId="7A11315C"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4,62</w:t>
            </w:r>
          </w:p>
        </w:tc>
        <w:tc>
          <w:tcPr>
            <w:tcW w:w="624" w:type="dxa"/>
            <w:tcBorders>
              <w:top w:val="nil"/>
              <w:left w:val="nil"/>
              <w:bottom w:val="nil"/>
              <w:right w:val="nil"/>
            </w:tcBorders>
            <w:shd w:val="clear" w:color="000000" w:fill="FFFFFF"/>
            <w:noWrap/>
            <w:vAlign w:val="center"/>
            <w:hideMark/>
          </w:tcPr>
          <w:p w14:paraId="009F9787" w14:textId="77777777" w:rsidR="00EF49F3" w:rsidRPr="00EF49F3" w:rsidRDefault="00EF49F3" w:rsidP="00EF49F3">
            <w:pPr>
              <w:spacing w:after="0" w:line="240" w:lineRule="auto"/>
              <w:jc w:val="right"/>
              <w:rPr>
                <w:rFonts w:cs="Arial"/>
                <w:b/>
                <w:bCs/>
                <w:color w:val="000000"/>
                <w:sz w:val="16"/>
                <w:szCs w:val="16"/>
              </w:rPr>
            </w:pPr>
            <w:r w:rsidRPr="00EF49F3">
              <w:rPr>
                <w:rFonts w:cs="Arial"/>
                <w:b/>
                <w:bCs/>
                <w:color w:val="000000"/>
                <w:sz w:val="16"/>
                <w:szCs w:val="16"/>
              </w:rPr>
              <w:t>4,76</w:t>
            </w:r>
          </w:p>
        </w:tc>
        <w:tc>
          <w:tcPr>
            <w:tcW w:w="624" w:type="dxa"/>
            <w:tcBorders>
              <w:top w:val="nil"/>
              <w:left w:val="nil"/>
              <w:bottom w:val="nil"/>
              <w:right w:val="nil"/>
            </w:tcBorders>
            <w:shd w:val="clear" w:color="auto" w:fill="auto"/>
            <w:noWrap/>
            <w:vAlign w:val="center"/>
            <w:hideMark/>
          </w:tcPr>
          <w:p w14:paraId="0584C853" w14:textId="77777777" w:rsidR="00EF49F3" w:rsidRPr="00EF49F3" w:rsidRDefault="00EF49F3" w:rsidP="00EF49F3">
            <w:pPr>
              <w:spacing w:after="0" w:line="240" w:lineRule="auto"/>
              <w:jc w:val="right"/>
              <w:rPr>
                <w:rFonts w:cs="Arial"/>
                <w:b/>
                <w:bCs/>
                <w:color w:val="000000"/>
                <w:sz w:val="16"/>
                <w:szCs w:val="16"/>
              </w:rPr>
            </w:pPr>
            <w:r w:rsidRPr="00EF49F3">
              <w:rPr>
                <w:rFonts w:cs="Arial"/>
                <w:b/>
                <w:bCs/>
                <w:color w:val="000000"/>
                <w:sz w:val="16"/>
                <w:szCs w:val="16"/>
              </w:rPr>
              <w:t>4,85</w:t>
            </w:r>
          </w:p>
        </w:tc>
      </w:tr>
      <w:tr w:rsidR="00EF49F3" w:rsidRPr="00EF49F3" w14:paraId="7ECA5C64" w14:textId="77777777" w:rsidTr="00EF49F3">
        <w:trPr>
          <w:trHeight w:val="300"/>
        </w:trPr>
        <w:tc>
          <w:tcPr>
            <w:tcW w:w="2080" w:type="dxa"/>
            <w:tcBorders>
              <w:top w:val="nil"/>
              <w:left w:val="nil"/>
              <w:bottom w:val="nil"/>
              <w:right w:val="nil"/>
            </w:tcBorders>
            <w:shd w:val="clear" w:color="auto" w:fill="auto"/>
            <w:noWrap/>
            <w:vAlign w:val="center"/>
            <w:hideMark/>
          </w:tcPr>
          <w:p w14:paraId="42B2648C"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Hl. m. Praha</w:t>
            </w:r>
          </w:p>
        </w:tc>
        <w:tc>
          <w:tcPr>
            <w:tcW w:w="624" w:type="dxa"/>
            <w:tcBorders>
              <w:top w:val="nil"/>
              <w:left w:val="nil"/>
              <w:bottom w:val="nil"/>
              <w:right w:val="nil"/>
            </w:tcBorders>
            <w:shd w:val="clear" w:color="auto" w:fill="auto"/>
            <w:noWrap/>
            <w:vAlign w:val="center"/>
            <w:hideMark/>
          </w:tcPr>
          <w:p w14:paraId="50C81E22" w14:textId="77777777" w:rsidR="00EF49F3" w:rsidRPr="00EF49F3" w:rsidRDefault="00EF49F3" w:rsidP="00EF49F3">
            <w:pPr>
              <w:spacing w:after="0" w:line="240" w:lineRule="auto"/>
              <w:jc w:val="right"/>
              <w:rPr>
                <w:rFonts w:cs="Arial"/>
                <w:sz w:val="16"/>
                <w:szCs w:val="16"/>
              </w:rPr>
            </w:pPr>
            <w:r w:rsidRPr="00EF49F3">
              <w:rPr>
                <w:rFonts w:cs="Arial"/>
                <w:sz w:val="16"/>
                <w:szCs w:val="16"/>
              </w:rPr>
              <w:t>4,01</w:t>
            </w:r>
          </w:p>
        </w:tc>
        <w:tc>
          <w:tcPr>
            <w:tcW w:w="624" w:type="dxa"/>
            <w:tcBorders>
              <w:top w:val="nil"/>
              <w:left w:val="nil"/>
              <w:bottom w:val="nil"/>
              <w:right w:val="nil"/>
            </w:tcBorders>
            <w:shd w:val="clear" w:color="auto" w:fill="auto"/>
            <w:noWrap/>
            <w:vAlign w:val="center"/>
            <w:hideMark/>
          </w:tcPr>
          <w:p w14:paraId="2838DEF0" w14:textId="77777777" w:rsidR="00EF49F3" w:rsidRPr="00EF49F3" w:rsidRDefault="00EF49F3" w:rsidP="00EF49F3">
            <w:pPr>
              <w:spacing w:after="0" w:line="240" w:lineRule="auto"/>
              <w:jc w:val="right"/>
              <w:rPr>
                <w:rFonts w:cs="Arial"/>
                <w:sz w:val="16"/>
                <w:szCs w:val="16"/>
              </w:rPr>
            </w:pPr>
            <w:r w:rsidRPr="00EF49F3">
              <w:rPr>
                <w:rFonts w:cs="Arial"/>
                <w:sz w:val="16"/>
                <w:szCs w:val="16"/>
              </w:rPr>
              <w:t>3,39</w:t>
            </w:r>
          </w:p>
        </w:tc>
        <w:tc>
          <w:tcPr>
            <w:tcW w:w="624" w:type="dxa"/>
            <w:tcBorders>
              <w:top w:val="nil"/>
              <w:left w:val="nil"/>
              <w:bottom w:val="nil"/>
              <w:right w:val="nil"/>
            </w:tcBorders>
            <w:shd w:val="clear" w:color="auto" w:fill="auto"/>
            <w:noWrap/>
            <w:vAlign w:val="center"/>
            <w:hideMark/>
          </w:tcPr>
          <w:p w14:paraId="28CD55D6" w14:textId="77777777" w:rsidR="00EF49F3" w:rsidRPr="00EF49F3" w:rsidRDefault="00EF49F3" w:rsidP="00EF49F3">
            <w:pPr>
              <w:spacing w:after="0" w:line="240" w:lineRule="auto"/>
              <w:jc w:val="right"/>
              <w:rPr>
                <w:rFonts w:cs="Arial"/>
                <w:sz w:val="16"/>
                <w:szCs w:val="16"/>
              </w:rPr>
            </w:pPr>
            <w:r w:rsidRPr="00EF49F3">
              <w:rPr>
                <w:rFonts w:cs="Arial"/>
                <w:sz w:val="16"/>
                <w:szCs w:val="16"/>
              </w:rPr>
              <w:t>3,25</w:t>
            </w:r>
          </w:p>
        </w:tc>
        <w:tc>
          <w:tcPr>
            <w:tcW w:w="624" w:type="dxa"/>
            <w:tcBorders>
              <w:top w:val="nil"/>
              <w:left w:val="nil"/>
              <w:bottom w:val="nil"/>
              <w:right w:val="nil"/>
            </w:tcBorders>
            <w:shd w:val="clear" w:color="auto" w:fill="auto"/>
            <w:noWrap/>
            <w:vAlign w:val="center"/>
            <w:hideMark/>
          </w:tcPr>
          <w:p w14:paraId="6862B281" w14:textId="77777777" w:rsidR="00EF49F3" w:rsidRPr="00EF49F3" w:rsidRDefault="00EF49F3" w:rsidP="00EF49F3">
            <w:pPr>
              <w:spacing w:after="0" w:line="240" w:lineRule="auto"/>
              <w:jc w:val="right"/>
              <w:rPr>
                <w:rFonts w:cs="Arial"/>
                <w:sz w:val="16"/>
                <w:szCs w:val="16"/>
              </w:rPr>
            </w:pPr>
            <w:r w:rsidRPr="00EF49F3">
              <w:rPr>
                <w:rFonts w:cs="Arial"/>
                <w:sz w:val="16"/>
                <w:szCs w:val="16"/>
              </w:rPr>
              <w:t>3,21</w:t>
            </w:r>
          </w:p>
        </w:tc>
        <w:tc>
          <w:tcPr>
            <w:tcW w:w="624" w:type="dxa"/>
            <w:tcBorders>
              <w:top w:val="nil"/>
              <w:left w:val="nil"/>
              <w:bottom w:val="nil"/>
              <w:right w:val="nil"/>
            </w:tcBorders>
            <w:shd w:val="clear" w:color="auto" w:fill="auto"/>
            <w:noWrap/>
            <w:vAlign w:val="center"/>
            <w:hideMark/>
          </w:tcPr>
          <w:p w14:paraId="2D66EECF" w14:textId="77777777" w:rsidR="00EF49F3" w:rsidRPr="00EF49F3" w:rsidRDefault="00EF49F3" w:rsidP="00EF49F3">
            <w:pPr>
              <w:spacing w:after="0" w:line="240" w:lineRule="auto"/>
              <w:jc w:val="right"/>
              <w:rPr>
                <w:rFonts w:cs="Arial"/>
                <w:sz w:val="16"/>
                <w:szCs w:val="16"/>
              </w:rPr>
            </w:pPr>
            <w:r w:rsidRPr="00EF49F3">
              <w:rPr>
                <w:rFonts w:cs="Arial"/>
                <w:sz w:val="16"/>
                <w:szCs w:val="16"/>
              </w:rPr>
              <w:t>2,64</w:t>
            </w:r>
          </w:p>
        </w:tc>
        <w:tc>
          <w:tcPr>
            <w:tcW w:w="624" w:type="dxa"/>
            <w:tcBorders>
              <w:top w:val="nil"/>
              <w:left w:val="nil"/>
              <w:bottom w:val="nil"/>
              <w:right w:val="nil"/>
            </w:tcBorders>
            <w:shd w:val="clear" w:color="auto" w:fill="auto"/>
            <w:noWrap/>
            <w:vAlign w:val="center"/>
            <w:hideMark/>
          </w:tcPr>
          <w:p w14:paraId="60E43CE9" w14:textId="77777777" w:rsidR="00EF49F3" w:rsidRPr="00EF49F3" w:rsidRDefault="00EF49F3" w:rsidP="00EF49F3">
            <w:pPr>
              <w:spacing w:after="0" w:line="240" w:lineRule="auto"/>
              <w:jc w:val="right"/>
              <w:rPr>
                <w:rFonts w:cs="Arial"/>
                <w:sz w:val="16"/>
                <w:szCs w:val="16"/>
              </w:rPr>
            </w:pPr>
            <w:r w:rsidRPr="00EF49F3">
              <w:rPr>
                <w:rFonts w:cs="Arial"/>
                <w:sz w:val="16"/>
                <w:szCs w:val="16"/>
              </w:rPr>
              <w:t>2,99</w:t>
            </w:r>
          </w:p>
        </w:tc>
        <w:tc>
          <w:tcPr>
            <w:tcW w:w="624" w:type="dxa"/>
            <w:tcBorders>
              <w:top w:val="nil"/>
              <w:left w:val="nil"/>
              <w:bottom w:val="nil"/>
              <w:right w:val="nil"/>
            </w:tcBorders>
            <w:shd w:val="clear" w:color="auto" w:fill="auto"/>
            <w:noWrap/>
            <w:vAlign w:val="center"/>
            <w:hideMark/>
          </w:tcPr>
          <w:p w14:paraId="2F019BF3" w14:textId="77777777" w:rsidR="00EF49F3" w:rsidRPr="00EF49F3" w:rsidRDefault="00EF49F3" w:rsidP="00EF49F3">
            <w:pPr>
              <w:spacing w:after="0" w:line="240" w:lineRule="auto"/>
              <w:jc w:val="right"/>
              <w:rPr>
                <w:rFonts w:cs="Arial"/>
                <w:sz w:val="16"/>
                <w:szCs w:val="16"/>
              </w:rPr>
            </w:pPr>
            <w:r w:rsidRPr="00EF49F3">
              <w:rPr>
                <w:rFonts w:cs="Arial"/>
                <w:sz w:val="16"/>
                <w:szCs w:val="16"/>
              </w:rPr>
              <w:t>2,89</w:t>
            </w:r>
          </w:p>
        </w:tc>
        <w:tc>
          <w:tcPr>
            <w:tcW w:w="624" w:type="dxa"/>
            <w:tcBorders>
              <w:top w:val="nil"/>
              <w:left w:val="nil"/>
              <w:bottom w:val="nil"/>
              <w:right w:val="nil"/>
            </w:tcBorders>
            <w:shd w:val="clear" w:color="auto" w:fill="auto"/>
            <w:noWrap/>
            <w:vAlign w:val="center"/>
            <w:hideMark/>
          </w:tcPr>
          <w:p w14:paraId="6BC882EE" w14:textId="77777777" w:rsidR="00EF49F3" w:rsidRPr="00EF49F3" w:rsidRDefault="00EF49F3" w:rsidP="00EF49F3">
            <w:pPr>
              <w:spacing w:after="0" w:line="240" w:lineRule="auto"/>
              <w:jc w:val="right"/>
              <w:rPr>
                <w:rFonts w:cs="Arial"/>
                <w:sz w:val="16"/>
                <w:szCs w:val="16"/>
              </w:rPr>
            </w:pPr>
            <w:r w:rsidRPr="00EF49F3">
              <w:rPr>
                <w:rFonts w:cs="Arial"/>
                <w:sz w:val="16"/>
                <w:szCs w:val="16"/>
              </w:rPr>
              <w:t>3,35</w:t>
            </w:r>
          </w:p>
        </w:tc>
        <w:tc>
          <w:tcPr>
            <w:tcW w:w="624" w:type="dxa"/>
            <w:tcBorders>
              <w:top w:val="nil"/>
              <w:left w:val="nil"/>
              <w:bottom w:val="nil"/>
              <w:right w:val="nil"/>
            </w:tcBorders>
            <w:shd w:val="clear" w:color="auto" w:fill="auto"/>
            <w:noWrap/>
            <w:vAlign w:val="center"/>
            <w:hideMark/>
          </w:tcPr>
          <w:p w14:paraId="0653D382" w14:textId="77777777" w:rsidR="00EF49F3" w:rsidRPr="00EF49F3" w:rsidRDefault="00EF49F3" w:rsidP="00EF49F3">
            <w:pPr>
              <w:spacing w:after="0" w:line="240" w:lineRule="auto"/>
              <w:jc w:val="right"/>
              <w:rPr>
                <w:rFonts w:cs="Arial"/>
                <w:sz w:val="16"/>
                <w:szCs w:val="16"/>
              </w:rPr>
            </w:pPr>
            <w:r w:rsidRPr="00EF49F3">
              <w:rPr>
                <w:rFonts w:cs="Arial"/>
                <w:sz w:val="16"/>
                <w:szCs w:val="16"/>
              </w:rPr>
              <w:t>3,31</w:t>
            </w:r>
          </w:p>
        </w:tc>
        <w:tc>
          <w:tcPr>
            <w:tcW w:w="624" w:type="dxa"/>
            <w:tcBorders>
              <w:top w:val="nil"/>
              <w:left w:val="nil"/>
              <w:bottom w:val="nil"/>
              <w:right w:val="nil"/>
            </w:tcBorders>
            <w:shd w:val="clear" w:color="auto" w:fill="auto"/>
            <w:noWrap/>
            <w:vAlign w:val="center"/>
            <w:hideMark/>
          </w:tcPr>
          <w:p w14:paraId="58E5DD32" w14:textId="77777777" w:rsidR="00EF49F3" w:rsidRPr="00EF49F3" w:rsidRDefault="00EF49F3" w:rsidP="00EF49F3">
            <w:pPr>
              <w:spacing w:after="0" w:line="240" w:lineRule="auto"/>
              <w:jc w:val="right"/>
              <w:rPr>
                <w:rFonts w:cs="Arial"/>
                <w:sz w:val="16"/>
                <w:szCs w:val="16"/>
              </w:rPr>
            </w:pPr>
            <w:r w:rsidRPr="00EF49F3">
              <w:rPr>
                <w:rFonts w:cs="Arial"/>
                <w:sz w:val="16"/>
                <w:szCs w:val="16"/>
              </w:rPr>
              <w:t>3,43</w:t>
            </w:r>
          </w:p>
        </w:tc>
        <w:tc>
          <w:tcPr>
            <w:tcW w:w="624" w:type="dxa"/>
            <w:tcBorders>
              <w:top w:val="nil"/>
              <w:left w:val="nil"/>
              <w:bottom w:val="nil"/>
              <w:right w:val="nil"/>
            </w:tcBorders>
            <w:shd w:val="clear" w:color="000000" w:fill="FFFFFF"/>
            <w:noWrap/>
            <w:vAlign w:val="center"/>
            <w:hideMark/>
          </w:tcPr>
          <w:p w14:paraId="05639F22"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3,61</w:t>
            </w:r>
          </w:p>
        </w:tc>
        <w:tc>
          <w:tcPr>
            <w:tcW w:w="624" w:type="dxa"/>
            <w:tcBorders>
              <w:top w:val="nil"/>
              <w:left w:val="nil"/>
              <w:bottom w:val="nil"/>
              <w:right w:val="nil"/>
            </w:tcBorders>
            <w:shd w:val="clear" w:color="auto" w:fill="auto"/>
            <w:noWrap/>
            <w:vAlign w:val="center"/>
            <w:hideMark/>
          </w:tcPr>
          <w:p w14:paraId="59DC9844"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3,62</w:t>
            </w:r>
          </w:p>
        </w:tc>
      </w:tr>
      <w:tr w:rsidR="00EF49F3" w:rsidRPr="00EF49F3" w14:paraId="7D5C4F00" w14:textId="77777777" w:rsidTr="00EF49F3">
        <w:trPr>
          <w:trHeight w:val="300"/>
        </w:trPr>
        <w:tc>
          <w:tcPr>
            <w:tcW w:w="2080" w:type="dxa"/>
            <w:tcBorders>
              <w:top w:val="nil"/>
              <w:left w:val="nil"/>
              <w:bottom w:val="nil"/>
              <w:right w:val="nil"/>
            </w:tcBorders>
            <w:shd w:val="clear" w:color="auto" w:fill="auto"/>
            <w:noWrap/>
            <w:vAlign w:val="center"/>
            <w:hideMark/>
          </w:tcPr>
          <w:p w14:paraId="3447538D"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Středočeský kraj</w:t>
            </w:r>
          </w:p>
        </w:tc>
        <w:tc>
          <w:tcPr>
            <w:tcW w:w="624" w:type="dxa"/>
            <w:tcBorders>
              <w:top w:val="nil"/>
              <w:left w:val="nil"/>
              <w:bottom w:val="nil"/>
              <w:right w:val="nil"/>
            </w:tcBorders>
            <w:shd w:val="clear" w:color="auto" w:fill="auto"/>
            <w:noWrap/>
            <w:vAlign w:val="center"/>
            <w:hideMark/>
          </w:tcPr>
          <w:p w14:paraId="2F5D1F5E" w14:textId="77777777" w:rsidR="00EF49F3" w:rsidRPr="00EF49F3" w:rsidRDefault="00EF49F3" w:rsidP="00EF49F3">
            <w:pPr>
              <w:spacing w:after="0" w:line="240" w:lineRule="auto"/>
              <w:jc w:val="right"/>
              <w:rPr>
                <w:rFonts w:cs="Arial"/>
                <w:sz w:val="16"/>
                <w:szCs w:val="16"/>
              </w:rPr>
            </w:pPr>
            <w:r w:rsidRPr="00EF49F3">
              <w:rPr>
                <w:rFonts w:cs="Arial"/>
                <w:sz w:val="16"/>
                <w:szCs w:val="16"/>
              </w:rPr>
              <w:t>5,01</w:t>
            </w:r>
          </w:p>
        </w:tc>
        <w:tc>
          <w:tcPr>
            <w:tcW w:w="624" w:type="dxa"/>
            <w:tcBorders>
              <w:top w:val="nil"/>
              <w:left w:val="nil"/>
              <w:bottom w:val="nil"/>
              <w:right w:val="nil"/>
            </w:tcBorders>
            <w:shd w:val="clear" w:color="auto" w:fill="auto"/>
            <w:noWrap/>
            <w:vAlign w:val="center"/>
            <w:hideMark/>
          </w:tcPr>
          <w:p w14:paraId="22891624" w14:textId="77777777" w:rsidR="00EF49F3" w:rsidRPr="00EF49F3" w:rsidRDefault="00EF49F3" w:rsidP="00EF49F3">
            <w:pPr>
              <w:spacing w:after="0" w:line="240" w:lineRule="auto"/>
              <w:jc w:val="right"/>
              <w:rPr>
                <w:rFonts w:cs="Arial"/>
                <w:sz w:val="16"/>
                <w:szCs w:val="16"/>
              </w:rPr>
            </w:pPr>
            <w:r w:rsidRPr="00EF49F3">
              <w:rPr>
                <w:rFonts w:cs="Arial"/>
                <w:sz w:val="16"/>
                <w:szCs w:val="16"/>
              </w:rPr>
              <w:t>4,32</w:t>
            </w:r>
          </w:p>
        </w:tc>
        <w:tc>
          <w:tcPr>
            <w:tcW w:w="624" w:type="dxa"/>
            <w:tcBorders>
              <w:top w:val="nil"/>
              <w:left w:val="nil"/>
              <w:bottom w:val="nil"/>
              <w:right w:val="nil"/>
            </w:tcBorders>
            <w:shd w:val="clear" w:color="auto" w:fill="auto"/>
            <w:noWrap/>
            <w:vAlign w:val="center"/>
            <w:hideMark/>
          </w:tcPr>
          <w:p w14:paraId="00233760" w14:textId="77777777" w:rsidR="00EF49F3" w:rsidRPr="00EF49F3" w:rsidRDefault="00EF49F3" w:rsidP="00EF49F3">
            <w:pPr>
              <w:spacing w:after="0" w:line="240" w:lineRule="auto"/>
              <w:jc w:val="right"/>
              <w:rPr>
                <w:rFonts w:cs="Arial"/>
                <w:sz w:val="16"/>
                <w:szCs w:val="16"/>
              </w:rPr>
            </w:pPr>
            <w:r w:rsidRPr="00EF49F3">
              <w:rPr>
                <w:rFonts w:cs="Arial"/>
                <w:sz w:val="16"/>
                <w:szCs w:val="16"/>
              </w:rPr>
              <w:t>4,18</w:t>
            </w:r>
          </w:p>
        </w:tc>
        <w:tc>
          <w:tcPr>
            <w:tcW w:w="624" w:type="dxa"/>
            <w:tcBorders>
              <w:top w:val="nil"/>
              <w:left w:val="nil"/>
              <w:bottom w:val="nil"/>
              <w:right w:val="nil"/>
            </w:tcBorders>
            <w:shd w:val="clear" w:color="auto" w:fill="auto"/>
            <w:noWrap/>
            <w:vAlign w:val="center"/>
            <w:hideMark/>
          </w:tcPr>
          <w:p w14:paraId="62101E9C" w14:textId="77777777" w:rsidR="00EF49F3" w:rsidRPr="00EF49F3" w:rsidRDefault="00EF49F3" w:rsidP="00EF49F3">
            <w:pPr>
              <w:spacing w:after="0" w:line="240" w:lineRule="auto"/>
              <w:jc w:val="right"/>
              <w:rPr>
                <w:rFonts w:cs="Arial"/>
                <w:sz w:val="16"/>
                <w:szCs w:val="16"/>
              </w:rPr>
            </w:pPr>
            <w:r w:rsidRPr="00EF49F3">
              <w:rPr>
                <w:rFonts w:cs="Arial"/>
                <w:sz w:val="16"/>
                <w:szCs w:val="16"/>
              </w:rPr>
              <w:t>4,04</w:t>
            </w:r>
          </w:p>
        </w:tc>
        <w:tc>
          <w:tcPr>
            <w:tcW w:w="624" w:type="dxa"/>
            <w:tcBorders>
              <w:top w:val="nil"/>
              <w:left w:val="nil"/>
              <w:bottom w:val="nil"/>
              <w:right w:val="nil"/>
            </w:tcBorders>
            <w:shd w:val="clear" w:color="auto" w:fill="auto"/>
            <w:noWrap/>
            <w:vAlign w:val="center"/>
            <w:hideMark/>
          </w:tcPr>
          <w:p w14:paraId="1F73447B" w14:textId="77777777" w:rsidR="00EF49F3" w:rsidRPr="00EF49F3" w:rsidRDefault="00EF49F3" w:rsidP="00EF49F3">
            <w:pPr>
              <w:spacing w:after="0" w:line="240" w:lineRule="auto"/>
              <w:jc w:val="right"/>
              <w:rPr>
                <w:rFonts w:cs="Arial"/>
                <w:sz w:val="16"/>
                <w:szCs w:val="16"/>
              </w:rPr>
            </w:pPr>
            <w:r w:rsidRPr="00EF49F3">
              <w:rPr>
                <w:rFonts w:cs="Arial"/>
                <w:sz w:val="16"/>
                <w:szCs w:val="16"/>
              </w:rPr>
              <w:t>3,60</w:t>
            </w:r>
          </w:p>
        </w:tc>
        <w:tc>
          <w:tcPr>
            <w:tcW w:w="624" w:type="dxa"/>
            <w:tcBorders>
              <w:top w:val="nil"/>
              <w:left w:val="nil"/>
              <w:bottom w:val="nil"/>
              <w:right w:val="nil"/>
            </w:tcBorders>
            <w:shd w:val="clear" w:color="auto" w:fill="auto"/>
            <w:noWrap/>
            <w:vAlign w:val="center"/>
            <w:hideMark/>
          </w:tcPr>
          <w:p w14:paraId="2416E393" w14:textId="77777777" w:rsidR="00EF49F3" w:rsidRPr="00EF49F3" w:rsidRDefault="00EF49F3" w:rsidP="00EF49F3">
            <w:pPr>
              <w:spacing w:after="0" w:line="240" w:lineRule="auto"/>
              <w:jc w:val="right"/>
              <w:rPr>
                <w:rFonts w:cs="Arial"/>
                <w:sz w:val="16"/>
                <w:szCs w:val="16"/>
              </w:rPr>
            </w:pPr>
            <w:r w:rsidRPr="00EF49F3">
              <w:rPr>
                <w:rFonts w:cs="Arial"/>
                <w:sz w:val="16"/>
                <w:szCs w:val="16"/>
              </w:rPr>
              <w:t>3,97</w:t>
            </w:r>
          </w:p>
        </w:tc>
        <w:tc>
          <w:tcPr>
            <w:tcW w:w="624" w:type="dxa"/>
            <w:tcBorders>
              <w:top w:val="nil"/>
              <w:left w:val="nil"/>
              <w:bottom w:val="nil"/>
              <w:right w:val="nil"/>
            </w:tcBorders>
            <w:shd w:val="clear" w:color="auto" w:fill="auto"/>
            <w:noWrap/>
            <w:vAlign w:val="center"/>
            <w:hideMark/>
          </w:tcPr>
          <w:p w14:paraId="1D253D6B" w14:textId="77777777" w:rsidR="00EF49F3" w:rsidRPr="00EF49F3" w:rsidRDefault="00EF49F3" w:rsidP="00EF49F3">
            <w:pPr>
              <w:spacing w:after="0" w:line="240" w:lineRule="auto"/>
              <w:jc w:val="right"/>
              <w:rPr>
                <w:rFonts w:cs="Arial"/>
                <w:sz w:val="16"/>
                <w:szCs w:val="16"/>
              </w:rPr>
            </w:pPr>
            <w:r w:rsidRPr="00EF49F3">
              <w:rPr>
                <w:rFonts w:cs="Arial"/>
                <w:sz w:val="16"/>
                <w:szCs w:val="16"/>
              </w:rPr>
              <w:t>3,85</w:t>
            </w:r>
          </w:p>
        </w:tc>
        <w:tc>
          <w:tcPr>
            <w:tcW w:w="624" w:type="dxa"/>
            <w:tcBorders>
              <w:top w:val="nil"/>
              <w:left w:val="nil"/>
              <w:bottom w:val="nil"/>
              <w:right w:val="nil"/>
            </w:tcBorders>
            <w:shd w:val="clear" w:color="auto" w:fill="auto"/>
            <w:noWrap/>
            <w:vAlign w:val="center"/>
            <w:hideMark/>
          </w:tcPr>
          <w:p w14:paraId="38B2027F" w14:textId="77777777" w:rsidR="00EF49F3" w:rsidRPr="00EF49F3" w:rsidRDefault="00EF49F3" w:rsidP="00EF49F3">
            <w:pPr>
              <w:spacing w:after="0" w:line="240" w:lineRule="auto"/>
              <w:jc w:val="right"/>
              <w:rPr>
                <w:rFonts w:cs="Arial"/>
                <w:sz w:val="16"/>
                <w:szCs w:val="16"/>
              </w:rPr>
            </w:pPr>
            <w:r w:rsidRPr="00EF49F3">
              <w:rPr>
                <w:rFonts w:cs="Arial"/>
                <w:sz w:val="16"/>
                <w:szCs w:val="16"/>
              </w:rPr>
              <w:t>4,34</w:t>
            </w:r>
          </w:p>
        </w:tc>
        <w:tc>
          <w:tcPr>
            <w:tcW w:w="624" w:type="dxa"/>
            <w:tcBorders>
              <w:top w:val="nil"/>
              <w:left w:val="nil"/>
              <w:bottom w:val="nil"/>
              <w:right w:val="nil"/>
            </w:tcBorders>
            <w:shd w:val="clear" w:color="auto" w:fill="auto"/>
            <w:noWrap/>
            <w:vAlign w:val="center"/>
            <w:hideMark/>
          </w:tcPr>
          <w:p w14:paraId="201686B3" w14:textId="77777777" w:rsidR="00EF49F3" w:rsidRPr="00EF49F3" w:rsidRDefault="00EF49F3" w:rsidP="00EF49F3">
            <w:pPr>
              <w:spacing w:after="0" w:line="240" w:lineRule="auto"/>
              <w:jc w:val="right"/>
              <w:rPr>
                <w:rFonts w:cs="Arial"/>
                <w:sz w:val="16"/>
                <w:szCs w:val="16"/>
              </w:rPr>
            </w:pPr>
            <w:r w:rsidRPr="00EF49F3">
              <w:rPr>
                <w:rFonts w:cs="Arial"/>
                <w:sz w:val="16"/>
                <w:szCs w:val="16"/>
              </w:rPr>
              <w:t>4,47</w:t>
            </w:r>
          </w:p>
        </w:tc>
        <w:tc>
          <w:tcPr>
            <w:tcW w:w="624" w:type="dxa"/>
            <w:tcBorders>
              <w:top w:val="nil"/>
              <w:left w:val="nil"/>
              <w:bottom w:val="nil"/>
              <w:right w:val="nil"/>
            </w:tcBorders>
            <w:shd w:val="clear" w:color="auto" w:fill="auto"/>
            <w:noWrap/>
            <w:vAlign w:val="center"/>
            <w:hideMark/>
          </w:tcPr>
          <w:p w14:paraId="1B3A3C39" w14:textId="77777777" w:rsidR="00EF49F3" w:rsidRPr="00EF49F3" w:rsidRDefault="00EF49F3" w:rsidP="00EF49F3">
            <w:pPr>
              <w:spacing w:after="0" w:line="240" w:lineRule="auto"/>
              <w:jc w:val="right"/>
              <w:rPr>
                <w:rFonts w:cs="Arial"/>
                <w:sz w:val="16"/>
                <w:szCs w:val="16"/>
              </w:rPr>
            </w:pPr>
            <w:r w:rsidRPr="00EF49F3">
              <w:rPr>
                <w:rFonts w:cs="Arial"/>
                <w:sz w:val="16"/>
                <w:szCs w:val="16"/>
              </w:rPr>
              <w:t>4,64</w:t>
            </w:r>
          </w:p>
        </w:tc>
        <w:tc>
          <w:tcPr>
            <w:tcW w:w="624" w:type="dxa"/>
            <w:tcBorders>
              <w:top w:val="nil"/>
              <w:left w:val="nil"/>
              <w:bottom w:val="nil"/>
              <w:right w:val="nil"/>
            </w:tcBorders>
            <w:shd w:val="clear" w:color="000000" w:fill="FFFFFF"/>
            <w:noWrap/>
            <w:vAlign w:val="center"/>
            <w:hideMark/>
          </w:tcPr>
          <w:p w14:paraId="24251D37"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4,85</w:t>
            </w:r>
          </w:p>
        </w:tc>
        <w:tc>
          <w:tcPr>
            <w:tcW w:w="624" w:type="dxa"/>
            <w:tcBorders>
              <w:top w:val="nil"/>
              <w:left w:val="nil"/>
              <w:bottom w:val="nil"/>
              <w:right w:val="nil"/>
            </w:tcBorders>
            <w:shd w:val="clear" w:color="auto" w:fill="auto"/>
            <w:noWrap/>
            <w:vAlign w:val="center"/>
            <w:hideMark/>
          </w:tcPr>
          <w:p w14:paraId="3EDE9DE6"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4,96</w:t>
            </w:r>
          </w:p>
        </w:tc>
      </w:tr>
      <w:tr w:rsidR="00EF49F3" w:rsidRPr="00EF49F3" w14:paraId="0EFBF399" w14:textId="77777777" w:rsidTr="00EF49F3">
        <w:trPr>
          <w:trHeight w:val="300"/>
        </w:trPr>
        <w:tc>
          <w:tcPr>
            <w:tcW w:w="2080" w:type="dxa"/>
            <w:tcBorders>
              <w:top w:val="nil"/>
              <w:left w:val="nil"/>
              <w:bottom w:val="nil"/>
              <w:right w:val="nil"/>
            </w:tcBorders>
            <w:shd w:val="clear" w:color="auto" w:fill="auto"/>
            <w:noWrap/>
            <w:vAlign w:val="center"/>
            <w:hideMark/>
          </w:tcPr>
          <w:p w14:paraId="594FBA05"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Jihočeský kraj</w:t>
            </w:r>
          </w:p>
        </w:tc>
        <w:tc>
          <w:tcPr>
            <w:tcW w:w="624" w:type="dxa"/>
            <w:tcBorders>
              <w:top w:val="nil"/>
              <w:left w:val="nil"/>
              <w:bottom w:val="nil"/>
              <w:right w:val="nil"/>
            </w:tcBorders>
            <w:shd w:val="clear" w:color="auto" w:fill="auto"/>
            <w:noWrap/>
            <w:vAlign w:val="center"/>
            <w:hideMark/>
          </w:tcPr>
          <w:p w14:paraId="62A037F1" w14:textId="77777777" w:rsidR="00EF49F3" w:rsidRPr="00EF49F3" w:rsidRDefault="00EF49F3" w:rsidP="00EF49F3">
            <w:pPr>
              <w:spacing w:after="0" w:line="240" w:lineRule="auto"/>
              <w:jc w:val="right"/>
              <w:rPr>
                <w:rFonts w:cs="Arial"/>
                <w:sz w:val="16"/>
                <w:szCs w:val="16"/>
              </w:rPr>
            </w:pPr>
            <w:r w:rsidRPr="00EF49F3">
              <w:rPr>
                <w:rFonts w:cs="Arial"/>
                <w:sz w:val="16"/>
                <w:szCs w:val="16"/>
              </w:rPr>
              <w:t>5,52</w:t>
            </w:r>
          </w:p>
        </w:tc>
        <w:tc>
          <w:tcPr>
            <w:tcW w:w="624" w:type="dxa"/>
            <w:tcBorders>
              <w:top w:val="nil"/>
              <w:left w:val="nil"/>
              <w:bottom w:val="nil"/>
              <w:right w:val="nil"/>
            </w:tcBorders>
            <w:shd w:val="clear" w:color="auto" w:fill="auto"/>
            <w:noWrap/>
            <w:vAlign w:val="center"/>
            <w:hideMark/>
          </w:tcPr>
          <w:p w14:paraId="378F087F" w14:textId="77777777" w:rsidR="00EF49F3" w:rsidRPr="00EF49F3" w:rsidRDefault="00EF49F3" w:rsidP="00EF49F3">
            <w:pPr>
              <w:spacing w:after="0" w:line="240" w:lineRule="auto"/>
              <w:jc w:val="right"/>
              <w:rPr>
                <w:rFonts w:cs="Arial"/>
                <w:sz w:val="16"/>
                <w:szCs w:val="16"/>
              </w:rPr>
            </w:pPr>
            <w:r w:rsidRPr="00EF49F3">
              <w:rPr>
                <w:rFonts w:cs="Arial"/>
                <w:sz w:val="16"/>
                <w:szCs w:val="16"/>
              </w:rPr>
              <w:t>4,80</w:t>
            </w:r>
          </w:p>
        </w:tc>
        <w:tc>
          <w:tcPr>
            <w:tcW w:w="624" w:type="dxa"/>
            <w:tcBorders>
              <w:top w:val="nil"/>
              <w:left w:val="nil"/>
              <w:bottom w:val="nil"/>
              <w:right w:val="nil"/>
            </w:tcBorders>
            <w:shd w:val="clear" w:color="auto" w:fill="auto"/>
            <w:noWrap/>
            <w:vAlign w:val="center"/>
            <w:hideMark/>
          </w:tcPr>
          <w:p w14:paraId="0545B1DA" w14:textId="77777777" w:rsidR="00EF49F3" w:rsidRPr="00EF49F3" w:rsidRDefault="00EF49F3" w:rsidP="00EF49F3">
            <w:pPr>
              <w:spacing w:after="0" w:line="240" w:lineRule="auto"/>
              <w:jc w:val="right"/>
              <w:rPr>
                <w:rFonts w:cs="Arial"/>
                <w:sz w:val="16"/>
                <w:szCs w:val="16"/>
              </w:rPr>
            </w:pPr>
            <w:r w:rsidRPr="00EF49F3">
              <w:rPr>
                <w:rFonts w:cs="Arial"/>
                <w:sz w:val="16"/>
                <w:szCs w:val="16"/>
              </w:rPr>
              <w:t>4,61</w:t>
            </w:r>
          </w:p>
        </w:tc>
        <w:tc>
          <w:tcPr>
            <w:tcW w:w="624" w:type="dxa"/>
            <w:tcBorders>
              <w:top w:val="nil"/>
              <w:left w:val="nil"/>
              <w:bottom w:val="nil"/>
              <w:right w:val="nil"/>
            </w:tcBorders>
            <w:shd w:val="clear" w:color="auto" w:fill="auto"/>
            <w:noWrap/>
            <w:vAlign w:val="center"/>
            <w:hideMark/>
          </w:tcPr>
          <w:p w14:paraId="5DC4B722" w14:textId="77777777" w:rsidR="00EF49F3" w:rsidRPr="00EF49F3" w:rsidRDefault="00EF49F3" w:rsidP="00EF49F3">
            <w:pPr>
              <w:spacing w:after="0" w:line="240" w:lineRule="auto"/>
              <w:jc w:val="right"/>
              <w:rPr>
                <w:rFonts w:cs="Arial"/>
                <w:sz w:val="16"/>
                <w:szCs w:val="16"/>
              </w:rPr>
            </w:pPr>
            <w:r w:rsidRPr="00EF49F3">
              <w:rPr>
                <w:rFonts w:cs="Arial"/>
                <w:sz w:val="16"/>
                <w:szCs w:val="16"/>
              </w:rPr>
              <w:t>4,72</w:t>
            </w:r>
          </w:p>
        </w:tc>
        <w:tc>
          <w:tcPr>
            <w:tcW w:w="624" w:type="dxa"/>
            <w:tcBorders>
              <w:top w:val="nil"/>
              <w:left w:val="nil"/>
              <w:bottom w:val="nil"/>
              <w:right w:val="nil"/>
            </w:tcBorders>
            <w:shd w:val="clear" w:color="auto" w:fill="auto"/>
            <w:noWrap/>
            <w:vAlign w:val="center"/>
            <w:hideMark/>
          </w:tcPr>
          <w:p w14:paraId="5EB2835E" w14:textId="77777777" w:rsidR="00EF49F3" w:rsidRPr="00EF49F3" w:rsidRDefault="00EF49F3" w:rsidP="00EF49F3">
            <w:pPr>
              <w:spacing w:after="0" w:line="240" w:lineRule="auto"/>
              <w:jc w:val="right"/>
              <w:rPr>
                <w:rFonts w:cs="Arial"/>
                <w:sz w:val="16"/>
                <w:szCs w:val="16"/>
              </w:rPr>
            </w:pPr>
            <w:r w:rsidRPr="00EF49F3">
              <w:rPr>
                <w:rFonts w:cs="Arial"/>
                <w:sz w:val="16"/>
                <w:szCs w:val="16"/>
              </w:rPr>
              <w:t>4,21</w:t>
            </w:r>
          </w:p>
        </w:tc>
        <w:tc>
          <w:tcPr>
            <w:tcW w:w="624" w:type="dxa"/>
            <w:tcBorders>
              <w:top w:val="nil"/>
              <w:left w:val="nil"/>
              <w:bottom w:val="nil"/>
              <w:right w:val="nil"/>
            </w:tcBorders>
            <w:shd w:val="clear" w:color="auto" w:fill="auto"/>
            <w:noWrap/>
            <w:vAlign w:val="center"/>
            <w:hideMark/>
          </w:tcPr>
          <w:p w14:paraId="01669C32" w14:textId="77777777" w:rsidR="00EF49F3" w:rsidRPr="00EF49F3" w:rsidRDefault="00EF49F3" w:rsidP="00EF49F3">
            <w:pPr>
              <w:spacing w:after="0" w:line="240" w:lineRule="auto"/>
              <w:jc w:val="right"/>
              <w:rPr>
                <w:rFonts w:cs="Arial"/>
                <w:sz w:val="16"/>
                <w:szCs w:val="16"/>
              </w:rPr>
            </w:pPr>
            <w:r w:rsidRPr="00EF49F3">
              <w:rPr>
                <w:rFonts w:cs="Arial"/>
                <w:sz w:val="16"/>
                <w:szCs w:val="16"/>
              </w:rPr>
              <w:t>4,76</w:t>
            </w:r>
          </w:p>
        </w:tc>
        <w:tc>
          <w:tcPr>
            <w:tcW w:w="624" w:type="dxa"/>
            <w:tcBorders>
              <w:top w:val="nil"/>
              <w:left w:val="nil"/>
              <w:bottom w:val="nil"/>
              <w:right w:val="nil"/>
            </w:tcBorders>
            <w:shd w:val="clear" w:color="auto" w:fill="auto"/>
            <w:noWrap/>
            <w:vAlign w:val="center"/>
            <w:hideMark/>
          </w:tcPr>
          <w:p w14:paraId="5882E4FB" w14:textId="77777777" w:rsidR="00EF49F3" w:rsidRPr="00EF49F3" w:rsidRDefault="00EF49F3" w:rsidP="00EF49F3">
            <w:pPr>
              <w:spacing w:after="0" w:line="240" w:lineRule="auto"/>
              <w:jc w:val="right"/>
              <w:rPr>
                <w:rFonts w:cs="Arial"/>
                <w:sz w:val="16"/>
                <w:szCs w:val="16"/>
              </w:rPr>
            </w:pPr>
            <w:r w:rsidRPr="00EF49F3">
              <w:rPr>
                <w:rFonts w:cs="Arial"/>
                <w:sz w:val="16"/>
                <w:szCs w:val="16"/>
              </w:rPr>
              <w:t>4,57</w:t>
            </w:r>
          </w:p>
        </w:tc>
        <w:tc>
          <w:tcPr>
            <w:tcW w:w="624" w:type="dxa"/>
            <w:tcBorders>
              <w:top w:val="nil"/>
              <w:left w:val="nil"/>
              <w:bottom w:val="nil"/>
              <w:right w:val="nil"/>
            </w:tcBorders>
            <w:shd w:val="clear" w:color="auto" w:fill="auto"/>
            <w:noWrap/>
            <w:vAlign w:val="center"/>
            <w:hideMark/>
          </w:tcPr>
          <w:p w14:paraId="30976194" w14:textId="77777777" w:rsidR="00EF49F3" w:rsidRPr="00EF49F3" w:rsidRDefault="00EF49F3" w:rsidP="00EF49F3">
            <w:pPr>
              <w:spacing w:after="0" w:line="240" w:lineRule="auto"/>
              <w:jc w:val="right"/>
              <w:rPr>
                <w:rFonts w:cs="Arial"/>
                <w:sz w:val="16"/>
                <w:szCs w:val="16"/>
              </w:rPr>
            </w:pPr>
            <w:r w:rsidRPr="00EF49F3">
              <w:rPr>
                <w:rFonts w:cs="Arial"/>
                <w:sz w:val="16"/>
                <w:szCs w:val="16"/>
              </w:rPr>
              <w:t>5,09</w:t>
            </w:r>
          </w:p>
        </w:tc>
        <w:tc>
          <w:tcPr>
            <w:tcW w:w="624" w:type="dxa"/>
            <w:tcBorders>
              <w:top w:val="nil"/>
              <w:left w:val="nil"/>
              <w:bottom w:val="nil"/>
              <w:right w:val="nil"/>
            </w:tcBorders>
            <w:shd w:val="clear" w:color="auto" w:fill="auto"/>
            <w:noWrap/>
            <w:vAlign w:val="center"/>
            <w:hideMark/>
          </w:tcPr>
          <w:p w14:paraId="3A873B64" w14:textId="77777777" w:rsidR="00EF49F3" w:rsidRPr="00EF49F3" w:rsidRDefault="00EF49F3" w:rsidP="00EF49F3">
            <w:pPr>
              <w:spacing w:after="0" w:line="240" w:lineRule="auto"/>
              <w:jc w:val="right"/>
              <w:rPr>
                <w:rFonts w:cs="Arial"/>
                <w:sz w:val="16"/>
                <w:szCs w:val="16"/>
              </w:rPr>
            </w:pPr>
            <w:r w:rsidRPr="00EF49F3">
              <w:rPr>
                <w:rFonts w:cs="Arial"/>
                <w:sz w:val="16"/>
                <w:szCs w:val="16"/>
              </w:rPr>
              <w:t>5,31</w:t>
            </w:r>
          </w:p>
        </w:tc>
        <w:tc>
          <w:tcPr>
            <w:tcW w:w="624" w:type="dxa"/>
            <w:tcBorders>
              <w:top w:val="nil"/>
              <w:left w:val="nil"/>
              <w:bottom w:val="nil"/>
              <w:right w:val="nil"/>
            </w:tcBorders>
            <w:shd w:val="clear" w:color="auto" w:fill="auto"/>
            <w:noWrap/>
            <w:vAlign w:val="center"/>
            <w:hideMark/>
          </w:tcPr>
          <w:p w14:paraId="70FE2FE3" w14:textId="77777777" w:rsidR="00EF49F3" w:rsidRPr="00EF49F3" w:rsidRDefault="00EF49F3" w:rsidP="00EF49F3">
            <w:pPr>
              <w:spacing w:after="0" w:line="240" w:lineRule="auto"/>
              <w:jc w:val="right"/>
              <w:rPr>
                <w:rFonts w:cs="Arial"/>
                <w:sz w:val="16"/>
                <w:szCs w:val="16"/>
              </w:rPr>
            </w:pPr>
            <w:r w:rsidRPr="00EF49F3">
              <w:rPr>
                <w:rFonts w:cs="Arial"/>
                <w:sz w:val="16"/>
                <w:szCs w:val="16"/>
              </w:rPr>
              <w:t>5,52</w:t>
            </w:r>
          </w:p>
        </w:tc>
        <w:tc>
          <w:tcPr>
            <w:tcW w:w="624" w:type="dxa"/>
            <w:tcBorders>
              <w:top w:val="nil"/>
              <w:left w:val="nil"/>
              <w:bottom w:val="nil"/>
              <w:right w:val="nil"/>
            </w:tcBorders>
            <w:shd w:val="clear" w:color="000000" w:fill="FFFFFF"/>
            <w:noWrap/>
            <w:vAlign w:val="center"/>
            <w:hideMark/>
          </w:tcPr>
          <w:p w14:paraId="627FF905"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5,54</w:t>
            </w:r>
          </w:p>
        </w:tc>
        <w:tc>
          <w:tcPr>
            <w:tcW w:w="624" w:type="dxa"/>
            <w:tcBorders>
              <w:top w:val="nil"/>
              <w:left w:val="nil"/>
              <w:bottom w:val="nil"/>
              <w:right w:val="nil"/>
            </w:tcBorders>
            <w:shd w:val="clear" w:color="auto" w:fill="auto"/>
            <w:noWrap/>
            <w:vAlign w:val="center"/>
            <w:hideMark/>
          </w:tcPr>
          <w:p w14:paraId="628121D6"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5,58</w:t>
            </w:r>
          </w:p>
        </w:tc>
      </w:tr>
      <w:tr w:rsidR="00EF49F3" w:rsidRPr="00EF49F3" w14:paraId="21F2A719" w14:textId="77777777" w:rsidTr="00EF49F3">
        <w:trPr>
          <w:trHeight w:val="300"/>
        </w:trPr>
        <w:tc>
          <w:tcPr>
            <w:tcW w:w="2080" w:type="dxa"/>
            <w:tcBorders>
              <w:top w:val="nil"/>
              <w:left w:val="nil"/>
              <w:bottom w:val="nil"/>
              <w:right w:val="nil"/>
            </w:tcBorders>
            <w:shd w:val="clear" w:color="auto" w:fill="auto"/>
            <w:noWrap/>
            <w:vAlign w:val="center"/>
            <w:hideMark/>
          </w:tcPr>
          <w:p w14:paraId="72BCFAC9"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Plzeňský kraj</w:t>
            </w:r>
          </w:p>
        </w:tc>
        <w:tc>
          <w:tcPr>
            <w:tcW w:w="624" w:type="dxa"/>
            <w:tcBorders>
              <w:top w:val="nil"/>
              <w:left w:val="nil"/>
              <w:bottom w:val="nil"/>
              <w:right w:val="nil"/>
            </w:tcBorders>
            <w:shd w:val="clear" w:color="auto" w:fill="auto"/>
            <w:noWrap/>
            <w:vAlign w:val="center"/>
            <w:hideMark/>
          </w:tcPr>
          <w:p w14:paraId="56EDF8CA" w14:textId="77777777" w:rsidR="00EF49F3" w:rsidRPr="00EF49F3" w:rsidRDefault="00EF49F3" w:rsidP="00EF49F3">
            <w:pPr>
              <w:spacing w:after="0" w:line="240" w:lineRule="auto"/>
              <w:jc w:val="right"/>
              <w:rPr>
                <w:rFonts w:cs="Arial"/>
                <w:sz w:val="16"/>
                <w:szCs w:val="16"/>
              </w:rPr>
            </w:pPr>
            <w:r w:rsidRPr="00EF49F3">
              <w:rPr>
                <w:rFonts w:cs="Arial"/>
                <w:sz w:val="16"/>
                <w:szCs w:val="16"/>
              </w:rPr>
              <w:t>5,53</w:t>
            </w:r>
          </w:p>
        </w:tc>
        <w:tc>
          <w:tcPr>
            <w:tcW w:w="624" w:type="dxa"/>
            <w:tcBorders>
              <w:top w:val="nil"/>
              <w:left w:val="nil"/>
              <w:bottom w:val="nil"/>
              <w:right w:val="nil"/>
            </w:tcBorders>
            <w:shd w:val="clear" w:color="auto" w:fill="auto"/>
            <w:noWrap/>
            <w:vAlign w:val="center"/>
            <w:hideMark/>
          </w:tcPr>
          <w:p w14:paraId="026E3C52" w14:textId="77777777" w:rsidR="00EF49F3" w:rsidRPr="00EF49F3" w:rsidRDefault="00EF49F3" w:rsidP="00EF49F3">
            <w:pPr>
              <w:spacing w:after="0" w:line="240" w:lineRule="auto"/>
              <w:jc w:val="right"/>
              <w:rPr>
                <w:rFonts w:cs="Arial"/>
                <w:sz w:val="16"/>
                <w:szCs w:val="16"/>
              </w:rPr>
            </w:pPr>
            <w:r w:rsidRPr="00EF49F3">
              <w:rPr>
                <w:rFonts w:cs="Arial"/>
                <w:sz w:val="16"/>
                <w:szCs w:val="16"/>
              </w:rPr>
              <w:t>4,58</w:t>
            </w:r>
          </w:p>
        </w:tc>
        <w:tc>
          <w:tcPr>
            <w:tcW w:w="624" w:type="dxa"/>
            <w:tcBorders>
              <w:top w:val="nil"/>
              <w:left w:val="nil"/>
              <w:bottom w:val="nil"/>
              <w:right w:val="nil"/>
            </w:tcBorders>
            <w:shd w:val="clear" w:color="auto" w:fill="auto"/>
            <w:noWrap/>
            <w:vAlign w:val="center"/>
            <w:hideMark/>
          </w:tcPr>
          <w:p w14:paraId="5A0CCE95" w14:textId="77777777" w:rsidR="00EF49F3" w:rsidRPr="00EF49F3" w:rsidRDefault="00EF49F3" w:rsidP="00EF49F3">
            <w:pPr>
              <w:spacing w:after="0" w:line="240" w:lineRule="auto"/>
              <w:jc w:val="right"/>
              <w:rPr>
                <w:rFonts w:cs="Arial"/>
                <w:sz w:val="16"/>
                <w:szCs w:val="16"/>
              </w:rPr>
            </w:pPr>
            <w:r w:rsidRPr="00EF49F3">
              <w:rPr>
                <w:rFonts w:cs="Arial"/>
                <w:sz w:val="16"/>
                <w:szCs w:val="16"/>
              </w:rPr>
              <w:t>4,23</w:t>
            </w:r>
          </w:p>
        </w:tc>
        <w:tc>
          <w:tcPr>
            <w:tcW w:w="624" w:type="dxa"/>
            <w:tcBorders>
              <w:top w:val="nil"/>
              <w:left w:val="nil"/>
              <w:bottom w:val="nil"/>
              <w:right w:val="nil"/>
            </w:tcBorders>
            <w:shd w:val="clear" w:color="auto" w:fill="auto"/>
            <w:noWrap/>
            <w:vAlign w:val="center"/>
            <w:hideMark/>
          </w:tcPr>
          <w:p w14:paraId="385E1E32" w14:textId="77777777" w:rsidR="00EF49F3" w:rsidRPr="00EF49F3" w:rsidRDefault="00EF49F3" w:rsidP="00EF49F3">
            <w:pPr>
              <w:spacing w:after="0" w:line="240" w:lineRule="auto"/>
              <w:jc w:val="right"/>
              <w:rPr>
                <w:rFonts w:cs="Arial"/>
                <w:sz w:val="16"/>
                <w:szCs w:val="16"/>
              </w:rPr>
            </w:pPr>
            <w:r w:rsidRPr="00EF49F3">
              <w:rPr>
                <w:rFonts w:cs="Arial"/>
                <w:sz w:val="16"/>
                <w:szCs w:val="16"/>
              </w:rPr>
              <w:t>4,10</w:t>
            </w:r>
          </w:p>
        </w:tc>
        <w:tc>
          <w:tcPr>
            <w:tcW w:w="624" w:type="dxa"/>
            <w:tcBorders>
              <w:top w:val="nil"/>
              <w:left w:val="nil"/>
              <w:bottom w:val="nil"/>
              <w:right w:val="nil"/>
            </w:tcBorders>
            <w:shd w:val="clear" w:color="auto" w:fill="auto"/>
            <w:noWrap/>
            <w:vAlign w:val="center"/>
            <w:hideMark/>
          </w:tcPr>
          <w:p w14:paraId="0DB93C82" w14:textId="77777777" w:rsidR="00EF49F3" w:rsidRPr="00EF49F3" w:rsidRDefault="00EF49F3" w:rsidP="00EF49F3">
            <w:pPr>
              <w:spacing w:after="0" w:line="240" w:lineRule="auto"/>
              <w:jc w:val="right"/>
              <w:rPr>
                <w:rFonts w:cs="Arial"/>
                <w:sz w:val="16"/>
                <w:szCs w:val="16"/>
              </w:rPr>
            </w:pPr>
            <w:r w:rsidRPr="00EF49F3">
              <w:rPr>
                <w:rFonts w:cs="Arial"/>
                <w:sz w:val="16"/>
                <w:szCs w:val="16"/>
              </w:rPr>
              <w:t>3,84</w:t>
            </w:r>
          </w:p>
        </w:tc>
        <w:tc>
          <w:tcPr>
            <w:tcW w:w="624" w:type="dxa"/>
            <w:tcBorders>
              <w:top w:val="nil"/>
              <w:left w:val="nil"/>
              <w:bottom w:val="nil"/>
              <w:right w:val="nil"/>
            </w:tcBorders>
            <w:shd w:val="clear" w:color="auto" w:fill="auto"/>
            <w:noWrap/>
            <w:vAlign w:val="center"/>
            <w:hideMark/>
          </w:tcPr>
          <w:p w14:paraId="165300A0" w14:textId="77777777" w:rsidR="00EF49F3" w:rsidRPr="00EF49F3" w:rsidRDefault="00EF49F3" w:rsidP="00EF49F3">
            <w:pPr>
              <w:spacing w:after="0" w:line="240" w:lineRule="auto"/>
              <w:jc w:val="right"/>
              <w:rPr>
                <w:rFonts w:cs="Arial"/>
                <w:sz w:val="16"/>
                <w:szCs w:val="16"/>
              </w:rPr>
            </w:pPr>
            <w:r w:rsidRPr="00EF49F3">
              <w:rPr>
                <w:rFonts w:cs="Arial"/>
                <w:sz w:val="16"/>
                <w:szCs w:val="16"/>
              </w:rPr>
              <w:t>4,37</w:t>
            </w:r>
          </w:p>
        </w:tc>
        <w:tc>
          <w:tcPr>
            <w:tcW w:w="624" w:type="dxa"/>
            <w:tcBorders>
              <w:top w:val="nil"/>
              <w:left w:val="nil"/>
              <w:bottom w:val="nil"/>
              <w:right w:val="nil"/>
            </w:tcBorders>
            <w:shd w:val="clear" w:color="auto" w:fill="auto"/>
            <w:noWrap/>
            <w:vAlign w:val="center"/>
            <w:hideMark/>
          </w:tcPr>
          <w:p w14:paraId="094BB2D9" w14:textId="77777777" w:rsidR="00EF49F3" w:rsidRPr="00EF49F3" w:rsidRDefault="00EF49F3" w:rsidP="00EF49F3">
            <w:pPr>
              <w:spacing w:after="0" w:line="240" w:lineRule="auto"/>
              <w:jc w:val="right"/>
              <w:rPr>
                <w:rFonts w:cs="Arial"/>
                <w:sz w:val="16"/>
                <w:szCs w:val="16"/>
              </w:rPr>
            </w:pPr>
            <w:r w:rsidRPr="00EF49F3">
              <w:rPr>
                <w:rFonts w:cs="Arial"/>
                <w:sz w:val="16"/>
                <w:szCs w:val="16"/>
              </w:rPr>
              <w:t>4,21</w:t>
            </w:r>
          </w:p>
        </w:tc>
        <w:tc>
          <w:tcPr>
            <w:tcW w:w="624" w:type="dxa"/>
            <w:tcBorders>
              <w:top w:val="nil"/>
              <w:left w:val="nil"/>
              <w:bottom w:val="nil"/>
              <w:right w:val="nil"/>
            </w:tcBorders>
            <w:shd w:val="clear" w:color="auto" w:fill="auto"/>
            <w:noWrap/>
            <w:vAlign w:val="center"/>
            <w:hideMark/>
          </w:tcPr>
          <w:p w14:paraId="3818F591" w14:textId="77777777" w:rsidR="00EF49F3" w:rsidRPr="00EF49F3" w:rsidRDefault="00EF49F3" w:rsidP="00EF49F3">
            <w:pPr>
              <w:spacing w:after="0" w:line="240" w:lineRule="auto"/>
              <w:jc w:val="right"/>
              <w:rPr>
                <w:rFonts w:cs="Arial"/>
                <w:sz w:val="16"/>
                <w:szCs w:val="16"/>
              </w:rPr>
            </w:pPr>
            <w:r w:rsidRPr="00EF49F3">
              <w:rPr>
                <w:rFonts w:cs="Arial"/>
                <w:sz w:val="16"/>
                <w:szCs w:val="16"/>
              </w:rPr>
              <w:t>4,85</w:t>
            </w:r>
          </w:p>
        </w:tc>
        <w:tc>
          <w:tcPr>
            <w:tcW w:w="624" w:type="dxa"/>
            <w:tcBorders>
              <w:top w:val="nil"/>
              <w:left w:val="nil"/>
              <w:bottom w:val="nil"/>
              <w:right w:val="nil"/>
            </w:tcBorders>
            <w:shd w:val="clear" w:color="auto" w:fill="auto"/>
            <w:noWrap/>
            <w:vAlign w:val="center"/>
            <w:hideMark/>
          </w:tcPr>
          <w:p w14:paraId="30918123" w14:textId="77777777" w:rsidR="00EF49F3" w:rsidRPr="00EF49F3" w:rsidRDefault="00EF49F3" w:rsidP="00EF49F3">
            <w:pPr>
              <w:spacing w:after="0" w:line="240" w:lineRule="auto"/>
              <w:jc w:val="right"/>
              <w:rPr>
                <w:rFonts w:cs="Arial"/>
                <w:sz w:val="16"/>
                <w:szCs w:val="16"/>
              </w:rPr>
            </w:pPr>
            <w:r w:rsidRPr="00EF49F3">
              <w:rPr>
                <w:rFonts w:cs="Arial"/>
                <w:sz w:val="16"/>
                <w:szCs w:val="16"/>
              </w:rPr>
              <w:t>4,91</w:t>
            </w:r>
          </w:p>
        </w:tc>
        <w:tc>
          <w:tcPr>
            <w:tcW w:w="624" w:type="dxa"/>
            <w:tcBorders>
              <w:top w:val="nil"/>
              <w:left w:val="nil"/>
              <w:bottom w:val="nil"/>
              <w:right w:val="nil"/>
            </w:tcBorders>
            <w:shd w:val="clear" w:color="auto" w:fill="auto"/>
            <w:noWrap/>
            <w:vAlign w:val="center"/>
            <w:hideMark/>
          </w:tcPr>
          <w:p w14:paraId="5913DDCD" w14:textId="77777777" w:rsidR="00EF49F3" w:rsidRPr="00EF49F3" w:rsidRDefault="00EF49F3" w:rsidP="00EF49F3">
            <w:pPr>
              <w:spacing w:after="0" w:line="240" w:lineRule="auto"/>
              <w:jc w:val="right"/>
              <w:rPr>
                <w:rFonts w:cs="Arial"/>
                <w:sz w:val="16"/>
                <w:szCs w:val="16"/>
              </w:rPr>
            </w:pPr>
            <w:r w:rsidRPr="00EF49F3">
              <w:rPr>
                <w:rFonts w:cs="Arial"/>
                <w:sz w:val="16"/>
                <w:szCs w:val="16"/>
              </w:rPr>
              <w:t>5,08</w:t>
            </w:r>
          </w:p>
        </w:tc>
        <w:tc>
          <w:tcPr>
            <w:tcW w:w="624" w:type="dxa"/>
            <w:tcBorders>
              <w:top w:val="nil"/>
              <w:left w:val="nil"/>
              <w:bottom w:val="nil"/>
              <w:right w:val="nil"/>
            </w:tcBorders>
            <w:shd w:val="clear" w:color="000000" w:fill="FFFFFF"/>
            <w:noWrap/>
            <w:vAlign w:val="center"/>
            <w:hideMark/>
          </w:tcPr>
          <w:p w14:paraId="6A30E340"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5,17</w:t>
            </w:r>
          </w:p>
        </w:tc>
        <w:tc>
          <w:tcPr>
            <w:tcW w:w="624" w:type="dxa"/>
            <w:tcBorders>
              <w:top w:val="nil"/>
              <w:left w:val="nil"/>
              <w:bottom w:val="nil"/>
              <w:right w:val="nil"/>
            </w:tcBorders>
            <w:shd w:val="clear" w:color="auto" w:fill="auto"/>
            <w:noWrap/>
            <w:vAlign w:val="center"/>
            <w:hideMark/>
          </w:tcPr>
          <w:p w14:paraId="708B1006"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5,22</w:t>
            </w:r>
          </w:p>
        </w:tc>
      </w:tr>
      <w:tr w:rsidR="00EF49F3" w:rsidRPr="00EF49F3" w14:paraId="48ED2958" w14:textId="77777777" w:rsidTr="00EF49F3">
        <w:trPr>
          <w:trHeight w:val="300"/>
        </w:trPr>
        <w:tc>
          <w:tcPr>
            <w:tcW w:w="2080" w:type="dxa"/>
            <w:tcBorders>
              <w:top w:val="nil"/>
              <w:left w:val="nil"/>
              <w:bottom w:val="nil"/>
              <w:right w:val="nil"/>
            </w:tcBorders>
            <w:shd w:val="clear" w:color="auto" w:fill="auto"/>
            <w:noWrap/>
            <w:vAlign w:val="center"/>
            <w:hideMark/>
          </w:tcPr>
          <w:p w14:paraId="750139BA"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Karlovarský kraj</w:t>
            </w:r>
          </w:p>
        </w:tc>
        <w:tc>
          <w:tcPr>
            <w:tcW w:w="624" w:type="dxa"/>
            <w:tcBorders>
              <w:top w:val="nil"/>
              <w:left w:val="nil"/>
              <w:bottom w:val="nil"/>
              <w:right w:val="nil"/>
            </w:tcBorders>
            <w:shd w:val="clear" w:color="auto" w:fill="auto"/>
            <w:noWrap/>
            <w:vAlign w:val="center"/>
            <w:hideMark/>
          </w:tcPr>
          <w:p w14:paraId="4B1097FF" w14:textId="77777777" w:rsidR="00EF49F3" w:rsidRPr="00EF49F3" w:rsidRDefault="00EF49F3" w:rsidP="00EF49F3">
            <w:pPr>
              <w:spacing w:after="0" w:line="240" w:lineRule="auto"/>
              <w:jc w:val="right"/>
              <w:rPr>
                <w:rFonts w:cs="Arial"/>
                <w:sz w:val="16"/>
                <w:szCs w:val="16"/>
              </w:rPr>
            </w:pPr>
            <w:r w:rsidRPr="00EF49F3">
              <w:rPr>
                <w:rFonts w:cs="Arial"/>
                <w:sz w:val="16"/>
                <w:szCs w:val="16"/>
              </w:rPr>
              <w:t>5,12</w:t>
            </w:r>
          </w:p>
        </w:tc>
        <w:tc>
          <w:tcPr>
            <w:tcW w:w="624" w:type="dxa"/>
            <w:tcBorders>
              <w:top w:val="nil"/>
              <w:left w:val="nil"/>
              <w:bottom w:val="nil"/>
              <w:right w:val="nil"/>
            </w:tcBorders>
            <w:shd w:val="clear" w:color="auto" w:fill="auto"/>
            <w:noWrap/>
            <w:vAlign w:val="center"/>
            <w:hideMark/>
          </w:tcPr>
          <w:p w14:paraId="56A3DC30" w14:textId="77777777" w:rsidR="00EF49F3" w:rsidRPr="00EF49F3" w:rsidRDefault="00EF49F3" w:rsidP="00EF49F3">
            <w:pPr>
              <w:spacing w:after="0" w:line="240" w:lineRule="auto"/>
              <w:jc w:val="right"/>
              <w:rPr>
                <w:rFonts w:cs="Arial"/>
                <w:sz w:val="16"/>
                <w:szCs w:val="16"/>
              </w:rPr>
            </w:pPr>
            <w:r w:rsidRPr="00EF49F3">
              <w:rPr>
                <w:rFonts w:cs="Arial"/>
                <w:sz w:val="16"/>
                <w:szCs w:val="16"/>
              </w:rPr>
              <w:t>4,34</w:t>
            </w:r>
          </w:p>
        </w:tc>
        <w:tc>
          <w:tcPr>
            <w:tcW w:w="624" w:type="dxa"/>
            <w:tcBorders>
              <w:top w:val="nil"/>
              <w:left w:val="nil"/>
              <w:bottom w:val="nil"/>
              <w:right w:val="nil"/>
            </w:tcBorders>
            <w:shd w:val="clear" w:color="auto" w:fill="auto"/>
            <w:noWrap/>
            <w:vAlign w:val="center"/>
            <w:hideMark/>
          </w:tcPr>
          <w:p w14:paraId="6743135F" w14:textId="77777777" w:rsidR="00EF49F3" w:rsidRPr="00EF49F3" w:rsidRDefault="00EF49F3" w:rsidP="00EF49F3">
            <w:pPr>
              <w:spacing w:after="0" w:line="240" w:lineRule="auto"/>
              <w:jc w:val="right"/>
              <w:rPr>
                <w:rFonts w:cs="Arial"/>
                <w:sz w:val="16"/>
                <w:szCs w:val="16"/>
              </w:rPr>
            </w:pPr>
            <w:r w:rsidRPr="00EF49F3">
              <w:rPr>
                <w:rFonts w:cs="Arial"/>
                <w:sz w:val="16"/>
                <w:szCs w:val="16"/>
              </w:rPr>
              <w:t>3,85</w:t>
            </w:r>
          </w:p>
        </w:tc>
        <w:tc>
          <w:tcPr>
            <w:tcW w:w="624" w:type="dxa"/>
            <w:tcBorders>
              <w:top w:val="nil"/>
              <w:left w:val="nil"/>
              <w:bottom w:val="nil"/>
              <w:right w:val="nil"/>
            </w:tcBorders>
            <w:shd w:val="clear" w:color="auto" w:fill="auto"/>
            <w:noWrap/>
            <w:vAlign w:val="center"/>
            <w:hideMark/>
          </w:tcPr>
          <w:p w14:paraId="134B1FF8" w14:textId="77777777" w:rsidR="00EF49F3" w:rsidRPr="00EF49F3" w:rsidRDefault="00EF49F3" w:rsidP="00EF49F3">
            <w:pPr>
              <w:spacing w:after="0" w:line="240" w:lineRule="auto"/>
              <w:jc w:val="right"/>
              <w:rPr>
                <w:rFonts w:cs="Arial"/>
                <w:sz w:val="16"/>
                <w:szCs w:val="16"/>
              </w:rPr>
            </w:pPr>
            <w:r w:rsidRPr="00EF49F3">
              <w:rPr>
                <w:rFonts w:cs="Arial"/>
                <w:sz w:val="16"/>
                <w:szCs w:val="16"/>
              </w:rPr>
              <w:t>3,69</w:t>
            </w:r>
          </w:p>
        </w:tc>
        <w:tc>
          <w:tcPr>
            <w:tcW w:w="624" w:type="dxa"/>
            <w:tcBorders>
              <w:top w:val="nil"/>
              <w:left w:val="nil"/>
              <w:bottom w:val="nil"/>
              <w:right w:val="nil"/>
            </w:tcBorders>
            <w:shd w:val="clear" w:color="auto" w:fill="auto"/>
            <w:noWrap/>
            <w:vAlign w:val="center"/>
            <w:hideMark/>
          </w:tcPr>
          <w:p w14:paraId="44163B9E" w14:textId="77777777" w:rsidR="00EF49F3" w:rsidRPr="00EF49F3" w:rsidRDefault="00EF49F3" w:rsidP="00EF49F3">
            <w:pPr>
              <w:spacing w:after="0" w:line="240" w:lineRule="auto"/>
              <w:jc w:val="right"/>
              <w:rPr>
                <w:rFonts w:cs="Arial"/>
                <w:sz w:val="16"/>
                <w:szCs w:val="16"/>
              </w:rPr>
            </w:pPr>
            <w:r w:rsidRPr="00EF49F3">
              <w:rPr>
                <w:rFonts w:cs="Arial"/>
                <w:sz w:val="16"/>
                <w:szCs w:val="16"/>
              </w:rPr>
              <w:t>3,51</w:t>
            </w:r>
          </w:p>
        </w:tc>
        <w:tc>
          <w:tcPr>
            <w:tcW w:w="624" w:type="dxa"/>
            <w:tcBorders>
              <w:top w:val="nil"/>
              <w:left w:val="nil"/>
              <w:bottom w:val="nil"/>
              <w:right w:val="nil"/>
            </w:tcBorders>
            <w:shd w:val="clear" w:color="auto" w:fill="auto"/>
            <w:noWrap/>
            <w:vAlign w:val="center"/>
            <w:hideMark/>
          </w:tcPr>
          <w:p w14:paraId="23FA0407" w14:textId="77777777" w:rsidR="00EF49F3" w:rsidRPr="00EF49F3" w:rsidRDefault="00EF49F3" w:rsidP="00EF49F3">
            <w:pPr>
              <w:spacing w:after="0" w:line="240" w:lineRule="auto"/>
              <w:jc w:val="right"/>
              <w:rPr>
                <w:rFonts w:cs="Arial"/>
                <w:sz w:val="16"/>
                <w:szCs w:val="16"/>
              </w:rPr>
            </w:pPr>
            <w:r w:rsidRPr="00EF49F3">
              <w:rPr>
                <w:rFonts w:cs="Arial"/>
                <w:sz w:val="16"/>
                <w:szCs w:val="16"/>
              </w:rPr>
              <w:t>4,08</w:t>
            </w:r>
          </w:p>
        </w:tc>
        <w:tc>
          <w:tcPr>
            <w:tcW w:w="624" w:type="dxa"/>
            <w:tcBorders>
              <w:top w:val="nil"/>
              <w:left w:val="nil"/>
              <w:bottom w:val="nil"/>
              <w:right w:val="nil"/>
            </w:tcBorders>
            <w:shd w:val="clear" w:color="auto" w:fill="auto"/>
            <w:noWrap/>
            <w:vAlign w:val="center"/>
            <w:hideMark/>
          </w:tcPr>
          <w:p w14:paraId="49793C09" w14:textId="77777777" w:rsidR="00EF49F3" w:rsidRPr="00EF49F3" w:rsidRDefault="00EF49F3" w:rsidP="00EF49F3">
            <w:pPr>
              <w:spacing w:after="0" w:line="240" w:lineRule="auto"/>
              <w:jc w:val="right"/>
              <w:rPr>
                <w:rFonts w:cs="Arial"/>
                <w:sz w:val="16"/>
                <w:szCs w:val="16"/>
              </w:rPr>
            </w:pPr>
            <w:r w:rsidRPr="00EF49F3">
              <w:rPr>
                <w:rFonts w:cs="Arial"/>
                <w:sz w:val="16"/>
                <w:szCs w:val="16"/>
              </w:rPr>
              <w:t>4,01</w:t>
            </w:r>
          </w:p>
        </w:tc>
        <w:tc>
          <w:tcPr>
            <w:tcW w:w="624" w:type="dxa"/>
            <w:tcBorders>
              <w:top w:val="nil"/>
              <w:left w:val="nil"/>
              <w:bottom w:val="nil"/>
              <w:right w:val="nil"/>
            </w:tcBorders>
            <w:shd w:val="clear" w:color="auto" w:fill="auto"/>
            <w:noWrap/>
            <w:vAlign w:val="center"/>
            <w:hideMark/>
          </w:tcPr>
          <w:p w14:paraId="4B0107A6" w14:textId="77777777" w:rsidR="00EF49F3" w:rsidRPr="00EF49F3" w:rsidRDefault="00EF49F3" w:rsidP="00EF49F3">
            <w:pPr>
              <w:spacing w:after="0" w:line="240" w:lineRule="auto"/>
              <w:jc w:val="right"/>
              <w:rPr>
                <w:rFonts w:cs="Arial"/>
                <w:sz w:val="16"/>
                <w:szCs w:val="16"/>
              </w:rPr>
            </w:pPr>
            <w:r w:rsidRPr="00EF49F3">
              <w:rPr>
                <w:rFonts w:cs="Arial"/>
                <w:sz w:val="16"/>
                <w:szCs w:val="16"/>
              </w:rPr>
              <w:t>4,72</w:t>
            </w:r>
          </w:p>
        </w:tc>
        <w:tc>
          <w:tcPr>
            <w:tcW w:w="624" w:type="dxa"/>
            <w:tcBorders>
              <w:top w:val="nil"/>
              <w:left w:val="nil"/>
              <w:bottom w:val="nil"/>
              <w:right w:val="nil"/>
            </w:tcBorders>
            <w:shd w:val="clear" w:color="auto" w:fill="auto"/>
            <w:noWrap/>
            <w:vAlign w:val="center"/>
            <w:hideMark/>
          </w:tcPr>
          <w:p w14:paraId="018F581B" w14:textId="77777777" w:rsidR="00EF49F3" w:rsidRPr="00EF49F3" w:rsidRDefault="00EF49F3" w:rsidP="00EF49F3">
            <w:pPr>
              <w:spacing w:after="0" w:line="240" w:lineRule="auto"/>
              <w:jc w:val="right"/>
              <w:rPr>
                <w:rFonts w:cs="Arial"/>
                <w:sz w:val="16"/>
                <w:szCs w:val="16"/>
              </w:rPr>
            </w:pPr>
            <w:r w:rsidRPr="00EF49F3">
              <w:rPr>
                <w:rFonts w:cs="Arial"/>
                <w:sz w:val="16"/>
                <w:szCs w:val="16"/>
              </w:rPr>
              <w:t>4,71</w:t>
            </w:r>
          </w:p>
        </w:tc>
        <w:tc>
          <w:tcPr>
            <w:tcW w:w="624" w:type="dxa"/>
            <w:tcBorders>
              <w:top w:val="nil"/>
              <w:left w:val="nil"/>
              <w:bottom w:val="nil"/>
              <w:right w:val="nil"/>
            </w:tcBorders>
            <w:shd w:val="clear" w:color="auto" w:fill="auto"/>
            <w:noWrap/>
            <w:vAlign w:val="center"/>
            <w:hideMark/>
          </w:tcPr>
          <w:p w14:paraId="7333AD64" w14:textId="77777777" w:rsidR="00EF49F3" w:rsidRPr="00EF49F3" w:rsidRDefault="00EF49F3" w:rsidP="00EF49F3">
            <w:pPr>
              <w:spacing w:after="0" w:line="240" w:lineRule="auto"/>
              <w:jc w:val="right"/>
              <w:rPr>
                <w:rFonts w:cs="Arial"/>
                <w:sz w:val="16"/>
                <w:szCs w:val="16"/>
              </w:rPr>
            </w:pPr>
            <w:r w:rsidRPr="00EF49F3">
              <w:rPr>
                <w:rFonts w:cs="Arial"/>
                <w:sz w:val="16"/>
                <w:szCs w:val="16"/>
              </w:rPr>
              <w:t>4,80</w:t>
            </w:r>
          </w:p>
        </w:tc>
        <w:tc>
          <w:tcPr>
            <w:tcW w:w="624" w:type="dxa"/>
            <w:tcBorders>
              <w:top w:val="nil"/>
              <w:left w:val="nil"/>
              <w:bottom w:val="nil"/>
              <w:right w:val="nil"/>
            </w:tcBorders>
            <w:shd w:val="clear" w:color="000000" w:fill="FFFFFF"/>
            <w:noWrap/>
            <w:vAlign w:val="center"/>
            <w:hideMark/>
          </w:tcPr>
          <w:p w14:paraId="208FCE44"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5,07</w:t>
            </w:r>
          </w:p>
        </w:tc>
        <w:tc>
          <w:tcPr>
            <w:tcW w:w="624" w:type="dxa"/>
            <w:tcBorders>
              <w:top w:val="nil"/>
              <w:left w:val="nil"/>
              <w:bottom w:val="nil"/>
              <w:right w:val="nil"/>
            </w:tcBorders>
            <w:shd w:val="clear" w:color="auto" w:fill="auto"/>
            <w:noWrap/>
            <w:vAlign w:val="center"/>
            <w:hideMark/>
          </w:tcPr>
          <w:p w14:paraId="47E8CC29"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5,20</w:t>
            </w:r>
          </w:p>
        </w:tc>
      </w:tr>
      <w:tr w:rsidR="00EF49F3" w:rsidRPr="00EF49F3" w14:paraId="384FDD22" w14:textId="77777777" w:rsidTr="00EF49F3">
        <w:trPr>
          <w:trHeight w:val="300"/>
        </w:trPr>
        <w:tc>
          <w:tcPr>
            <w:tcW w:w="2080" w:type="dxa"/>
            <w:tcBorders>
              <w:top w:val="nil"/>
              <w:left w:val="nil"/>
              <w:bottom w:val="nil"/>
              <w:right w:val="nil"/>
            </w:tcBorders>
            <w:shd w:val="clear" w:color="auto" w:fill="auto"/>
            <w:noWrap/>
            <w:vAlign w:val="center"/>
            <w:hideMark/>
          </w:tcPr>
          <w:p w14:paraId="4D57F6C0"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Ústecký kraj</w:t>
            </w:r>
          </w:p>
        </w:tc>
        <w:tc>
          <w:tcPr>
            <w:tcW w:w="624" w:type="dxa"/>
            <w:tcBorders>
              <w:top w:val="nil"/>
              <w:left w:val="nil"/>
              <w:bottom w:val="nil"/>
              <w:right w:val="nil"/>
            </w:tcBorders>
            <w:shd w:val="clear" w:color="auto" w:fill="auto"/>
            <w:noWrap/>
            <w:vAlign w:val="center"/>
            <w:hideMark/>
          </w:tcPr>
          <w:p w14:paraId="42A1FF2A" w14:textId="77777777" w:rsidR="00EF49F3" w:rsidRPr="00EF49F3" w:rsidRDefault="00EF49F3" w:rsidP="00EF49F3">
            <w:pPr>
              <w:spacing w:after="0" w:line="240" w:lineRule="auto"/>
              <w:jc w:val="right"/>
              <w:rPr>
                <w:rFonts w:cs="Arial"/>
                <w:sz w:val="16"/>
                <w:szCs w:val="16"/>
              </w:rPr>
            </w:pPr>
            <w:r w:rsidRPr="00EF49F3">
              <w:rPr>
                <w:rFonts w:cs="Arial"/>
                <w:sz w:val="16"/>
                <w:szCs w:val="16"/>
              </w:rPr>
              <w:t>5,15</w:t>
            </w:r>
          </w:p>
        </w:tc>
        <w:tc>
          <w:tcPr>
            <w:tcW w:w="624" w:type="dxa"/>
            <w:tcBorders>
              <w:top w:val="nil"/>
              <w:left w:val="nil"/>
              <w:bottom w:val="nil"/>
              <w:right w:val="nil"/>
            </w:tcBorders>
            <w:shd w:val="clear" w:color="auto" w:fill="auto"/>
            <w:noWrap/>
            <w:vAlign w:val="center"/>
            <w:hideMark/>
          </w:tcPr>
          <w:p w14:paraId="5BC6B8CF" w14:textId="77777777" w:rsidR="00EF49F3" w:rsidRPr="00EF49F3" w:rsidRDefault="00EF49F3" w:rsidP="00EF49F3">
            <w:pPr>
              <w:spacing w:after="0" w:line="240" w:lineRule="auto"/>
              <w:jc w:val="right"/>
              <w:rPr>
                <w:rFonts w:cs="Arial"/>
                <w:sz w:val="16"/>
                <w:szCs w:val="16"/>
              </w:rPr>
            </w:pPr>
            <w:r w:rsidRPr="00EF49F3">
              <w:rPr>
                <w:rFonts w:cs="Arial"/>
                <w:sz w:val="16"/>
                <w:szCs w:val="16"/>
              </w:rPr>
              <w:t>4,20</w:t>
            </w:r>
          </w:p>
        </w:tc>
        <w:tc>
          <w:tcPr>
            <w:tcW w:w="624" w:type="dxa"/>
            <w:tcBorders>
              <w:top w:val="nil"/>
              <w:left w:val="nil"/>
              <w:bottom w:val="nil"/>
              <w:right w:val="nil"/>
            </w:tcBorders>
            <w:shd w:val="clear" w:color="auto" w:fill="auto"/>
            <w:noWrap/>
            <w:vAlign w:val="center"/>
            <w:hideMark/>
          </w:tcPr>
          <w:p w14:paraId="71ACD322" w14:textId="77777777" w:rsidR="00EF49F3" w:rsidRPr="00EF49F3" w:rsidRDefault="00EF49F3" w:rsidP="00EF49F3">
            <w:pPr>
              <w:spacing w:after="0" w:line="240" w:lineRule="auto"/>
              <w:jc w:val="right"/>
              <w:rPr>
                <w:rFonts w:cs="Arial"/>
                <w:sz w:val="16"/>
                <w:szCs w:val="16"/>
              </w:rPr>
            </w:pPr>
            <w:r w:rsidRPr="00EF49F3">
              <w:rPr>
                <w:rFonts w:cs="Arial"/>
                <w:sz w:val="16"/>
                <w:szCs w:val="16"/>
              </w:rPr>
              <w:t>3,83</w:t>
            </w:r>
          </w:p>
        </w:tc>
        <w:tc>
          <w:tcPr>
            <w:tcW w:w="624" w:type="dxa"/>
            <w:tcBorders>
              <w:top w:val="nil"/>
              <w:left w:val="nil"/>
              <w:bottom w:val="nil"/>
              <w:right w:val="nil"/>
            </w:tcBorders>
            <w:shd w:val="clear" w:color="auto" w:fill="auto"/>
            <w:noWrap/>
            <w:vAlign w:val="center"/>
            <w:hideMark/>
          </w:tcPr>
          <w:p w14:paraId="0E2CBBD0" w14:textId="77777777" w:rsidR="00EF49F3" w:rsidRPr="00EF49F3" w:rsidRDefault="00EF49F3" w:rsidP="00EF49F3">
            <w:pPr>
              <w:spacing w:after="0" w:line="240" w:lineRule="auto"/>
              <w:jc w:val="right"/>
              <w:rPr>
                <w:rFonts w:cs="Arial"/>
                <w:sz w:val="16"/>
                <w:szCs w:val="16"/>
              </w:rPr>
            </w:pPr>
            <w:r w:rsidRPr="00EF49F3">
              <w:rPr>
                <w:rFonts w:cs="Arial"/>
                <w:sz w:val="16"/>
                <w:szCs w:val="16"/>
              </w:rPr>
              <w:t>3,83</w:t>
            </w:r>
          </w:p>
        </w:tc>
        <w:tc>
          <w:tcPr>
            <w:tcW w:w="624" w:type="dxa"/>
            <w:tcBorders>
              <w:top w:val="nil"/>
              <w:left w:val="nil"/>
              <w:bottom w:val="nil"/>
              <w:right w:val="nil"/>
            </w:tcBorders>
            <w:shd w:val="clear" w:color="auto" w:fill="auto"/>
            <w:noWrap/>
            <w:vAlign w:val="center"/>
            <w:hideMark/>
          </w:tcPr>
          <w:p w14:paraId="652DC2CC" w14:textId="77777777" w:rsidR="00EF49F3" w:rsidRPr="00EF49F3" w:rsidRDefault="00EF49F3" w:rsidP="00EF49F3">
            <w:pPr>
              <w:spacing w:after="0" w:line="240" w:lineRule="auto"/>
              <w:jc w:val="right"/>
              <w:rPr>
                <w:rFonts w:cs="Arial"/>
                <w:sz w:val="16"/>
                <w:szCs w:val="16"/>
              </w:rPr>
            </w:pPr>
            <w:r w:rsidRPr="00EF49F3">
              <w:rPr>
                <w:rFonts w:cs="Arial"/>
                <w:sz w:val="16"/>
                <w:szCs w:val="16"/>
              </w:rPr>
              <w:t>3,77</w:t>
            </w:r>
          </w:p>
        </w:tc>
        <w:tc>
          <w:tcPr>
            <w:tcW w:w="624" w:type="dxa"/>
            <w:tcBorders>
              <w:top w:val="nil"/>
              <w:left w:val="nil"/>
              <w:bottom w:val="nil"/>
              <w:right w:val="nil"/>
            </w:tcBorders>
            <w:shd w:val="clear" w:color="auto" w:fill="auto"/>
            <w:noWrap/>
            <w:vAlign w:val="center"/>
            <w:hideMark/>
          </w:tcPr>
          <w:p w14:paraId="2796FAB5" w14:textId="77777777" w:rsidR="00EF49F3" w:rsidRPr="00EF49F3" w:rsidRDefault="00EF49F3" w:rsidP="00EF49F3">
            <w:pPr>
              <w:spacing w:after="0" w:line="240" w:lineRule="auto"/>
              <w:jc w:val="right"/>
              <w:rPr>
                <w:rFonts w:cs="Arial"/>
                <w:sz w:val="16"/>
                <w:szCs w:val="16"/>
              </w:rPr>
            </w:pPr>
            <w:r w:rsidRPr="00EF49F3">
              <w:rPr>
                <w:rFonts w:cs="Arial"/>
                <w:sz w:val="16"/>
                <w:szCs w:val="16"/>
              </w:rPr>
              <w:t>4,34</w:t>
            </w:r>
          </w:p>
        </w:tc>
        <w:tc>
          <w:tcPr>
            <w:tcW w:w="624" w:type="dxa"/>
            <w:tcBorders>
              <w:top w:val="nil"/>
              <w:left w:val="nil"/>
              <w:bottom w:val="nil"/>
              <w:right w:val="nil"/>
            </w:tcBorders>
            <w:shd w:val="clear" w:color="auto" w:fill="auto"/>
            <w:noWrap/>
            <w:vAlign w:val="center"/>
            <w:hideMark/>
          </w:tcPr>
          <w:p w14:paraId="661CA920" w14:textId="77777777" w:rsidR="00EF49F3" w:rsidRPr="00EF49F3" w:rsidRDefault="00EF49F3" w:rsidP="00EF49F3">
            <w:pPr>
              <w:spacing w:after="0" w:line="240" w:lineRule="auto"/>
              <w:jc w:val="right"/>
              <w:rPr>
                <w:rFonts w:cs="Arial"/>
                <w:sz w:val="16"/>
                <w:szCs w:val="16"/>
              </w:rPr>
            </w:pPr>
            <w:r w:rsidRPr="00EF49F3">
              <w:rPr>
                <w:rFonts w:cs="Arial"/>
                <w:sz w:val="16"/>
                <w:szCs w:val="16"/>
              </w:rPr>
              <w:t>4,10</w:t>
            </w:r>
          </w:p>
        </w:tc>
        <w:tc>
          <w:tcPr>
            <w:tcW w:w="624" w:type="dxa"/>
            <w:tcBorders>
              <w:top w:val="nil"/>
              <w:left w:val="nil"/>
              <w:bottom w:val="nil"/>
              <w:right w:val="nil"/>
            </w:tcBorders>
            <w:shd w:val="clear" w:color="auto" w:fill="auto"/>
            <w:noWrap/>
            <w:vAlign w:val="center"/>
            <w:hideMark/>
          </w:tcPr>
          <w:p w14:paraId="74911361" w14:textId="77777777" w:rsidR="00EF49F3" w:rsidRPr="00EF49F3" w:rsidRDefault="00EF49F3" w:rsidP="00EF49F3">
            <w:pPr>
              <w:spacing w:after="0" w:line="240" w:lineRule="auto"/>
              <w:jc w:val="right"/>
              <w:rPr>
                <w:rFonts w:cs="Arial"/>
                <w:sz w:val="16"/>
                <w:szCs w:val="16"/>
              </w:rPr>
            </w:pPr>
            <w:r w:rsidRPr="00EF49F3">
              <w:rPr>
                <w:rFonts w:cs="Arial"/>
                <w:sz w:val="16"/>
                <w:szCs w:val="16"/>
              </w:rPr>
              <w:t>4,57</w:t>
            </w:r>
          </w:p>
        </w:tc>
        <w:tc>
          <w:tcPr>
            <w:tcW w:w="624" w:type="dxa"/>
            <w:tcBorders>
              <w:top w:val="nil"/>
              <w:left w:val="nil"/>
              <w:bottom w:val="nil"/>
              <w:right w:val="nil"/>
            </w:tcBorders>
            <w:shd w:val="clear" w:color="auto" w:fill="auto"/>
            <w:noWrap/>
            <w:vAlign w:val="center"/>
            <w:hideMark/>
          </w:tcPr>
          <w:p w14:paraId="7CA15982" w14:textId="77777777" w:rsidR="00EF49F3" w:rsidRPr="00EF49F3" w:rsidRDefault="00EF49F3" w:rsidP="00EF49F3">
            <w:pPr>
              <w:spacing w:after="0" w:line="240" w:lineRule="auto"/>
              <w:jc w:val="right"/>
              <w:rPr>
                <w:rFonts w:cs="Arial"/>
                <w:sz w:val="16"/>
                <w:szCs w:val="16"/>
              </w:rPr>
            </w:pPr>
            <w:r w:rsidRPr="00EF49F3">
              <w:rPr>
                <w:rFonts w:cs="Arial"/>
                <w:sz w:val="16"/>
                <w:szCs w:val="16"/>
              </w:rPr>
              <w:t>4,73</w:t>
            </w:r>
          </w:p>
        </w:tc>
        <w:tc>
          <w:tcPr>
            <w:tcW w:w="624" w:type="dxa"/>
            <w:tcBorders>
              <w:top w:val="nil"/>
              <w:left w:val="nil"/>
              <w:bottom w:val="nil"/>
              <w:right w:val="nil"/>
            </w:tcBorders>
            <w:shd w:val="clear" w:color="auto" w:fill="auto"/>
            <w:noWrap/>
            <w:vAlign w:val="center"/>
            <w:hideMark/>
          </w:tcPr>
          <w:p w14:paraId="54F3D85F" w14:textId="77777777" w:rsidR="00EF49F3" w:rsidRPr="00EF49F3" w:rsidRDefault="00EF49F3" w:rsidP="00EF49F3">
            <w:pPr>
              <w:spacing w:after="0" w:line="240" w:lineRule="auto"/>
              <w:jc w:val="right"/>
              <w:rPr>
                <w:rFonts w:cs="Arial"/>
                <w:sz w:val="16"/>
                <w:szCs w:val="16"/>
              </w:rPr>
            </w:pPr>
            <w:r w:rsidRPr="00EF49F3">
              <w:rPr>
                <w:rFonts w:cs="Arial"/>
                <w:sz w:val="16"/>
                <w:szCs w:val="16"/>
              </w:rPr>
              <w:t>4,91</w:t>
            </w:r>
          </w:p>
        </w:tc>
        <w:tc>
          <w:tcPr>
            <w:tcW w:w="624" w:type="dxa"/>
            <w:tcBorders>
              <w:top w:val="nil"/>
              <w:left w:val="nil"/>
              <w:bottom w:val="nil"/>
              <w:right w:val="nil"/>
            </w:tcBorders>
            <w:shd w:val="clear" w:color="000000" w:fill="FFFFFF"/>
            <w:noWrap/>
            <w:vAlign w:val="center"/>
            <w:hideMark/>
          </w:tcPr>
          <w:p w14:paraId="29C09000"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5,23</w:t>
            </w:r>
          </w:p>
        </w:tc>
        <w:tc>
          <w:tcPr>
            <w:tcW w:w="624" w:type="dxa"/>
            <w:tcBorders>
              <w:top w:val="nil"/>
              <w:left w:val="nil"/>
              <w:bottom w:val="nil"/>
              <w:right w:val="nil"/>
            </w:tcBorders>
            <w:shd w:val="clear" w:color="auto" w:fill="auto"/>
            <w:noWrap/>
            <w:vAlign w:val="center"/>
            <w:hideMark/>
          </w:tcPr>
          <w:p w14:paraId="5B612185"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5,26</w:t>
            </w:r>
          </w:p>
        </w:tc>
      </w:tr>
      <w:tr w:rsidR="00EF49F3" w:rsidRPr="00EF49F3" w14:paraId="00139B6D" w14:textId="77777777" w:rsidTr="00EF49F3">
        <w:trPr>
          <w:trHeight w:val="300"/>
        </w:trPr>
        <w:tc>
          <w:tcPr>
            <w:tcW w:w="2080" w:type="dxa"/>
            <w:tcBorders>
              <w:top w:val="nil"/>
              <w:left w:val="nil"/>
              <w:bottom w:val="nil"/>
              <w:right w:val="nil"/>
            </w:tcBorders>
            <w:shd w:val="clear" w:color="auto" w:fill="auto"/>
            <w:noWrap/>
            <w:vAlign w:val="center"/>
            <w:hideMark/>
          </w:tcPr>
          <w:p w14:paraId="6AE337D1"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Liberecký kraj</w:t>
            </w:r>
          </w:p>
        </w:tc>
        <w:tc>
          <w:tcPr>
            <w:tcW w:w="624" w:type="dxa"/>
            <w:tcBorders>
              <w:top w:val="nil"/>
              <w:left w:val="nil"/>
              <w:bottom w:val="nil"/>
              <w:right w:val="nil"/>
            </w:tcBorders>
            <w:shd w:val="clear" w:color="auto" w:fill="auto"/>
            <w:noWrap/>
            <w:vAlign w:val="center"/>
            <w:hideMark/>
          </w:tcPr>
          <w:p w14:paraId="29E13E4B" w14:textId="77777777" w:rsidR="00EF49F3" w:rsidRPr="00EF49F3" w:rsidRDefault="00EF49F3" w:rsidP="00EF49F3">
            <w:pPr>
              <w:spacing w:after="0" w:line="240" w:lineRule="auto"/>
              <w:jc w:val="right"/>
              <w:rPr>
                <w:rFonts w:cs="Arial"/>
                <w:sz w:val="16"/>
                <w:szCs w:val="16"/>
              </w:rPr>
            </w:pPr>
            <w:r w:rsidRPr="00EF49F3">
              <w:rPr>
                <w:rFonts w:cs="Arial"/>
                <w:sz w:val="16"/>
                <w:szCs w:val="16"/>
              </w:rPr>
              <w:t>5,71</w:t>
            </w:r>
          </w:p>
        </w:tc>
        <w:tc>
          <w:tcPr>
            <w:tcW w:w="624" w:type="dxa"/>
            <w:tcBorders>
              <w:top w:val="nil"/>
              <w:left w:val="nil"/>
              <w:bottom w:val="nil"/>
              <w:right w:val="nil"/>
            </w:tcBorders>
            <w:shd w:val="clear" w:color="auto" w:fill="auto"/>
            <w:noWrap/>
            <w:vAlign w:val="center"/>
            <w:hideMark/>
          </w:tcPr>
          <w:p w14:paraId="411F9658" w14:textId="77777777" w:rsidR="00EF49F3" w:rsidRPr="00EF49F3" w:rsidRDefault="00EF49F3" w:rsidP="00EF49F3">
            <w:pPr>
              <w:spacing w:after="0" w:line="240" w:lineRule="auto"/>
              <w:jc w:val="right"/>
              <w:rPr>
                <w:rFonts w:cs="Arial"/>
                <w:sz w:val="16"/>
                <w:szCs w:val="16"/>
              </w:rPr>
            </w:pPr>
            <w:r w:rsidRPr="00EF49F3">
              <w:rPr>
                <w:rFonts w:cs="Arial"/>
                <w:sz w:val="16"/>
                <w:szCs w:val="16"/>
              </w:rPr>
              <w:t>4,89</w:t>
            </w:r>
          </w:p>
        </w:tc>
        <w:tc>
          <w:tcPr>
            <w:tcW w:w="624" w:type="dxa"/>
            <w:tcBorders>
              <w:top w:val="nil"/>
              <w:left w:val="nil"/>
              <w:bottom w:val="nil"/>
              <w:right w:val="nil"/>
            </w:tcBorders>
            <w:shd w:val="clear" w:color="auto" w:fill="auto"/>
            <w:noWrap/>
            <w:vAlign w:val="center"/>
            <w:hideMark/>
          </w:tcPr>
          <w:p w14:paraId="73D7724D" w14:textId="77777777" w:rsidR="00EF49F3" w:rsidRPr="00EF49F3" w:rsidRDefault="00EF49F3" w:rsidP="00EF49F3">
            <w:pPr>
              <w:spacing w:after="0" w:line="240" w:lineRule="auto"/>
              <w:jc w:val="right"/>
              <w:rPr>
                <w:rFonts w:cs="Arial"/>
                <w:sz w:val="16"/>
                <w:szCs w:val="16"/>
              </w:rPr>
            </w:pPr>
            <w:r w:rsidRPr="00EF49F3">
              <w:rPr>
                <w:rFonts w:cs="Arial"/>
                <w:sz w:val="16"/>
                <w:szCs w:val="16"/>
              </w:rPr>
              <w:t>4,44</w:t>
            </w:r>
          </w:p>
        </w:tc>
        <w:tc>
          <w:tcPr>
            <w:tcW w:w="624" w:type="dxa"/>
            <w:tcBorders>
              <w:top w:val="nil"/>
              <w:left w:val="nil"/>
              <w:bottom w:val="nil"/>
              <w:right w:val="nil"/>
            </w:tcBorders>
            <w:shd w:val="clear" w:color="auto" w:fill="auto"/>
            <w:noWrap/>
            <w:vAlign w:val="center"/>
            <w:hideMark/>
          </w:tcPr>
          <w:p w14:paraId="2B48E6FD" w14:textId="77777777" w:rsidR="00EF49F3" w:rsidRPr="00EF49F3" w:rsidRDefault="00EF49F3" w:rsidP="00EF49F3">
            <w:pPr>
              <w:spacing w:after="0" w:line="240" w:lineRule="auto"/>
              <w:jc w:val="right"/>
              <w:rPr>
                <w:rFonts w:cs="Arial"/>
                <w:sz w:val="16"/>
                <w:szCs w:val="16"/>
              </w:rPr>
            </w:pPr>
            <w:r w:rsidRPr="00EF49F3">
              <w:rPr>
                <w:rFonts w:cs="Arial"/>
                <w:sz w:val="16"/>
                <w:szCs w:val="16"/>
              </w:rPr>
              <w:t>4,31</w:t>
            </w:r>
          </w:p>
        </w:tc>
        <w:tc>
          <w:tcPr>
            <w:tcW w:w="624" w:type="dxa"/>
            <w:tcBorders>
              <w:top w:val="nil"/>
              <w:left w:val="nil"/>
              <w:bottom w:val="nil"/>
              <w:right w:val="nil"/>
            </w:tcBorders>
            <w:shd w:val="clear" w:color="auto" w:fill="auto"/>
            <w:noWrap/>
            <w:vAlign w:val="center"/>
            <w:hideMark/>
          </w:tcPr>
          <w:p w14:paraId="26D24ADC" w14:textId="77777777" w:rsidR="00EF49F3" w:rsidRPr="00EF49F3" w:rsidRDefault="00EF49F3" w:rsidP="00EF49F3">
            <w:pPr>
              <w:spacing w:after="0" w:line="240" w:lineRule="auto"/>
              <w:jc w:val="right"/>
              <w:rPr>
                <w:rFonts w:cs="Arial"/>
                <w:sz w:val="16"/>
                <w:szCs w:val="16"/>
              </w:rPr>
            </w:pPr>
            <w:r w:rsidRPr="00EF49F3">
              <w:rPr>
                <w:rFonts w:cs="Arial"/>
                <w:sz w:val="16"/>
                <w:szCs w:val="16"/>
              </w:rPr>
              <w:t>4,04</w:t>
            </w:r>
          </w:p>
        </w:tc>
        <w:tc>
          <w:tcPr>
            <w:tcW w:w="624" w:type="dxa"/>
            <w:tcBorders>
              <w:top w:val="nil"/>
              <w:left w:val="nil"/>
              <w:bottom w:val="nil"/>
              <w:right w:val="nil"/>
            </w:tcBorders>
            <w:shd w:val="clear" w:color="auto" w:fill="auto"/>
            <w:noWrap/>
            <w:vAlign w:val="center"/>
            <w:hideMark/>
          </w:tcPr>
          <w:p w14:paraId="6C8E9051" w14:textId="77777777" w:rsidR="00EF49F3" w:rsidRPr="00EF49F3" w:rsidRDefault="00EF49F3" w:rsidP="00EF49F3">
            <w:pPr>
              <w:spacing w:after="0" w:line="240" w:lineRule="auto"/>
              <w:jc w:val="right"/>
              <w:rPr>
                <w:rFonts w:cs="Arial"/>
                <w:sz w:val="16"/>
                <w:szCs w:val="16"/>
              </w:rPr>
            </w:pPr>
            <w:r w:rsidRPr="00EF49F3">
              <w:rPr>
                <w:rFonts w:cs="Arial"/>
                <w:sz w:val="16"/>
                <w:szCs w:val="16"/>
              </w:rPr>
              <w:t>4,55</w:t>
            </w:r>
          </w:p>
        </w:tc>
        <w:tc>
          <w:tcPr>
            <w:tcW w:w="624" w:type="dxa"/>
            <w:tcBorders>
              <w:top w:val="nil"/>
              <w:left w:val="nil"/>
              <w:bottom w:val="nil"/>
              <w:right w:val="nil"/>
            </w:tcBorders>
            <w:shd w:val="clear" w:color="auto" w:fill="auto"/>
            <w:noWrap/>
            <w:vAlign w:val="center"/>
            <w:hideMark/>
          </w:tcPr>
          <w:p w14:paraId="34436EAF" w14:textId="77777777" w:rsidR="00EF49F3" w:rsidRPr="00EF49F3" w:rsidRDefault="00EF49F3" w:rsidP="00EF49F3">
            <w:pPr>
              <w:spacing w:after="0" w:line="240" w:lineRule="auto"/>
              <w:jc w:val="right"/>
              <w:rPr>
                <w:rFonts w:cs="Arial"/>
                <w:sz w:val="16"/>
                <w:szCs w:val="16"/>
              </w:rPr>
            </w:pPr>
            <w:r w:rsidRPr="00EF49F3">
              <w:rPr>
                <w:rFonts w:cs="Arial"/>
                <w:sz w:val="16"/>
                <w:szCs w:val="16"/>
              </w:rPr>
              <w:t>4,21</w:t>
            </w:r>
          </w:p>
        </w:tc>
        <w:tc>
          <w:tcPr>
            <w:tcW w:w="624" w:type="dxa"/>
            <w:tcBorders>
              <w:top w:val="nil"/>
              <w:left w:val="nil"/>
              <w:bottom w:val="nil"/>
              <w:right w:val="nil"/>
            </w:tcBorders>
            <w:shd w:val="clear" w:color="auto" w:fill="auto"/>
            <w:noWrap/>
            <w:vAlign w:val="center"/>
            <w:hideMark/>
          </w:tcPr>
          <w:p w14:paraId="19FA01C6" w14:textId="77777777" w:rsidR="00EF49F3" w:rsidRPr="00EF49F3" w:rsidRDefault="00EF49F3" w:rsidP="00EF49F3">
            <w:pPr>
              <w:spacing w:after="0" w:line="240" w:lineRule="auto"/>
              <w:jc w:val="right"/>
              <w:rPr>
                <w:rFonts w:cs="Arial"/>
                <w:sz w:val="16"/>
                <w:szCs w:val="16"/>
              </w:rPr>
            </w:pPr>
            <w:r w:rsidRPr="00EF49F3">
              <w:rPr>
                <w:rFonts w:cs="Arial"/>
                <w:sz w:val="16"/>
                <w:szCs w:val="16"/>
              </w:rPr>
              <w:t>4,64</w:t>
            </w:r>
          </w:p>
        </w:tc>
        <w:tc>
          <w:tcPr>
            <w:tcW w:w="624" w:type="dxa"/>
            <w:tcBorders>
              <w:top w:val="nil"/>
              <w:left w:val="nil"/>
              <w:bottom w:val="nil"/>
              <w:right w:val="nil"/>
            </w:tcBorders>
            <w:shd w:val="clear" w:color="auto" w:fill="auto"/>
            <w:noWrap/>
            <w:vAlign w:val="center"/>
            <w:hideMark/>
          </w:tcPr>
          <w:p w14:paraId="2722C65F" w14:textId="77777777" w:rsidR="00EF49F3" w:rsidRPr="00EF49F3" w:rsidRDefault="00EF49F3" w:rsidP="00EF49F3">
            <w:pPr>
              <w:spacing w:after="0" w:line="240" w:lineRule="auto"/>
              <w:jc w:val="right"/>
              <w:rPr>
                <w:rFonts w:cs="Arial"/>
                <w:sz w:val="16"/>
                <w:szCs w:val="16"/>
              </w:rPr>
            </w:pPr>
            <w:r w:rsidRPr="00EF49F3">
              <w:rPr>
                <w:rFonts w:cs="Arial"/>
                <w:sz w:val="16"/>
                <w:szCs w:val="16"/>
              </w:rPr>
              <w:t>4,89</w:t>
            </w:r>
          </w:p>
        </w:tc>
        <w:tc>
          <w:tcPr>
            <w:tcW w:w="624" w:type="dxa"/>
            <w:tcBorders>
              <w:top w:val="nil"/>
              <w:left w:val="nil"/>
              <w:bottom w:val="nil"/>
              <w:right w:val="nil"/>
            </w:tcBorders>
            <w:shd w:val="clear" w:color="auto" w:fill="auto"/>
            <w:noWrap/>
            <w:vAlign w:val="center"/>
            <w:hideMark/>
          </w:tcPr>
          <w:p w14:paraId="7C210240" w14:textId="77777777" w:rsidR="00EF49F3" w:rsidRPr="00EF49F3" w:rsidRDefault="00EF49F3" w:rsidP="00EF49F3">
            <w:pPr>
              <w:spacing w:after="0" w:line="240" w:lineRule="auto"/>
              <w:jc w:val="right"/>
              <w:rPr>
                <w:rFonts w:cs="Arial"/>
                <w:sz w:val="16"/>
                <w:szCs w:val="16"/>
              </w:rPr>
            </w:pPr>
            <w:r w:rsidRPr="00EF49F3">
              <w:rPr>
                <w:rFonts w:cs="Arial"/>
                <w:sz w:val="16"/>
                <w:szCs w:val="16"/>
              </w:rPr>
              <w:t>5,06</w:t>
            </w:r>
          </w:p>
        </w:tc>
        <w:tc>
          <w:tcPr>
            <w:tcW w:w="624" w:type="dxa"/>
            <w:tcBorders>
              <w:top w:val="nil"/>
              <w:left w:val="nil"/>
              <w:bottom w:val="nil"/>
              <w:right w:val="nil"/>
            </w:tcBorders>
            <w:shd w:val="clear" w:color="000000" w:fill="FFFFFF"/>
            <w:noWrap/>
            <w:vAlign w:val="center"/>
            <w:hideMark/>
          </w:tcPr>
          <w:p w14:paraId="196045FE"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5,27</w:t>
            </w:r>
          </w:p>
        </w:tc>
        <w:tc>
          <w:tcPr>
            <w:tcW w:w="624" w:type="dxa"/>
            <w:tcBorders>
              <w:top w:val="nil"/>
              <w:left w:val="nil"/>
              <w:bottom w:val="nil"/>
              <w:right w:val="nil"/>
            </w:tcBorders>
            <w:shd w:val="clear" w:color="auto" w:fill="auto"/>
            <w:noWrap/>
            <w:vAlign w:val="center"/>
            <w:hideMark/>
          </w:tcPr>
          <w:p w14:paraId="1D69D4C0"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5,36</w:t>
            </w:r>
          </w:p>
        </w:tc>
      </w:tr>
      <w:tr w:rsidR="00EF49F3" w:rsidRPr="00EF49F3" w14:paraId="06747B57" w14:textId="77777777" w:rsidTr="00EF49F3">
        <w:trPr>
          <w:trHeight w:val="300"/>
        </w:trPr>
        <w:tc>
          <w:tcPr>
            <w:tcW w:w="2080" w:type="dxa"/>
            <w:tcBorders>
              <w:top w:val="nil"/>
              <w:left w:val="nil"/>
              <w:bottom w:val="nil"/>
              <w:right w:val="nil"/>
            </w:tcBorders>
            <w:shd w:val="clear" w:color="auto" w:fill="auto"/>
            <w:noWrap/>
            <w:vAlign w:val="center"/>
            <w:hideMark/>
          </w:tcPr>
          <w:p w14:paraId="0B3E57A1"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Královéhradecký kraj</w:t>
            </w:r>
          </w:p>
        </w:tc>
        <w:tc>
          <w:tcPr>
            <w:tcW w:w="624" w:type="dxa"/>
            <w:tcBorders>
              <w:top w:val="nil"/>
              <w:left w:val="nil"/>
              <w:bottom w:val="nil"/>
              <w:right w:val="nil"/>
            </w:tcBorders>
            <w:shd w:val="clear" w:color="auto" w:fill="auto"/>
            <w:noWrap/>
            <w:vAlign w:val="center"/>
            <w:hideMark/>
          </w:tcPr>
          <w:p w14:paraId="71B46359" w14:textId="77777777" w:rsidR="00EF49F3" w:rsidRPr="00EF49F3" w:rsidRDefault="00EF49F3" w:rsidP="00EF49F3">
            <w:pPr>
              <w:spacing w:after="0" w:line="240" w:lineRule="auto"/>
              <w:jc w:val="right"/>
              <w:rPr>
                <w:rFonts w:cs="Arial"/>
                <w:sz w:val="16"/>
                <w:szCs w:val="16"/>
              </w:rPr>
            </w:pPr>
            <w:r w:rsidRPr="00EF49F3">
              <w:rPr>
                <w:rFonts w:cs="Arial"/>
                <w:sz w:val="16"/>
                <w:szCs w:val="16"/>
              </w:rPr>
              <w:t>5,24</w:t>
            </w:r>
          </w:p>
        </w:tc>
        <w:tc>
          <w:tcPr>
            <w:tcW w:w="624" w:type="dxa"/>
            <w:tcBorders>
              <w:top w:val="nil"/>
              <w:left w:val="nil"/>
              <w:bottom w:val="nil"/>
              <w:right w:val="nil"/>
            </w:tcBorders>
            <w:shd w:val="clear" w:color="auto" w:fill="auto"/>
            <w:noWrap/>
            <w:vAlign w:val="center"/>
            <w:hideMark/>
          </w:tcPr>
          <w:p w14:paraId="30544D1B" w14:textId="77777777" w:rsidR="00EF49F3" w:rsidRPr="00EF49F3" w:rsidRDefault="00EF49F3" w:rsidP="00EF49F3">
            <w:pPr>
              <w:spacing w:after="0" w:line="240" w:lineRule="auto"/>
              <w:jc w:val="right"/>
              <w:rPr>
                <w:rFonts w:cs="Arial"/>
                <w:sz w:val="16"/>
                <w:szCs w:val="16"/>
              </w:rPr>
            </w:pPr>
            <w:r w:rsidRPr="00EF49F3">
              <w:rPr>
                <w:rFonts w:cs="Arial"/>
                <w:sz w:val="16"/>
                <w:szCs w:val="16"/>
              </w:rPr>
              <w:t>4,30</w:t>
            </w:r>
          </w:p>
        </w:tc>
        <w:tc>
          <w:tcPr>
            <w:tcW w:w="624" w:type="dxa"/>
            <w:tcBorders>
              <w:top w:val="nil"/>
              <w:left w:val="nil"/>
              <w:bottom w:val="nil"/>
              <w:right w:val="nil"/>
            </w:tcBorders>
            <w:shd w:val="clear" w:color="auto" w:fill="auto"/>
            <w:noWrap/>
            <w:vAlign w:val="center"/>
            <w:hideMark/>
          </w:tcPr>
          <w:p w14:paraId="2D1ECB51" w14:textId="77777777" w:rsidR="00EF49F3" w:rsidRPr="00EF49F3" w:rsidRDefault="00EF49F3" w:rsidP="00EF49F3">
            <w:pPr>
              <w:spacing w:after="0" w:line="240" w:lineRule="auto"/>
              <w:jc w:val="right"/>
              <w:rPr>
                <w:rFonts w:cs="Arial"/>
                <w:sz w:val="16"/>
                <w:szCs w:val="16"/>
              </w:rPr>
            </w:pPr>
            <w:r w:rsidRPr="00EF49F3">
              <w:rPr>
                <w:rFonts w:cs="Arial"/>
                <w:sz w:val="16"/>
                <w:szCs w:val="16"/>
              </w:rPr>
              <w:t>4,10</w:t>
            </w:r>
          </w:p>
        </w:tc>
        <w:tc>
          <w:tcPr>
            <w:tcW w:w="624" w:type="dxa"/>
            <w:tcBorders>
              <w:top w:val="nil"/>
              <w:left w:val="nil"/>
              <w:bottom w:val="nil"/>
              <w:right w:val="nil"/>
            </w:tcBorders>
            <w:shd w:val="clear" w:color="auto" w:fill="auto"/>
            <w:noWrap/>
            <w:vAlign w:val="center"/>
            <w:hideMark/>
          </w:tcPr>
          <w:p w14:paraId="116AB959" w14:textId="77777777" w:rsidR="00EF49F3" w:rsidRPr="00EF49F3" w:rsidRDefault="00EF49F3" w:rsidP="00EF49F3">
            <w:pPr>
              <w:spacing w:after="0" w:line="240" w:lineRule="auto"/>
              <w:jc w:val="right"/>
              <w:rPr>
                <w:rFonts w:cs="Arial"/>
                <w:sz w:val="16"/>
                <w:szCs w:val="16"/>
              </w:rPr>
            </w:pPr>
            <w:r w:rsidRPr="00EF49F3">
              <w:rPr>
                <w:rFonts w:cs="Arial"/>
                <w:sz w:val="16"/>
                <w:szCs w:val="16"/>
              </w:rPr>
              <w:t>3,99</w:t>
            </w:r>
          </w:p>
        </w:tc>
        <w:tc>
          <w:tcPr>
            <w:tcW w:w="624" w:type="dxa"/>
            <w:tcBorders>
              <w:top w:val="nil"/>
              <w:left w:val="nil"/>
              <w:bottom w:val="nil"/>
              <w:right w:val="nil"/>
            </w:tcBorders>
            <w:shd w:val="clear" w:color="auto" w:fill="auto"/>
            <w:noWrap/>
            <w:vAlign w:val="center"/>
            <w:hideMark/>
          </w:tcPr>
          <w:p w14:paraId="4655336B" w14:textId="77777777" w:rsidR="00EF49F3" w:rsidRPr="00EF49F3" w:rsidRDefault="00EF49F3" w:rsidP="00EF49F3">
            <w:pPr>
              <w:spacing w:after="0" w:line="240" w:lineRule="auto"/>
              <w:jc w:val="right"/>
              <w:rPr>
                <w:rFonts w:cs="Arial"/>
                <w:sz w:val="16"/>
                <w:szCs w:val="16"/>
              </w:rPr>
            </w:pPr>
            <w:r w:rsidRPr="00EF49F3">
              <w:rPr>
                <w:rFonts w:cs="Arial"/>
                <w:sz w:val="16"/>
                <w:szCs w:val="16"/>
              </w:rPr>
              <w:t>3,64</w:t>
            </w:r>
          </w:p>
        </w:tc>
        <w:tc>
          <w:tcPr>
            <w:tcW w:w="624" w:type="dxa"/>
            <w:tcBorders>
              <w:top w:val="nil"/>
              <w:left w:val="nil"/>
              <w:bottom w:val="nil"/>
              <w:right w:val="nil"/>
            </w:tcBorders>
            <w:shd w:val="clear" w:color="auto" w:fill="auto"/>
            <w:noWrap/>
            <w:vAlign w:val="center"/>
            <w:hideMark/>
          </w:tcPr>
          <w:p w14:paraId="4DA27087" w14:textId="77777777" w:rsidR="00EF49F3" w:rsidRPr="00EF49F3" w:rsidRDefault="00EF49F3" w:rsidP="00EF49F3">
            <w:pPr>
              <w:spacing w:after="0" w:line="240" w:lineRule="auto"/>
              <w:jc w:val="right"/>
              <w:rPr>
                <w:rFonts w:cs="Arial"/>
                <w:sz w:val="16"/>
                <w:szCs w:val="16"/>
              </w:rPr>
            </w:pPr>
            <w:r w:rsidRPr="00EF49F3">
              <w:rPr>
                <w:rFonts w:cs="Arial"/>
                <w:sz w:val="16"/>
                <w:szCs w:val="16"/>
              </w:rPr>
              <w:t>4,00</w:t>
            </w:r>
          </w:p>
        </w:tc>
        <w:tc>
          <w:tcPr>
            <w:tcW w:w="624" w:type="dxa"/>
            <w:tcBorders>
              <w:top w:val="nil"/>
              <w:left w:val="nil"/>
              <w:bottom w:val="nil"/>
              <w:right w:val="nil"/>
            </w:tcBorders>
            <w:shd w:val="clear" w:color="auto" w:fill="auto"/>
            <w:noWrap/>
            <w:vAlign w:val="center"/>
            <w:hideMark/>
          </w:tcPr>
          <w:p w14:paraId="6BC3D105" w14:textId="77777777" w:rsidR="00EF49F3" w:rsidRPr="00EF49F3" w:rsidRDefault="00EF49F3" w:rsidP="00EF49F3">
            <w:pPr>
              <w:spacing w:after="0" w:line="240" w:lineRule="auto"/>
              <w:jc w:val="right"/>
              <w:rPr>
                <w:rFonts w:cs="Arial"/>
                <w:sz w:val="16"/>
                <w:szCs w:val="16"/>
              </w:rPr>
            </w:pPr>
            <w:r w:rsidRPr="00EF49F3">
              <w:rPr>
                <w:rFonts w:cs="Arial"/>
                <w:sz w:val="16"/>
                <w:szCs w:val="16"/>
              </w:rPr>
              <w:t>3,80</w:t>
            </w:r>
          </w:p>
        </w:tc>
        <w:tc>
          <w:tcPr>
            <w:tcW w:w="624" w:type="dxa"/>
            <w:tcBorders>
              <w:top w:val="nil"/>
              <w:left w:val="nil"/>
              <w:bottom w:val="nil"/>
              <w:right w:val="nil"/>
            </w:tcBorders>
            <w:shd w:val="clear" w:color="auto" w:fill="auto"/>
            <w:noWrap/>
            <w:vAlign w:val="center"/>
            <w:hideMark/>
          </w:tcPr>
          <w:p w14:paraId="52368ED2" w14:textId="77777777" w:rsidR="00EF49F3" w:rsidRPr="00EF49F3" w:rsidRDefault="00EF49F3" w:rsidP="00EF49F3">
            <w:pPr>
              <w:spacing w:after="0" w:line="240" w:lineRule="auto"/>
              <w:jc w:val="right"/>
              <w:rPr>
                <w:rFonts w:cs="Arial"/>
                <w:sz w:val="16"/>
                <w:szCs w:val="16"/>
              </w:rPr>
            </w:pPr>
            <w:r w:rsidRPr="00EF49F3">
              <w:rPr>
                <w:rFonts w:cs="Arial"/>
                <w:sz w:val="16"/>
                <w:szCs w:val="16"/>
              </w:rPr>
              <w:t>4,28</w:t>
            </w:r>
          </w:p>
        </w:tc>
        <w:tc>
          <w:tcPr>
            <w:tcW w:w="624" w:type="dxa"/>
            <w:tcBorders>
              <w:top w:val="nil"/>
              <w:left w:val="nil"/>
              <w:bottom w:val="nil"/>
              <w:right w:val="nil"/>
            </w:tcBorders>
            <w:shd w:val="clear" w:color="auto" w:fill="auto"/>
            <w:noWrap/>
            <w:vAlign w:val="center"/>
            <w:hideMark/>
          </w:tcPr>
          <w:p w14:paraId="1211FE9C" w14:textId="77777777" w:rsidR="00EF49F3" w:rsidRPr="00EF49F3" w:rsidRDefault="00EF49F3" w:rsidP="00EF49F3">
            <w:pPr>
              <w:spacing w:after="0" w:line="240" w:lineRule="auto"/>
              <w:jc w:val="right"/>
              <w:rPr>
                <w:rFonts w:cs="Arial"/>
                <w:sz w:val="16"/>
                <w:szCs w:val="16"/>
              </w:rPr>
            </w:pPr>
            <w:r w:rsidRPr="00EF49F3">
              <w:rPr>
                <w:rFonts w:cs="Arial"/>
                <w:sz w:val="16"/>
                <w:szCs w:val="16"/>
              </w:rPr>
              <w:t>4,54</w:t>
            </w:r>
          </w:p>
        </w:tc>
        <w:tc>
          <w:tcPr>
            <w:tcW w:w="624" w:type="dxa"/>
            <w:tcBorders>
              <w:top w:val="nil"/>
              <w:left w:val="nil"/>
              <w:bottom w:val="nil"/>
              <w:right w:val="nil"/>
            </w:tcBorders>
            <w:shd w:val="clear" w:color="auto" w:fill="auto"/>
            <w:noWrap/>
            <w:vAlign w:val="center"/>
            <w:hideMark/>
          </w:tcPr>
          <w:p w14:paraId="576164DC" w14:textId="77777777" w:rsidR="00EF49F3" w:rsidRPr="00EF49F3" w:rsidRDefault="00EF49F3" w:rsidP="00EF49F3">
            <w:pPr>
              <w:spacing w:after="0" w:line="240" w:lineRule="auto"/>
              <w:jc w:val="right"/>
              <w:rPr>
                <w:rFonts w:cs="Arial"/>
                <w:sz w:val="16"/>
                <w:szCs w:val="16"/>
              </w:rPr>
            </w:pPr>
            <w:r w:rsidRPr="00EF49F3">
              <w:rPr>
                <w:rFonts w:cs="Arial"/>
                <w:sz w:val="16"/>
                <w:szCs w:val="16"/>
              </w:rPr>
              <w:t>4,74</w:t>
            </w:r>
          </w:p>
        </w:tc>
        <w:tc>
          <w:tcPr>
            <w:tcW w:w="624" w:type="dxa"/>
            <w:tcBorders>
              <w:top w:val="nil"/>
              <w:left w:val="nil"/>
              <w:bottom w:val="nil"/>
              <w:right w:val="nil"/>
            </w:tcBorders>
            <w:shd w:val="clear" w:color="000000" w:fill="FFFFFF"/>
            <w:noWrap/>
            <w:vAlign w:val="center"/>
            <w:hideMark/>
          </w:tcPr>
          <w:p w14:paraId="4E6742FB"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4,98</w:t>
            </w:r>
          </w:p>
        </w:tc>
        <w:tc>
          <w:tcPr>
            <w:tcW w:w="624" w:type="dxa"/>
            <w:tcBorders>
              <w:top w:val="nil"/>
              <w:left w:val="nil"/>
              <w:bottom w:val="nil"/>
              <w:right w:val="nil"/>
            </w:tcBorders>
            <w:shd w:val="clear" w:color="auto" w:fill="auto"/>
            <w:noWrap/>
            <w:vAlign w:val="center"/>
            <w:hideMark/>
          </w:tcPr>
          <w:p w14:paraId="6A818913"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5,05</w:t>
            </w:r>
          </w:p>
        </w:tc>
      </w:tr>
      <w:tr w:rsidR="00EF49F3" w:rsidRPr="00EF49F3" w14:paraId="59A2EB43" w14:textId="77777777" w:rsidTr="00EF49F3">
        <w:trPr>
          <w:trHeight w:val="300"/>
        </w:trPr>
        <w:tc>
          <w:tcPr>
            <w:tcW w:w="2080" w:type="dxa"/>
            <w:tcBorders>
              <w:top w:val="nil"/>
              <w:left w:val="nil"/>
              <w:bottom w:val="nil"/>
              <w:right w:val="nil"/>
            </w:tcBorders>
            <w:shd w:val="clear" w:color="auto" w:fill="auto"/>
            <w:noWrap/>
            <w:vAlign w:val="center"/>
            <w:hideMark/>
          </w:tcPr>
          <w:p w14:paraId="3DAC7F7D"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Pardubický kraj</w:t>
            </w:r>
          </w:p>
        </w:tc>
        <w:tc>
          <w:tcPr>
            <w:tcW w:w="624" w:type="dxa"/>
            <w:tcBorders>
              <w:top w:val="nil"/>
              <w:left w:val="nil"/>
              <w:bottom w:val="nil"/>
              <w:right w:val="nil"/>
            </w:tcBorders>
            <w:shd w:val="clear" w:color="auto" w:fill="auto"/>
            <w:noWrap/>
            <w:vAlign w:val="center"/>
            <w:hideMark/>
          </w:tcPr>
          <w:p w14:paraId="1DA3B1CF" w14:textId="77777777" w:rsidR="00EF49F3" w:rsidRPr="00EF49F3" w:rsidRDefault="00EF49F3" w:rsidP="00EF49F3">
            <w:pPr>
              <w:spacing w:after="0" w:line="240" w:lineRule="auto"/>
              <w:jc w:val="right"/>
              <w:rPr>
                <w:rFonts w:cs="Arial"/>
                <w:sz w:val="16"/>
                <w:szCs w:val="16"/>
              </w:rPr>
            </w:pPr>
            <w:r w:rsidRPr="00EF49F3">
              <w:rPr>
                <w:rFonts w:cs="Arial"/>
                <w:sz w:val="16"/>
                <w:szCs w:val="16"/>
              </w:rPr>
              <w:t>5,34</w:t>
            </w:r>
          </w:p>
        </w:tc>
        <w:tc>
          <w:tcPr>
            <w:tcW w:w="624" w:type="dxa"/>
            <w:tcBorders>
              <w:top w:val="nil"/>
              <w:left w:val="nil"/>
              <w:bottom w:val="nil"/>
              <w:right w:val="nil"/>
            </w:tcBorders>
            <w:shd w:val="clear" w:color="auto" w:fill="auto"/>
            <w:noWrap/>
            <w:vAlign w:val="center"/>
            <w:hideMark/>
          </w:tcPr>
          <w:p w14:paraId="2BE90C0C" w14:textId="77777777" w:rsidR="00EF49F3" w:rsidRPr="00EF49F3" w:rsidRDefault="00EF49F3" w:rsidP="00EF49F3">
            <w:pPr>
              <w:spacing w:after="0" w:line="240" w:lineRule="auto"/>
              <w:jc w:val="right"/>
              <w:rPr>
                <w:rFonts w:cs="Arial"/>
                <w:sz w:val="16"/>
                <w:szCs w:val="16"/>
              </w:rPr>
            </w:pPr>
            <w:r w:rsidRPr="00EF49F3">
              <w:rPr>
                <w:rFonts w:cs="Arial"/>
                <w:sz w:val="16"/>
                <w:szCs w:val="16"/>
              </w:rPr>
              <w:t>4,57</w:t>
            </w:r>
          </w:p>
        </w:tc>
        <w:tc>
          <w:tcPr>
            <w:tcW w:w="624" w:type="dxa"/>
            <w:tcBorders>
              <w:top w:val="nil"/>
              <w:left w:val="nil"/>
              <w:bottom w:val="nil"/>
              <w:right w:val="nil"/>
            </w:tcBorders>
            <w:shd w:val="clear" w:color="auto" w:fill="auto"/>
            <w:noWrap/>
            <w:vAlign w:val="center"/>
            <w:hideMark/>
          </w:tcPr>
          <w:p w14:paraId="267FE487" w14:textId="77777777" w:rsidR="00EF49F3" w:rsidRPr="00EF49F3" w:rsidRDefault="00EF49F3" w:rsidP="00EF49F3">
            <w:pPr>
              <w:spacing w:after="0" w:line="240" w:lineRule="auto"/>
              <w:jc w:val="right"/>
              <w:rPr>
                <w:rFonts w:cs="Arial"/>
                <w:sz w:val="16"/>
                <w:szCs w:val="16"/>
              </w:rPr>
            </w:pPr>
            <w:r w:rsidRPr="00EF49F3">
              <w:rPr>
                <w:rFonts w:cs="Arial"/>
                <w:sz w:val="16"/>
                <w:szCs w:val="16"/>
              </w:rPr>
              <w:t>4,09</w:t>
            </w:r>
          </w:p>
        </w:tc>
        <w:tc>
          <w:tcPr>
            <w:tcW w:w="624" w:type="dxa"/>
            <w:tcBorders>
              <w:top w:val="nil"/>
              <w:left w:val="nil"/>
              <w:bottom w:val="nil"/>
              <w:right w:val="nil"/>
            </w:tcBorders>
            <w:shd w:val="clear" w:color="auto" w:fill="auto"/>
            <w:noWrap/>
            <w:vAlign w:val="center"/>
            <w:hideMark/>
          </w:tcPr>
          <w:p w14:paraId="136EE36A" w14:textId="77777777" w:rsidR="00EF49F3" w:rsidRPr="00EF49F3" w:rsidRDefault="00EF49F3" w:rsidP="00EF49F3">
            <w:pPr>
              <w:spacing w:after="0" w:line="240" w:lineRule="auto"/>
              <w:jc w:val="right"/>
              <w:rPr>
                <w:rFonts w:cs="Arial"/>
                <w:sz w:val="16"/>
                <w:szCs w:val="16"/>
              </w:rPr>
            </w:pPr>
            <w:r w:rsidRPr="00EF49F3">
              <w:rPr>
                <w:rFonts w:cs="Arial"/>
                <w:sz w:val="16"/>
                <w:szCs w:val="16"/>
              </w:rPr>
              <w:t>4,05</w:t>
            </w:r>
          </w:p>
        </w:tc>
        <w:tc>
          <w:tcPr>
            <w:tcW w:w="624" w:type="dxa"/>
            <w:tcBorders>
              <w:top w:val="nil"/>
              <w:left w:val="nil"/>
              <w:bottom w:val="nil"/>
              <w:right w:val="nil"/>
            </w:tcBorders>
            <w:shd w:val="clear" w:color="auto" w:fill="auto"/>
            <w:noWrap/>
            <w:vAlign w:val="center"/>
            <w:hideMark/>
          </w:tcPr>
          <w:p w14:paraId="20172137" w14:textId="77777777" w:rsidR="00EF49F3" w:rsidRPr="00EF49F3" w:rsidRDefault="00EF49F3" w:rsidP="00EF49F3">
            <w:pPr>
              <w:spacing w:after="0" w:line="240" w:lineRule="auto"/>
              <w:jc w:val="right"/>
              <w:rPr>
                <w:rFonts w:cs="Arial"/>
                <w:sz w:val="16"/>
                <w:szCs w:val="16"/>
              </w:rPr>
            </w:pPr>
            <w:r w:rsidRPr="00EF49F3">
              <w:rPr>
                <w:rFonts w:cs="Arial"/>
                <w:sz w:val="16"/>
                <w:szCs w:val="16"/>
              </w:rPr>
              <w:t>3,66</w:t>
            </w:r>
          </w:p>
        </w:tc>
        <w:tc>
          <w:tcPr>
            <w:tcW w:w="624" w:type="dxa"/>
            <w:tcBorders>
              <w:top w:val="nil"/>
              <w:left w:val="nil"/>
              <w:bottom w:val="nil"/>
              <w:right w:val="nil"/>
            </w:tcBorders>
            <w:shd w:val="clear" w:color="auto" w:fill="auto"/>
            <w:noWrap/>
            <w:vAlign w:val="center"/>
            <w:hideMark/>
          </w:tcPr>
          <w:p w14:paraId="32620E4D" w14:textId="77777777" w:rsidR="00EF49F3" w:rsidRPr="00EF49F3" w:rsidRDefault="00EF49F3" w:rsidP="00EF49F3">
            <w:pPr>
              <w:spacing w:after="0" w:line="240" w:lineRule="auto"/>
              <w:jc w:val="right"/>
              <w:rPr>
                <w:rFonts w:cs="Arial"/>
                <w:sz w:val="16"/>
                <w:szCs w:val="16"/>
              </w:rPr>
            </w:pPr>
            <w:r w:rsidRPr="00EF49F3">
              <w:rPr>
                <w:rFonts w:cs="Arial"/>
                <w:sz w:val="16"/>
                <w:szCs w:val="16"/>
              </w:rPr>
              <w:t>4,06</w:t>
            </w:r>
          </w:p>
        </w:tc>
        <w:tc>
          <w:tcPr>
            <w:tcW w:w="624" w:type="dxa"/>
            <w:tcBorders>
              <w:top w:val="nil"/>
              <w:left w:val="nil"/>
              <w:bottom w:val="nil"/>
              <w:right w:val="nil"/>
            </w:tcBorders>
            <w:shd w:val="clear" w:color="auto" w:fill="auto"/>
            <w:noWrap/>
            <w:vAlign w:val="center"/>
            <w:hideMark/>
          </w:tcPr>
          <w:p w14:paraId="76CB7936" w14:textId="77777777" w:rsidR="00EF49F3" w:rsidRPr="00EF49F3" w:rsidRDefault="00EF49F3" w:rsidP="00EF49F3">
            <w:pPr>
              <w:spacing w:after="0" w:line="240" w:lineRule="auto"/>
              <w:jc w:val="right"/>
              <w:rPr>
                <w:rFonts w:cs="Arial"/>
                <w:sz w:val="16"/>
                <w:szCs w:val="16"/>
              </w:rPr>
            </w:pPr>
            <w:r w:rsidRPr="00EF49F3">
              <w:rPr>
                <w:rFonts w:cs="Arial"/>
                <w:sz w:val="16"/>
                <w:szCs w:val="16"/>
              </w:rPr>
              <w:t>3,97</w:t>
            </w:r>
          </w:p>
        </w:tc>
        <w:tc>
          <w:tcPr>
            <w:tcW w:w="624" w:type="dxa"/>
            <w:tcBorders>
              <w:top w:val="nil"/>
              <w:left w:val="nil"/>
              <w:bottom w:val="nil"/>
              <w:right w:val="nil"/>
            </w:tcBorders>
            <w:shd w:val="clear" w:color="auto" w:fill="auto"/>
            <w:noWrap/>
            <w:vAlign w:val="center"/>
            <w:hideMark/>
          </w:tcPr>
          <w:p w14:paraId="76F5F344" w14:textId="77777777" w:rsidR="00EF49F3" w:rsidRPr="00EF49F3" w:rsidRDefault="00EF49F3" w:rsidP="00EF49F3">
            <w:pPr>
              <w:spacing w:after="0" w:line="240" w:lineRule="auto"/>
              <w:jc w:val="right"/>
              <w:rPr>
                <w:rFonts w:cs="Arial"/>
                <w:sz w:val="16"/>
                <w:szCs w:val="16"/>
              </w:rPr>
            </w:pPr>
            <w:r w:rsidRPr="00EF49F3">
              <w:rPr>
                <w:rFonts w:cs="Arial"/>
                <w:sz w:val="16"/>
                <w:szCs w:val="16"/>
              </w:rPr>
              <w:t>4,52</w:t>
            </w:r>
          </w:p>
        </w:tc>
        <w:tc>
          <w:tcPr>
            <w:tcW w:w="624" w:type="dxa"/>
            <w:tcBorders>
              <w:top w:val="nil"/>
              <w:left w:val="nil"/>
              <w:bottom w:val="nil"/>
              <w:right w:val="nil"/>
            </w:tcBorders>
            <w:shd w:val="clear" w:color="auto" w:fill="auto"/>
            <w:noWrap/>
            <w:vAlign w:val="center"/>
            <w:hideMark/>
          </w:tcPr>
          <w:p w14:paraId="54827236" w14:textId="77777777" w:rsidR="00EF49F3" w:rsidRPr="00EF49F3" w:rsidRDefault="00EF49F3" w:rsidP="00EF49F3">
            <w:pPr>
              <w:spacing w:after="0" w:line="240" w:lineRule="auto"/>
              <w:jc w:val="right"/>
              <w:rPr>
                <w:rFonts w:cs="Arial"/>
                <w:sz w:val="16"/>
                <w:szCs w:val="16"/>
              </w:rPr>
            </w:pPr>
            <w:r w:rsidRPr="00EF49F3">
              <w:rPr>
                <w:rFonts w:cs="Arial"/>
                <w:sz w:val="16"/>
                <w:szCs w:val="16"/>
              </w:rPr>
              <w:t>4,68</w:t>
            </w:r>
          </w:p>
        </w:tc>
        <w:tc>
          <w:tcPr>
            <w:tcW w:w="624" w:type="dxa"/>
            <w:tcBorders>
              <w:top w:val="nil"/>
              <w:left w:val="nil"/>
              <w:bottom w:val="nil"/>
              <w:right w:val="nil"/>
            </w:tcBorders>
            <w:shd w:val="clear" w:color="auto" w:fill="auto"/>
            <w:noWrap/>
            <w:vAlign w:val="center"/>
            <w:hideMark/>
          </w:tcPr>
          <w:p w14:paraId="2B645ADC" w14:textId="77777777" w:rsidR="00EF49F3" w:rsidRPr="00EF49F3" w:rsidRDefault="00EF49F3" w:rsidP="00EF49F3">
            <w:pPr>
              <w:spacing w:after="0" w:line="240" w:lineRule="auto"/>
              <w:jc w:val="right"/>
              <w:rPr>
                <w:rFonts w:cs="Arial"/>
                <w:sz w:val="16"/>
                <w:szCs w:val="16"/>
              </w:rPr>
            </w:pPr>
            <w:r w:rsidRPr="00EF49F3">
              <w:rPr>
                <w:rFonts w:cs="Arial"/>
                <w:sz w:val="16"/>
                <w:szCs w:val="16"/>
              </w:rPr>
              <w:t>4,92</w:t>
            </w:r>
          </w:p>
        </w:tc>
        <w:tc>
          <w:tcPr>
            <w:tcW w:w="624" w:type="dxa"/>
            <w:tcBorders>
              <w:top w:val="nil"/>
              <w:left w:val="nil"/>
              <w:bottom w:val="nil"/>
              <w:right w:val="nil"/>
            </w:tcBorders>
            <w:shd w:val="clear" w:color="000000" w:fill="FFFFFF"/>
            <w:noWrap/>
            <w:vAlign w:val="center"/>
            <w:hideMark/>
          </w:tcPr>
          <w:p w14:paraId="43FE6A36"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5,08</w:t>
            </w:r>
          </w:p>
        </w:tc>
        <w:tc>
          <w:tcPr>
            <w:tcW w:w="624" w:type="dxa"/>
            <w:tcBorders>
              <w:top w:val="nil"/>
              <w:left w:val="nil"/>
              <w:bottom w:val="nil"/>
              <w:right w:val="nil"/>
            </w:tcBorders>
            <w:shd w:val="clear" w:color="auto" w:fill="auto"/>
            <w:noWrap/>
            <w:vAlign w:val="center"/>
            <w:hideMark/>
          </w:tcPr>
          <w:p w14:paraId="123D6D9D"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5,11</w:t>
            </w:r>
          </w:p>
        </w:tc>
      </w:tr>
      <w:tr w:rsidR="00EF49F3" w:rsidRPr="00EF49F3" w14:paraId="31B88FBB" w14:textId="77777777" w:rsidTr="00EF49F3">
        <w:trPr>
          <w:trHeight w:val="300"/>
        </w:trPr>
        <w:tc>
          <w:tcPr>
            <w:tcW w:w="2080" w:type="dxa"/>
            <w:tcBorders>
              <w:top w:val="nil"/>
              <w:left w:val="nil"/>
              <w:bottom w:val="nil"/>
              <w:right w:val="nil"/>
            </w:tcBorders>
            <w:shd w:val="clear" w:color="auto" w:fill="auto"/>
            <w:noWrap/>
            <w:vAlign w:val="center"/>
            <w:hideMark/>
          </w:tcPr>
          <w:p w14:paraId="5A285144"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Vysočina</w:t>
            </w:r>
          </w:p>
        </w:tc>
        <w:tc>
          <w:tcPr>
            <w:tcW w:w="624" w:type="dxa"/>
            <w:tcBorders>
              <w:top w:val="nil"/>
              <w:left w:val="nil"/>
              <w:bottom w:val="nil"/>
              <w:right w:val="nil"/>
            </w:tcBorders>
            <w:shd w:val="clear" w:color="auto" w:fill="auto"/>
            <w:noWrap/>
            <w:vAlign w:val="center"/>
            <w:hideMark/>
          </w:tcPr>
          <w:p w14:paraId="57C27512" w14:textId="77777777" w:rsidR="00EF49F3" w:rsidRPr="00EF49F3" w:rsidRDefault="00EF49F3" w:rsidP="00EF49F3">
            <w:pPr>
              <w:spacing w:after="0" w:line="240" w:lineRule="auto"/>
              <w:jc w:val="right"/>
              <w:rPr>
                <w:rFonts w:cs="Arial"/>
                <w:sz w:val="16"/>
                <w:szCs w:val="16"/>
              </w:rPr>
            </w:pPr>
            <w:r w:rsidRPr="00EF49F3">
              <w:rPr>
                <w:rFonts w:cs="Arial"/>
                <w:sz w:val="16"/>
                <w:szCs w:val="16"/>
              </w:rPr>
              <w:t>5,48</w:t>
            </w:r>
          </w:p>
        </w:tc>
        <w:tc>
          <w:tcPr>
            <w:tcW w:w="624" w:type="dxa"/>
            <w:tcBorders>
              <w:top w:val="nil"/>
              <w:left w:val="nil"/>
              <w:bottom w:val="nil"/>
              <w:right w:val="nil"/>
            </w:tcBorders>
            <w:shd w:val="clear" w:color="auto" w:fill="auto"/>
            <w:noWrap/>
            <w:vAlign w:val="center"/>
            <w:hideMark/>
          </w:tcPr>
          <w:p w14:paraId="5A12056F" w14:textId="77777777" w:rsidR="00EF49F3" w:rsidRPr="00EF49F3" w:rsidRDefault="00EF49F3" w:rsidP="00EF49F3">
            <w:pPr>
              <w:spacing w:after="0" w:line="240" w:lineRule="auto"/>
              <w:jc w:val="right"/>
              <w:rPr>
                <w:rFonts w:cs="Arial"/>
                <w:sz w:val="16"/>
                <w:szCs w:val="16"/>
              </w:rPr>
            </w:pPr>
            <w:r w:rsidRPr="00EF49F3">
              <w:rPr>
                <w:rFonts w:cs="Arial"/>
                <w:sz w:val="16"/>
                <w:szCs w:val="16"/>
              </w:rPr>
              <w:t>4,54</w:t>
            </w:r>
          </w:p>
        </w:tc>
        <w:tc>
          <w:tcPr>
            <w:tcW w:w="624" w:type="dxa"/>
            <w:tcBorders>
              <w:top w:val="nil"/>
              <w:left w:val="nil"/>
              <w:bottom w:val="nil"/>
              <w:right w:val="nil"/>
            </w:tcBorders>
            <w:shd w:val="clear" w:color="auto" w:fill="auto"/>
            <w:noWrap/>
            <w:vAlign w:val="center"/>
            <w:hideMark/>
          </w:tcPr>
          <w:p w14:paraId="0067619F" w14:textId="77777777" w:rsidR="00EF49F3" w:rsidRPr="00EF49F3" w:rsidRDefault="00EF49F3" w:rsidP="00EF49F3">
            <w:pPr>
              <w:spacing w:after="0" w:line="240" w:lineRule="auto"/>
              <w:jc w:val="right"/>
              <w:rPr>
                <w:rFonts w:cs="Arial"/>
                <w:sz w:val="16"/>
                <w:szCs w:val="16"/>
              </w:rPr>
            </w:pPr>
            <w:r w:rsidRPr="00EF49F3">
              <w:rPr>
                <w:rFonts w:cs="Arial"/>
                <w:sz w:val="16"/>
                <w:szCs w:val="16"/>
              </w:rPr>
              <w:t>4,30</w:t>
            </w:r>
          </w:p>
        </w:tc>
        <w:tc>
          <w:tcPr>
            <w:tcW w:w="624" w:type="dxa"/>
            <w:tcBorders>
              <w:top w:val="nil"/>
              <w:left w:val="nil"/>
              <w:bottom w:val="nil"/>
              <w:right w:val="nil"/>
            </w:tcBorders>
            <w:shd w:val="clear" w:color="auto" w:fill="auto"/>
            <w:noWrap/>
            <w:vAlign w:val="center"/>
            <w:hideMark/>
          </w:tcPr>
          <w:p w14:paraId="1918D2A0" w14:textId="77777777" w:rsidR="00EF49F3" w:rsidRPr="00EF49F3" w:rsidRDefault="00EF49F3" w:rsidP="00EF49F3">
            <w:pPr>
              <w:spacing w:after="0" w:line="240" w:lineRule="auto"/>
              <w:jc w:val="right"/>
              <w:rPr>
                <w:rFonts w:cs="Arial"/>
                <w:sz w:val="16"/>
                <w:szCs w:val="16"/>
              </w:rPr>
            </w:pPr>
            <w:r w:rsidRPr="00EF49F3">
              <w:rPr>
                <w:rFonts w:cs="Arial"/>
                <w:sz w:val="16"/>
                <w:szCs w:val="16"/>
              </w:rPr>
              <w:t>4,20</w:t>
            </w:r>
          </w:p>
        </w:tc>
        <w:tc>
          <w:tcPr>
            <w:tcW w:w="624" w:type="dxa"/>
            <w:tcBorders>
              <w:top w:val="nil"/>
              <w:left w:val="nil"/>
              <w:bottom w:val="nil"/>
              <w:right w:val="nil"/>
            </w:tcBorders>
            <w:shd w:val="clear" w:color="auto" w:fill="auto"/>
            <w:noWrap/>
            <w:vAlign w:val="center"/>
            <w:hideMark/>
          </w:tcPr>
          <w:p w14:paraId="68551100" w14:textId="77777777" w:rsidR="00EF49F3" w:rsidRPr="00EF49F3" w:rsidRDefault="00EF49F3" w:rsidP="00EF49F3">
            <w:pPr>
              <w:spacing w:after="0" w:line="240" w:lineRule="auto"/>
              <w:jc w:val="right"/>
              <w:rPr>
                <w:rFonts w:cs="Arial"/>
                <w:sz w:val="16"/>
                <w:szCs w:val="16"/>
              </w:rPr>
            </w:pPr>
            <w:r w:rsidRPr="00EF49F3">
              <w:rPr>
                <w:rFonts w:cs="Arial"/>
                <w:sz w:val="16"/>
                <w:szCs w:val="16"/>
              </w:rPr>
              <w:t>3,79</w:t>
            </w:r>
          </w:p>
        </w:tc>
        <w:tc>
          <w:tcPr>
            <w:tcW w:w="624" w:type="dxa"/>
            <w:tcBorders>
              <w:top w:val="nil"/>
              <w:left w:val="nil"/>
              <w:bottom w:val="nil"/>
              <w:right w:val="nil"/>
            </w:tcBorders>
            <w:shd w:val="clear" w:color="auto" w:fill="auto"/>
            <w:noWrap/>
            <w:vAlign w:val="center"/>
            <w:hideMark/>
          </w:tcPr>
          <w:p w14:paraId="227A2325" w14:textId="77777777" w:rsidR="00EF49F3" w:rsidRPr="00EF49F3" w:rsidRDefault="00EF49F3" w:rsidP="00EF49F3">
            <w:pPr>
              <w:spacing w:after="0" w:line="240" w:lineRule="auto"/>
              <w:jc w:val="right"/>
              <w:rPr>
                <w:rFonts w:cs="Arial"/>
                <w:sz w:val="16"/>
                <w:szCs w:val="16"/>
              </w:rPr>
            </w:pPr>
            <w:r w:rsidRPr="00EF49F3">
              <w:rPr>
                <w:rFonts w:cs="Arial"/>
                <w:sz w:val="16"/>
                <w:szCs w:val="16"/>
              </w:rPr>
              <w:t>4,30</w:t>
            </w:r>
          </w:p>
        </w:tc>
        <w:tc>
          <w:tcPr>
            <w:tcW w:w="624" w:type="dxa"/>
            <w:tcBorders>
              <w:top w:val="nil"/>
              <w:left w:val="nil"/>
              <w:bottom w:val="nil"/>
              <w:right w:val="nil"/>
            </w:tcBorders>
            <w:shd w:val="clear" w:color="auto" w:fill="auto"/>
            <w:noWrap/>
            <w:vAlign w:val="center"/>
            <w:hideMark/>
          </w:tcPr>
          <w:p w14:paraId="42A30EF1" w14:textId="77777777" w:rsidR="00EF49F3" w:rsidRPr="00EF49F3" w:rsidRDefault="00EF49F3" w:rsidP="00EF49F3">
            <w:pPr>
              <w:spacing w:after="0" w:line="240" w:lineRule="auto"/>
              <w:jc w:val="right"/>
              <w:rPr>
                <w:rFonts w:cs="Arial"/>
                <w:sz w:val="16"/>
                <w:szCs w:val="16"/>
              </w:rPr>
            </w:pPr>
            <w:r w:rsidRPr="00EF49F3">
              <w:rPr>
                <w:rFonts w:cs="Arial"/>
                <w:sz w:val="16"/>
                <w:szCs w:val="16"/>
              </w:rPr>
              <w:t>4,23</w:t>
            </w:r>
          </w:p>
        </w:tc>
        <w:tc>
          <w:tcPr>
            <w:tcW w:w="624" w:type="dxa"/>
            <w:tcBorders>
              <w:top w:val="nil"/>
              <w:left w:val="nil"/>
              <w:bottom w:val="nil"/>
              <w:right w:val="nil"/>
            </w:tcBorders>
            <w:shd w:val="clear" w:color="auto" w:fill="auto"/>
            <w:noWrap/>
            <w:vAlign w:val="center"/>
            <w:hideMark/>
          </w:tcPr>
          <w:p w14:paraId="04811EDA" w14:textId="77777777" w:rsidR="00EF49F3" w:rsidRPr="00EF49F3" w:rsidRDefault="00EF49F3" w:rsidP="00EF49F3">
            <w:pPr>
              <w:spacing w:after="0" w:line="240" w:lineRule="auto"/>
              <w:jc w:val="right"/>
              <w:rPr>
                <w:rFonts w:cs="Arial"/>
                <w:sz w:val="16"/>
                <w:szCs w:val="16"/>
              </w:rPr>
            </w:pPr>
            <w:r w:rsidRPr="00EF49F3">
              <w:rPr>
                <w:rFonts w:cs="Arial"/>
                <w:sz w:val="16"/>
                <w:szCs w:val="16"/>
              </w:rPr>
              <w:t>4,88</w:t>
            </w:r>
          </w:p>
        </w:tc>
        <w:tc>
          <w:tcPr>
            <w:tcW w:w="624" w:type="dxa"/>
            <w:tcBorders>
              <w:top w:val="nil"/>
              <w:left w:val="nil"/>
              <w:bottom w:val="nil"/>
              <w:right w:val="nil"/>
            </w:tcBorders>
            <w:shd w:val="clear" w:color="auto" w:fill="auto"/>
            <w:noWrap/>
            <w:vAlign w:val="center"/>
            <w:hideMark/>
          </w:tcPr>
          <w:p w14:paraId="688948DD" w14:textId="77777777" w:rsidR="00EF49F3" w:rsidRPr="00EF49F3" w:rsidRDefault="00EF49F3" w:rsidP="00EF49F3">
            <w:pPr>
              <w:spacing w:after="0" w:line="240" w:lineRule="auto"/>
              <w:jc w:val="right"/>
              <w:rPr>
                <w:rFonts w:cs="Arial"/>
                <w:sz w:val="16"/>
                <w:szCs w:val="16"/>
              </w:rPr>
            </w:pPr>
            <w:r w:rsidRPr="00EF49F3">
              <w:rPr>
                <w:rFonts w:cs="Arial"/>
                <w:sz w:val="16"/>
                <w:szCs w:val="16"/>
              </w:rPr>
              <w:t>5,04</w:t>
            </w:r>
          </w:p>
        </w:tc>
        <w:tc>
          <w:tcPr>
            <w:tcW w:w="624" w:type="dxa"/>
            <w:tcBorders>
              <w:top w:val="nil"/>
              <w:left w:val="nil"/>
              <w:bottom w:val="nil"/>
              <w:right w:val="nil"/>
            </w:tcBorders>
            <w:shd w:val="clear" w:color="auto" w:fill="auto"/>
            <w:noWrap/>
            <w:vAlign w:val="center"/>
            <w:hideMark/>
          </w:tcPr>
          <w:p w14:paraId="75BD44E9" w14:textId="77777777" w:rsidR="00EF49F3" w:rsidRPr="00EF49F3" w:rsidRDefault="00EF49F3" w:rsidP="00EF49F3">
            <w:pPr>
              <w:spacing w:after="0" w:line="240" w:lineRule="auto"/>
              <w:jc w:val="right"/>
              <w:rPr>
                <w:rFonts w:cs="Arial"/>
                <w:sz w:val="16"/>
                <w:szCs w:val="16"/>
              </w:rPr>
            </w:pPr>
            <w:r w:rsidRPr="00EF49F3">
              <w:rPr>
                <w:rFonts w:cs="Arial"/>
                <w:sz w:val="16"/>
                <w:szCs w:val="16"/>
              </w:rPr>
              <w:t>5,28</w:t>
            </w:r>
          </w:p>
        </w:tc>
        <w:tc>
          <w:tcPr>
            <w:tcW w:w="624" w:type="dxa"/>
            <w:tcBorders>
              <w:top w:val="nil"/>
              <w:left w:val="nil"/>
              <w:bottom w:val="nil"/>
              <w:right w:val="nil"/>
            </w:tcBorders>
            <w:shd w:val="clear" w:color="000000" w:fill="FFFFFF"/>
            <w:noWrap/>
            <w:vAlign w:val="center"/>
            <w:hideMark/>
          </w:tcPr>
          <w:p w14:paraId="79099DCB"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5,48</w:t>
            </w:r>
          </w:p>
        </w:tc>
        <w:tc>
          <w:tcPr>
            <w:tcW w:w="624" w:type="dxa"/>
            <w:tcBorders>
              <w:top w:val="nil"/>
              <w:left w:val="nil"/>
              <w:bottom w:val="nil"/>
              <w:right w:val="nil"/>
            </w:tcBorders>
            <w:shd w:val="clear" w:color="auto" w:fill="auto"/>
            <w:noWrap/>
            <w:vAlign w:val="center"/>
            <w:hideMark/>
          </w:tcPr>
          <w:p w14:paraId="00F77E65"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5,63</w:t>
            </w:r>
          </w:p>
        </w:tc>
      </w:tr>
      <w:tr w:rsidR="00EF49F3" w:rsidRPr="00EF49F3" w14:paraId="6A0C5172" w14:textId="77777777" w:rsidTr="00EF49F3">
        <w:trPr>
          <w:trHeight w:val="300"/>
        </w:trPr>
        <w:tc>
          <w:tcPr>
            <w:tcW w:w="2080" w:type="dxa"/>
            <w:tcBorders>
              <w:top w:val="nil"/>
              <w:left w:val="nil"/>
              <w:bottom w:val="nil"/>
              <w:right w:val="nil"/>
            </w:tcBorders>
            <w:shd w:val="clear" w:color="auto" w:fill="auto"/>
            <w:noWrap/>
            <w:vAlign w:val="center"/>
            <w:hideMark/>
          </w:tcPr>
          <w:p w14:paraId="106EC4C4"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Jihomoravský kraj</w:t>
            </w:r>
          </w:p>
        </w:tc>
        <w:tc>
          <w:tcPr>
            <w:tcW w:w="624" w:type="dxa"/>
            <w:tcBorders>
              <w:top w:val="nil"/>
              <w:left w:val="nil"/>
              <w:bottom w:val="nil"/>
              <w:right w:val="nil"/>
            </w:tcBorders>
            <w:shd w:val="clear" w:color="auto" w:fill="auto"/>
            <w:noWrap/>
            <w:vAlign w:val="center"/>
            <w:hideMark/>
          </w:tcPr>
          <w:p w14:paraId="047F4B4A" w14:textId="77777777" w:rsidR="00EF49F3" w:rsidRPr="00EF49F3" w:rsidRDefault="00EF49F3" w:rsidP="00EF49F3">
            <w:pPr>
              <w:spacing w:after="0" w:line="240" w:lineRule="auto"/>
              <w:jc w:val="right"/>
              <w:rPr>
                <w:rFonts w:cs="Arial"/>
                <w:sz w:val="16"/>
                <w:szCs w:val="16"/>
              </w:rPr>
            </w:pPr>
            <w:r w:rsidRPr="00EF49F3">
              <w:rPr>
                <w:rFonts w:cs="Arial"/>
                <w:sz w:val="16"/>
                <w:szCs w:val="16"/>
              </w:rPr>
              <w:t>5,39</w:t>
            </w:r>
          </w:p>
        </w:tc>
        <w:tc>
          <w:tcPr>
            <w:tcW w:w="624" w:type="dxa"/>
            <w:tcBorders>
              <w:top w:val="nil"/>
              <w:left w:val="nil"/>
              <w:bottom w:val="nil"/>
              <w:right w:val="nil"/>
            </w:tcBorders>
            <w:shd w:val="clear" w:color="auto" w:fill="auto"/>
            <w:noWrap/>
            <w:vAlign w:val="center"/>
            <w:hideMark/>
          </w:tcPr>
          <w:p w14:paraId="22781AEE" w14:textId="77777777" w:rsidR="00EF49F3" w:rsidRPr="00EF49F3" w:rsidRDefault="00EF49F3" w:rsidP="00EF49F3">
            <w:pPr>
              <w:spacing w:after="0" w:line="240" w:lineRule="auto"/>
              <w:jc w:val="right"/>
              <w:rPr>
                <w:rFonts w:cs="Arial"/>
                <w:sz w:val="16"/>
                <w:szCs w:val="16"/>
              </w:rPr>
            </w:pPr>
            <w:r w:rsidRPr="00EF49F3">
              <w:rPr>
                <w:rFonts w:cs="Arial"/>
                <w:sz w:val="16"/>
                <w:szCs w:val="16"/>
              </w:rPr>
              <w:t>4,53</w:t>
            </w:r>
          </w:p>
        </w:tc>
        <w:tc>
          <w:tcPr>
            <w:tcW w:w="624" w:type="dxa"/>
            <w:tcBorders>
              <w:top w:val="nil"/>
              <w:left w:val="nil"/>
              <w:bottom w:val="nil"/>
              <w:right w:val="nil"/>
            </w:tcBorders>
            <w:shd w:val="clear" w:color="auto" w:fill="auto"/>
            <w:noWrap/>
            <w:vAlign w:val="center"/>
            <w:hideMark/>
          </w:tcPr>
          <w:p w14:paraId="74ADF1C4" w14:textId="77777777" w:rsidR="00EF49F3" w:rsidRPr="00EF49F3" w:rsidRDefault="00EF49F3" w:rsidP="00EF49F3">
            <w:pPr>
              <w:spacing w:after="0" w:line="240" w:lineRule="auto"/>
              <w:jc w:val="right"/>
              <w:rPr>
                <w:rFonts w:cs="Arial"/>
                <w:sz w:val="16"/>
                <w:szCs w:val="16"/>
              </w:rPr>
            </w:pPr>
            <w:r w:rsidRPr="00EF49F3">
              <w:rPr>
                <w:rFonts w:cs="Arial"/>
                <w:sz w:val="16"/>
                <w:szCs w:val="16"/>
              </w:rPr>
              <w:t>4,31</w:t>
            </w:r>
          </w:p>
        </w:tc>
        <w:tc>
          <w:tcPr>
            <w:tcW w:w="624" w:type="dxa"/>
            <w:tcBorders>
              <w:top w:val="nil"/>
              <w:left w:val="nil"/>
              <w:bottom w:val="nil"/>
              <w:right w:val="nil"/>
            </w:tcBorders>
            <w:shd w:val="clear" w:color="auto" w:fill="auto"/>
            <w:noWrap/>
            <w:vAlign w:val="center"/>
            <w:hideMark/>
          </w:tcPr>
          <w:p w14:paraId="5020D178" w14:textId="77777777" w:rsidR="00EF49F3" w:rsidRPr="00EF49F3" w:rsidRDefault="00EF49F3" w:rsidP="00EF49F3">
            <w:pPr>
              <w:spacing w:after="0" w:line="240" w:lineRule="auto"/>
              <w:jc w:val="right"/>
              <w:rPr>
                <w:rFonts w:cs="Arial"/>
                <w:sz w:val="16"/>
                <w:szCs w:val="16"/>
              </w:rPr>
            </w:pPr>
            <w:r w:rsidRPr="00EF49F3">
              <w:rPr>
                <w:rFonts w:cs="Arial"/>
                <w:sz w:val="16"/>
                <w:szCs w:val="16"/>
              </w:rPr>
              <w:t>4,09</w:t>
            </w:r>
          </w:p>
        </w:tc>
        <w:tc>
          <w:tcPr>
            <w:tcW w:w="624" w:type="dxa"/>
            <w:tcBorders>
              <w:top w:val="nil"/>
              <w:left w:val="nil"/>
              <w:bottom w:val="nil"/>
              <w:right w:val="nil"/>
            </w:tcBorders>
            <w:shd w:val="clear" w:color="auto" w:fill="auto"/>
            <w:noWrap/>
            <w:vAlign w:val="center"/>
            <w:hideMark/>
          </w:tcPr>
          <w:p w14:paraId="1610C1FC" w14:textId="77777777" w:rsidR="00EF49F3" w:rsidRPr="00EF49F3" w:rsidRDefault="00EF49F3" w:rsidP="00EF49F3">
            <w:pPr>
              <w:spacing w:after="0" w:line="240" w:lineRule="auto"/>
              <w:jc w:val="right"/>
              <w:rPr>
                <w:rFonts w:cs="Arial"/>
                <w:sz w:val="16"/>
                <w:szCs w:val="16"/>
              </w:rPr>
            </w:pPr>
            <w:r w:rsidRPr="00EF49F3">
              <w:rPr>
                <w:rFonts w:cs="Arial"/>
                <w:sz w:val="16"/>
                <w:szCs w:val="16"/>
              </w:rPr>
              <w:t>3,69</w:t>
            </w:r>
          </w:p>
        </w:tc>
        <w:tc>
          <w:tcPr>
            <w:tcW w:w="624" w:type="dxa"/>
            <w:tcBorders>
              <w:top w:val="nil"/>
              <w:left w:val="nil"/>
              <w:bottom w:val="nil"/>
              <w:right w:val="nil"/>
            </w:tcBorders>
            <w:shd w:val="clear" w:color="auto" w:fill="auto"/>
            <w:noWrap/>
            <w:vAlign w:val="center"/>
            <w:hideMark/>
          </w:tcPr>
          <w:p w14:paraId="1BEEAEC6" w14:textId="77777777" w:rsidR="00EF49F3" w:rsidRPr="00EF49F3" w:rsidRDefault="00EF49F3" w:rsidP="00EF49F3">
            <w:pPr>
              <w:spacing w:after="0" w:line="240" w:lineRule="auto"/>
              <w:jc w:val="right"/>
              <w:rPr>
                <w:rFonts w:cs="Arial"/>
                <w:sz w:val="16"/>
                <w:szCs w:val="16"/>
              </w:rPr>
            </w:pPr>
            <w:r w:rsidRPr="00EF49F3">
              <w:rPr>
                <w:rFonts w:cs="Arial"/>
                <w:sz w:val="16"/>
                <w:szCs w:val="16"/>
              </w:rPr>
              <w:t>4,08</w:t>
            </w:r>
          </w:p>
        </w:tc>
        <w:tc>
          <w:tcPr>
            <w:tcW w:w="624" w:type="dxa"/>
            <w:tcBorders>
              <w:top w:val="nil"/>
              <w:left w:val="nil"/>
              <w:bottom w:val="nil"/>
              <w:right w:val="nil"/>
            </w:tcBorders>
            <w:shd w:val="clear" w:color="auto" w:fill="auto"/>
            <w:noWrap/>
            <w:vAlign w:val="center"/>
            <w:hideMark/>
          </w:tcPr>
          <w:p w14:paraId="2EB3ADAF" w14:textId="77777777" w:rsidR="00EF49F3" w:rsidRPr="00EF49F3" w:rsidRDefault="00EF49F3" w:rsidP="00EF49F3">
            <w:pPr>
              <w:spacing w:after="0" w:line="240" w:lineRule="auto"/>
              <w:jc w:val="right"/>
              <w:rPr>
                <w:rFonts w:cs="Arial"/>
                <w:sz w:val="16"/>
                <w:szCs w:val="16"/>
              </w:rPr>
            </w:pPr>
            <w:r w:rsidRPr="00EF49F3">
              <w:rPr>
                <w:rFonts w:cs="Arial"/>
                <w:sz w:val="16"/>
                <w:szCs w:val="16"/>
              </w:rPr>
              <w:t>3,84</w:t>
            </w:r>
          </w:p>
        </w:tc>
        <w:tc>
          <w:tcPr>
            <w:tcW w:w="624" w:type="dxa"/>
            <w:tcBorders>
              <w:top w:val="nil"/>
              <w:left w:val="nil"/>
              <w:bottom w:val="nil"/>
              <w:right w:val="nil"/>
            </w:tcBorders>
            <w:shd w:val="clear" w:color="auto" w:fill="auto"/>
            <w:noWrap/>
            <w:vAlign w:val="center"/>
            <w:hideMark/>
          </w:tcPr>
          <w:p w14:paraId="3E1ADE8D" w14:textId="77777777" w:rsidR="00EF49F3" w:rsidRPr="00EF49F3" w:rsidRDefault="00EF49F3" w:rsidP="00EF49F3">
            <w:pPr>
              <w:spacing w:after="0" w:line="240" w:lineRule="auto"/>
              <w:jc w:val="right"/>
              <w:rPr>
                <w:rFonts w:cs="Arial"/>
                <w:sz w:val="16"/>
                <w:szCs w:val="16"/>
              </w:rPr>
            </w:pPr>
            <w:r w:rsidRPr="00EF49F3">
              <w:rPr>
                <w:rFonts w:cs="Arial"/>
                <w:sz w:val="16"/>
                <w:szCs w:val="16"/>
              </w:rPr>
              <w:t>4,36</w:t>
            </w:r>
          </w:p>
        </w:tc>
        <w:tc>
          <w:tcPr>
            <w:tcW w:w="624" w:type="dxa"/>
            <w:tcBorders>
              <w:top w:val="nil"/>
              <w:left w:val="nil"/>
              <w:bottom w:val="nil"/>
              <w:right w:val="nil"/>
            </w:tcBorders>
            <w:shd w:val="clear" w:color="auto" w:fill="auto"/>
            <w:noWrap/>
            <w:vAlign w:val="center"/>
            <w:hideMark/>
          </w:tcPr>
          <w:p w14:paraId="27D8A81B" w14:textId="77777777" w:rsidR="00EF49F3" w:rsidRPr="00EF49F3" w:rsidRDefault="00EF49F3" w:rsidP="00EF49F3">
            <w:pPr>
              <w:spacing w:after="0" w:line="240" w:lineRule="auto"/>
              <w:jc w:val="right"/>
              <w:rPr>
                <w:rFonts w:cs="Arial"/>
                <w:sz w:val="16"/>
                <w:szCs w:val="16"/>
              </w:rPr>
            </w:pPr>
            <w:r w:rsidRPr="00EF49F3">
              <w:rPr>
                <w:rFonts w:cs="Arial"/>
                <w:sz w:val="16"/>
                <w:szCs w:val="16"/>
              </w:rPr>
              <w:t>4,50</w:t>
            </w:r>
          </w:p>
        </w:tc>
        <w:tc>
          <w:tcPr>
            <w:tcW w:w="624" w:type="dxa"/>
            <w:tcBorders>
              <w:top w:val="nil"/>
              <w:left w:val="nil"/>
              <w:bottom w:val="nil"/>
              <w:right w:val="nil"/>
            </w:tcBorders>
            <w:shd w:val="clear" w:color="auto" w:fill="auto"/>
            <w:noWrap/>
            <w:vAlign w:val="center"/>
            <w:hideMark/>
          </w:tcPr>
          <w:p w14:paraId="3DB5E854" w14:textId="77777777" w:rsidR="00EF49F3" w:rsidRPr="00EF49F3" w:rsidRDefault="00EF49F3" w:rsidP="00EF49F3">
            <w:pPr>
              <w:spacing w:after="0" w:line="240" w:lineRule="auto"/>
              <w:jc w:val="right"/>
              <w:rPr>
                <w:rFonts w:cs="Arial"/>
                <w:sz w:val="16"/>
                <w:szCs w:val="16"/>
              </w:rPr>
            </w:pPr>
            <w:r w:rsidRPr="00EF49F3">
              <w:rPr>
                <w:rFonts w:cs="Arial"/>
                <w:sz w:val="16"/>
                <w:szCs w:val="16"/>
              </w:rPr>
              <w:t>4,68</w:t>
            </w:r>
          </w:p>
        </w:tc>
        <w:tc>
          <w:tcPr>
            <w:tcW w:w="624" w:type="dxa"/>
            <w:tcBorders>
              <w:top w:val="nil"/>
              <w:left w:val="nil"/>
              <w:bottom w:val="nil"/>
              <w:right w:val="nil"/>
            </w:tcBorders>
            <w:shd w:val="clear" w:color="000000" w:fill="FFFFFF"/>
            <w:noWrap/>
            <w:vAlign w:val="center"/>
            <w:hideMark/>
          </w:tcPr>
          <w:p w14:paraId="069EB42A"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4,75</w:t>
            </w:r>
          </w:p>
        </w:tc>
        <w:tc>
          <w:tcPr>
            <w:tcW w:w="624" w:type="dxa"/>
            <w:tcBorders>
              <w:top w:val="nil"/>
              <w:left w:val="nil"/>
              <w:bottom w:val="nil"/>
              <w:right w:val="nil"/>
            </w:tcBorders>
            <w:shd w:val="clear" w:color="auto" w:fill="auto"/>
            <w:noWrap/>
            <w:vAlign w:val="center"/>
            <w:hideMark/>
          </w:tcPr>
          <w:p w14:paraId="117253FA"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4,79</w:t>
            </w:r>
          </w:p>
        </w:tc>
      </w:tr>
      <w:tr w:rsidR="00EF49F3" w:rsidRPr="00EF49F3" w14:paraId="1ED64C64" w14:textId="77777777" w:rsidTr="00EF49F3">
        <w:trPr>
          <w:trHeight w:val="300"/>
        </w:trPr>
        <w:tc>
          <w:tcPr>
            <w:tcW w:w="2080" w:type="dxa"/>
            <w:tcBorders>
              <w:top w:val="nil"/>
              <w:left w:val="nil"/>
              <w:bottom w:val="nil"/>
              <w:right w:val="nil"/>
            </w:tcBorders>
            <w:shd w:val="clear" w:color="auto" w:fill="auto"/>
            <w:noWrap/>
            <w:vAlign w:val="center"/>
            <w:hideMark/>
          </w:tcPr>
          <w:p w14:paraId="759D6205"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Olomoucký kraj</w:t>
            </w:r>
          </w:p>
        </w:tc>
        <w:tc>
          <w:tcPr>
            <w:tcW w:w="624" w:type="dxa"/>
            <w:tcBorders>
              <w:top w:val="nil"/>
              <w:left w:val="nil"/>
              <w:bottom w:val="nil"/>
              <w:right w:val="nil"/>
            </w:tcBorders>
            <w:shd w:val="clear" w:color="auto" w:fill="auto"/>
            <w:noWrap/>
            <w:vAlign w:val="center"/>
            <w:hideMark/>
          </w:tcPr>
          <w:p w14:paraId="31C65154" w14:textId="77777777" w:rsidR="00EF49F3" w:rsidRPr="00EF49F3" w:rsidRDefault="00EF49F3" w:rsidP="00EF49F3">
            <w:pPr>
              <w:spacing w:after="0" w:line="240" w:lineRule="auto"/>
              <w:jc w:val="right"/>
              <w:rPr>
                <w:rFonts w:cs="Arial"/>
                <w:sz w:val="16"/>
                <w:szCs w:val="16"/>
              </w:rPr>
            </w:pPr>
            <w:r w:rsidRPr="00EF49F3">
              <w:rPr>
                <w:rFonts w:cs="Arial"/>
                <w:sz w:val="16"/>
                <w:szCs w:val="16"/>
              </w:rPr>
              <w:t>5,69</w:t>
            </w:r>
          </w:p>
        </w:tc>
        <w:tc>
          <w:tcPr>
            <w:tcW w:w="624" w:type="dxa"/>
            <w:tcBorders>
              <w:top w:val="nil"/>
              <w:left w:val="nil"/>
              <w:bottom w:val="nil"/>
              <w:right w:val="nil"/>
            </w:tcBorders>
            <w:shd w:val="clear" w:color="auto" w:fill="auto"/>
            <w:noWrap/>
            <w:vAlign w:val="center"/>
            <w:hideMark/>
          </w:tcPr>
          <w:p w14:paraId="202AD291" w14:textId="77777777" w:rsidR="00EF49F3" w:rsidRPr="00EF49F3" w:rsidRDefault="00EF49F3" w:rsidP="00EF49F3">
            <w:pPr>
              <w:spacing w:after="0" w:line="240" w:lineRule="auto"/>
              <w:jc w:val="right"/>
              <w:rPr>
                <w:rFonts w:cs="Arial"/>
                <w:sz w:val="16"/>
                <w:szCs w:val="16"/>
              </w:rPr>
            </w:pPr>
            <w:r w:rsidRPr="00EF49F3">
              <w:rPr>
                <w:rFonts w:cs="Arial"/>
                <w:sz w:val="16"/>
                <w:szCs w:val="16"/>
              </w:rPr>
              <w:t>4,77</w:t>
            </w:r>
          </w:p>
        </w:tc>
        <w:tc>
          <w:tcPr>
            <w:tcW w:w="624" w:type="dxa"/>
            <w:tcBorders>
              <w:top w:val="nil"/>
              <w:left w:val="nil"/>
              <w:bottom w:val="nil"/>
              <w:right w:val="nil"/>
            </w:tcBorders>
            <w:shd w:val="clear" w:color="auto" w:fill="auto"/>
            <w:noWrap/>
            <w:vAlign w:val="center"/>
            <w:hideMark/>
          </w:tcPr>
          <w:p w14:paraId="25DCD05B" w14:textId="77777777" w:rsidR="00EF49F3" w:rsidRPr="00EF49F3" w:rsidRDefault="00EF49F3" w:rsidP="00EF49F3">
            <w:pPr>
              <w:spacing w:after="0" w:line="240" w:lineRule="auto"/>
              <w:jc w:val="right"/>
              <w:rPr>
                <w:rFonts w:cs="Arial"/>
                <w:sz w:val="16"/>
                <w:szCs w:val="16"/>
              </w:rPr>
            </w:pPr>
            <w:r w:rsidRPr="00EF49F3">
              <w:rPr>
                <w:rFonts w:cs="Arial"/>
                <w:sz w:val="16"/>
                <w:szCs w:val="16"/>
              </w:rPr>
              <w:t>4,29</w:t>
            </w:r>
          </w:p>
        </w:tc>
        <w:tc>
          <w:tcPr>
            <w:tcW w:w="624" w:type="dxa"/>
            <w:tcBorders>
              <w:top w:val="nil"/>
              <w:left w:val="nil"/>
              <w:bottom w:val="nil"/>
              <w:right w:val="nil"/>
            </w:tcBorders>
            <w:shd w:val="clear" w:color="auto" w:fill="auto"/>
            <w:noWrap/>
            <w:vAlign w:val="center"/>
            <w:hideMark/>
          </w:tcPr>
          <w:p w14:paraId="2331F812" w14:textId="77777777" w:rsidR="00EF49F3" w:rsidRPr="00EF49F3" w:rsidRDefault="00EF49F3" w:rsidP="00EF49F3">
            <w:pPr>
              <w:spacing w:after="0" w:line="240" w:lineRule="auto"/>
              <w:jc w:val="right"/>
              <w:rPr>
                <w:rFonts w:cs="Arial"/>
                <w:sz w:val="16"/>
                <w:szCs w:val="16"/>
              </w:rPr>
            </w:pPr>
            <w:r w:rsidRPr="00EF49F3">
              <w:rPr>
                <w:rFonts w:cs="Arial"/>
                <w:sz w:val="16"/>
                <w:szCs w:val="16"/>
              </w:rPr>
              <w:t>4,24</w:t>
            </w:r>
          </w:p>
        </w:tc>
        <w:tc>
          <w:tcPr>
            <w:tcW w:w="624" w:type="dxa"/>
            <w:tcBorders>
              <w:top w:val="nil"/>
              <w:left w:val="nil"/>
              <w:bottom w:val="nil"/>
              <w:right w:val="nil"/>
            </w:tcBorders>
            <w:shd w:val="clear" w:color="auto" w:fill="auto"/>
            <w:noWrap/>
            <w:vAlign w:val="center"/>
            <w:hideMark/>
          </w:tcPr>
          <w:p w14:paraId="4F06892E" w14:textId="77777777" w:rsidR="00EF49F3" w:rsidRPr="00EF49F3" w:rsidRDefault="00EF49F3" w:rsidP="00EF49F3">
            <w:pPr>
              <w:spacing w:after="0" w:line="240" w:lineRule="auto"/>
              <w:jc w:val="right"/>
              <w:rPr>
                <w:rFonts w:cs="Arial"/>
                <w:sz w:val="16"/>
                <w:szCs w:val="16"/>
              </w:rPr>
            </w:pPr>
            <w:r w:rsidRPr="00EF49F3">
              <w:rPr>
                <w:rFonts w:cs="Arial"/>
                <w:sz w:val="16"/>
                <w:szCs w:val="16"/>
              </w:rPr>
              <w:t>3,90</w:t>
            </w:r>
          </w:p>
        </w:tc>
        <w:tc>
          <w:tcPr>
            <w:tcW w:w="624" w:type="dxa"/>
            <w:tcBorders>
              <w:top w:val="nil"/>
              <w:left w:val="nil"/>
              <w:bottom w:val="nil"/>
              <w:right w:val="nil"/>
            </w:tcBorders>
            <w:shd w:val="clear" w:color="auto" w:fill="auto"/>
            <w:noWrap/>
            <w:vAlign w:val="center"/>
            <w:hideMark/>
          </w:tcPr>
          <w:p w14:paraId="48C97DDB" w14:textId="77777777" w:rsidR="00EF49F3" w:rsidRPr="00EF49F3" w:rsidRDefault="00EF49F3" w:rsidP="00EF49F3">
            <w:pPr>
              <w:spacing w:after="0" w:line="240" w:lineRule="auto"/>
              <w:jc w:val="right"/>
              <w:rPr>
                <w:rFonts w:cs="Arial"/>
                <w:sz w:val="16"/>
                <w:szCs w:val="16"/>
              </w:rPr>
            </w:pPr>
            <w:r w:rsidRPr="00EF49F3">
              <w:rPr>
                <w:rFonts w:cs="Arial"/>
                <w:sz w:val="16"/>
                <w:szCs w:val="16"/>
              </w:rPr>
              <w:t>4,22</w:t>
            </w:r>
          </w:p>
        </w:tc>
        <w:tc>
          <w:tcPr>
            <w:tcW w:w="624" w:type="dxa"/>
            <w:tcBorders>
              <w:top w:val="nil"/>
              <w:left w:val="nil"/>
              <w:bottom w:val="nil"/>
              <w:right w:val="nil"/>
            </w:tcBorders>
            <w:shd w:val="clear" w:color="auto" w:fill="auto"/>
            <w:noWrap/>
            <w:vAlign w:val="center"/>
            <w:hideMark/>
          </w:tcPr>
          <w:p w14:paraId="74EE13B8" w14:textId="77777777" w:rsidR="00EF49F3" w:rsidRPr="00EF49F3" w:rsidRDefault="00EF49F3" w:rsidP="00EF49F3">
            <w:pPr>
              <w:spacing w:after="0" w:line="240" w:lineRule="auto"/>
              <w:jc w:val="right"/>
              <w:rPr>
                <w:rFonts w:cs="Arial"/>
                <w:sz w:val="16"/>
                <w:szCs w:val="16"/>
              </w:rPr>
            </w:pPr>
            <w:r w:rsidRPr="00EF49F3">
              <w:rPr>
                <w:rFonts w:cs="Arial"/>
                <w:sz w:val="16"/>
                <w:szCs w:val="16"/>
              </w:rPr>
              <w:t>4,10</w:t>
            </w:r>
          </w:p>
        </w:tc>
        <w:tc>
          <w:tcPr>
            <w:tcW w:w="624" w:type="dxa"/>
            <w:tcBorders>
              <w:top w:val="nil"/>
              <w:left w:val="nil"/>
              <w:bottom w:val="nil"/>
              <w:right w:val="nil"/>
            </w:tcBorders>
            <w:shd w:val="clear" w:color="auto" w:fill="auto"/>
            <w:noWrap/>
            <w:vAlign w:val="center"/>
            <w:hideMark/>
          </w:tcPr>
          <w:p w14:paraId="6C777FE3" w14:textId="77777777" w:rsidR="00EF49F3" w:rsidRPr="00EF49F3" w:rsidRDefault="00EF49F3" w:rsidP="00EF49F3">
            <w:pPr>
              <w:spacing w:after="0" w:line="240" w:lineRule="auto"/>
              <w:jc w:val="right"/>
              <w:rPr>
                <w:rFonts w:cs="Arial"/>
                <w:sz w:val="16"/>
                <w:szCs w:val="16"/>
              </w:rPr>
            </w:pPr>
            <w:r w:rsidRPr="00EF49F3">
              <w:rPr>
                <w:rFonts w:cs="Arial"/>
                <w:sz w:val="16"/>
                <w:szCs w:val="16"/>
              </w:rPr>
              <w:t>4,53</w:t>
            </w:r>
          </w:p>
        </w:tc>
        <w:tc>
          <w:tcPr>
            <w:tcW w:w="624" w:type="dxa"/>
            <w:tcBorders>
              <w:top w:val="nil"/>
              <w:left w:val="nil"/>
              <w:bottom w:val="nil"/>
              <w:right w:val="nil"/>
            </w:tcBorders>
            <w:shd w:val="clear" w:color="auto" w:fill="auto"/>
            <w:noWrap/>
            <w:vAlign w:val="center"/>
            <w:hideMark/>
          </w:tcPr>
          <w:p w14:paraId="3F722605" w14:textId="77777777" w:rsidR="00EF49F3" w:rsidRPr="00EF49F3" w:rsidRDefault="00EF49F3" w:rsidP="00EF49F3">
            <w:pPr>
              <w:spacing w:after="0" w:line="240" w:lineRule="auto"/>
              <w:jc w:val="right"/>
              <w:rPr>
                <w:rFonts w:cs="Arial"/>
                <w:sz w:val="16"/>
                <w:szCs w:val="16"/>
              </w:rPr>
            </w:pPr>
            <w:r w:rsidRPr="00EF49F3">
              <w:rPr>
                <w:rFonts w:cs="Arial"/>
                <w:sz w:val="16"/>
                <w:szCs w:val="16"/>
              </w:rPr>
              <w:t>4,79</w:t>
            </w:r>
          </w:p>
        </w:tc>
        <w:tc>
          <w:tcPr>
            <w:tcW w:w="624" w:type="dxa"/>
            <w:tcBorders>
              <w:top w:val="nil"/>
              <w:left w:val="nil"/>
              <w:bottom w:val="nil"/>
              <w:right w:val="nil"/>
            </w:tcBorders>
            <w:shd w:val="clear" w:color="auto" w:fill="auto"/>
            <w:noWrap/>
            <w:vAlign w:val="center"/>
            <w:hideMark/>
          </w:tcPr>
          <w:p w14:paraId="19295FB7" w14:textId="77777777" w:rsidR="00EF49F3" w:rsidRPr="00EF49F3" w:rsidRDefault="00EF49F3" w:rsidP="00EF49F3">
            <w:pPr>
              <w:spacing w:after="0" w:line="240" w:lineRule="auto"/>
              <w:jc w:val="right"/>
              <w:rPr>
                <w:rFonts w:cs="Arial"/>
                <w:sz w:val="16"/>
                <w:szCs w:val="16"/>
              </w:rPr>
            </w:pPr>
            <w:r w:rsidRPr="00EF49F3">
              <w:rPr>
                <w:rFonts w:cs="Arial"/>
                <w:sz w:val="16"/>
                <w:szCs w:val="16"/>
              </w:rPr>
              <w:t>4,95</w:t>
            </w:r>
          </w:p>
        </w:tc>
        <w:tc>
          <w:tcPr>
            <w:tcW w:w="624" w:type="dxa"/>
            <w:tcBorders>
              <w:top w:val="nil"/>
              <w:left w:val="nil"/>
              <w:bottom w:val="nil"/>
              <w:right w:val="nil"/>
            </w:tcBorders>
            <w:shd w:val="clear" w:color="000000" w:fill="FFFFFF"/>
            <w:noWrap/>
            <w:vAlign w:val="center"/>
            <w:hideMark/>
          </w:tcPr>
          <w:p w14:paraId="6349B769"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5,05</w:t>
            </w:r>
          </w:p>
        </w:tc>
        <w:tc>
          <w:tcPr>
            <w:tcW w:w="624" w:type="dxa"/>
            <w:tcBorders>
              <w:top w:val="nil"/>
              <w:left w:val="nil"/>
              <w:bottom w:val="nil"/>
              <w:right w:val="nil"/>
            </w:tcBorders>
            <w:shd w:val="clear" w:color="auto" w:fill="auto"/>
            <w:noWrap/>
            <w:vAlign w:val="center"/>
            <w:hideMark/>
          </w:tcPr>
          <w:p w14:paraId="1E0E1F5F"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5,19</w:t>
            </w:r>
          </w:p>
        </w:tc>
      </w:tr>
      <w:tr w:rsidR="00EF49F3" w:rsidRPr="00EF49F3" w14:paraId="09825BE7" w14:textId="77777777" w:rsidTr="00EF49F3">
        <w:trPr>
          <w:trHeight w:val="300"/>
        </w:trPr>
        <w:tc>
          <w:tcPr>
            <w:tcW w:w="2080" w:type="dxa"/>
            <w:tcBorders>
              <w:top w:val="nil"/>
              <w:left w:val="nil"/>
              <w:bottom w:val="nil"/>
              <w:right w:val="nil"/>
            </w:tcBorders>
            <w:shd w:val="clear" w:color="auto" w:fill="auto"/>
            <w:noWrap/>
            <w:vAlign w:val="center"/>
            <w:hideMark/>
          </w:tcPr>
          <w:p w14:paraId="1E3D59BE"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Zlínský kraj</w:t>
            </w:r>
          </w:p>
        </w:tc>
        <w:tc>
          <w:tcPr>
            <w:tcW w:w="624" w:type="dxa"/>
            <w:tcBorders>
              <w:top w:val="nil"/>
              <w:left w:val="nil"/>
              <w:bottom w:val="nil"/>
              <w:right w:val="nil"/>
            </w:tcBorders>
            <w:shd w:val="clear" w:color="auto" w:fill="auto"/>
            <w:noWrap/>
            <w:vAlign w:val="center"/>
            <w:hideMark/>
          </w:tcPr>
          <w:p w14:paraId="32A89774" w14:textId="77777777" w:rsidR="00EF49F3" w:rsidRPr="00EF49F3" w:rsidRDefault="00EF49F3" w:rsidP="00EF49F3">
            <w:pPr>
              <w:spacing w:after="0" w:line="240" w:lineRule="auto"/>
              <w:jc w:val="right"/>
              <w:rPr>
                <w:rFonts w:cs="Arial"/>
                <w:sz w:val="16"/>
                <w:szCs w:val="16"/>
              </w:rPr>
            </w:pPr>
            <w:r w:rsidRPr="00EF49F3">
              <w:rPr>
                <w:rFonts w:cs="Arial"/>
                <w:sz w:val="16"/>
                <w:szCs w:val="16"/>
              </w:rPr>
              <w:t>5,95</w:t>
            </w:r>
          </w:p>
        </w:tc>
        <w:tc>
          <w:tcPr>
            <w:tcW w:w="624" w:type="dxa"/>
            <w:tcBorders>
              <w:top w:val="nil"/>
              <w:left w:val="nil"/>
              <w:bottom w:val="nil"/>
              <w:right w:val="nil"/>
            </w:tcBorders>
            <w:shd w:val="clear" w:color="auto" w:fill="auto"/>
            <w:noWrap/>
            <w:vAlign w:val="center"/>
            <w:hideMark/>
          </w:tcPr>
          <w:p w14:paraId="08C71748" w14:textId="77777777" w:rsidR="00EF49F3" w:rsidRPr="00EF49F3" w:rsidRDefault="00EF49F3" w:rsidP="00EF49F3">
            <w:pPr>
              <w:spacing w:after="0" w:line="240" w:lineRule="auto"/>
              <w:jc w:val="right"/>
              <w:rPr>
                <w:rFonts w:cs="Arial"/>
                <w:sz w:val="16"/>
                <w:szCs w:val="16"/>
              </w:rPr>
            </w:pPr>
            <w:r w:rsidRPr="00EF49F3">
              <w:rPr>
                <w:rFonts w:cs="Arial"/>
                <w:sz w:val="16"/>
                <w:szCs w:val="16"/>
              </w:rPr>
              <w:t>5,52</w:t>
            </w:r>
          </w:p>
        </w:tc>
        <w:tc>
          <w:tcPr>
            <w:tcW w:w="624" w:type="dxa"/>
            <w:tcBorders>
              <w:top w:val="nil"/>
              <w:left w:val="nil"/>
              <w:bottom w:val="nil"/>
              <w:right w:val="nil"/>
            </w:tcBorders>
            <w:shd w:val="clear" w:color="auto" w:fill="auto"/>
            <w:noWrap/>
            <w:vAlign w:val="center"/>
            <w:hideMark/>
          </w:tcPr>
          <w:p w14:paraId="58D4EC56" w14:textId="77777777" w:rsidR="00EF49F3" w:rsidRPr="00EF49F3" w:rsidRDefault="00EF49F3" w:rsidP="00EF49F3">
            <w:pPr>
              <w:spacing w:after="0" w:line="240" w:lineRule="auto"/>
              <w:jc w:val="right"/>
              <w:rPr>
                <w:rFonts w:cs="Arial"/>
                <w:sz w:val="16"/>
                <w:szCs w:val="16"/>
              </w:rPr>
            </w:pPr>
            <w:r w:rsidRPr="00EF49F3">
              <w:rPr>
                <w:rFonts w:cs="Arial"/>
                <w:sz w:val="16"/>
                <w:szCs w:val="16"/>
              </w:rPr>
              <w:t>5,10</w:t>
            </w:r>
          </w:p>
        </w:tc>
        <w:tc>
          <w:tcPr>
            <w:tcW w:w="624" w:type="dxa"/>
            <w:tcBorders>
              <w:top w:val="nil"/>
              <w:left w:val="nil"/>
              <w:bottom w:val="nil"/>
              <w:right w:val="nil"/>
            </w:tcBorders>
            <w:shd w:val="clear" w:color="auto" w:fill="auto"/>
            <w:noWrap/>
            <w:vAlign w:val="center"/>
            <w:hideMark/>
          </w:tcPr>
          <w:p w14:paraId="7B7B8E82" w14:textId="77777777" w:rsidR="00EF49F3" w:rsidRPr="00EF49F3" w:rsidRDefault="00EF49F3" w:rsidP="00EF49F3">
            <w:pPr>
              <w:spacing w:after="0" w:line="240" w:lineRule="auto"/>
              <w:jc w:val="right"/>
              <w:rPr>
                <w:rFonts w:cs="Arial"/>
                <w:sz w:val="16"/>
                <w:szCs w:val="16"/>
              </w:rPr>
            </w:pPr>
            <w:r w:rsidRPr="00EF49F3">
              <w:rPr>
                <w:rFonts w:cs="Arial"/>
                <w:sz w:val="16"/>
                <w:szCs w:val="16"/>
              </w:rPr>
              <w:t>5,10</w:t>
            </w:r>
          </w:p>
        </w:tc>
        <w:tc>
          <w:tcPr>
            <w:tcW w:w="624" w:type="dxa"/>
            <w:tcBorders>
              <w:top w:val="nil"/>
              <w:left w:val="nil"/>
              <w:bottom w:val="nil"/>
              <w:right w:val="nil"/>
            </w:tcBorders>
            <w:shd w:val="clear" w:color="auto" w:fill="auto"/>
            <w:noWrap/>
            <w:vAlign w:val="center"/>
            <w:hideMark/>
          </w:tcPr>
          <w:p w14:paraId="4E170750" w14:textId="77777777" w:rsidR="00EF49F3" w:rsidRPr="00EF49F3" w:rsidRDefault="00EF49F3" w:rsidP="00EF49F3">
            <w:pPr>
              <w:spacing w:after="0" w:line="240" w:lineRule="auto"/>
              <w:jc w:val="right"/>
              <w:rPr>
                <w:rFonts w:cs="Arial"/>
                <w:sz w:val="16"/>
                <w:szCs w:val="16"/>
              </w:rPr>
            </w:pPr>
            <w:r w:rsidRPr="00EF49F3">
              <w:rPr>
                <w:rFonts w:cs="Arial"/>
                <w:sz w:val="16"/>
                <w:szCs w:val="16"/>
              </w:rPr>
              <w:t>4,41</w:t>
            </w:r>
          </w:p>
        </w:tc>
        <w:tc>
          <w:tcPr>
            <w:tcW w:w="624" w:type="dxa"/>
            <w:tcBorders>
              <w:top w:val="nil"/>
              <w:left w:val="nil"/>
              <w:bottom w:val="nil"/>
              <w:right w:val="nil"/>
            </w:tcBorders>
            <w:shd w:val="clear" w:color="auto" w:fill="auto"/>
            <w:noWrap/>
            <w:vAlign w:val="center"/>
            <w:hideMark/>
          </w:tcPr>
          <w:p w14:paraId="64806C17" w14:textId="77777777" w:rsidR="00EF49F3" w:rsidRPr="00EF49F3" w:rsidRDefault="00EF49F3" w:rsidP="00EF49F3">
            <w:pPr>
              <w:spacing w:after="0" w:line="240" w:lineRule="auto"/>
              <w:jc w:val="right"/>
              <w:rPr>
                <w:rFonts w:cs="Arial"/>
                <w:sz w:val="16"/>
                <w:szCs w:val="16"/>
              </w:rPr>
            </w:pPr>
            <w:r w:rsidRPr="00EF49F3">
              <w:rPr>
                <w:rFonts w:cs="Arial"/>
                <w:sz w:val="16"/>
                <w:szCs w:val="16"/>
              </w:rPr>
              <w:t>4,95</w:t>
            </w:r>
          </w:p>
        </w:tc>
        <w:tc>
          <w:tcPr>
            <w:tcW w:w="624" w:type="dxa"/>
            <w:tcBorders>
              <w:top w:val="nil"/>
              <w:left w:val="nil"/>
              <w:bottom w:val="nil"/>
              <w:right w:val="nil"/>
            </w:tcBorders>
            <w:shd w:val="clear" w:color="auto" w:fill="auto"/>
            <w:noWrap/>
            <w:vAlign w:val="center"/>
            <w:hideMark/>
          </w:tcPr>
          <w:p w14:paraId="2DBF9B01" w14:textId="77777777" w:rsidR="00EF49F3" w:rsidRPr="00EF49F3" w:rsidRDefault="00EF49F3" w:rsidP="00EF49F3">
            <w:pPr>
              <w:spacing w:after="0" w:line="240" w:lineRule="auto"/>
              <w:jc w:val="right"/>
              <w:rPr>
                <w:rFonts w:cs="Arial"/>
                <w:sz w:val="16"/>
                <w:szCs w:val="16"/>
              </w:rPr>
            </w:pPr>
            <w:r w:rsidRPr="00EF49F3">
              <w:rPr>
                <w:rFonts w:cs="Arial"/>
                <w:sz w:val="16"/>
                <w:szCs w:val="16"/>
              </w:rPr>
              <w:t>4,58</w:t>
            </w:r>
          </w:p>
        </w:tc>
        <w:tc>
          <w:tcPr>
            <w:tcW w:w="624" w:type="dxa"/>
            <w:tcBorders>
              <w:top w:val="nil"/>
              <w:left w:val="nil"/>
              <w:bottom w:val="nil"/>
              <w:right w:val="nil"/>
            </w:tcBorders>
            <w:shd w:val="clear" w:color="auto" w:fill="auto"/>
            <w:noWrap/>
            <w:vAlign w:val="center"/>
            <w:hideMark/>
          </w:tcPr>
          <w:p w14:paraId="2AAA3760" w14:textId="77777777" w:rsidR="00EF49F3" w:rsidRPr="00EF49F3" w:rsidRDefault="00EF49F3" w:rsidP="00EF49F3">
            <w:pPr>
              <w:spacing w:after="0" w:line="240" w:lineRule="auto"/>
              <w:jc w:val="right"/>
              <w:rPr>
                <w:rFonts w:cs="Arial"/>
                <w:sz w:val="16"/>
                <w:szCs w:val="16"/>
              </w:rPr>
            </w:pPr>
            <w:r w:rsidRPr="00EF49F3">
              <w:rPr>
                <w:rFonts w:cs="Arial"/>
                <w:sz w:val="16"/>
                <w:szCs w:val="16"/>
              </w:rPr>
              <w:t>5,30</w:t>
            </w:r>
          </w:p>
        </w:tc>
        <w:tc>
          <w:tcPr>
            <w:tcW w:w="624" w:type="dxa"/>
            <w:tcBorders>
              <w:top w:val="nil"/>
              <w:left w:val="nil"/>
              <w:bottom w:val="nil"/>
              <w:right w:val="nil"/>
            </w:tcBorders>
            <w:shd w:val="clear" w:color="auto" w:fill="auto"/>
            <w:noWrap/>
            <w:vAlign w:val="center"/>
            <w:hideMark/>
          </w:tcPr>
          <w:p w14:paraId="5F1B38B0" w14:textId="77777777" w:rsidR="00EF49F3" w:rsidRPr="00EF49F3" w:rsidRDefault="00EF49F3" w:rsidP="00EF49F3">
            <w:pPr>
              <w:spacing w:after="0" w:line="240" w:lineRule="auto"/>
              <w:jc w:val="right"/>
              <w:rPr>
                <w:rFonts w:cs="Arial"/>
                <w:sz w:val="16"/>
                <w:szCs w:val="16"/>
              </w:rPr>
            </w:pPr>
            <w:r w:rsidRPr="00EF49F3">
              <w:rPr>
                <w:rFonts w:cs="Arial"/>
                <w:sz w:val="16"/>
                <w:szCs w:val="16"/>
              </w:rPr>
              <w:t>5,47</w:t>
            </w:r>
          </w:p>
        </w:tc>
        <w:tc>
          <w:tcPr>
            <w:tcW w:w="624" w:type="dxa"/>
            <w:tcBorders>
              <w:top w:val="nil"/>
              <w:left w:val="nil"/>
              <w:bottom w:val="nil"/>
              <w:right w:val="nil"/>
            </w:tcBorders>
            <w:shd w:val="clear" w:color="auto" w:fill="auto"/>
            <w:noWrap/>
            <w:vAlign w:val="center"/>
            <w:hideMark/>
          </w:tcPr>
          <w:p w14:paraId="325A9779" w14:textId="77777777" w:rsidR="00EF49F3" w:rsidRPr="00EF49F3" w:rsidRDefault="00EF49F3" w:rsidP="00EF49F3">
            <w:pPr>
              <w:spacing w:after="0" w:line="240" w:lineRule="auto"/>
              <w:jc w:val="right"/>
              <w:rPr>
                <w:rFonts w:cs="Arial"/>
                <w:sz w:val="16"/>
                <w:szCs w:val="16"/>
              </w:rPr>
            </w:pPr>
            <w:r w:rsidRPr="00EF49F3">
              <w:rPr>
                <w:rFonts w:cs="Arial"/>
                <w:sz w:val="16"/>
                <w:szCs w:val="16"/>
              </w:rPr>
              <w:t>5,69</w:t>
            </w:r>
          </w:p>
        </w:tc>
        <w:tc>
          <w:tcPr>
            <w:tcW w:w="624" w:type="dxa"/>
            <w:tcBorders>
              <w:top w:val="nil"/>
              <w:left w:val="nil"/>
              <w:bottom w:val="nil"/>
              <w:right w:val="nil"/>
            </w:tcBorders>
            <w:shd w:val="clear" w:color="000000" w:fill="FFFFFF"/>
            <w:noWrap/>
            <w:vAlign w:val="center"/>
            <w:hideMark/>
          </w:tcPr>
          <w:p w14:paraId="5871C723"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5,63</w:t>
            </w:r>
          </w:p>
        </w:tc>
        <w:tc>
          <w:tcPr>
            <w:tcW w:w="624" w:type="dxa"/>
            <w:tcBorders>
              <w:top w:val="nil"/>
              <w:left w:val="nil"/>
              <w:bottom w:val="nil"/>
              <w:right w:val="nil"/>
            </w:tcBorders>
            <w:shd w:val="clear" w:color="auto" w:fill="auto"/>
            <w:noWrap/>
            <w:vAlign w:val="center"/>
            <w:hideMark/>
          </w:tcPr>
          <w:p w14:paraId="1FF15CD0"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5,82</w:t>
            </w:r>
          </w:p>
        </w:tc>
      </w:tr>
      <w:tr w:rsidR="00EF49F3" w:rsidRPr="00EF49F3" w14:paraId="6EA786B1" w14:textId="77777777" w:rsidTr="00EF49F3">
        <w:trPr>
          <w:trHeight w:val="300"/>
        </w:trPr>
        <w:tc>
          <w:tcPr>
            <w:tcW w:w="2080" w:type="dxa"/>
            <w:tcBorders>
              <w:top w:val="nil"/>
              <w:left w:val="nil"/>
              <w:bottom w:val="nil"/>
              <w:right w:val="nil"/>
            </w:tcBorders>
            <w:shd w:val="clear" w:color="auto" w:fill="auto"/>
            <w:noWrap/>
            <w:vAlign w:val="center"/>
            <w:hideMark/>
          </w:tcPr>
          <w:p w14:paraId="690C5334"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Moravskoslezský kraj</w:t>
            </w:r>
          </w:p>
        </w:tc>
        <w:tc>
          <w:tcPr>
            <w:tcW w:w="624" w:type="dxa"/>
            <w:tcBorders>
              <w:top w:val="nil"/>
              <w:left w:val="nil"/>
              <w:bottom w:val="nil"/>
              <w:right w:val="nil"/>
            </w:tcBorders>
            <w:shd w:val="clear" w:color="auto" w:fill="auto"/>
            <w:noWrap/>
            <w:vAlign w:val="center"/>
            <w:hideMark/>
          </w:tcPr>
          <w:p w14:paraId="18E0EB21" w14:textId="77777777" w:rsidR="00EF49F3" w:rsidRPr="00EF49F3" w:rsidRDefault="00EF49F3" w:rsidP="00EF49F3">
            <w:pPr>
              <w:spacing w:after="0" w:line="240" w:lineRule="auto"/>
              <w:jc w:val="right"/>
              <w:rPr>
                <w:rFonts w:cs="Arial"/>
                <w:sz w:val="16"/>
                <w:szCs w:val="16"/>
              </w:rPr>
            </w:pPr>
            <w:r w:rsidRPr="00EF49F3">
              <w:rPr>
                <w:rFonts w:cs="Arial"/>
                <w:sz w:val="16"/>
                <w:szCs w:val="16"/>
              </w:rPr>
              <w:t>6,00</w:t>
            </w:r>
          </w:p>
        </w:tc>
        <w:tc>
          <w:tcPr>
            <w:tcW w:w="624" w:type="dxa"/>
            <w:tcBorders>
              <w:top w:val="nil"/>
              <w:left w:val="nil"/>
              <w:bottom w:val="nil"/>
              <w:right w:val="nil"/>
            </w:tcBorders>
            <w:shd w:val="clear" w:color="auto" w:fill="auto"/>
            <w:noWrap/>
            <w:vAlign w:val="center"/>
            <w:hideMark/>
          </w:tcPr>
          <w:p w14:paraId="07A9006C" w14:textId="77777777" w:rsidR="00EF49F3" w:rsidRPr="00EF49F3" w:rsidRDefault="00EF49F3" w:rsidP="00EF49F3">
            <w:pPr>
              <w:spacing w:after="0" w:line="240" w:lineRule="auto"/>
              <w:jc w:val="right"/>
              <w:rPr>
                <w:rFonts w:cs="Arial"/>
                <w:sz w:val="16"/>
                <w:szCs w:val="16"/>
              </w:rPr>
            </w:pPr>
            <w:r w:rsidRPr="00EF49F3">
              <w:rPr>
                <w:rFonts w:cs="Arial"/>
                <w:sz w:val="16"/>
                <w:szCs w:val="16"/>
              </w:rPr>
              <w:t>5,05</w:t>
            </w:r>
          </w:p>
        </w:tc>
        <w:tc>
          <w:tcPr>
            <w:tcW w:w="624" w:type="dxa"/>
            <w:tcBorders>
              <w:top w:val="nil"/>
              <w:left w:val="nil"/>
              <w:bottom w:val="nil"/>
              <w:right w:val="nil"/>
            </w:tcBorders>
            <w:shd w:val="clear" w:color="auto" w:fill="auto"/>
            <w:noWrap/>
            <w:vAlign w:val="center"/>
            <w:hideMark/>
          </w:tcPr>
          <w:p w14:paraId="7981E1E2" w14:textId="77777777" w:rsidR="00EF49F3" w:rsidRPr="00EF49F3" w:rsidRDefault="00EF49F3" w:rsidP="00EF49F3">
            <w:pPr>
              <w:spacing w:after="0" w:line="240" w:lineRule="auto"/>
              <w:jc w:val="right"/>
              <w:rPr>
                <w:rFonts w:cs="Arial"/>
                <w:sz w:val="16"/>
                <w:szCs w:val="16"/>
              </w:rPr>
            </w:pPr>
            <w:r w:rsidRPr="00EF49F3">
              <w:rPr>
                <w:rFonts w:cs="Arial"/>
                <w:sz w:val="16"/>
                <w:szCs w:val="16"/>
              </w:rPr>
              <w:t>4,66</w:t>
            </w:r>
          </w:p>
        </w:tc>
        <w:tc>
          <w:tcPr>
            <w:tcW w:w="624" w:type="dxa"/>
            <w:tcBorders>
              <w:top w:val="nil"/>
              <w:left w:val="nil"/>
              <w:bottom w:val="nil"/>
              <w:right w:val="nil"/>
            </w:tcBorders>
            <w:shd w:val="clear" w:color="auto" w:fill="auto"/>
            <w:noWrap/>
            <w:vAlign w:val="center"/>
            <w:hideMark/>
          </w:tcPr>
          <w:p w14:paraId="06C39337" w14:textId="77777777" w:rsidR="00EF49F3" w:rsidRPr="00EF49F3" w:rsidRDefault="00EF49F3" w:rsidP="00EF49F3">
            <w:pPr>
              <w:spacing w:after="0" w:line="240" w:lineRule="auto"/>
              <w:jc w:val="right"/>
              <w:rPr>
                <w:rFonts w:cs="Arial"/>
                <w:sz w:val="16"/>
                <w:szCs w:val="16"/>
              </w:rPr>
            </w:pPr>
            <w:r w:rsidRPr="00EF49F3">
              <w:rPr>
                <w:rFonts w:cs="Arial"/>
                <w:sz w:val="16"/>
                <w:szCs w:val="16"/>
              </w:rPr>
              <w:t>4,71</w:t>
            </w:r>
          </w:p>
        </w:tc>
        <w:tc>
          <w:tcPr>
            <w:tcW w:w="624" w:type="dxa"/>
            <w:tcBorders>
              <w:top w:val="nil"/>
              <w:left w:val="nil"/>
              <w:bottom w:val="nil"/>
              <w:right w:val="nil"/>
            </w:tcBorders>
            <w:shd w:val="clear" w:color="auto" w:fill="auto"/>
            <w:noWrap/>
            <w:vAlign w:val="center"/>
            <w:hideMark/>
          </w:tcPr>
          <w:p w14:paraId="17F35F0D" w14:textId="77777777" w:rsidR="00EF49F3" w:rsidRPr="00EF49F3" w:rsidRDefault="00EF49F3" w:rsidP="00EF49F3">
            <w:pPr>
              <w:spacing w:after="0" w:line="240" w:lineRule="auto"/>
              <w:jc w:val="right"/>
              <w:rPr>
                <w:rFonts w:cs="Arial"/>
                <w:sz w:val="16"/>
                <w:szCs w:val="16"/>
              </w:rPr>
            </w:pPr>
            <w:r w:rsidRPr="00EF49F3">
              <w:rPr>
                <w:rFonts w:cs="Arial"/>
                <w:sz w:val="16"/>
                <w:szCs w:val="16"/>
              </w:rPr>
              <w:t>4,25</w:t>
            </w:r>
          </w:p>
        </w:tc>
        <w:tc>
          <w:tcPr>
            <w:tcW w:w="624" w:type="dxa"/>
            <w:tcBorders>
              <w:top w:val="nil"/>
              <w:left w:val="nil"/>
              <w:bottom w:val="nil"/>
              <w:right w:val="nil"/>
            </w:tcBorders>
            <w:shd w:val="clear" w:color="auto" w:fill="auto"/>
            <w:noWrap/>
            <w:vAlign w:val="center"/>
            <w:hideMark/>
          </w:tcPr>
          <w:p w14:paraId="6E9246CB" w14:textId="77777777" w:rsidR="00EF49F3" w:rsidRPr="00EF49F3" w:rsidRDefault="00EF49F3" w:rsidP="00EF49F3">
            <w:pPr>
              <w:spacing w:after="0" w:line="240" w:lineRule="auto"/>
              <w:jc w:val="right"/>
              <w:rPr>
                <w:rFonts w:cs="Arial"/>
                <w:sz w:val="16"/>
                <w:szCs w:val="16"/>
              </w:rPr>
            </w:pPr>
            <w:r w:rsidRPr="00EF49F3">
              <w:rPr>
                <w:rFonts w:cs="Arial"/>
                <w:sz w:val="16"/>
                <w:szCs w:val="16"/>
              </w:rPr>
              <w:t>4,72</w:t>
            </w:r>
          </w:p>
        </w:tc>
        <w:tc>
          <w:tcPr>
            <w:tcW w:w="624" w:type="dxa"/>
            <w:tcBorders>
              <w:top w:val="nil"/>
              <w:left w:val="nil"/>
              <w:bottom w:val="nil"/>
              <w:right w:val="nil"/>
            </w:tcBorders>
            <w:shd w:val="clear" w:color="auto" w:fill="auto"/>
            <w:noWrap/>
            <w:vAlign w:val="center"/>
            <w:hideMark/>
          </w:tcPr>
          <w:p w14:paraId="7CB2C81D" w14:textId="77777777" w:rsidR="00EF49F3" w:rsidRPr="00EF49F3" w:rsidRDefault="00EF49F3" w:rsidP="00EF49F3">
            <w:pPr>
              <w:spacing w:after="0" w:line="240" w:lineRule="auto"/>
              <w:jc w:val="right"/>
              <w:rPr>
                <w:rFonts w:cs="Arial"/>
                <w:sz w:val="16"/>
                <w:szCs w:val="16"/>
              </w:rPr>
            </w:pPr>
            <w:r w:rsidRPr="00EF49F3">
              <w:rPr>
                <w:rFonts w:cs="Arial"/>
                <w:sz w:val="16"/>
                <w:szCs w:val="16"/>
              </w:rPr>
              <w:t>4,53</w:t>
            </w:r>
          </w:p>
        </w:tc>
        <w:tc>
          <w:tcPr>
            <w:tcW w:w="624" w:type="dxa"/>
            <w:tcBorders>
              <w:top w:val="nil"/>
              <w:left w:val="nil"/>
              <w:bottom w:val="nil"/>
              <w:right w:val="nil"/>
            </w:tcBorders>
            <w:shd w:val="clear" w:color="auto" w:fill="auto"/>
            <w:noWrap/>
            <w:vAlign w:val="center"/>
            <w:hideMark/>
          </w:tcPr>
          <w:p w14:paraId="71B3EFCD" w14:textId="77777777" w:rsidR="00EF49F3" w:rsidRPr="00EF49F3" w:rsidRDefault="00EF49F3" w:rsidP="00EF49F3">
            <w:pPr>
              <w:spacing w:after="0" w:line="240" w:lineRule="auto"/>
              <w:jc w:val="right"/>
              <w:rPr>
                <w:rFonts w:cs="Arial"/>
                <w:sz w:val="16"/>
                <w:szCs w:val="16"/>
              </w:rPr>
            </w:pPr>
            <w:r w:rsidRPr="00EF49F3">
              <w:rPr>
                <w:rFonts w:cs="Arial"/>
                <w:sz w:val="16"/>
                <w:szCs w:val="16"/>
              </w:rPr>
              <w:t>5,09</w:t>
            </w:r>
          </w:p>
        </w:tc>
        <w:tc>
          <w:tcPr>
            <w:tcW w:w="624" w:type="dxa"/>
            <w:tcBorders>
              <w:top w:val="nil"/>
              <w:left w:val="nil"/>
              <w:bottom w:val="nil"/>
              <w:right w:val="nil"/>
            </w:tcBorders>
            <w:shd w:val="clear" w:color="auto" w:fill="auto"/>
            <w:noWrap/>
            <w:vAlign w:val="center"/>
            <w:hideMark/>
          </w:tcPr>
          <w:p w14:paraId="1F0381A3" w14:textId="77777777" w:rsidR="00EF49F3" w:rsidRPr="00EF49F3" w:rsidRDefault="00EF49F3" w:rsidP="00EF49F3">
            <w:pPr>
              <w:spacing w:after="0" w:line="240" w:lineRule="auto"/>
              <w:jc w:val="right"/>
              <w:rPr>
                <w:rFonts w:cs="Arial"/>
                <w:sz w:val="16"/>
                <w:szCs w:val="16"/>
              </w:rPr>
            </w:pPr>
            <w:r w:rsidRPr="00EF49F3">
              <w:rPr>
                <w:rFonts w:cs="Arial"/>
                <w:sz w:val="16"/>
                <w:szCs w:val="16"/>
              </w:rPr>
              <w:t>5,39</w:t>
            </w:r>
          </w:p>
        </w:tc>
        <w:tc>
          <w:tcPr>
            <w:tcW w:w="624" w:type="dxa"/>
            <w:tcBorders>
              <w:top w:val="nil"/>
              <w:left w:val="nil"/>
              <w:bottom w:val="nil"/>
              <w:right w:val="nil"/>
            </w:tcBorders>
            <w:shd w:val="clear" w:color="auto" w:fill="auto"/>
            <w:noWrap/>
            <w:vAlign w:val="center"/>
            <w:hideMark/>
          </w:tcPr>
          <w:p w14:paraId="64910EEC" w14:textId="77777777" w:rsidR="00EF49F3" w:rsidRPr="00EF49F3" w:rsidRDefault="00EF49F3" w:rsidP="00EF49F3">
            <w:pPr>
              <w:spacing w:after="0" w:line="240" w:lineRule="auto"/>
              <w:jc w:val="right"/>
              <w:rPr>
                <w:rFonts w:cs="Arial"/>
                <w:sz w:val="16"/>
                <w:szCs w:val="16"/>
              </w:rPr>
            </w:pPr>
            <w:r w:rsidRPr="00EF49F3">
              <w:rPr>
                <w:rFonts w:cs="Arial"/>
                <w:sz w:val="16"/>
                <w:szCs w:val="16"/>
              </w:rPr>
              <w:t>5,62</w:t>
            </w:r>
          </w:p>
        </w:tc>
        <w:tc>
          <w:tcPr>
            <w:tcW w:w="624" w:type="dxa"/>
            <w:tcBorders>
              <w:top w:val="nil"/>
              <w:left w:val="nil"/>
              <w:bottom w:val="nil"/>
              <w:right w:val="nil"/>
            </w:tcBorders>
            <w:shd w:val="clear" w:color="000000" w:fill="FFFFFF"/>
            <w:noWrap/>
            <w:vAlign w:val="center"/>
            <w:hideMark/>
          </w:tcPr>
          <w:p w14:paraId="2BF6633B"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5,67</w:t>
            </w:r>
          </w:p>
        </w:tc>
        <w:tc>
          <w:tcPr>
            <w:tcW w:w="624" w:type="dxa"/>
            <w:tcBorders>
              <w:top w:val="nil"/>
              <w:left w:val="nil"/>
              <w:bottom w:val="nil"/>
              <w:right w:val="nil"/>
            </w:tcBorders>
            <w:shd w:val="clear" w:color="auto" w:fill="auto"/>
            <w:noWrap/>
            <w:vAlign w:val="center"/>
            <w:hideMark/>
          </w:tcPr>
          <w:p w14:paraId="26498CB3"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5,96</w:t>
            </w:r>
          </w:p>
        </w:tc>
      </w:tr>
    </w:tbl>
    <w:p w14:paraId="39BE2BB5" w14:textId="77777777" w:rsidR="004852BF" w:rsidRPr="001338A0" w:rsidRDefault="004852BF" w:rsidP="00171A2F">
      <w:pPr>
        <w:spacing w:before="120"/>
        <w:jc w:val="both"/>
        <w:rPr>
          <w:rFonts w:cs="Arial"/>
          <w:sz w:val="16"/>
          <w:szCs w:val="16"/>
        </w:rPr>
      </w:pPr>
      <w:r>
        <w:rPr>
          <w:rFonts w:cs="Arial"/>
          <w:sz w:val="16"/>
          <w:szCs w:val="16"/>
        </w:rPr>
        <w:t>Zdroj: ČSÚ</w:t>
      </w:r>
    </w:p>
    <w:p w14:paraId="4C2BF02B" w14:textId="5AB64673" w:rsidR="004952C5" w:rsidRDefault="004952C5" w:rsidP="00271088">
      <w:pPr>
        <w:jc w:val="both"/>
        <w:rPr>
          <w:rFonts w:cs="Arial"/>
        </w:rPr>
      </w:pPr>
      <w:r>
        <w:rPr>
          <w:rFonts w:cs="Arial"/>
        </w:rPr>
        <w:t xml:space="preserve">Vývoj hodnot </w:t>
      </w:r>
      <w:r w:rsidR="00BD64F6">
        <w:rPr>
          <w:rFonts w:cs="Arial"/>
        </w:rPr>
        <w:t>ukazatele průměrn</w:t>
      </w:r>
      <w:r w:rsidR="007E15FF">
        <w:rPr>
          <w:rFonts w:cs="Arial"/>
        </w:rPr>
        <w:t xml:space="preserve">ý denní stav dočasně práce </w:t>
      </w:r>
      <w:r w:rsidR="00A57689">
        <w:rPr>
          <w:rFonts w:cs="Arial"/>
        </w:rPr>
        <w:t>neschopných v posledních 12 letech j</w:t>
      </w:r>
      <w:r>
        <w:rPr>
          <w:rFonts w:cs="Arial"/>
        </w:rPr>
        <w:t>e zřejmý z</w:t>
      </w:r>
      <w:r w:rsidR="00DD07A3">
        <w:rPr>
          <w:rFonts w:cs="Arial"/>
        </w:rPr>
        <w:t> </w:t>
      </w:r>
      <w:r>
        <w:rPr>
          <w:rFonts w:cs="Arial"/>
        </w:rPr>
        <w:t>tab</w:t>
      </w:r>
      <w:r w:rsidR="00DD07A3">
        <w:rPr>
          <w:rFonts w:cs="Arial"/>
        </w:rPr>
        <w:t>.</w:t>
      </w:r>
      <w:r>
        <w:rPr>
          <w:rFonts w:cs="Arial"/>
        </w:rPr>
        <w:t xml:space="preserve"> 2.9</w:t>
      </w:r>
      <w:r w:rsidR="00A57689">
        <w:rPr>
          <w:rFonts w:cs="Arial"/>
        </w:rPr>
        <w:t>. Zatímco v 1. pol. 2009 bylo 89 % osob v pracovní neschopnosti indisponováno z důvodu nemoci, o</w:t>
      </w:r>
      <w:r w:rsidR="005A0510">
        <w:rPr>
          <w:rFonts w:cs="Arial"/>
        </w:rPr>
        <w:t> </w:t>
      </w:r>
      <w:r w:rsidR="00A57689">
        <w:rPr>
          <w:rFonts w:cs="Arial"/>
        </w:rPr>
        <w:t>10 let později to bylo 86 %. Naopak vzrostl podíl osob, které byly v pracovní neschopnosti z důvodu jiných než pracovních úrazů</w:t>
      </w:r>
      <w:r w:rsidR="0064109D">
        <w:rPr>
          <w:rFonts w:cs="Arial"/>
        </w:rPr>
        <w:t>, ze 7 % v 1. pol. 2009 na 11 % v 1.</w:t>
      </w:r>
      <w:r w:rsidR="00D37750">
        <w:rPr>
          <w:rFonts w:cs="Arial"/>
        </w:rPr>
        <w:t xml:space="preserve"> pol. 2019. </w:t>
      </w:r>
      <w:r w:rsidR="0064109D">
        <w:rPr>
          <w:rFonts w:cs="Arial"/>
        </w:rPr>
        <w:t>V</w:t>
      </w:r>
      <w:r w:rsidR="00AC1857">
        <w:rPr>
          <w:rFonts w:cs="Arial"/>
        </w:rPr>
        <w:t>ývoj</w:t>
      </w:r>
      <w:r w:rsidR="0064109D">
        <w:rPr>
          <w:rFonts w:cs="Arial"/>
        </w:rPr>
        <w:t>ová křivka tohoto ukazatele má obdobnou tendenci jako počet případů pracovní neschopnosti.</w:t>
      </w:r>
    </w:p>
    <w:p w14:paraId="4FDF9E98" w14:textId="19E53DDE" w:rsidR="00EE5D67" w:rsidRDefault="00895A67" w:rsidP="0064109D">
      <w:pPr>
        <w:spacing w:after="120"/>
        <w:jc w:val="both"/>
        <w:rPr>
          <w:rFonts w:ascii="Calibri" w:eastAsia="Calibri" w:hAnsi="Calibri"/>
          <w:szCs w:val="20"/>
          <w:lang w:eastAsia="en-US"/>
        </w:rPr>
      </w:pPr>
      <w:r>
        <w:rPr>
          <w:b/>
        </w:rPr>
        <w:t xml:space="preserve">Tab. 2.9: </w:t>
      </w:r>
      <w:r w:rsidRPr="00895A67">
        <w:rPr>
          <w:b/>
        </w:rPr>
        <w:t xml:space="preserve">Průměrný denní stav dočasně práce neschopných </w:t>
      </w:r>
      <w:r w:rsidR="004E061D">
        <w:rPr>
          <w:b/>
        </w:rPr>
        <w:t xml:space="preserve">podle příčiny a pohlaví </w:t>
      </w:r>
      <w:r w:rsidRPr="00895A67">
        <w:rPr>
          <w:b/>
        </w:rPr>
        <w:t>v 1. pol. 2008</w:t>
      </w:r>
      <w:r w:rsidR="0047242F">
        <w:rPr>
          <w:b/>
        </w:rPr>
        <w:t> </w:t>
      </w:r>
      <w:r w:rsidRPr="00895A67">
        <w:rPr>
          <w:b/>
        </w:rPr>
        <w:t>–</w:t>
      </w:r>
      <w:r w:rsidR="0047242F">
        <w:rPr>
          <w:b/>
        </w:rPr>
        <w:t> </w:t>
      </w:r>
      <w:r w:rsidRPr="00895A67">
        <w:rPr>
          <w:b/>
        </w:rPr>
        <w:t>1.</w:t>
      </w:r>
      <w:r w:rsidR="0047242F">
        <w:rPr>
          <w:b/>
        </w:rPr>
        <w:t> </w:t>
      </w:r>
      <w:r w:rsidRPr="00895A67">
        <w:rPr>
          <w:b/>
        </w:rPr>
        <w:t>pol. 2019</w:t>
      </w:r>
      <w:r w:rsidR="00EF49F3">
        <w:fldChar w:fldCharType="begin"/>
      </w:r>
      <w:r w:rsidR="00EF49F3">
        <w:instrText xml:space="preserve"> LINK </w:instrText>
      </w:r>
      <w:r w:rsidR="00EE5D67">
        <w:instrText xml:space="preserve">Excel.Sheet.12 "E:\\PN_1.pol.2019\\1. pol\\TABULKY V TEXTU.xlsx" 2.9!R4C1:R18C13 </w:instrText>
      </w:r>
      <w:r w:rsidR="00EF49F3">
        <w:instrText xml:space="preserve">\a \f 4 \h </w:instrText>
      </w:r>
      <w:r>
        <w:instrText xml:space="preserve"> \* MERGEFORMAT </w:instrText>
      </w:r>
      <w:r w:rsidR="00EF49F3">
        <w:fldChar w:fldCharType="separate"/>
      </w:r>
    </w:p>
    <w:tbl>
      <w:tblPr>
        <w:tblW w:w="9490" w:type="dxa"/>
        <w:tblCellMar>
          <w:left w:w="70" w:type="dxa"/>
          <w:right w:w="70" w:type="dxa"/>
        </w:tblCellMar>
        <w:tblLook w:val="04A0" w:firstRow="1" w:lastRow="0" w:firstColumn="1" w:lastColumn="0" w:noHBand="0" w:noVBand="1"/>
      </w:tblPr>
      <w:tblGrid>
        <w:gridCol w:w="991"/>
        <w:gridCol w:w="747"/>
        <w:gridCol w:w="686"/>
        <w:gridCol w:w="688"/>
        <w:gridCol w:w="747"/>
        <w:gridCol w:w="686"/>
        <w:gridCol w:w="688"/>
        <w:gridCol w:w="761"/>
        <w:gridCol w:w="686"/>
        <w:gridCol w:w="688"/>
        <w:gridCol w:w="747"/>
        <w:gridCol w:w="686"/>
        <w:gridCol w:w="689"/>
      </w:tblGrid>
      <w:tr w:rsidR="00EE5D67" w:rsidRPr="00EE5D67" w14:paraId="67D7B225" w14:textId="77777777" w:rsidTr="00EE5D67">
        <w:trPr>
          <w:divId w:val="1275137038"/>
          <w:trHeight w:val="308"/>
        </w:trPr>
        <w:tc>
          <w:tcPr>
            <w:tcW w:w="991" w:type="dxa"/>
            <w:vMerge w:val="restart"/>
            <w:tcBorders>
              <w:top w:val="single" w:sz="4" w:space="0" w:color="auto"/>
              <w:left w:val="nil"/>
              <w:bottom w:val="single" w:sz="4" w:space="0" w:color="auto"/>
              <w:right w:val="single" w:sz="4" w:space="0" w:color="auto"/>
            </w:tcBorders>
            <w:shd w:val="clear" w:color="000000" w:fill="F2DCDB"/>
            <w:vAlign w:val="center"/>
            <w:hideMark/>
          </w:tcPr>
          <w:p w14:paraId="7975FFC0" w14:textId="618F41E3" w:rsidR="00EE5D67" w:rsidRPr="00EE5D67" w:rsidRDefault="00EE5D67" w:rsidP="00EE5D67">
            <w:pPr>
              <w:spacing w:after="0" w:line="240" w:lineRule="auto"/>
              <w:jc w:val="center"/>
              <w:rPr>
                <w:rFonts w:cs="Arial"/>
                <w:sz w:val="16"/>
                <w:szCs w:val="16"/>
              </w:rPr>
            </w:pPr>
            <w:r w:rsidRPr="00EE5D67">
              <w:rPr>
                <w:rFonts w:cs="Arial"/>
                <w:sz w:val="16"/>
                <w:szCs w:val="16"/>
              </w:rPr>
              <w:t>Rok</w:t>
            </w:r>
          </w:p>
        </w:tc>
        <w:tc>
          <w:tcPr>
            <w:tcW w:w="8499" w:type="dxa"/>
            <w:gridSpan w:val="12"/>
            <w:tcBorders>
              <w:top w:val="single" w:sz="4" w:space="0" w:color="auto"/>
              <w:left w:val="nil"/>
              <w:bottom w:val="single" w:sz="4" w:space="0" w:color="auto"/>
              <w:right w:val="nil"/>
            </w:tcBorders>
            <w:shd w:val="clear" w:color="000000" w:fill="F2DCDB"/>
            <w:vAlign w:val="center"/>
            <w:hideMark/>
          </w:tcPr>
          <w:p w14:paraId="3EE16475" w14:textId="77777777" w:rsidR="00EE5D67" w:rsidRPr="00EE5D67" w:rsidRDefault="00EE5D67" w:rsidP="00EE5D67">
            <w:pPr>
              <w:spacing w:after="0" w:line="240" w:lineRule="auto"/>
              <w:jc w:val="center"/>
              <w:rPr>
                <w:rFonts w:cs="Arial"/>
                <w:sz w:val="16"/>
                <w:szCs w:val="16"/>
              </w:rPr>
            </w:pPr>
            <w:r w:rsidRPr="00EE5D67">
              <w:rPr>
                <w:rFonts w:cs="Arial"/>
                <w:sz w:val="16"/>
                <w:szCs w:val="16"/>
              </w:rPr>
              <w:t>Průměrný denní stav dočasně práce neschopných (v tis.)</w:t>
            </w:r>
          </w:p>
        </w:tc>
      </w:tr>
      <w:tr w:rsidR="00EE5D67" w:rsidRPr="00EE5D67" w14:paraId="5FEB4B9F" w14:textId="77777777" w:rsidTr="00EE5D67">
        <w:trPr>
          <w:divId w:val="1275137038"/>
          <w:trHeight w:val="308"/>
        </w:trPr>
        <w:tc>
          <w:tcPr>
            <w:tcW w:w="991" w:type="dxa"/>
            <w:vMerge/>
            <w:tcBorders>
              <w:top w:val="single" w:sz="4" w:space="0" w:color="auto"/>
              <w:left w:val="nil"/>
              <w:bottom w:val="single" w:sz="4" w:space="0" w:color="auto"/>
              <w:right w:val="single" w:sz="4" w:space="0" w:color="auto"/>
            </w:tcBorders>
            <w:vAlign w:val="center"/>
            <w:hideMark/>
          </w:tcPr>
          <w:p w14:paraId="58DA26E2" w14:textId="77777777" w:rsidR="00EE5D67" w:rsidRPr="00EE5D67" w:rsidRDefault="00EE5D67" w:rsidP="00EE5D67">
            <w:pPr>
              <w:spacing w:after="0" w:line="240" w:lineRule="auto"/>
              <w:rPr>
                <w:rFonts w:cs="Arial"/>
                <w:sz w:val="16"/>
                <w:szCs w:val="16"/>
              </w:rPr>
            </w:pPr>
          </w:p>
        </w:tc>
        <w:tc>
          <w:tcPr>
            <w:tcW w:w="747" w:type="dxa"/>
            <w:vMerge w:val="restart"/>
            <w:tcBorders>
              <w:top w:val="nil"/>
              <w:left w:val="single" w:sz="4" w:space="0" w:color="auto"/>
              <w:bottom w:val="single" w:sz="4" w:space="0" w:color="auto"/>
              <w:right w:val="single" w:sz="4" w:space="0" w:color="auto"/>
            </w:tcBorders>
            <w:shd w:val="clear" w:color="000000" w:fill="F2DCDB"/>
            <w:vAlign w:val="center"/>
            <w:hideMark/>
          </w:tcPr>
          <w:p w14:paraId="44128617" w14:textId="77777777" w:rsidR="00EE5D67" w:rsidRPr="00EE5D67" w:rsidRDefault="00EE5D67" w:rsidP="00EE5D67">
            <w:pPr>
              <w:spacing w:after="0" w:line="240" w:lineRule="auto"/>
              <w:jc w:val="center"/>
              <w:rPr>
                <w:rFonts w:cs="Arial"/>
                <w:sz w:val="16"/>
                <w:szCs w:val="16"/>
              </w:rPr>
            </w:pPr>
            <w:r w:rsidRPr="00EE5D67">
              <w:rPr>
                <w:rFonts w:cs="Arial"/>
                <w:sz w:val="16"/>
                <w:szCs w:val="16"/>
              </w:rPr>
              <w:t>Celkem</w:t>
            </w:r>
          </w:p>
        </w:tc>
        <w:tc>
          <w:tcPr>
            <w:tcW w:w="1374" w:type="dxa"/>
            <w:gridSpan w:val="2"/>
            <w:tcBorders>
              <w:top w:val="single" w:sz="4" w:space="0" w:color="auto"/>
              <w:left w:val="nil"/>
              <w:bottom w:val="single" w:sz="4" w:space="0" w:color="auto"/>
              <w:right w:val="single" w:sz="4" w:space="0" w:color="auto"/>
            </w:tcBorders>
            <w:shd w:val="clear" w:color="000000" w:fill="F2DCDB"/>
            <w:vAlign w:val="center"/>
            <w:hideMark/>
          </w:tcPr>
          <w:p w14:paraId="15AEFFF8"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c>
          <w:tcPr>
            <w:tcW w:w="747" w:type="dxa"/>
            <w:vMerge w:val="restart"/>
            <w:tcBorders>
              <w:top w:val="nil"/>
              <w:left w:val="single" w:sz="4" w:space="0" w:color="auto"/>
              <w:right w:val="single" w:sz="4" w:space="0" w:color="auto"/>
            </w:tcBorders>
            <w:shd w:val="clear" w:color="000000" w:fill="F2DCDB"/>
            <w:vAlign w:val="center"/>
            <w:hideMark/>
          </w:tcPr>
          <w:p w14:paraId="759E77E0" w14:textId="77777777" w:rsidR="00EE5D67" w:rsidRPr="00EE5D67" w:rsidRDefault="00EE5D67" w:rsidP="00EE5D67">
            <w:pPr>
              <w:spacing w:after="0" w:line="240" w:lineRule="auto"/>
              <w:jc w:val="center"/>
              <w:rPr>
                <w:rFonts w:cs="Arial"/>
                <w:sz w:val="16"/>
                <w:szCs w:val="16"/>
              </w:rPr>
            </w:pPr>
            <w:r w:rsidRPr="00EE5D67">
              <w:rPr>
                <w:rFonts w:cs="Arial"/>
                <w:sz w:val="16"/>
                <w:szCs w:val="16"/>
              </w:rPr>
              <w:t>Celkem pro nemoc</w:t>
            </w:r>
          </w:p>
        </w:tc>
        <w:tc>
          <w:tcPr>
            <w:tcW w:w="1374" w:type="dxa"/>
            <w:gridSpan w:val="2"/>
            <w:tcBorders>
              <w:top w:val="single" w:sz="4" w:space="0" w:color="auto"/>
              <w:left w:val="nil"/>
              <w:bottom w:val="single" w:sz="4" w:space="0" w:color="auto"/>
              <w:right w:val="single" w:sz="4" w:space="0" w:color="auto"/>
            </w:tcBorders>
            <w:shd w:val="clear" w:color="000000" w:fill="F2DCDB"/>
            <w:vAlign w:val="center"/>
            <w:hideMark/>
          </w:tcPr>
          <w:p w14:paraId="5B69C1B6"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c>
          <w:tcPr>
            <w:tcW w:w="761" w:type="dxa"/>
            <w:vMerge w:val="restart"/>
            <w:tcBorders>
              <w:top w:val="nil"/>
              <w:left w:val="single" w:sz="4" w:space="0" w:color="auto"/>
              <w:right w:val="single" w:sz="4" w:space="0" w:color="auto"/>
            </w:tcBorders>
            <w:shd w:val="clear" w:color="000000" w:fill="F2DCDB"/>
            <w:vAlign w:val="center"/>
            <w:hideMark/>
          </w:tcPr>
          <w:p w14:paraId="03394E58" w14:textId="77777777" w:rsidR="00EE5D67" w:rsidRPr="00EE5D67" w:rsidRDefault="00EE5D67" w:rsidP="00EE5D67">
            <w:pPr>
              <w:spacing w:after="0" w:line="240" w:lineRule="auto"/>
              <w:jc w:val="center"/>
              <w:rPr>
                <w:rFonts w:cs="Arial"/>
                <w:sz w:val="16"/>
                <w:szCs w:val="16"/>
              </w:rPr>
            </w:pPr>
            <w:r w:rsidRPr="00EE5D67">
              <w:rPr>
                <w:rFonts w:cs="Arial"/>
                <w:sz w:val="16"/>
                <w:szCs w:val="16"/>
              </w:rPr>
              <w:t>Celkem pro pracovní úrazy</w:t>
            </w:r>
          </w:p>
        </w:tc>
        <w:tc>
          <w:tcPr>
            <w:tcW w:w="1374" w:type="dxa"/>
            <w:gridSpan w:val="2"/>
            <w:tcBorders>
              <w:top w:val="single" w:sz="4" w:space="0" w:color="auto"/>
              <w:left w:val="nil"/>
              <w:bottom w:val="single" w:sz="4" w:space="0" w:color="auto"/>
              <w:right w:val="single" w:sz="4" w:space="0" w:color="auto"/>
            </w:tcBorders>
            <w:shd w:val="clear" w:color="000000" w:fill="F2DCDB"/>
            <w:vAlign w:val="center"/>
            <w:hideMark/>
          </w:tcPr>
          <w:p w14:paraId="487F36AC"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c>
          <w:tcPr>
            <w:tcW w:w="747" w:type="dxa"/>
            <w:vMerge w:val="restart"/>
            <w:tcBorders>
              <w:top w:val="nil"/>
              <w:left w:val="single" w:sz="4" w:space="0" w:color="auto"/>
              <w:right w:val="single" w:sz="4" w:space="0" w:color="auto"/>
            </w:tcBorders>
            <w:shd w:val="clear" w:color="000000" w:fill="F2DCDB"/>
            <w:vAlign w:val="center"/>
            <w:hideMark/>
          </w:tcPr>
          <w:p w14:paraId="536140DF" w14:textId="77777777" w:rsidR="00EE5D67" w:rsidRPr="00EE5D67" w:rsidRDefault="00EE5D67" w:rsidP="00EE5D67">
            <w:pPr>
              <w:spacing w:after="0" w:line="240" w:lineRule="auto"/>
              <w:jc w:val="center"/>
              <w:rPr>
                <w:rFonts w:cs="Arial"/>
                <w:sz w:val="16"/>
                <w:szCs w:val="16"/>
              </w:rPr>
            </w:pPr>
            <w:r w:rsidRPr="00EE5D67">
              <w:rPr>
                <w:rFonts w:cs="Arial"/>
                <w:sz w:val="16"/>
                <w:szCs w:val="16"/>
              </w:rPr>
              <w:t>Celkem pro ostatní úrazy</w:t>
            </w:r>
          </w:p>
        </w:tc>
        <w:tc>
          <w:tcPr>
            <w:tcW w:w="1375" w:type="dxa"/>
            <w:gridSpan w:val="2"/>
            <w:tcBorders>
              <w:top w:val="single" w:sz="4" w:space="0" w:color="auto"/>
              <w:left w:val="nil"/>
              <w:bottom w:val="single" w:sz="4" w:space="0" w:color="auto"/>
            </w:tcBorders>
            <w:shd w:val="clear" w:color="000000" w:fill="F2DCDB"/>
            <w:vAlign w:val="center"/>
            <w:hideMark/>
          </w:tcPr>
          <w:p w14:paraId="55029A6E"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r>
      <w:tr w:rsidR="00EE5D67" w:rsidRPr="00EE5D67" w14:paraId="7DD0155D" w14:textId="77777777" w:rsidTr="00EE5D67">
        <w:trPr>
          <w:divId w:val="1275137038"/>
          <w:trHeight w:val="678"/>
        </w:trPr>
        <w:tc>
          <w:tcPr>
            <w:tcW w:w="991" w:type="dxa"/>
            <w:vMerge/>
            <w:tcBorders>
              <w:top w:val="single" w:sz="4" w:space="0" w:color="auto"/>
              <w:left w:val="nil"/>
              <w:bottom w:val="single" w:sz="4" w:space="0" w:color="auto"/>
              <w:right w:val="single" w:sz="4" w:space="0" w:color="auto"/>
            </w:tcBorders>
            <w:vAlign w:val="center"/>
            <w:hideMark/>
          </w:tcPr>
          <w:p w14:paraId="60C0EE8C" w14:textId="77777777" w:rsidR="00EE5D67" w:rsidRPr="00EE5D67" w:rsidRDefault="00EE5D67" w:rsidP="00EE5D67">
            <w:pPr>
              <w:spacing w:after="0" w:line="240" w:lineRule="auto"/>
              <w:rPr>
                <w:rFonts w:cs="Arial"/>
                <w:sz w:val="16"/>
                <w:szCs w:val="16"/>
              </w:rPr>
            </w:pPr>
          </w:p>
        </w:tc>
        <w:tc>
          <w:tcPr>
            <w:tcW w:w="747" w:type="dxa"/>
            <w:vMerge/>
            <w:tcBorders>
              <w:top w:val="nil"/>
              <w:left w:val="single" w:sz="4" w:space="0" w:color="auto"/>
              <w:bottom w:val="single" w:sz="4" w:space="0" w:color="auto"/>
              <w:right w:val="single" w:sz="4" w:space="0" w:color="auto"/>
            </w:tcBorders>
            <w:vAlign w:val="center"/>
            <w:hideMark/>
          </w:tcPr>
          <w:p w14:paraId="648C5E41" w14:textId="77777777" w:rsidR="00EE5D67" w:rsidRPr="00EE5D67" w:rsidRDefault="00EE5D67" w:rsidP="00EE5D67">
            <w:pPr>
              <w:spacing w:after="0" w:line="240" w:lineRule="auto"/>
              <w:rPr>
                <w:rFonts w:cs="Arial"/>
                <w:sz w:val="16"/>
                <w:szCs w:val="16"/>
              </w:rPr>
            </w:pPr>
          </w:p>
        </w:tc>
        <w:tc>
          <w:tcPr>
            <w:tcW w:w="686" w:type="dxa"/>
            <w:tcBorders>
              <w:top w:val="nil"/>
              <w:left w:val="nil"/>
              <w:bottom w:val="nil"/>
              <w:right w:val="single" w:sz="4" w:space="0" w:color="auto"/>
            </w:tcBorders>
            <w:shd w:val="clear" w:color="000000" w:fill="F2DCDB"/>
            <w:vAlign w:val="center"/>
            <w:hideMark/>
          </w:tcPr>
          <w:p w14:paraId="7808C4F1"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687" w:type="dxa"/>
            <w:tcBorders>
              <w:top w:val="nil"/>
              <w:left w:val="nil"/>
              <w:bottom w:val="nil"/>
              <w:right w:val="single" w:sz="4" w:space="0" w:color="auto"/>
            </w:tcBorders>
            <w:shd w:val="clear" w:color="000000" w:fill="F2DCDB"/>
            <w:vAlign w:val="center"/>
            <w:hideMark/>
          </w:tcPr>
          <w:p w14:paraId="03784FE2"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c>
          <w:tcPr>
            <w:tcW w:w="747" w:type="dxa"/>
            <w:vMerge/>
            <w:tcBorders>
              <w:left w:val="single" w:sz="4" w:space="0" w:color="auto"/>
              <w:bottom w:val="single" w:sz="4" w:space="0" w:color="auto"/>
              <w:right w:val="single" w:sz="4" w:space="0" w:color="auto"/>
            </w:tcBorders>
            <w:vAlign w:val="center"/>
            <w:hideMark/>
          </w:tcPr>
          <w:p w14:paraId="399D4E2B" w14:textId="77777777" w:rsidR="00EE5D67" w:rsidRPr="00EE5D67" w:rsidRDefault="00EE5D67" w:rsidP="00EE5D67">
            <w:pPr>
              <w:spacing w:after="0" w:line="240" w:lineRule="auto"/>
              <w:rPr>
                <w:rFonts w:cs="Arial"/>
                <w:sz w:val="16"/>
                <w:szCs w:val="16"/>
              </w:rPr>
            </w:pPr>
          </w:p>
        </w:tc>
        <w:tc>
          <w:tcPr>
            <w:tcW w:w="686" w:type="dxa"/>
            <w:tcBorders>
              <w:top w:val="nil"/>
              <w:left w:val="nil"/>
              <w:bottom w:val="nil"/>
              <w:right w:val="single" w:sz="4" w:space="0" w:color="auto"/>
            </w:tcBorders>
            <w:shd w:val="clear" w:color="000000" w:fill="F2DCDB"/>
            <w:vAlign w:val="center"/>
            <w:hideMark/>
          </w:tcPr>
          <w:p w14:paraId="62CCA2E2"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687" w:type="dxa"/>
            <w:tcBorders>
              <w:top w:val="nil"/>
              <w:left w:val="nil"/>
              <w:bottom w:val="nil"/>
              <w:right w:val="single" w:sz="4" w:space="0" w:color="auto"/>
            </w:tcBorders>
            <w:shd w:val="clear" w:color="000000" w:fill="F2DCDB"/>
            <w:vAlign w:val="center"/>
            <w:hideMark/>
          </w:tcPr>
          <w:p w14:paraId="5F919B15"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c>
          <w:tcPr>
            <w:tcW w:w="761" w:type="dxa"/>
            <w:vMerge/>
            <w:tcBorders>
              <w:left w:val="single" w:sz="4" w:space="0" w:color="auto"/>
              <w:bottom w:val="single" w:sz="4" w:space="0" w:color="auto"/>
              <w:right w:val="single" w:sz="4" w:space="0" w:color="auto"/>
            </w:tcBorders>
            <w:vAlign w:val="center"/>
            <w:hideMark/>
          </w:tcPr>
          <w:p w14:paraId="6FF74C71" w14:textId="77777777" w:rsidR="00EE5D67" w:rsidRPr="00EE5D67" w:rsidRDefault="00EE5D67" w:rsidP="00EE5D67">
            <w:pPr>
              <w:spacing w:after="0" w:line="240" w:lineRule="auto"/>
              <w:rPr>
                <w:rFonts w:cs="Arial"/>
                <w:sz w:val="16"/>
                <w:szCs w:val="16"/>
              </w:rPr>
            </w:pPr>
          </w:p>
        </w:tc>
        <w:tc>
          <w:tcPr>
            <w:tcW w:w="686" w:type="dxa"/>
            <w:tcBorders>
              <w:top w:val="nil"/>
              <w:left w:val="nil"/>
              <w:bottom w:val="nil"/>
              <w:right w:val="single" w:sz="4" w:space="0" w:color="auto"/>
            </w:tcBorders>
            <w:shd w:val="clear" w:color="000000" w:fill="F2DCDB"/>
            <w:vAlign w:val="center"/>
            <w:hideMark/>
          </w:tcPr>
          <w:p w14:paraId="7D3C86C1"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687" w:type="dxa"/>
            <w:tcBorders>
              <w:top w:val="nil"/>
              <w:left w:val="nil"/>
              <w:bottom w:val="nil"/>
              <w:right w:val="nil"/>
            </w:tcBorders>
            <w:shd w:val="clear" w:color="000000" w:fill="F2DCDB"/>
            <w:vAlign w:val="center"/>
            <w:hideMark/>
          </w:tcPr>
          <w:p w14:paraId="160A961F"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c>
          <w:tcPr>
            <w:tcW w:w="747" w:type="dxa"/>
            <w:vMerge/>
            <w:tcBorders>
              <w:left w:val="single" w:sz="4" w:space="0" w:color="auto"/>
              <w:bottom w:val="single" w:sz="4" w:space="0" w:color="auto"/>
              <w:right w:val="single" w:sz="4" w:space="0" w:color="auto"/>
            </w:tcBorders>
            <w:vAlign w:val="center"/>
            <w:hideMark/>
          </w:tcPr>
          <w:p w14:paraId="2F2DEE6B" w14:textId="77777777" w:rsidR="00EE5D67" w:rsidRPr="00EE5D67" w:rsidRDefault="00EE5D67" w:rsidP="00EE5D67">
            <w:pPr>
              <w:spacing w:after="0" w:line="240" w:lineRule="auto"/>
              <w:rPr>
                <w:rFonts w:cs="Arial"/>
                <w:sz w:val="16"/>
                <w:szCs w:val="16"/>
              </w:rPr>
            </w:pPr>
          </w:p>
        </w:tc>
        <w:tc>
          <w:tcPr>
            <w:tcW w:w="686" w:type="dxa"/>
            <w:tcBorders>
              <w:top w:val="nil"/>
              <w:left w:val="nil"/>
              <w:bottom w:val="nil"/>
              <w:right w:val="single" w:sz="4" w:space="0" w:color="auto"/>
            </w:tcBorders>
            <w:shd w:val="clear" w:color="000000" w:fill="F2DCDB"/>
            <w:vAlign w:val="center"/>
            <w:hideMark/>
          </w:tcPr>
          <w:p w14:paraId="10203978"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688" w:type="dxa"/>
            <w:tcBorders>
              <w:top w:val="nil"/>
              <w:left w:val="nil"/>
              <w:bottom w:val="nil"/>
              <w:right w:val="nil"/>
            </w:tcBorders>
            <w:shd w:val="clear" w:color="000000" w:fill="F2DCDB"/>
            <w:vAlign w:val="center"/>
            <w:hideMark/>
          </w:tcPr>
          <w:p w14:paraId="3F4965B8"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r>
      <w:tr w:rsidR="00EE5D67" w:rsidRPr="00EE5D67" w14:paraId="46CDD458" w14:textId="77777777" w:rsidTr="00EE5D67">
        <w:trPr>
          <w:divId w:val="1275137038"/>
          <w:trHeight w:val="308"/>
        </w:trPr>
        <w:tc>
          <w:tcPr>
            <w:tcW w:w="991" w:type="dxa"/>
            <w:tcBorders>
              <w:top w:val="single" w:sz="4" w:space="0" w:color="auto"/>
              <w:left w:val="nil"/>
              <w:bottom w:val="nil"/>
              <w:right w:val="single" w:sz="4" w:space="0" w:color="auto"/>
            </w:tcBorders>
            <w:shd w:val="clear" w:color="auto" w:fill="auto"/>
            <w:vAlign w:val="center"/>
            <w:hideMark/>
          </w:tcPr>
          <w:p w14:paraId="32D0829A"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2008</w:t>
            </w:r>
          </w:p>
        </w:tc>
        <w:tc>
          <w:tcPr>
            <w:tcW w:w="747" w:type="dxa"/>
            <w:tcBorders>
              <w:top w:val="single" w:sz="4" w:space="0" w:color="auto"/>
              <w:left w:val="nil"/>
              <w:bottom w:val="nil"/>
              <w:right w:val="nil"/>
            </w:tcBorders>
            <w:shd w:val="clear" w:color="auto" w:fill="auto"/>
            <w:noWrap/>
            <w:vAlign w:val="center"/>
            <w:hideMark/>
          </w:tcPr>
          <w:p w14:paraId="042F247E" w14:textId="77777777" w:rsidR="00EE5D67" w:rsidRPr="00EE5D67" w:rsidRDefault="00EE5D67" w:rsidP="00EE5D67">
            <w:pPr>
              <w:spacing w:after="0" w:line="240" w:lineRule="auto"/>
              <w:jc w:val="right"/>
              <w:rPr>
                <w:rFonts w:cs="Arial"/>
                <w:sz w:val="16"/>
                <w:szCs w:val="16"/>
              </w:rPr>
            </w:pPr>
            <w:r w:rsidRPr="00EE5D67">
              <w:rPr>
                <w:rFonts w:cs="Arial"/>
                <w:sz w:val="16"/>
                <w:szCs w:val="16"/>
              </w:rPr>
              <w:t>235,9</w:t>
            </w:r>
          </w:p>
        </w:tc>
        <w:tc>
          <w:tcPr>
            <w:tcW w:w="686" w:type="dxa"/>
            <w:tcBorders>
              <w:top w:val="single" w:sz="4" w:space="0" w:color="auto"/>
              <w:left w:val="nil"/>
              <w:bottom w:val="nil"/>
              <w:right w:val="nil"/>
            </w:tcBorders>
            <w:shd w:val="clear" w:color="auto" w:fill="auto"/>
            <w:noWrap/>
            <w:vAlign w:val="center"/>
            <w:hideMark/>
          </w:tcPr>
          <w:p w14:paraId="1F97A162" w14:textId="77777777" w:rsidR="00EE5D67" w:rsidRPr="00EE5D67" w:rsidRDefault="00EE5D67" w:rsidP="00EE5D67">
            <w:pPr>
              <w:spacing w:after="0" w:line="240" w:lineRule="auto"/>
              <w:jc w:val="right"/>
              <w:rPr>
                <w:rFonts w:cs="Arial"/>
                <w:sz w:val="16"/>
                <w:szCs w:val="16"/>
              </w:rPr>
            </w:pPr>
            <w:r w:rsidRPr="00EE5D67">
              <w:rPr>
                <w:rFonts w:cs="Arial"/>
                <w:sz w:val="16"/>
                <w:szCs w:val="16"/>
              </w:rPr>
              <w:t>109,2</w:t>
            </w:r>
          </w:p>
        </w:tc>
        <w:tc>
          <w:tcPr>
            <w:tcW w:w="687" w:type="dxa"/>
            <w:tcBorders>
              <w:top w:val="single" w:sz="4" w:space="0" w:color="auto"/>
              <w:left w:val="nil"/>
              <w:bottom w:val="nil"/>
              <w:right w:val="single" w:sz="4" w:space="0" w:color="auto"/>
            </w:tcBorders>
            <w:shd w:val="clear" w:color="auto" w:fill="auto"/>
            <w:noWrap/>
            <w:vAlign w:val="center"/>
            <w:hideMark/>
          </w:tcPr>
          <w:p w14:paraId="1716FB81" w14:textId="77777777" w:rsidR="00EE5D67" w:rsidRPr="00EE5D67" w:rsidRDefault="00EE5D67" w:rsidP="00EE5D67">
            <w:pPr>
              <w:spacing w:after="0" w:line="240" w:lineRule="auto"/>
              <w:jc w:val="right"/>
              <w:rPr>
                <w:rFonts w:cs="Arial"/>
                <w:sz w:val="16"/>
                <w:szCs w:val="16"/>
              </w:rPr>
            </w:pPr>
            <w:r w:rsidRPr="00EE5D67">
              <w:rPr>
                <w:rFonts w:cs="Arial"/>
                <w:sz w:val="16"/>
                <w:szCs w:val="16"/>
              </w:rPr>
              <w:t>126,6</w:t>
            </w:r>
          </w:p>
        </w:tc>
        <w:tc>
          <w:tcPr>
            <w:tcW w:w="747" w:type="dxa"/>
            <w:tcBorders>
              <w:top w:val="single" w:sz="4" w:space="0" w:color="auto"/>
              <w:left w:val="nil"/>
              <w:bottom w:val="nil"/>
              <w:right w:val="nil"/>
            </w:tcBorders>
            <w:shd w:val="clear" w:color="auto" w:fill="auto"/>
            <w:noWrap/>
            <w:vAlign w:val="center"/>
            <w:hideMark/>
          </w:tcPr>
          <w:p w14:paraId="67BB419A" w14:textId="77777777" w:rsidR="00EE5D67" w:rsidRPr="00EE5D67" w:rsidRDefault="00EE5D67" w:rsidP="00EE5D67">
            <w:pPr>
              <w:spacing w:after="0" w:line="240" w:lineRule="auto"/>
              <w:jc w:val="right"/>
              <w:rPr>
                <w:rFonts w:cs="Arial"/>
                <w:sz w:val="16"/>
                <w:szCs w:val="16"/>
              </w:rPr>
            </w:pPr>
            <w:r w:rsidRPr="00EE5D67">
              <w:rPr>
                <w:rFonts w:cs="Arial"/>
                <w:sz w:val="16"/>
                <w:szCs w:val="16"/>
              </w:rPr>
              <w:t>212,5</w:t>
            </w:r>
          </w:p>
        </w:tc>
        <w:tc>
          <w:tcPr>
            <w:tcW w:w="686" w:type="dxa"/>
            <w:tcBorders>
              <w:top w:val="single" w:sz="4" w:space="0" w:color="auto"/>
              <w:left w:val="nil"/>
              <w:bottom w:val="nil"/>
              <w:right w:val="nil"/>
            </w:tcBorders>
            <w:shd w:val="clear" w:color="auto" w:fill="auto"/>
            <w:noWrap/>
            <w:vAlign w:val="center"/>
            <w:hideMark/>
          </w:tcPr>
          <w:p w14:paraId="15D0A490" w14:textId="77777777" w:rsidR="00EE5D67" w:rsidRPr="00EE5D67" w:rsidRDefault="00EE5D67" w:rsidP="00EE5D67">
            <w:pPr>
              <w:spacing w:after="0" w:line="240" w:lineRule="auto"/>
              <w:jc w:val="right"/>
              <w:rPr>
                <w:rFonts w:cs="Arial"/>
                <w:sz w:val="16"/>
                <w:szCs w:val="16"/>
              </w:rPr>
            </w:pPr>
            <w:r w:rsidRPr="00EE5D67">
              <w:rPr>
                <w:rFonts w:cs="Arial"/>
                <w:sz w:val="16"/>
                <w:szCs w:val="16"/>
              </w:rPr>
              <w:t>93,0</w:t>
            </w:r>
          </w:p>
        </w:tc>
        <w:tc>
          <w:tcPr>
            <w:tcW w:w="687" w:type="dxa"/>
            <w:tcBorders>
              <w:top w:val="single" w:sz="4" w:space="0" w:color="auto"/>
              <w:left w:val="nil"/>
              <w:bottom w:val="nil"/>
              <w:right w:val="single" w:sz="4" w:space="0" w:color="auto"/>
            </w:tcBorders>
            <w:shd w:val="clear" w:color="auto" w:fill="auto"/>
            <w:noWrap/>
            <w:vAlign w:val="center"/>
            <w:hideMark/>
          </w:tcPr>
          <w:p w14:paraId="0045E635" w14:textId="77777777" w:rsidR="00EE5D67" w:rsidRPr="00EE5D67" w:rsidRDefault="00EE5D67" w:rsidP="00EE5D67">
            <w:pPr>
              <w:spacing w:after="0" w:line="240" w:lineRule="auto"/>
              <w:jc w:val="right"/>
              <w:rPr>
                <w:rFonts w:cs="Arial"/>
                <w:sz w:val="16"/>
                <w:szCs w:val="16"/>
              </w:rPr>
            </w:pPr>
            <w:r w:rsidRPr="00EE5D67">
              <w:rPr>
                <w:rFonts w:cs="Arial"/>
                <w:sz w:val="16"/>
                <w:szCs w:val="16"/>
              </w:rPr>
              <w:t>119,5</w:t>
            </w:r>
          </w:p>
        </w:tc>
        <w:tc>
          <w:tcPr>
            <w:tcW w:w="761" w:type="dxa"/>
            <w:tcBorders>
              <w:top w:val="single" w:sz="4" w:space="0" w:color="auto"/>
              <w:left w:val="nil"/>
              <w:bottom w:val="nil"/>
              <w:right w:val="nil"/>
            </w:tcBorders>
            <w:shd w:val="clear" w:color="auto" w:fill="auto"/>
            <w:noWrap/>
            <w:vAlign w:val="center"/>
            <w:hideMark/>
          </w:tcPr>
          <w:p w14:paraId="149D3415" w14:textId="77777777" w:rsidR="00EE5D67" w:rsidRPr="00EE5D67" w:rsidRDefault="00EE5D67" w:rsidP="00EE5D67">
            <w:pPr>
              <w:spacing w:after="0" w:line="240" w:lineRule="auto"/>
              <w:jc w:val="right"/>
              <w:rPr>
                <w:rFonts w:cs="Arial"/>
                <w:sz w:val="16"/>
                <w:szCs w:val="16"/>
              </w:rPr>
            </w:pPr>
            <w:r w:rsidRPr="00EE5D67">
              <w:rPr>
                <w:rFonts w:cs="Arial"/>
                <w:sz w:val="16"/>
                <w:szCs w:val="16"/>
              </w:rPr>
              <w:t>9,4</w:t>
            </w:r>
          </w:p>
        </w:tc>
        <w:tc>
          <w:tcPr>
            <w:tcW w:w="686" w:type="dxa"/>
            <w:tcBorders>
              <w:top w:val="single" w:sz="4" w:space="0" w:color="auto"/>
              <w:left w:val="nil"/>
              <w:bottom w:val="nil"/>
              <w:right w:val="nil"/>
            </w:tcBorders>
            <w:shd w:val="clear" w:color="auto" w:fill="auto"/>
            <w:noWrap/>
            <w:vAlign w:val="center"/>
            <w:hideMark/>
          </w:tcPr>
          <w:p w14:paraId="6DE3BF47" w14:textId="77777777" w:rsidR="00EE5D67" w:rsidRPr="00EE5D67" w:rsidRDefault="00EE5D67" w:rsidP="00EE5D67">
            <w:pPr>
              <w:spacing w:after="0" w:line="240" w:lineRule="auto"/>
              <w:jc w:val="right"/>
              <w:rPr>
                <w:rFonts w:cs="Arial"/>
                <w:sz w:val="16"/>
                <w:szCs w:val="16"/>
              </w:rPr>
            </w:pPr>
            <w:r w:rsidRPr="00EE5D67">
              <w:rPr>
                <w:rFonts w:cs="Arial"/>
                <w:sz w:val="16"/>
                <w:szCs w:val="16"/>
              </w:rPr>
              <w:t>6,9</w:t>
            </w:r>
          </w:p>
        </w:tc>
        <w:tc>
          <w:tcPr>
            <w:tcW w:w="687" w:type="dxa"/>
            <w:tcBorders>
              <w:top w:val="single" w:sz="4" w:space="0" w:color="auto"/>
              <w:left w:val="nil"/>
              <w:bottom w:val="nil"/>
              <w:right w:val="single" w:sz="4" w:space="0" w:color="auto"/>
            </w:tcBorders>
            <w:shd w:val="clear" w:color="auto" w:fill="auto"/>
            <w:noWrap/>
            <w:vAlign w:val="center"/>
            <w:hideMark/>
          </w:tcPr>
          <w:p w14:paraId="552DF119" w14:textId="77777777" w:rsidR="00EE5D67" w:rsidRPr="00EE5D67" w:rsidRDefault="00EE5D67" w:rsidP="00EE5D67">
            <w:pPr>
              <w:spacing w:after="0" w:line="240" w:lineRule="auto"/>
              <w:jc w:val="right"/>
              <w:rPr>
                <w:rFonts w:cs="Arial"/>
                <w:sz w:val="16"/>
                <w:szCs w:val="16"/>
              </w:rPr>
            </w:pPr>
            <w:r w:rsidRPr="00EE5D67">
              <w:rPr>
                <w:rFonts w:cs="Arial"/>
                <w:sz w:val="16"/>
                <w:szCs w:val="16"/>
              </w:rPr>
              <w:t>2,5</w:t>
            </w:r>
          </w:p>
        </w:tc>
        <w:tc>
          <w:tcPr>
            <w:tcW w:w="747" w:type="dxa"/>
            <w:tcBorders>
              <w:top w:val="single" w:sz="4" w:space="0" w:color="auto"/>
              <w:left w:val="nil"/>
              <w:bottom w:val="nil"/>
              <w:right w:val="nil"/>
            </w:tcBorders>
            <w:shd w:val="clear" w:color="auto" w:fill="auto"/>
            <w:noWrap/>
            <w:vAlign w:val="center"/>
            <w:hideMark/>
          </w:tcPr>
          <w:p w14:paraId="5E87241F" w14:textId="77777777" w:rsidR="00EE5D67" w:rsidRPr="00EE5D67" w:rsidRDefault="00EE5D67" w:rsidP="00EE5D67">
            <w:pPr>
              <w:spacing w:after="0" w:line="240" w:lineRule="auto"/>
              <w:jc w:val="right"/>
              <w:rPr>
                <w:rFonts w:cs="Arial"/>
                <w:sz w:val="16"/>
                <w:szCs w:val="16"/>
              </w:rPr>
            </w:pPr>
            <w:r w:rsidRPr="00EE5D67">
              <w:rPr>
                <w:rFonts w:cs="Arial"/>
                <w:sz w:val="16"/>
                <w:szCs w:val="16"/>
              </w:rPr>
              <w:t>14,0</w:t>
            </w:r>
          </w:p>
        </w:tc>
        <w:tc>
          <w:tcPr>
            <w:tcW w:w="686" w:type="dxa"/>
            <w:tcBorders>
              <w:top w:val="single" w:sz="4" w:space="0" w:color="auto"/>
              <w:left w:val="nil"/>
              <w:bottom w:val="nil"/>
              <w:right w:val="nil"/>
            </w:tcBorders>
            <w:shd w:val="clear" w:color="auto" w:fill="auto"/>
            <w:noWrap/>
            <w:vAlign w:val="center"/>
            <w:hideMark/>
          </w:tcPr>
          <w:p w14:paraId="0181A384" w14:textId="77777777" w:rsidR="00EE5D67" w:rsidRPr="00EE5D67" w:rsidRDefault="00EE5D67" w:rsidP="00EE5D67">
            <w:pPr>
              <w:spacing w:after="0" w:line="240" w:lineRule="auto"/>
              <w:jc w:val="right"/>
              <w:rPr>
                <w:rFonts w:cs="Arial"/>
                <w:sz w:val="16"/>
                <w:szCs w:val="16"/>
              </w:rPr>
            </w:pPr>
            <w:r w:rsidRPr="00EE5D67">
              <w:rPr>
                <w:rFonts w:cs="Arial"/>
                <w:sz w:val="16"/>
                <w:szCs w:val="16"/>
              </w:rPr>
              <w:t>9,4</w:t>
            </w:r>
          </w:p>
        </w:tc>
        <w:tc>
          <w:tcPr>
            <w:tcW w:w="688" w:type="dxa"/>
            <w:tcBorders>
              <w:top w:val="single" w:sz="4" w:space="0" w:color="auto"/>
              <w:left w:val="nil"/>
              <w:bottom w:val="nil"/>
              <w:right w:val="nil"/>
            </w:tcBorders>
            <w:shd w:val="clear" w:color="auto" w:fill="auto"/>
            <w:noWrap/>
            <w:vAlign w:val="center"/>
            <w:hideMark/>
          </w:tcPr>
          <w:p w14:paraId="656AA1CB" w14:textId="77777777" w:rsidR="00EE5D67" w:rsidRPr="00EE5D67" w:rsidRDefault="00EE5D67" w:rsidP="00EE5D67">
            <w:pPr>
              <w:spacing w:after="0" w:line="240" w:lineRule="auto"/>
              <w:jc w:val="right"/>
              <w:rPr>
                <w:rFonts w:cs="Arial"/>
                <w:sz w:val="16"/>
                <w:szCs w:val="16"/>
              </w:rPr>
            </w:pPr>
            <w:r w:rsidRPr="00EE5D67">
              <w:rPr>
                <w:rFonts w:cs="Arial"/>
                <w:sz w:val="16"/>
                <w:szCs w:val="16"/>
              </w:rPr>
              <w:t>4,6</w:t>
            </w:r>
          </w:p>
        </w:tc>
      </w:tr>
      <w:tr w:rsidR="00EE5D67" w:rsidRPr="00EE5D67" w14:paraId="17DDB727"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615812FA"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2009</w:t>
            </w:r>
          </w:p>
        </w:tc>
        <w:tc>
          <w:tcPr>
            <w:tcW w:w="747" w:type="dxa"/>
            <w:tcBorders>
              <w:top w:val="nil"/>
              <w:left w:val="nil"/>
              <w:bottom w:val="nil"/>
              <w:right w:val="nil"/>
            </w:tcBorders>
            <w:shd w:val="clear" w:color="auto" w:fill="auto"/>
            <w:noWrap/>
            <w:vAlign w:val="center"/>
            <w:hideMark/>
          </w:tcPr>
          <w:p w14:paraId="0ADCE6F3" w14:textId="77777777" w:rsidR="00EE5D67" w:rsidRPr="00EE5D67" w:rsidRDefault="00EE5D67" w:rsidP="00EE5D67">
            <w:pPr>
              <w:spacing w:after="0" w:line="240" w:lineRule="auto"/>
              <w:jc w:val="right"/>
              <w:rPr>
                <w:rFonts w:cs="Arial"/>
                <w:sz w:val="16"/>
                <w:szCs w:val="16"/>
              </w:rPr>
            </w:pPr>
            <w:r w:rsidRPr="00EE5D67">
              <w:rPr>
                <w:rFonts w:cs="Arial"/>
                <w:sz w:val="16"/>
                <w:szCs w:val="16"/>
              </w:rPr>
              <w:t>189,0</w:t>
            </w:r>
          </w:p>
        </w:tc>
        <w:tc>
          <w:tcPr>
            <w:tcW w:w="686" w:type="dxa"/>
            <w:tcBorders>
              <w:top w:val="nil"/>
              <w:left w:val="nil"/>
              <w:bottom w:val="nil"/>
              <w:right w:val="nil"/>
            </w:tcBorders>
            <w:shd w:val="clear" w:color="auto" w:fill="auto"/>
            <w:noWrap/>
            <w:vAlign w:val="center"/>
            <w:hideMark/>
          </w:tcPr>
          <w:p w14:paraId="5794C1DB" w14:textId="77777777" w:rsidR="00EE5D67" w:rsidRPr="00EE5D67" w:rsidRDefault="00EE5D67" w:rsidP="00EE5D67">
            <w:pPr>
              <w:spacing w:after="0" w:line="240" w:lineRule="auto"/>
              <w:jc w:val="right"/>
              <w:rPr>
                <w:rFonts w:cs="Arial"/>
                <w:sz w:val="16"/>
                <w:szCs w:val="16"/>
              </w:rPr>
            </w:pPr>
            <w:r w:rsidRPr="00EE5D67">
              <w:rPr>
                <w:rFonts w:cs="Arial"/>
                <w:sz w:val="16"/>
                <w:szCs w:val="16"/>
              </w:rPr>
              <w:t>87,5</w:t>
            </w:r>
          </w:p>
        </w:tc>
        <w:tc>
          <w:tcPr>
            <w:tcW w:w="687" w:type="dxa"/>
            <w:tcBorders>
              <w:top w:val="nil"/>
              <w:left w:val="nil"/>
              <w:bottom w:val="nil"/>
              <w:right w:val="single" w:sz="4" w:space="0" w:color="auto"/>
            </w:tcBorders>
            <w:shd w:val="clear" w:color="auto" w:fill="auto"/>
            <w:noWrap/>
            <w:vAlign w:val="center"/>
            <w:hideMark/>
          </w:tcPr>
          <w:p w14:paraId="00DDD6A3" w14:textId="77777777" w:rsidR="00EE5D67" w:rsidRPr="00EE5D67" w:rsidRDefault="00EE5D67" w:rsidP="00EE5D67">
            <w:pPr>
              <w:spacing w:after="0" w:line="240" w:lineRule="auto"/>
              <w:jc w:val="right"/>
              <w:rPr>
                <w:rFonts w:cs="Arial"/>
                <w:sz w:val="16"/>
                <w:szCs w:val="16"/>
              </w:rPr>
            </w:pPr>
            <w:r w:rsidRPr="00EE5D67">
              <w:rPr>
                <w:rFonts w:cs="Arial"/>
                <w:sz w:val="16"/>
                <w:szCs w:val="16"/>
              </w:rPr>
              <w:t>101,5</w:t>
            </w:r>
          </w:p>
        </w:tc>
        <w:tc>
          <w:tcPr>
            <w:tcW w:w="747" w:type="dxa"/>
            <w:tcBorders>
              <w:top w:val="nil"/>
              <w:left w:val="nil"/>
              <w:bottom w:val="nil"/>
              <w:right w:val="nil"/>
            </w:tcBorders>
            <w:shd w:val="clear" w:color="auto" w:fill="auto"/>
            <w:noWrap/>
            <w:vAlign w:val="center"/>
            <w:hideMark/>
          </w:tcPr>
          <w:p w14:paraId="597FEA27" w14:textId="77777777" w:rsidR="00EE5D67" w:rsidRPr="00EE5D67" w:rsidRDefault="00EE5D67" w:rsidP="00EE5D67">
            <w:pPr>
              <w:spacing w:after="0" w:line="240" w:lineRule="auto"/>
              <w:jc w:val="right"/>
              <w:rPr>
                <w:rFonts w:cs="Arial"/>
                <w:sz w:val="16"/>
                <w:szCs w:val="16"/>
              </w:rPr>
            </w:pPr>
            <w:r w:rsidRPr="00EE5D67">
              <w:rPr>
                <w:rFonts w:cs="Arial"/>
                <w:sz w:val="16"/>
                <w:szCs w:val="16"/>
              </w:rPr>
              <w:t>167,9</w:t>
            </w:r>
          </w:p>
        </w:tc>
        <w:tc>
          <w:tcPr>
            <w:tcW w:w="686" w:type="dxa"/>
            <w:tcBorders>
              <w:top w:val="nil"/>
              <w:left w:val="nil"/>
              <w:bottom w:val="nil"/>
              <w:right w:val="nil"/>
            </w:tcBorders>
            <w:shd w:val="clear" w:color="auto" w:fill="auto"/>
            <w:noWrap/>
            <w:vAlign w:val="center"/>
            <w:hideMark/>
          </w:tcPr>
          <w:p w14:paraId="1B46CA31" w14:textId="77777777" w:rsidR="00EE5D67" w:rsidRPr="00EE5D67" w:rsidRDefault="00EE5D67" w:rsidP="00EE5D67">
            <w:pPr>
              <w:spacing w:after="0" w:line="240" w:lineRule="auto"/>
              <w:jc w:val="right"/>
              <w:rPr>
                <w:rFonts w:cs="Arial"/>
                <w:sz w:val="16"/>
                <w:szCs w:val="16"/>
              </w:rPr>
            </w:pPr>
            <w:r w:rsidRPr="00EE5D67">
              <w:rPr>
                <w:rFonts w:cs="Arial"/>
                <w:sz w:val="16"/>
                <w:szCs w:val="16"/>
              </w:rPr>
              <w:t>73,1</w:t>
            </w:r>
          </w:p>
        </w:tc>
        <w:tc>
          <w:tcPr>
            <w:tcW w:w="687" w:type="dxa"/>
            <w:tcBorders>
              <w:top w:val="nil"/>
              <w:left w:val="nil"/>
              <w:bottom w:val="nil"/>
              <w:right w:val="single" w:sz="4" w:space="0" w:color="auto"/>
            </w:tcBorders>
            <w:shd w:val="clear" w:color="auto" w:fill="auto"/>
            <w:noWrap/>
            <w:vAlign w:val="center"/>
            <w:hideMark/>
          </w:tcPr>
          <w:p w14:paraId="05C76796" w14:textId="77777777" w:rsidR="00EE5D67" w:rsidRPr="00EE5D67" w:rsidRDefault="00EE5D67" w:rsidP="00EE5D67">
            <w:pPr>
              <w:spacing w:after="0" w:line="240" w:lineRule="auto"/>
              <w:jc w:val="right"/>
              <w:rPr>
                <w:rFonts w:cs="Arial"/>
                <w:sz w:val="16"/>
                <w:szCs w:val="16"/>
              </w:rPr>
            </w:pPr>
            <w:r w:rsidRPr="00EE5D67">
              <w:rPr>
                <w:rFonts w:cs="Arial"/>
                <w:sz w:val="16"/>
                <w:szCs w:val="16"/>
              </w:rPr>
              <w:t>94,8</w:t>
            </w:r>
          </w:p>
        </w:tc>
        <w:tc>
          <w:tcPr>
            <w:tcW w:w="761" w:type="dxa"/>
            <w:tcBorders>
              <w:top w:val="nil"/>
              <w:left w:val="nil"/>
              <w:bottom w:val="nil"/>
              <w:right w:val="nil"/>
            </w:tcBorders>
            <w:shd w:val="clear" w:color="auto" w:fill="auto"/>
            <w:noWrap/>
            <w:vAlign w:val="center"/>
            <w:hideMark/>
          </w:tcPr>
          <w:p w14:paraId="4DDD984B" w14:textId="77777777" w:rsidR="00EE5D67" w:rsidRPr="00EE5D67" w:rsidRDefault="00EE5D67" w:rsidP="00EE5D67">
            <w:pPr>
              <w:spacing w:after="0" w:line="240" w:lineRule="auto"/>
              <w:jc w:val="right"/>
              <w:rPr>
                <w:rFonts w:cs="Arial"/>
                <w:sz w:val="16"/>
                <w:szCs w:val="16"/>
              </w:rPr>
            </w:pPr>
            <w:r w:rsidRPr="00EE5D67">
              <w:rPr>
                <w:rFonts w:cs="Arial"/>
                <w:sz w:val="16"/>
                <w:szCs w:val="16"/>
              </w:rPr>
              <w:t>7,8</w:t>
            </w:r>
          </w:p>
        </w:tc>
        <w:tc>
          <w:tcPr>
            <w:tcW w:w="686" w:type="dxa"/>
            <w:tcBorders>
              <w:top w:val="nil"/>
              <w:left w:val="nil"/>
              <w:bottom w:val="nil"/>
              <w:right w:val="nil"/>
            </w:tcBorders>
            <w:shd w:val="clear" w:color="auto" w:fill="auto"/>
            <w:noWrap/>
            <w:vAlign w:val="center"/>
            <w:hideMark/>
          </w:tcPr>
          <w:p w14:paraId="492854EE" w14:textId="77777777" w:rsidR="00EE5D67" w:rsidRPr="00EE5D67" w:rsidRDefault="00EE5D67" w:rsidP="00EE5D67">
            <w:pPr>
              <w:spacing w:after="0" w:line="240" w:lineRule="auto"/>
              <w:jc w:val="right"/>
              <w:rPr>
                <w:rFonts w:cs="Arial"/>
                <w:sz w:val="16"/>
                <w:szCs w:val="16"/>
              </w:rPr>
            </w:pPr>
            <w:r w:rsidRPr="00EE5D67">
              <w:rPr>
                <w:rFonts w:cs="Arial"/>
                <w:sz w:val="16"/>
                <w:szCs w:val="16"/>
              </w:rPr>
              <w:t>5,6</w:t>
            </w:r>
          </w:p>
        </w:tc>
        <w:tc>
          <w:tcPr>
            <w:tcW w:w="687" w:type="dxa"/>
            <w:tcBorders>
              <w:top w:val="nil"/>
              <w:left w:val="nil"/>
              <w:bottom w:val="nil"/>
              <w:right w:val="single" w:sz="4" w:space="0" w:color="auto"/>
            </w:tcBorders>
            <w:shd w:val="clear" w:color="auto" w:fill="auto"/>
            <w:noWrap/>
            <w:vAlign w:val="center"/>
            <w:hideMark/>
          </w:tcPr>
          <w:p w14:paraId="2B4F0694" w14:textId="77777777" w:rsidR="00EE5D67" w:rsidRPr="00EE5D67" w:rsidRDefault="00EE5D67" w:rsidP="00EE5D67">
            <w:pPr>
              <w:spacing w:after="0" w:line="240" w:lineRule="auto"/>
              <w:jc w:val="right"/>
              <w:rPr>
                <w:rFonts w:cs="Arial"/>
                <w:sz w:val="16"/>
                <w:szCs w:val="16"/>
              </w:rPr>
            </w:pPr>
            <w:r w:rsidRPr="00EE5D67">
              <w:rPr>
                <w:rFonts w:cs="Arial"/>
                <w:sz w:val="16"/>
                <w:szCs w:val="16"/>
              </w:rPr>
              <w:t>2,2</w:t>
            </w:r>
          </w:p>
        </w:tc>
        <w:tc>
          <w:tcPr>
            <w:tcW w:w="747" w:type="dxa"/>
            <w:tcBorders>
              <w:top w:val="nil"/>
              <w:left w:val="nil"/>
              <w:bottom w:val="nil"/>
              <w:right w:val="nil"/>
            </w:tcBorders>
            <w:shd w:val="clear" w:color="auto" w:fill="auto"/>
            <w:noWrap/>
            <w:vAlign w:val="center"/>
            <w:hideMark/>
          </w:tcPr>
          <w:p w14:paraId="11BC269F" w14:textId="77777777" w:rsidR="00EE5D67" w:rsidRPr="00EE5D67" w:rsidRDefault="00EE5D67" w:rsidP="00EE5D67">
            <w:pPr>
              <w:spacing w:after="0" w:line="240" w:lineRule="auto"/>
              <w:jc w:val="right"/>
              <w:rPr>
                <w:rFonts w:cs="Arial"/>
                <w:sz w:val="16"/>
                <w:szCs w:val="16"/>
              </w:rPr>
            </w:pPr>
            <w:r w:rsidRPr="00EE5D67">
              <w:rPr>
                <w:rFonts w:cs="Arial"/>
                <w:sz w:val="16"/>
                <w:szCs w:val="16"/>
              </w:rPr>
              <w:t>13,2</w:t>
            </w:r>
          </w:p>
        </w:tc>
        <w:tc>
          <w:tcPr>
            <w:tcW w:w="686" w:type="dxa"/>
            <w:tcBorders>
              <w:top w:val="nil"/>
              <w:left w:val="nil"/>
              <w:bottom w:val="nil"/>
              <w:right w:val="nil"/>
            </w:tcBorders>
            <w:shd w:val="clear" w:color="auto" w:fill="auto"/>
            <w:noWrap/>
            <w:vAlign w:val="center"/>
            <w:hideMark/>
          </w:tcPr>
          <w:p w14:paraId="7A2266D8" w14:textId="77777777" w:rsidR="00EE5D67" w:rsidRPr="00EE5D67" w:rsidRDefault="00EE5D67" w:rsidP="00EE5D67">
            <w:pPr>
              <w:spacing w:after="0" w:line="240" w:lineRule="auto"/>
              <w:jc w:val="right"/>
              <w:rPr>
                <w:rFonts w:cs="Arial"/>
                <w:sz w:val="16"/>
                <w:szCs w:val="16"/>
              </w:rPr>
            </w:pPr>
            <w:r w:rsidRPr="00EE5D67">
              <w:rPr>
                <w:rFonts w:cs="Arial"/>
                <w:sz w:val="16"/>
                <w:szCs w:val="16"/>
              </w:rPr>
              <w:t>8,8</w:t>
            </w:r>
          </w:p>
        </w:tc>
        <w:tc>
          <w:tcPr>
            <w:tcW w:w="688" w:type="dxa"/>
            <w:tcBorders>
              <w:top w:val="nil"/>
              <w:left w:val="nil"/>
              <w:bottom w:val="nil"/>
              <w:right w:val="nil"/>
            </w:tcBorders>
            <w:shd w:val="clear" w:color="auto" w:fill="auto"/>
            <w:noWrap/>
            <w:vAlign w:val="center"/>
            <w:hideMark/>
          </w:tcPr>
          <w:p w14:paraId="14D05872" w14:textId="77777777" w:rsidR="00EE5D67" w:rsidRPr="00EE5D67" w:rsidRDefault="00EE5D67" w:rsidP="00EE5D67">
            <w:pPr>
              <w:spacing w:after="0" w:line="240" w:lineRule="auto"/>
              <w:jc w:val="right"/>
              <w:rPr>
                <w:rFonts w:cs="Arial"/>
                <w:sz w:val="16"/>
                <w:szCs w:val="16"/>
              </w:rPr>
            </w:pPr>
            <w:r w:rsidRPr="00EE5D67">
              <w:rPr>
                <w:rFonts w:cs="Arial"/>
                <w:sz w:val="16"/>
                <w:szCs w:val="16"/>
              </w:rPr>
              <w:t>4,5</w:t>
            </w:r>
          </w:p>
        </w:tc>
      </w:tr>
      <w:tr w:rsidR="00EE5D67" w:rsidRPr="00EE5D67" w14:paraId="55004ED1"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2FC80D50"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2010</w:t>
            </w:r>
          </w:p>
        </w:tc>
        <w:tc>
          <w:tcPr>
            <w:tcW w:w="747" w:type="dxa"/>
            <w:tcBorders>
              <w:top w:val="nil"/>
              <w:left w:val="nil"/>
              <w:bottom w:val="nil"/>
              <w:right w:val="nil"/>
            </w:tcBorders>
            <w:shd w:val="clear" w:color="auto" w:fill="auto"/>
            <w:noWrap/>
            <w:vAlign w:val="center"/>
            <w:hideMark/>
          </w:tcPr>
          <w:p w14:paraId="28B38E1B" w14:textId="77777777" w:rsidR="00EE5D67" w:rsidRPr="00EE5D67" w:rsidRDefault="00EE5D67" w:rsidP="00EE5D67">
            <w:pPr>
              <w:spacing w:after="0" w:line="240" w:lineRule="auto"/>
              <w:jc w:val="right"/>
              <w:rPr>
                <w:rFonts w:cs="Arial"/>
                <w:sz w:val="16"/>
                <w:szCs w:val="16"/>
              </w:rPr>
            </w:pPr>
            <w:r w:rsidRPr="00EE5D67">
              <w:rPr>
                <w:rFonts w:cs="Arial"/>
                <w:sz w:val="16"/>
                <w:szCs w:val="16"/>
              </w:rPr>
              <w:t>173,0</w:t>
            </w:r>
          </w:p>
        </w:tc>
        <w:tc>
          <w:tcPr>
            <w:tcW w:w="686" w:type="dxa"/>
            <w:tcBorders>
              <w:top w:val="nil"/>
              <w:left w:val="nil"/>
              <w:bottom w:val="nil"/>
              <w:right w:val="nil"/>
            </w:tcBorders>
            <w:shd w:val="clear" w:color="auto" w:fill="auto"/>
            <w:noWrap/>
            <w:vAlign w:val="center"/>
            <w:hideMark/>
          </w:tcPr>
          <w:p w14:paraId="0B5F65B2" w14:textId="77777777" w:rsidR="00EE5D67" w:rsidRPr="00EE5D67" w:rsidRDefault="00EE5D67" w:rsidP="00EE5D67">
            <w:pPr>
              <w:spacing w:after="0" w:line="240" w:lineRule="auto"/>
              <w:jc w:val="right"/>
              <w:rPr>
                <w:rFonts w:cs="Arial"/>
                <w:sz w:val="16"/>
                <w:szCs w:val="16"/>
              </w:rPr>
            </w:pPr>
            <w:r w:rsidRPr="00EE5D67">
              <w:rPr>
                <w:rFonts w:cs="Arial"/>
                <w:sz w:val="16"/>
                <w:szCs w:val="16"/>
              </w:rPr>
              <w:t>82,5</w:t>
            </w:r>
          </w:p>
        </w:tc>
        <w:tc>
          <w:tcPr>
            <w:tcW w:w="687" w:type="dxa"/>
            <w:tcBorders>
              <w:top w:val="nil"/>
              <w:left w:val="nil"/>
              <w:bottom w:val="nil"/>
              <w:right w:val="single" w:sz="4" w:space="0" w:color="auto"/>
            </w:tcBorders>
            <w:shd w:val="clear" w:color="auto" w:fill="auto"/>
            <w:noWrap/>
            <w:vAlign w:val="center"/>
            <w:hideMark/>
          </w:tcPr>
          <w:p w14:paraId="65CD26DE" w14:textId="77777777" w:rsidR="00EE5D67" w:rsidRPr="00EE5D67" w:rsidRDefault="00EE5D67" w:rsidP="00EE5D67">
            <w:pPr>
              <w:spacing w:after="0" w:line="240" w:lineRule="auto"/>
              <w:jc w:val="right"/>
              <w:rPr>
                <w:rFonts w:cs="Arial"/>
                <w:sz w:val="16"/>
                <w:szCs w:val="16"/>
              </w:rPr>
            </w:pPr>
            <w:r w:rsidRPr="00EE5D67">
              <w:rPr>
                <w:rFonts w:cs="Arial"/>
                <w:sz w:val="16"/>
                <w:szCs w:val="16"/>
              </w:rPr>
              <w:t>90,6</w:t>
            </w:r>
          </w:p>
        </w:tc>
        <w:tc>
          <w:tcPr>
            <w:tcW w:w="747" w:type="dxa"/>
            <w:tcBorders>
              <w:top w:val="nil"/>
              <w:left w:val="nil"/>
              <w:bottom w:val="nil"/>
              <w:right w:val="nil"/>
            </w:tcBorders>
            <w:shd w:val="clear" w:color="auto" w:fill="auto"/>
            <w:noWrap/>
            <w:vAlign w:val="center"/>
            <w:hideMark/>
          </w:tcPr>
          <w:p w14:paraId="0A58FE40" w14:textId="77777777" w:rsidR="00EE5D67" w:rsidRPr="00EE5D67" w:rsidRDefault="00EE5D67" w:rsidP="00EE5D67">
            <w:pPr>
              <w:spacing w:after="0" w:line="240" w:lineRule="auto"/>
              <w:jc w:val="right"/>
              <w:rPr>
                <w:rFonts w:cs="Arial"/>
                <w:sz w:val="16"/>
                <w:szCs w:val="16"/>
              </w:rPr>
            </w:pPr>
            <w:r w:rsidRPr="00EE5D67">
              <w:rPr>
                <w:rFonts w:cs="Arial"/>
                <w:sz w:val="16"/>
                <w:szCs w:val="16"/>
              </w:rPr>
              <w:t>151,8</w:t>
            </w:r>
          </w:p>
        </w:tc>
        <w:tc>
          <w:tcPr>
            <w:tcW w:w="686" w:type="dxa"/>
            <w:tcBorders>
              <w:top w:val="nil"/>
              <w:left w:val="nil"/>
              <w:bottom w:val="nil"/>
              <w:right w:val="nil"/>
            </w:tcBorders>
            <w:shd w:val="clear" w:color="auto" w:fill="auto"/>
            <w:noWrap/>
            <w:vAlign w:val="center"/>
            <w:hideMark/>
          </w:tcPr>
          <w:p w14:paraId="131E8A6F" w14:textId="77777777" w:rsidR="00EE5D67" w:rsidRPr="00EE5D67" w:rsidRDefault="00EE5D67" w:rsidP="00EE5D67">
            <w:pPr>
              <w:spacing w:after="0" w:line="240" w:lineRule="auto"/>
              <w:jc w:val="right"/>
              <w:rPr>
                <w:rFonts w:cs="Arial"/>
                <w:sz w:val="16"/>
                <w:szCs w:val="16"/>
              </w:rPr>
            </w:pPr>
            <w:r w:rsidRPr="00EE5D67">
              <w:rPr>
                <w:rFonts w:cs="Arial"/>
                <w:sz w:val="16"/>
                <w:szCs w:val="16"/>
              </w:rPr>
              <w:t>68,2</w:t>
            </w:r>
          </w:p>
        </w:tc>
        <w:tc>
          <w:tcPr>
            <w:tcW w:w="687" w:type="dxa"/>
            <w:tcBorders>
              <w:top w:val="nil"/>
              <w:left w:val="nil"/>
              <w:bottom w:val="nil"/>
              <w:right w:val="single" w:sz="4" w:space="0" w:color="auto"/>
            </w:tcBorders>
            <w:shd w:val="clear" w:color="auto" w:fill="auto"/>
            <w:noWrap/>
            <w:vAlign w:val="center"/>
            <w:hideMark/>
          </w:tcPr>
          <w:p w14:paraId="15B18C1C" w14:textId="77777777" w:rsidR="00EE5D67" w:rsidRPr="00EE5D67" w:rsidRDefault="00EE5D67" w:rsidP="00EE5D67">
            <w:pPr>
              <w:spacing w:after="0" w:line="240" w:lineRule="auto"/>
              <w:jc w:val="right"/>
              <w:rPr>
                <w:rFonts w:cs="Arial"/>
                <w:sz w:val="16"/>
                <w:szCs w:val="16"/>
              </w:rPr>
            </w:pPr>
            <w:r w:rsidRPr="00EE5D67">
              <w:rPr>
                <w:rFonts w:cs="Arial"/>
                <w:sz w:val="16"/>
                <w:szCs w:val="16"/>
              </w:rPr>
              <w:t>83,6</w:t>
            </w:r>
          </w:p>
        </w:tc>
        <w:tc>
          <w:tcPr>
            <w:tcW w:w="761" w:type="dxa"/>
            <w:tcBorders>
              <w:top w:val="nil"/>
              <w:left w:val="nil"/>
              <w:bottom w:val="nil"/>
              <w:right w:val="nil"/>
            </w:tcBorders>
            <w:shd w:val="clear" w:color="auto" w:fill="auto"/>
            <w:noWrap/>
            <w:vAlign w:val="center"/>
            <w:hideMark/>
          </w:tcPr>
          <w:p w14:paraId="5758C219" w14:textId="77777777" w:rsidR="00EE5D67" w:rsidRPr="00EE5D67" w:rsidRDefault="00EE5D67" w:rsidP="00EE5D67">
            <w:pPr>
              <w:spacing w:after="0" w:line="240" w:lineRule="auto"/>
              <w:jc w:val="right"/>
              <w:rPr>
                <w:rFonts w:cs="Arial"/>
                <w:sz w:val="16"/>
                <w:szCs w:val="16"/>
              </w:rPr>
            </w:pPr>
            <w:r w:rsidRPr="00EE5D67">
              <w:rPr>
                <w:rFonts w:cs="Arial"/>
                <w:sz w:val="16"/>
                <w:szCs w:val="16"/>
              </w:rPr>
              <w:t>7,6</w:t>
            </w:r>
          </w:p>
        </w:tc>
        <w:tc>
          <w:tcPr>
            <w:tcW w:w="686" w:type="dxa"/>
            <w:tcBorders>
              <w:top w:val="nil"/>
              <w:left w:val="nil"/>
              <w:bottom w:val="nil"/>
              <w:right w:val="nil"/>
            </w:tcBorders>
            <w:shd w:val="clear" w:color="auto" w:fill="auto"/>
            <w:noWrap/>
            <w:vAlign w:val="center"/>
            <w:hideMark/>
          </w:tcPr>
          <w:p w14:paraId="031B0E34" w14:textId="77777777" w:rsidR="00EE5D67" w:rsidRPr="00EE5D67" w:rsidRDefault="00EE5D67" w:rsidP="00EE5D67">
            <w:pPr>
              <w:spacing w:after="0" w:line="240" w:lineRule="auto"/>
              <w:jc w:val="right"/>
              <w:rPr>
                <w:rFonts w:cs="Arial"/>
                <w:sz w:val="16"/>
                <w:szCs w:val="16"/>
              </w:rPr>
            </w:pPr>
            <w:r w:rsidRPr="00EE5D67">
              <w:rPr>
                <w:rFonts w:cs="Arial"/>
                <w:sz w:val="16"/>
                <w:szCs w:val="16"/>
              </w:rPr>
              <w:t>5,4</w:t>
            </w:r>
          </w:p>
        </w:tc>
        <w:tc>
          <w:tcPr>
            <w:tcW w:w="687" w:type="dxa"/>
            <w:tcBorders>
              <w:top w:val="nil"/>
              <w:left w:val="nil"/>
              <w:bottom w:val="nil"/>
              <w:right w:val="single" w:sz="4" w:space="0" w:color="auto"/>
            </w:tcBorders>
            <w:shd w:val="clear" w:color="auto" w:fill="auto"/>
            <w:noWrap/>
            <w:vAlign w:val="center"/>
            <w:hideMark/>
          </w:tcPr>
          <w:p w14:paraId="3FFCA18E" w14:textId="77777777" w:rsidR="00EE5D67" w:rsidRPr="00EE5D67" w:rsidRDefault="00EE5D67" w:rsidP="00EE5D67">
            <w:pPr>
              <w:spacing w:after="0" w:line="240" w:lineRule="auto"/>
              <w:jc w:val="right"/>
              <w:rPr>
                <w:rFonts w:cs="Arial"/>
                <w:sz w:val="16"/>
                <w:szCs w:val="16"/>
              </w:rPr>
            </w:pPr>
            <w:r w:rsidRPr="00EE5D67">
              <w:rPr>
                <w:rFonts w:cs="Arial"/>
                <w:sz w:val="16"/>
                <w:szCs w:val="16"/>
              </w:rPr>
              <w:t>2,2</w:t>
            </w:r>
          </w:p>
        </w:tc>
        <w:tc>
          <w:tcPr>
            <w:tcW w:w="747" w:type="dxa"/>
            <w:tcBorders>
              <w:top w:val="nil"/>
              <w:left w:val="nil"/>
              <w:bottom w:val="nil"/>
              <w:right w:val="nil"/>
            </w:tcBorders>
            <w:shd w:val="clear" w:color="auto" w:fill="auto"/>
            <w:noWrap/>
            <w:vAlign w:val="center"/>
            <w:hideMark/>
          </w:tcPr>
          <w:p w14:paraId="59CE950F" w14:textId="77777777" w:rsidR="00EE5D67" w:rsidRPr="00EE5D67" w:rsidRDefault="00EE5D67" w:rsidP="00EE5D67">
            <w:pPr>
              <w:spacing w:after="0" w:line="240" w:lineRule="auto"/>
              <w:jc w:val="right"/>
              <w:rPr>
                <w:rFonts w:cs="Arial"/>
                <w:sz w:val="16"/>
                <w:szCs w:val="16"/>
              </w:rPr>
            </w:pPr>
            <w:r w:rsidRPr="00EE5D67">
              <w:rPr>
                <w:rFonts w:cs="Arial"/>
                <w:sz w:val="16"/>
                <w:szCs w:val="16"/>
              </w:rPr>
              <w:t>13,6</w:t>
            </w:r>
          </w:p>
        </w:tc>
        <w:tc>
          <w:tcPr>
            <w:tcW w:w="686" w:type="dxa"/>
            <w:tcBorders>
              <w:top w:val="nil"/>
              <w:left w:val="nil"/>
              <w:bottom w:val="nil"/>
              <w:right w:val="nil"/>
            </w:tcBorders>
            <w:shd w:val="clear" w:color="auto" w:fill="auto"/>
            <w:noWrap/>
            <w:vAlign w:val="center"/>
            <w:hideMark/>
          </w:tcPr>
          <w:p w14:paraId="65395470" w14:textId="77777777" w:rsidR="00EE5D67" w:rsidRPr="00EE5D67" w:rsidRDefault="00EE5D67" w:rsidP="00EE5D67">
            <w:pPr>
              <w:spacing w:after="0" w:line="240" w:lineRule="auto"/>
              <w:jc w:val="right"/>
              <w:rPr>
                <w:rFonts w:cs="Arial"/>
                <w:sz w:val="16"/>
                <w:szCs w:val="16"/>
              </w:rPr>
            </w:pPr>
            <w:r w:rsidRPr="00EE5D67">
              <w:rPr>
                <w:rFonts w:cs="Arial"/>
                <w:sz w:val="16"/>
                <w:szCs w:val="16"/>
              </w:rPr>
              <w:t>8,8</w:t>
            </w:r>
          </w:p>
        </w:tc>
        <w:tc>
          <w:tcPr>
            <w:tcW w:w="688" w:type="dxa"/>
            <w:tcBorders>
              <w:top w:val="nil"/>
              <w:left w:val="nil"/>
              <w:bottom w:val="nil"/>
              <w:right w:val="nil"/>
            </w:tcBorders>
            <w:shd w:val="clear" w:color="auto" w:fill="auto"/>
            <w:noWrap/>
            <w:vAlign w:val="center"/>
            <w:hideMark/>
          </w:tcPr>
          <w:p w14:paraId="63692D6B" w14:textId="77777777" w:rsidR="00EE5D67" w:rsidRPr="00EE5D67" w:rsidRDefault="00EE5D67" w:rsidP="00EE5D67">
            <w:pPr>
              <w:spacing w:after="0" w:line="240" w:lineRule="auto"/>
              <w:jc w:val="right"/>
              <w:rPr>
                <w:rFonts w:cs="Arial"/>
                <w:sz w:val="16"/>
                <w:szCs w:val="16"/>
              </w:rPr>
            </w:pPr>
            <w:r w:rsidRPr="00EE5D67">
              <w:rPr>
                <w:rFonts w:cs="Arial"/>
                <w:sz w:val="16"/>
                <w:szCs w:val="16"/>
              </w:rPr>
              <w:t>4,8</w:t>
            </w:r>
          </w:p>
        </w:tc>
      </w:tr>
      <w:tr w:rsidR="00EE5D67" w:rsidRPr="00EE5D67" w14:paraId="0761E587"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07DC85D1"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2011</w:t>
            </w:r>
          </w:p>
        </w:tc>
        <w:tc>
          <w:tcPr>
            <w:tcW w:w="747" w:type="dxa"/>
            <w:tcBorders>
              <w:top w:val="nil"/>
              <w:left w:val="nil"/>
              <w:bottom w:val="nil"/>
              <w:right w:val="nil"/>
            </w:tcBorders>
            <w:shd w:val="clear" w:color="auto" w:fill="auto"/>
            <w:noWrap/>
            <w:vAlign w:val="center"/>
            <w:hideMark/>
          </w:tcPr>
          <w:p w14:paraId="320646E4" w14:textId="77777777" w:rsidR="00EE5D67" w:rsidRPr="00EE5D67" w:rsidRDefault="00EE5D67" w:rsidP="00EE5D67">
            <w:pPr>
              <w:spacing w:after="0" w:line="240" w:lineRule="auto"/>
              <w:jc w:val="right"/>
              <w:rPr>
                <w:rFonts w:cs="Arial"/>
                <w:sz w:val="16"/>
                <w:szCs w:val="16"/>
              </w:rPr>
            </w:pPr>
            <w:r w:rsidRPr="00EE5D67">
              <w:rPr>
                <w:rFonts w:cs="Arial"/>
                <w:sz w:val="16"/>
                <w:szCs w:val="16"/>
              </w:rPr>
              <w:t>167,9</w:t>
            </w:r>
          </w:p>
        </w:tc>
        <w:tc>
          <w:tcPr>
            <w:tcW w:w="686" w:type="dxa"/>
            <w:tcBorders>
              <w:top w:val="nil"/>
              <w:left w:val="nil"/>
              <w:bottom w:val="nil"/>
              <w:right w:val="nil"/>
            </w:tcBorders>
            <w:shd w:val="clear" w:color="auto" w:fill="auto"/>
            <w:noWrap/>
            <w:vAlign w:val="center"/>
            <w:hideMark/>
          </w:tcPr>
          <w:p w14:paraId="35DA79DC" w14:textId="77777777" w:rsidR="00EE5D67" w:rsidRPr="00EE5D67" w:rsidRDefault="00EE5D67" w:rsidP="00EE5D67">
            <w:pPr>
              <w:spacing w:after="0" w:line="240" w:lineRule="auto"/>
              <w:jc w:val="right"/>
              <w:rPr>
                <w:rFonts w:cs="Arial"/>
                <w:sz w:val="16"/>
                <w:szCs w:val="16"/>
              </w:rPr>
            </w:pPr>
            <w:r w:rsidRPr="00EE5D67">
              <w:rPr>
                <w:rFonts w:cs="Arial"/>
                <w:sz w:val="16"/>
                <w:szCs w:val="16"/>
              </w:rPr>
              <w:t>78,8</w:t>
            </w:r>
          </w:p>
        </w:tc>
        <w:tc>
          <w:tcPr>
            <w:tcW w:w="687" w:type="dxa"/>
            <w:tcBorders>
              <w:top w:val="nil"/>
              <w:left w:val="nil"/>
              <w:bottom w:val="nil"/>
              <w:right w:val="single" w:sz="4" w:space="0" w:color="auto"/>
            </w:tcBorders>
            <w:shd w:val="clear" w:color="auto" w:fill="auto"/>
            <w:noWrap/>
            <w:vAlign w:val="center"/>
            <w:hideMark/>
          </w:tcPr>
          <w:p w14:paraId="1981CF61" w14:textId="77777777" w:rsidR="00EE5D67" w:rsidRPr="00EE5D67" w:rsidRDefault="00EE5D67" w:rsidP="00EE5D67">
            <w:pPr>
              <w:spacing w:after="0" w:line="240" w:lineRule="auto"/>
              <w:jc w:val="right"/>
              <w:rPr>
                <w:rFonts w:cs="Arial"/>
                <w:sz w:val="16"/>
                <w:szCs w:val="16"/>
              </w:rPr>
            </w:pPr>
            <w:r w:rsidRPr="00EE5D67">
              <w:rPr>
                <w:rFonts w:cs="Arial"/>
                <w:sz w:val="16"/>
                <w:szCs w:val="16"/>
              </w:rPr>
              <w:t>89,0</w:t>
            </w:r>
          </w:p>
        </w:tc>
        <w:tc>
          <w:tcPr>
            <w:tcW w:w="747" w:type="dxa"/>
            <w:tcBorders>
              <w:top w:val="nil"/>
              <w:left w:val="nil"/>
              <w:bottom w:val="nil"/>
              <w:right w:val="nil"/>
            </w:tcBorders>
            <w:shd w:val="clear" w:color="auto" w:fill="auto"/>
            <w:noWrap/>
            <w:vAlign w:val="center"/>
            <w:hideMark/>
          </w:tcPr>
          <w:p w14:paraId="23FD89A4" w14:textId="77777777" w:rsidR="00EE5D67" w:rsidRPr="00EE5D67" w:rsidRDefault="00EE5D67" w:rsidP="00EE5D67">
            <w:pPr>
              <w:spacing w:after="0" w:line="240" w:lineRule="auto"/>
              <w:jc w:val="right"/>
              <w:rPr>
                <w:rFonts w:cs="Arial"/>
                <w:sz w:val="16"/>
                <w:szCs w:val="16"/>
              </w:rPr>
            </w:pPr>
            <w:r w:rsidRPr="00EE5D67">
              <w:rPr>
                <w:rFonts w:cs="Arial"/>
                <w:sz w:val="16"/>
                <w:szCs w:val="16"/>
              </w:rPr>
              <w:t>147,8</w:t>
            </w:r>
          </w:p>
        </w:tc>
        <w:tc>
          <w:tcPr>
            <w:tcW w:w="686" w:type="dxa"/>
            <w:tcBorders>
              <w:top w:val="nil"/>
              <w:left w:val="nil"/>
              <w:bottom w:val="nil"/>
              <w:right w:val="nil"/>
            </w:tcBorders>
            <w:shd w:val="clear" w:color="auto" w:fill="auto"/>
            <w:noWrap/>
            <w:vAlign w:val="center"/>
            <w:hideMark/>
          </w:tcPr>
          <w:p w14:paraId="50962468" w14:textId="77777777" w:rsidR="00EE5D67" w:rsidRPr="00EE5D67" w:rsidRDefault="00EE5D67" w:rsidP="00EE5D67">
            <w:pPr>
              <w:spacing w:after="0" w:line="240" w:lineRule="auto"/>
              <w:jc w:val="right"/>
              <w:rPr>
                <w:rFonts w:cs="Arial"/>
                <w:sz w:val="16"/>
                <w:szCs w:val="16"/>
              </w:rPr>
            </w:pPr>
            <w:r w:rsidRPr="00EE5D67">
              <w:rPr>
                <w:rFonts w:cs="Arial"/>
                <w:sz w:val="16"/>
                <w:szCs w:val="16"/>
              </w:rPr>
              <w:t>65,4</w:t>
            </w:r>
          </w:p>
        </w:tc>
        <w:tc>
          <w:tcPr>
            <w:tcW w:w="687" w:type="dxa"/>
            <w:tcBorders>
              <w:top w:val="nil"/>
              <w:left w:val="nil"/>
              <w:bottom w:val="nil"/>
              <w:right w:val="single" w:sz="4" w:space="0" w:color="auto"/>
            </w:tcBorders>
            <w:shd w:val="clear" w:color="auto" w:fill="auto"/>
            <w:noWrap/>
            <w:vAlign w:val="center"/>
            <w:hideMark/>
          </w:tcPr>
          <w:p w14:paraId="2AFF7CBA" w14:textId="77777777" w:rsidR="00EE5D67" w:rsidRPr="00EE5D67" w:rsidRDefault="00EE5D67" w:rsidP="00EE5D67">
            <w:pPr>
              <w:spacing w:after="0" w:line="240" w:lineRule="auto"/>
              <w:jc w:val="right"/>
              <w:rPr>
                <w:rFonts w:cs="Arial"/>
                <w:sz w:val="16"/>
                <w:szCs w:val="16"/>
              </w:rPr>
            </w:pPr>
            <w:r w:rsidRPr="00EE5D67">
              <w:rPr>
                <w:rFonts w:cs="Arial"/>
                <w:sz w:val="16"/>
                <w:szCs w:val="16"/>
              </w:rPr>
              <w:t>82,4</w:t>
            </w:r>
          </w:p>
        </w:tc>
        <w:tc>
          <w:tcPr>
            <w:tcW w:w="761" w:type="dxa"/>
            <w:tcBorders>
              <w:top w:val="nil"/>
              <w:left w:val="nil"/>
              <w:bottom w:val="nil"/>
              <w:right w:val="nil"/>
            </w:tcBorders>
            <w:shd w:val="clear" w:color="auto" w:fill="auto"/>
            <w:noWrap/>
            <w:vAlign w:val="center"/>
            <w:hideMark/>
          </w:tcPr>
          <w:p w14:paraId="2660C855" w14:textId="77777777" w:rsidR="00EE5D67" w:rsidRPr="00EE5D67" w:rsidRDefault="00EE5D67" w:rsidP="00EE5D67">
            <w:pPr>
              <w:spacing w:after="0" w:line="240" w:lineRule="auto"/>
              <w:jc w:val="right"/>
              <w:rPr>
                <w:rFonts w:cs="Arial"/>
                <w:sz w:val="16"/>
                <w:szCs w:val="16"/>
              </w:rPr>
            </w:pPr>
            <w:r w:rsidRPr="00EE5D67">
              <w:rPr>
                <w:rFonts w:cs="Arial"/>
                <w:sz w:val="16"/>
                <w:szCs w:val="16"/>
              </w:rPr>
              <w:t>7,4</w:t>
            </w:r>
          </w:p>
        </w:tc>
        <w:tc>
          <w:tcPr>
            <w:tcW w:w="686" w:type="dxa"/>
            <w:tcBorders>
              <w:top w:val="nil"/>
              <w:left w:val="nil"/>
              <w:bottom w:val="nil"/>
              <w:right w:val="nil"/>
            </w:tcBorders>
            <w:shd w:val="clear" w:color="auto" w:fill="auto"/>
            <w:noWrap/>
            <w:vAlign w:val="center"/>
            <w:hideMark/>
          </w:tcPr>
          <w:p w14:paraId="69F239C5" w14:textId="77777777" w:rsidR="00EE5D67" w:rsidRPr="00EE5D67" w:rsidRDefault="00EE5D67" w:rsidP="00EE5D67">
            <w:pPr>
              <w:spacing w:after="0" w:line="240" w:lineRule="auto"/>
              <w:jc w:val="right"/>
              <w:rPr>
                <w:rFonts w:cs="Arial"/>
                <w:sz w:val="16"/>
                <w:szCs w:val="16"/>
              </w:rPr>
            </w:pPr>
            <w:r w:rsidRPr="00EE5D67">
              <w:rPr>
                <w:rFonts w:cs="Arial"/>
                <w:sz w:val="16"/>
                <w:szCs w:val="16"/>
              </w:rPr>
              <w:t>5,2</w:t>
            </w:r>
          </w:p>
        </w:tc>
        <w:tc>
          <w:tcPr>
            <w:tcW w:w="687" w:type="dxa"/>
            <w:tcBorders>
              <w:top w:val="nil"/>
              <w:left w:val="nil"/>
              <w:bottom w:val="nil"/>
              <w:right w:val="single" w:sz="4" w:space="0" w:color="auto"/>
            </w:tcBorders>
            <w:shd w:val="clear" w:color="auto" w:fill="auto"/>
            <w:noWrap/>
            <w:vAlign w:val="center"/>
            <w:hideMark/>
          </w:tcPr>
          <w:p w14:paraId="0C9F330E" w14:textId="77777777" w:rsidR="00EE5D67" w:rsidRPr="00EE5D67" w:rsidRDefault="00EE5D67" w:rsidP="00EE5D67">
            <w:pPr>
              <w:spacing w:after="0" w:line="240" w:lineRule="auto"/>
              <w:jc w:val="right"/>
              <w:rPr>
                <w:rFonts w:cs="Arial"/>
                <w:sz w:val="16"/>
                <w:szCs w:val="16"/>
              </w:rPr>
            </w:pPr>
            <w:r w:rsidRPr="00EE5D67">
              <w:rPr>
                <w:rFonts w:cs="Arial"/>
                <w:sz w:val="16"/>
                <w:szCs w:val="16"/>
              </w:rPr>
              <w:t>2,1</w:t>
            </w:r>
          </w:p>
        </w:tc>
        <w:tc>
          <w:tcPr>
            <w:tcW w:w="747" w:type="dxa"/>
            <w:tcBorders>
              <w:top w:val="nil"/>
              <w:left w:val="nil"/>
              <w:bottom w:val="nil"/>
              <w:right w:val="nil"/>
            </w:tcBorders>
            <w:shd w:val="clear" w:color="auto" w:fill="auto"/>
            <w:noWrap/>
            <w:vAlign w:val="center"/>
            <w:hideMark/>
          </w:tcPr>
          <w:p w14:paraId="5276568F" w14:textId="77777777" w:rsidR="00EE5D67" w:rsidRPr="00EE5D67" w:rsidRDefault="00EE5D67" w:rsidP="00EE5D67">
            <w:pPr>
              <w:spacing w:after="0" w:line="240" w:lineRule="auto"/>
              <w:jc w:val="right"/>
              <w:rPr>
                <w:rFonts w:cs="Arial"/>
                <w:sz w:val="16"/>
                <w:szCs w:val="16"/>
              </w:rPr>
            </w:pPr>
            <w:r w:rsidRPr="00EE5D67">
              <w:rPr>
                <w:rFonts w:cs="Arial"/>
                <w:sz w:val="16"/>
                <w:szCs w:val="16"/>
              </w:rPr>
              <w:t>12,8</w:t>
            </w:r>
          </w:p>
        </w:tc>
        <w:tc>
          <w:tcPr>
            <w:tcW w:w="686" w:type="dxa"/>
            <w:tcBorders>
              <w:top w:val="nil"/>
              <w:left w:val="nil"/>
              <w:bottom w:val="nil"/>
              <w:right w:val="nil"/>
            </w:tcBorders>
            <w:shd w:val="clear" w:color="auto" w:fill="auto"/>
            <w:noWrap/>
            <w:vAlign w:val="center"/>
            <w:hideMark/>
          </w:tcPr>
          <w:p w14:paraId="20E387D0" w14:textId="77777777" w:rsidR="00EE5D67" w:rsidRPr="00EE5D67" w:rsidRDefault="00EE5D67" w:rsidP="00EE5D67">
            <w:pPr>
              <w:spacing w:after="0" w:line="240" w:lineRule="auto"/>
              <w:jc w:val="right"/>
              <w:rPr>
                <w:rFonts w:cs="Arial"/>
                <w:sz w:val="16"/>
                <w:szCs w:val="16"/>
              </w:rPr>
            </w:pPr>
            <w:r w:rsidRPr="00EE5D67">
              <w:rPr>
                <w:rFonts w:cs="Arial"/>
                <w:sz w:val="16"/>
                <w:szCs w:val="16"/>
              </w:rPr>
              <w:t>8,2</w:t>
            </w:r>
          </w:p>
        </w:tc>
        <w:tc>
          <w:tcPr>
            <w:tcW w:w="688" w:type="dxa"/>
            <w:tcBorders>
              <w:top w:val="nil"/>
              <w:left w:val="nil"/>
              <w:bottom w:val="nil"/>
              <w:right w:val="nil"/>
            </w:tcBorders>
            <w:shd w:val="clear" w:color="auto" w:fill="auto"/>
            <w:noWrap/>
            <w:vAlign w:val="center"/>
            <w:hideMark/>
          </w:tcPr>
          <w:p w14:paraId="53DE0490" w14:textId="77777777" w:rsidR="00EE5D67" w:rsidRPr="00EE5D67" w:rsidRDefault="00EE5D67" w:rsidP="00EE5D67">
            <w:pPr>
              <w:spacing w:after="0" w:line="240" w:lineRule="auto"/>
              <w:jc w:val="right"/>
              <w:rPr>
                <w:rFonts w:cs="Arial"/>
                <w:sz w:val="16"/>
                <w:szCs w:val="16"/>
              </w:rPr>
            </w:pPr>
            <w:r w:rsidRPr="00EE5D67">
              <w:rPr>
                <w:rFonts w:cs="Arial"/>
                <w:sz w:val="16"/>
                <w:szCs w:val="16"/>
              </w:rPr>
              <w:t>4,5</w:t>
            </w:r>
          </w:p>
        </w:tc>
      </w:tr>
      <w:tr w:rsidR="00EE5D67" w:rsidRPr="00EE5D67" w14:paraId="300DE65E"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51AF1E05"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2012</w:t>
            </w:r>
          </w:p>
        </w:tc>
        <w:tc>
          <w:tcPr>
            <w:tcW w:w="747" w:type="dxa"/>
            <w:tcBorders>
              <w:top w:val="nil"/>
              <w:left w:val="nil"/>
              <w:bottom w:val="nil"/>
              <w:right w:val="nil"/>
            </w:tcBorders>
            <w:shd w:val="clear" w:color="auto" w:fill="auto"/>
            <w:noWrap/>
            <w:vAlign w:val="center"/>
            <w:hideMark/>
          </w:tcPr>
          <w:p w14:paraId="461F8593" w14:textId="77777777" w:rsidR="00EE5D67" w:rsidRPr="00EE5D67" w:rsidRDefault="00EE5D67" w:rsidP="00EE5D67">
            <w:pPr>
              <w:spacing w:after="0" w:line="240" w:lineRule="auto"/>
              <w:jc w:val="right"/>
              <w:rPr>
                <w:rFonts w:cs="Arial"/>
                <w:sz w:val="16"/>
                <w:szCs w:val="16"/>
              </w:rPr>
            </w:pPr>
            <w:r w:rsidRPr="00EE5D67">
              <w:rPr>
                <w:rFonts w:cs="Arial"/>
                <w:sz w:val="16"/>
                <w:szCs w:val="16"/>
              </w:rPr>
              <w:t>159,2</w:t>
            </w:r>
          </w:p>
        </w:tc>
        <w:tc>
          <w:tcPr>
            <w:tcW w:w="686" w:type="dxa"/>
            <w:tcBorders>
              <w:top w:val="nil"/>
              <w:left w:val="nil"/>
              <w:bottom w:val="nil"/>
              <w:right w:val="nil"/>
            </w:tcBorders>
            <w:shd w:val="clear" w:color="auto" w:fill="auto"/>
            <w:noWrap/>
            <w:vAlign w:val="center"/>
            <w:hideMark/>
          </w:tcPr>
          <w:p w14:paraId="4254377D" w14:textId="77777777" w:rsidR="00EE5D67" w:rsidRPr="00EE5D67" w:rsidRDefault="00EE5D67" w:rsidP="00EE5D67">
            <w:pPr>
              <w:spacing w:after="0" w:line="240" w:lineRule="auto"/>
              <w:jc w:val="right"/>
              <w:rPr>
                <w:rFonts w:cs="Arial"/>
                <w:sz w:val="16"/>
                <w:szCs w:val="16"/>
              </w:rPr>
            </w:pPr>
            <w:r w:rsidRPr="00EE5D67">
              <w:rPr>
                <w:rFonts w:cs="Arial"/>
                <w:sz w:val="16"/>
                <w:szCs w:val="16"/>
              </w:rPr>
              <w:t>73,7</w:t>
            </w:r>
          </w:p>
        </w:tc>
        <w:tc>
          <w:tcPr>
            <w:tcW w:w="687" w:type="dxa"/>
            <w:tcBorders>
              <w:top w:val="nil"/>
              <w:left w:val="nil"/>
              <w:bottom w:val="nil"/>
              <w:right w:val="single" w:sz="4" w:space="0" w:color="auto"/>
            </w:tcBorders>
            <w:shd w:val="clear" w:color="auto" w:fill="auto"/>
            <w:noWrap/>
            <w:vAlign w:val="center"/>
            <w:hideMark/>
          </w:tcPr>
          <w:p w14:paraId="33E17D25" w14:textId="77777777" w:rsidR="00EE5D67" w:rsidRPr="00EE5D67" w:rsidRDefault="00EE5D67" w:rsidP="00EE5D67">
            <w:pPr>
              <w:spacing w:after="0" w:line="240" w:lineRule="auto"/>
              <w:jc w:val="right"/>
              <w:rPr>
                <w:rFonts w:cs="Arial"/>
                <w:sz w:val="16"/>
                <w:szCs w:val="16"/>
              </w:rPr>
            </w:pPr>
            <w:r w:rsidRPr="00EE5D67">
              <w:rPr>
                <w:rFonts w:cs="Arial"/>
                <w:sz w:val="16"/>
                <w:szCs w:val="16"/>
              </w:rPr>
              <w:t>85,5</w:t>
            </w:r>
          </w:p>
        </w:tc>
        <w:tc>
          <w:tcPr>
            <w:tcW w:w="747" w:type="dxa"/>
            <w:tcBorders>
              <w:top w:val="nil"/>
              <w:left w:val="nil"/>
              <w:bottom w:val="nil"/>
              <w:right w:val="nil"/>
            </w:tcBorders>
            <w:shd w:val="clear" w:color="auto" w:fill="auto"/>
            <w:noWrap/>
            <w:vAlign w:val="center"/>
            <w:hideMark/>
          </w:tcPr>
          <w:p w14:paraId="6C8AB9E6" w14:textId="77777777" w:rsidR="00EE5D67" w:rsidRPr="00EE5D67" w:rsidRDefault="00EE5D67" w:rsidP="00EE5D67">
            <w:pPr>
              <w:spacing w:after="0" w:line="240" w:lineRule="auto"/>
              <w:jc w:val="right"/>
              <w:rPr>
                <w:rFonts w:cs="Arial"/>
                <w:sz w:val="16"/>
                <w:szCs w:val="16"/>
              </w:rPr>
            </w:pPr>
            <w:r w:rsidRPr="00EE5D67">
              <w:rPr>
                <w:rFonts w:cs="Arial"/>
                <w:sz w:val="16"/>
                <w:szCs w:val="16"/>
              </w:rPr>
              <w:t>135,6</w:t>
            </w:r>
          </w:p>
        </w:tc>
        <w:tc>
          <w:tcPr>
            <w:tcW w:w="686" w:type="dxa"/>
            <w:tcBorders>
              <w:top w:val="nil"/>
              <w:left w:val="nil"/>
              <w:bottom w:val="nil"/>
              <w:right w:val="nil"/>
            </w:tcBorders>
            <w:shd w:val="clear" w:color="auto" w:fill="auto"/>
            <w:noWrap/>
            <w:vAlign w:val="center"/>
            <w:hideMark/>
          </w:tcPr>
          <w:p w14:paraId="210A9502" w14:textId="77777777" w:rsidR="00EE5D67" w:rsidRPr="00EE5D67" w:rsidRDefault="00EE5D67" w:rsidP="00EE5D67">
            <w:pPr>
              <w:spacing w:after="0" w:line="240" w:lineRule="auto"/>
              <w:jc w:val="right"/>
              <w:rPr>
                <w:rFonts w:cs="Arial"/>
                <w:sz w:val="16"/>
                <w:szCs w:val="16"/>
              </w:rPr>
            </w:pPr>
            <w:r w:rsidRPr="00EE5D67">
              <w:rPr>
                <w:rFonts w:cs="Arial"/>
                <w:sz w:val="16"/>
                <w:szCs w:val="16"/>
              </w:rPr>
              <w:t>58,2</w:t>
            </w:r>
          </w:p>
        </w:tc>
        <w:tc>
          <w:tcPr>
            <w:tcW w:w="687" w:type="dxa"/>
            <w:tcBorders>
              <w:top w:val="nil"/>
              <w:left w:val="nil"/>
              <w:bottom w:val="nil"/>
              <w:right w:val="single" w:sz="4" w:space="0" w:color="auto"/>
            </w:tcBorders>
            <w:shd w:val="clear" w:color="auto" w:fill="auto"/>
            <w:noWrap/>
            <w:vAlign w:val="center"/>
            <w:hideMark/>
          </w:tcPr>
          <w:p w14:paraId="2E03294C" w14:textId="77777777" w:rsidR="00EE5D67" w:rsidRPr="00EE5D67" w:rsidRDefault="00EE5D67" w:rsidP="00EE5D67">
            <w:pPr>
              <w:spacing w:after="0" w:line="240" w:lineRule="auto"/>
              <w:jc w:val="right"/>
              <w:rPr>
                <w:rFonts w:cs="Arial"/>
                <w:sz w:val="16"/>
                <w:szCs w:val="16"/>
              </w:rPr>
            </w:pPr>
            <w:r w:rsidRPr="00EE5D67">
              <w:rPr>
                <w:rFonts w:cs="Arial"/>
                <w:sz w:val="16"/>
                <w:szCs w:val="16"/>
              </w:rPr>
              <w:t>77,3</w:t>
            </w:r>
          </w:p>
        </w:tc>
        <w:tc>
          <w:tcPr>
            <w:tcW w:w="761" w:type="dxa"/>
            <w:tcBorders>
              <w:top w:val="nil"/>
              <w:left w:val="nil"/>
              <w:bottom w:val="nil"/>
              <w:right w:val="nil"/>
            </w:tcBorders>
            <w:shd w:val="clear" w:color="auto" w:fill="auto"/>
            <w:noWrap/>
            <w:vAlign w:val="center"/>
            <w:hideMark/>
          </w:tcPr>
          <w:p w14:paraId="4A540B98" w14:textId="77777777" w:rsidR="00EE5D67" w:rsidRPr="00EE5D67" w:rsidRDefault="00EE5D67" w:rsidP="00EE5D67">
            <w:pPr>
              <w:spacing w:after="0" w:line="240" w:lineRule="auto"/>
              <w:jc w:val="right"/>
              <w:rPr>
                <w:rFonts w:cs="Arial"/>
                <w:sz w:val="16"/>
                <w:szCs w:val="16"/>
              </w:rPr>
            </w:pPr>
            <w:r w:rsidRPr="00EE5D67">
              <w:rPr>
                <w:rFonts w:cs="Arial"/>
                <w:sz w:val="16"/>
                <w:szCs w:val="16"/>
              </w:rPr>
              <w:t>6,9</w:t>
            </w:r>
          </w:p>
        </w:tc>
        <w:tc>
          <w:tcPr>
            <w:tcW w:w="686" w:type="dxa"/>
            <w:tcBorders>
              <w:top w:val="nil"/>
              <w:left w:val="nil"/>
              <w:bottom w:val="nil"/>
              <w:right w:val="nil"/>
            </w:tcBorders>
            <w:shd w:val="clear" w:color="auto" w:fill="auto"/>
            <w:noWrap/>
            <w:vAlign w:val="center"/>
            <w:hideMark/>
          </w:tcPr>
          <w:p w14:paraId="154DAEE6" w14:textId="77777777" w:rsidR="00EE5D67" w:rsidRPr="00EE5D67" w:rsidRDefault="00EE5D67" w:rsidP="00EE5D67">
            <w:pPr>
              <w:spacing w:after="0" w:line="240" w:lineRule="auto"/>
              <w:jc w:val="right"/>
              <w:rPr>
                <w:rFonts w:cs="Arial"/>
                <w:sz w:val="16"/>
                <w:szCs w:val="16"/>
              </w:rPr>
            </w:pPr>
            <w:r w:rsidRPr="00EE5D67">
              <w:rPr>
                <w:rFonts w:cs="Arial"/>
                <w:sz w:val="16"/>
                <w:szCs w:val="16"/>
              </w:rPr>
              <w:t>4,9</w:t>
            </w:r>
          </w:p>
        </w:tc>
        <w:tc>
          <w:tcPr>
            <w:tcW w:w="687" w:type="dxa"/>
            <w:tcBorders>
              <w:top w:val="nil"/>
              <w:left w:val="nil"/>
              <w:bottom w:val="nil"/>
              <w:right w:val="single" w:sz="4" w:space="0" w:color="auto"/>
            </w:tcBorders>
            <w:shd w:val="clear" w:color="auto" w:fill="auto"/>
            <w:noWrap/>
            <w:vAlign w:val="center"/>
            <w:hideMark/>
          </w:tcPr>
          <w:p w14:paraId="603B5783" w14:textId="77777777" w:rsidR="00EE5D67" w:rsidRPr="00EE5D67" w:rsidRDefault="00EE5D67" w:rsidP="00EE5D67">
            <w:pPr>
              <w:spacing w:after="0" w:line="240" w:lineRule="auto"/>
              <w:jc w:val="right"/>
              <w:rPr>
                <w:rFonts w:cs="Arial"/>
                <w:sz w:val="16"/>
                <w:szCs w:val="16"/>
              </w:rPr>
            </w:pPr>
            <w:r w:rsidRPr="00EE5D67">
              <w:rPr>
                <w:rFonts w:cs="Arial"/>
                <w:sz w:val="16"/>
                <w:szCs w:val="16"/>
              </w:rPr>
              <w:t>2,0</w:t>
            </w:r>
          </w:p>
        </w:tc>
        <w:tc>
          <w:tcPr>
            <w:tcW w:w="747" w:type="dxa"/>
            <w:tcBorders>
              <w:top w:val="nil"/>
              <w:left w:val="nil"/>
              <w:bottom w:val="nil"/>
              <w:right w:val="nil"/>
            </w:tcBorders>
            <w:shd w:val="clear" w:color="auto" w:fill="auto"/>
            <w:noWrap/>
            <w:vAlign w:val="center"/>
            <w:hideMark/>
          </w:tcPr>
          <w:p w14:paraId="5F993200" w14:textId="77777777" w:rsidR="00EE5D67" w:rsidRPr="00EE5D67" w:rsidRDefault="00EE5D67" w:rsidP="00EE5D67">
            <w:pPr>
              <w:spacing w:after="0" w:line="240" w:lineRule="auto"/>
              <w:jc w:val="right"/>
              <w:rPr>
                <w:rFonts w:cs="Arial"/>
                <w:sz w:val="16"/>
                <w:szCs w:val="16"/>
              </w:rPr>
            </w:pPr>
            <w:r w:rsidRPr="00EE5D67">
              <w:rPr>
                <w:rFonts w:cs="Arial"/>
                <w:sz w:val="16"/>
                <w:szCs w:val="16"/>
              </w:rPr>
              <w:t>16,7</w:t>
            </w:r>
          </w:p>
        </w:tc>
        <w:tc>
          <w:tcPr>
            <w:tcW w:w="686" w:type="dxa"/>
            <w:tcBorders>
              <w:top w:val="nil"/>
              <w:left w:val="nil"/>
              <w:bottom w:val="nil"/>
              <w:right w:val="nil"/>
            </w:tcBorders>
            <w:shd w:val="clear" w:color="auto" w:fill="auto"/>
            <w:noWrap/>
            <w:vAlign w:val="center"/>
            <w:hideMark/>
          </w:tcPr>
          <w:p w14:paraId="13201C0B" w14:textId="77777777" w:rsidR="00EE5D67" w:rsidRPr="00EE5D67" w:rsidRDefault="00EE5D67" w:rsidP="00EE5D67">
            <w:pPr>
              <w:spacing w:after="0" w:line="240" w:lineRule="auto"/>
              <w:jc w:val="right"/>
              <w:rPr>
                <w:rFonts w:cs="Arial"/>
                <w:sz w:val="16"/>
                <w:szCs w:val="16"/>
              </w:rPr>
            </w:pPr>
            <w:r w:rsidRPr="00EE5D67">
              <w:rPr>
                <w:rFonts w:cs="Arial"/>
                <w:sz w:val="16"/>
                <w:szCs w:val="16"/>
              </w:rPr>
              <w:t>9,7</w:t>
            </w:r>
          </w:p>
        </w:tc>
        <w:tc>
          <w:tcPr>
            <w:tcW w:w="688" w:type="dxa"/>
            <w:tcBorders>
              <w:top w:val="nil"/>
              <w:left w:val="nil"/>
              <w:bottom w:val="nil"/>
              <w:right w:val="nil"/>
            </w:tcBorders>
            <w:shd w:val="clear" w:color="auto" w:fill="auto"/>
            <w:noWrap/>
            <w:vAlign w:val="center"/>
            <w:hideMark/>
          </w:tcPr>
          <w:p w14:paraId="51E09701" w14:textId="77777777" w:rsidR="00EE5D67" w:rsidRPr="00EE5D67" w:rsidRDefault="00EE5D67" w:rsidP="00EE5D67">
            <w:pPr>
              <w:spacing w:after="0" w:line="240" w:lineRule="auto"/>
              <w:jc w:val="right"/>
              <w:rPr>
                <w:rFonts w:cs="Arial"/>
                <w:sz w:val="16"/>
                <w:szCs w:val="16"/>
              </w:rPr>
            </w:pPr>
            <w:r w:rsidRPr="00EE5D67">
              <w:rPr>
                <w:rFonts w:cs="Arial"/>
                <w:sz w:val="16"/>
                <w:szCs w:val="16"/>
              </w:rPr>
              <w:t>7,1</w:t>
            </w:r>
          </w:p>
        </w:tc>
      </w:tr>
      <w:tr w:rsidR="00EE5D67" w:rsidRPr="00EE5D67" w14:paraId="39B38985"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204B784C"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2013</w:t>
            </w:r>
          </w:p>
        </w:tc>
        <w:tc>
          <w:tcPr>
            <w:tcW w:w="747" w:type="dxa"/>
            <w:tcBorders>
              <w:top w:val="nil"/>
              <w:left w:val="nil"/>
              <w:bottom w:val="nil"/>
              <w:right w:val="nil"/>
            </w:tcBorders>
            <w:shd w:val="clear" w:color="auto" w:fill="auto"/>
            <w:noWrap/>
            <w:vAlign w:val="center"/>
            <w:hideMark/>
          </w:tcPr>
          <w:p w14:paraId="0A52AE6A" w14:textId="77777777" w:rsidR="00EE5D67" w:rsidRPr="00EE5D67" w:rsidRDefault="00EE5D67" w:rsidP="00EE5D67">
            <w:pPr>
              <w:spacing w:after="0" w:line="240" w:lineRule="auto"/>
              <w:jc w:val="right"/>
              <w:rPr>
                <w:rFonts w:cs="Arial"/>
                <w:sz w:val="16"/>
                <w:szCs w:val="16"/>
              </w:rPr>
            </w:pPr>
            <w:r w:rsidRPr="00EE5D67">
              <w:rPr>
                <w:rFonts w:cs="Arial"/>
                <w:sz w:val="16"/>
                <w:szCs w:val="16"/>
              </w:rPr>
              <w:t>176,1</w:t>
            </w:r>
          </w:p>
        </w:tc>
        <w:tc>
          <w:tcPr>
            <w:tcW w:w="686" w:type="dxa"/>
            <w:tcBorders>
              <w:top w:val="nil"/>
              <w:left w:val="nil"/>
              <w:bottom w:val="nil"/>
              <w:right w:val="nil"/>
            </w:tcBorders>
            <w:shd w:val="clear" w:color="auto" w:fill="auto"/>
            <w:noWrap/>
            <w:vAlign w:val="center"/>
            <w:hideMark/>
          </w:tcPr>
          <w:p w14:paraId="20F9D1D5" w14:textId="77777777" w:rsidR="00EE5D67" w:rsidRPr="00EE5D67" w:rsidRDefault="00EE5D67" w:rsidP="00EE5D67">
            <w:pPr>
              <w:spacing w:after="0" w:line="240" w:lineRule="auto"/>
              <w:jc w:val="right"/>
              <w:rPr>
                <w:rFonts w:cs="Arial"/>
                <w:sz w:val="16"/>
                <w:szCs w:val="16"/>
              </w:rPr>
            </w:pPr>
            <w:r w:rsidRPr="00EE5D67">
              <w:rPr>
                <w:rFonts w:cs="Arial"/>
                <w:sz w:val="16"/>
                <w:szCs w:val="16"/>
              </w:rPr>
              <w:t>81,6</w:t>
            </w:r>
          </w:p>
        </w:tc>
        <w:tc>
          <w:tcPr>
            <w:tcW w:w="687" w:type="dxa"/>
            <w:tcBorders>
              <w:top w:val="nil"/>
              <w:left w:val="nil"/>
              <w:bottom w:val="nil"/>
              <w:right w:val="single" w:sz="4" w:space="0" w:color="auto"/>
            </w:tcBorders>
            <w:shd w:val="clear" w:color="auto" w:fill="auto"/>
            <w:noWrap/>
            <w:vAlign w:val="center"/>
            <w:hideMark/>
          </w:tcPr>
          <w:p w14:paraId="2AF38A22" w14:textId="77777777" w:rsidR="00EE5D67" w:rsidRPr="00EE5D67" w:rsidRDefault="00EE5D67" w:rsidP="00EE5D67">
            <w:pPr>
              <w:spacing w:after="0" w:line="240" w:lineRule="auto"/>
              <w:jc w:val="right"/>
              <w:rPr>
                <w:rFonts w:cs="Arial"/>
                <w:sz w:val="16"/>
                <w:szCs w:val="16"/>
              </w:rPr>
            </w:pPr>
            <w:r w:rsidRPr="00EE5D67">
              <w:rPr>
                <w:rFonts w:cs="Arial"/>
                <w:sz w:val="16"/>
                <w:szCs w:val="16"/>
              </w:rPr>
              <w:t>94,5</w:t>
            </w:r>
          </w:p>
        </w:tc>
        <w:tc>
          <w:tcPr>
            <w:tcW w:w="747" w:type="dxa"/>
            <w:tcBorders>
              <w:top w:val="nil"/>
              <w:left w:val="nil"/>
              <w:bottom w:val="nil"/>
              <w:right w:val="nil"/>
            </w:tcBorders>
            <w:shd w:val="clear" w:color="auto" w:fill="auto"/>
            <w:noWrap/>
            <w:vAlign w:val="center"/>
            <w:hideMark/>
          </w:tcPr>
          <w:p w14:paraId="5C070534" w14:textId="77777777" w:rsidR="00EE5D67" w:rsidRPr="00EE5D67" w:rsidRDefault="00EE5D67" w:rsidP="00EE5D67">
            <w:pPr>
              <w:spacing w:after="0" w:line="240" w:lineRule="auto"/>
              <w:jc w:val="right"/>
              <w:rPr>
                <w:rFonts w:cs="Arial"/>
                <w:sz w:val="16"/>
                <w:szCs w:val="16"/>
              </w:rPr>
            </w:pPr>
            <w:r w:rsidRPr="00EE5D67">
              <w:rPr>
                <w:rFonts w:cs="Arial"/>
                <w:sz w:val="16"/>
                <w:szCs w:val="16"/>
              </w:rPr>
              <w:t>150,6</w:t>
            </w:r>
          </w:p>
        </w:tc>
        <w:tc>
          <w:tcPr>
            <w:tcW w:w="686" w:type="dxa"/>
            <w:tcBorders>
              <w:top w:val="nil"/>
              <w:left w:val="nil"/>
              <w:bottom w:val="nil"/>
              <w:right w:val="nil"/>
            </w:tcBorders>
            <w:shd w:val="clear" w:color="auto" w:fill="auto"/>
            <w:noWrap/>
            <w:vAlign w:val="center"/>
            <w:hideMark/>
          </w:tcPr>
          <w:p w14:paraId="145F8757" w14:textId="77777777" w:rsidR="00EE5D67" w:rsidRPr="00EE5D67" w:rsidRDefault="00EE5D67" w:rsidP="00EE5D67">
            <w:pPr>
              <w:spacing w:after="0" w:line="240" w:lineRule="auto"/>
              <w:jc w:val="right"/>
              <w:rPr>
                <w:rFonts w:cs="Arial"/>
                <w:sz w:val="16"/>
                <w:szCs w:val="16"/>
              </w:rPr>
            </w:pPr>
            <w:r w:rsidRPr="00EE5D67">
              <w:rPr>
                <w:rFonts w:cs="Arial"/>
                <w:sz w:val="16"/>
                <w:szCs w:val="16"/>
              </w:rPr>
              <w:t>65,2</w:t>
            </w:r>
          </w:p>
        </w:tc>
        <w:tc>
          <w:tcPr>
            <w:tcW w:w="687" w:type="dxa"/>
            <w:tcBorders>
              <w:top w:val="nil"/>
              <w:left w:val="nil"/>
              <w:bottom w:val="nil"/>
              <w:right w:val="single" w:sz="4" w:space="0" w:color="auto"/>
            </w:tcBorders>
            <w:shd w:val="clear" w:color="auto" w:fill="auto"/>
            <w:noWrap/>
            <w:vAlign w:val="center"/>
            <w:hideMark/>
          </w:tcPr>
          <w:p w14:paraId="2FD7DA37" w14:textId="77777777" w:rsidR="00EE5D67" w:rsidRPr="00EE5D67" w:rsidRDefault="00EE5D67" w:rsidP="00EE5D67">
            <w:pPr>
              <w:spacing w:after="0" w:line="240" w:lineRule="auto"/>
              <w:jc w:val="right"/>
              <w:rPr>
                <w:rFonts w:cs="Arial"/>
                <w:sz w:val="16"/>
                <w:szCs w:val="16"/>
              </w:rPr>
            </w:pPr>
            <w:r w:rsidRPr="00EE5D67">
              <w:rPr>
                <w:rFonts w:cs="Arial"/>
                <w:sz w:val="16"/>
                <w:szCs w:val="16"/>
              </w:rPr>
              <w:t>85,3</w:t>
            </w:r>
          </w:p>
        </w:tc>
        <w:tc>
          <w:tcPr>
            <w:tcW w:w="761" w:type="dxa"/>
            <w:tcBorders>
              <w:top w:val="nil"/>
              <w:left w:val="nil"/>
              <w:bottom w:val="nil"/>
              <w:right w:val="nil"/>
            </w:tcBorders>
            <w:shd w:val="clear" w:color="auto" w:fill="auto"/>
            <w:noWrap/>
            <w:vAlign w:val="center"/>
            <w:hideMark/>
          </w:tcPr>
          <w:p w14:paraId="06DB4002" w14:textId="77777777" w:rsidR="00EE5D67" w:rsidRPr="00EE5D67" w:rsidRDefault="00EE5D67" w:rsidP="00EE5D67">
            <w:pPr>
              <w:spacing w:after="0" w:line="240" w:lineRule="auto"/>
              <w:jc w:val="right"/>
              <w:rPr>
                <w:rFonts w:cs="Arial"/>
                <w:sz w:val="16"/>
                <w:szCs w:val="16"/>
              </w:rPr>
            </w:pPr>
            <w:r w:rsidRPr="00EE5D67">
              <w:rPr>
                <w:rFonts w:cs="Arial"/>
                <w:sz w:val="16"/>
                <w:szCs w:val="16"/>
              </w:rPr>
              <w:t>6,8</w:t>
            </w:r>
          </w:p>
        </w:tc>
        <w:tc>
          <w:tcPr>
            <w:tcW w:w="686" w:type="dxa"/>
            <w:tcBorders>
              <w:top w:val="nil"/>
              <w:left w:val="nil"/>
              <w:bottom w:val="nil"/>
              <w:right w:val="nil"/>
            </w:tcBorders>
            <w:shd w:val="clear" w:color="auto" w:fill="auto"/>
            <w:noWrap/>
            <w:vAlign w:val="center"/>
            <w:hideMark/>
          </w:tcPr>
          <w:p w14:paraId="24333FE8" w14:textId="77777777" w:rsidR="00EE5D67" w:rsidRPr="00EE5D67" w:rsidRDefault="00EE5D67" w:rsidP="00EE5D67">
            <w:pPr>
              <w:spacing w:after="0" w:line="240" w:lineRule="auto"/>
              <w:jc w:val="right"/>
              <w:rPr>
                <w:rFonts w:cs="Arial"/>
                <w:sz w:val="16"/>
                <w:szCs w:val="16"/>
              </w:rPr>
            </w:pPr>
            <w:r w:rsidRPr="00EE5D67">
              <w:rPr>
                <w:rFonts w:cs="Arial"/>
                <w:sz w:val="16"/>
                <w:szCs w:val="16"/>
              </w:rPr>
              <w:t>4,8</w:t>
            </w:r>
          </w:p>
        </w:tc>
        <w:tc>
          <w:tcPr>
            <w:tcW w:w="687" w:type="dxa"/>
            <w:tcBorders>
              <w:top w:val="nil"/>
              <w:left w:val="nil"/>
              <w:bottom w:val="nil"/>
              <w:right w:val="single" w:sz="4" w:space="0" w:color="auto"/>
            </w:tcBorders>
            <w:shd w:val="clear" w:color="auto" w:fill="auto"/>
            <w:noWrap/>
            <w:vAlign w:val="center"/>
            <w:hideMark/>
          </w:tcPr>
          <w:p w14:paraId="5D275D14" w14:textId="77777777" w:rsidR="00EE5D67" w:rsidRPr="00EE5D67" w:rsidRDefault="00EE5D67" w:rsidP="00EE5D67">
            <w:pPr>
              <w:spacing w:after="0" w:line="240" w:lineRule="auto"/>
              <w:jc w:val="right"/>
              <w:rPr>
                <w:rFonts w:cs="Arial"/>
                <w:sz w:val="16"/>
                <w:szCs w:val="16"/>
              </w:rPr>
            </w:pPr>
            <w:r w:rsidRPr="00EE5D67">
              <w:rPr>
                <w:rFonts w:cs="Arial"/>
                <w:sz w:val="16"/>
                <w:szCs w:val="16"/>
              </w:rPr>
              <w:t>2,1</w:t>
            </w:r>
          </w:p>
        </w:tc>
        <w:tc>
          <w:tcPr>
            <w:tcW w:w="747" w:type="dxa"/>
            <w:tcBorders>
              <w:top w:val="nil"/>
              <w:left w:val="nil"/>
              <w:bottom w:val="nil"/>
              <w:right w:val="nil"/>
            </w:tcBorders>
            <w:shd w:val="clear" w:color="auto" w:fill="auto"/>
            <w:noWrap/>
            <w:vAlign w:val="center"/>
            <w:hideMark/>
          </w:tcPr>
          <w:p w14:paraId="4A2AB224" w14:textId="77777777" w:rsidR="00EE5D67" w:rsidRPr="00EE5D67" w:rsidRDefault="00EE5D67" w:rsidP="00EE5D67">
            <w:pPr>
              <w:spacing w:after="0" w:line="240" w:lineRule="auto"/>
              <w:jc w:val="right"/>
              <w:rPr>
                <w:rFonts w:cs="Arial"/>
                <w:sz w:val="16"/>
                <w:szCs w:val="16"/>
              </w:rPr>
            </w:pPr>
            <w:r w:rsidRPr="00EE5D67">
              <w:rPr>
                <w:rFonts w:cs="Arial"/>
                <w:sz w:val="16"/>
                <w:szCs w:val="16"/>
              </w:rPr>
              <w:t>18,7</w:t>
            </w:r>
          </w:p>
        </w:tc>
        <w:tc>
          <w:tcPr>
            <w:tcW w:w="686" w:type="dxa"/>
            <w:tcBorders>
              <w:top w:val="nil"/>
              <w:left w:val="nil"/>
              <w:bottom w:val="nil"/>
              <w:right w:val="nil"/>
            </w:tcBorders>
            <w:shd w:val="clear" w:color="auto" w:fill="auto"/>
            <w:noWrap/>
            <w:vAlign w:val="center"/>
            <w:hideMark/>
          </w:tcPr>
          <w:p w14:paraId="6300DBCE" w14:textId="77777777" w:rsidR="00EE5D67" w:rsidRPr="00EE5D67" w:rsidRDefault="00EE5D67" w:rsidP="00EE5D67">
            <w:pPr>
              <w:spacing w:after="0" w:line="240" w:lineRule="auto"/>
              <w:jc w:val="right"/>
              <w:rPr>
                <w:rFonts w:cs="Arial"/>
                <w:sz w:val="16"/>
                <w:szCs w:val="16"/>
              </w:rPr>
            </w:pPr>
            <w:r w:rsidRPr="00EE5D67">
              <w:rPr>
                <w:rFonts w:cs="Arial"/>
                <w:sz w:val="16"/>
                <w:szCs w:val="16"/>
              </w:rPr>
              <w:t>11,6</w:t>
            </w:r>
          </w:p>
        </w:tc>
        <w:tc>
          <w:tcPr>
            <w:tcW w:w="688" w:type="dxa"/>
            <w:tcBorders>
              <w:top w:val="nil"/>
              <w:left w:val="nil"/>
              <w:bottom w:val="nil"/>
              <w:right w:val="nil"/>
            </w:tcBorders>
            <w:shd w:val="clear" w:color="auto" w:fill="auto"/>
            <w:noWrap/>
            <w:vAlign w:val="center"/>
            <w:hideMark/>
          </w:tcPr>
          <w:p w14:paraId="32FD47AD" w14:textId="77777777" w:rsidR="00EE5D67" w:rsidRPr="00EE5D67" w:rsidRDefault="00EE5D67" w:rsidP="00EE5D67">
            <w:pPr>
              <w:spacing w:after="0" w:line="240" w:lineRule="auto"/>
              <w:jc w:val="right"/>
              <w:rPr>
                <w:rFonts w:cs="Arial"/>
                <w:sz w:val="16"/>
                <w:szCs w:val="16"/>
              </w:rPr>
            </w:pPr>
            <w:r w:rsidRPr="00EE5D67">
              <w:rPr>
                <w:rFonts w:cs="Arial"/>
                <w:sz w:val="16"/>
                <w:szCs w:val="16"/>
              </w:rPr>
              <w:t>7,1</w:t>
            </w:r>
          </w:p>
        </w:tc>
      </w:tr>
      <w:tr w:rsidR="00EE5D67" w:rsidRPr="00EE5D67" w14:paraId="28101A93"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37AF8CB5"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2014</w:t>
            </w:r>
          </w:p>
        </w:tc>
        <w:tc>
          <w:tcPr>
            <w:tcW w:w="747" w:type="dxa"/>
            <w:tcBorders>
              <w:top w:val="nil"/>
              <w:left w:val="nil"/>
              <w:bottom w:val="nil"/>
              <w:right w:val="nil"/>
            </w:tcBorders>
            <w:shd w:val="clear" w:color="auto" w:fill="auto"/>
            <w:noWrap/>
            <w:vAlign w:val="center"/>
            <w:hideMark/>
          </w:tcPr>
          <w:p w14:paraId="64B5C9FA" w14:textId="77777777" w:rsidR="00EE5D67" w:rsidRPr="00EE5D67" w:rsidRDefault="00EE5D67" w:rsidP="00EE5D67">
            <w:pPr>
              <w:spacing w:after="0" w:line="240" w:lineRule="auto"/>
              <w:jc w:val="right"/>
              <w:rPr>
                <w:rFonts w:cs="Arial"/>
                <w:sz w:val="16"/>
                <w:szCs w:val="16"/>
              </w:rPr>
            </w:pPr>
            <w:r w:rsidRPr="00EE5D67">
              <w:rPr>
                <w:rFonts w:cs="Arial"/>
                <w:sz w:val="16"/>
                <w:szCs w:val="16"/>
              </w:rPr>
              <w:t>168,6</w:t>
            </w:r>
          </w:p>
        </w:tc>
        <w:tc>
          <w:tcPr>
            <w:tcW w:w="686" w:type="dxa"/>
            <w:tcBorders>
              <w:top w:val="nil"/>
              <w:left w:val="nil"/>
              <w:bottom w:val="nil"/>
              <w:right w:val="nil"/>
            </w:tcBorders>
            <w:shd w:val="clear" w:color="auto" w:fill="auto"/>
            <w:noWrap/>
            <w:vAlign w:val="center"/>
            <w:hideMark/>
          </w:tcPr>
          <w:p w14:paraId="2D126DF0" w14:textId="77777777" w:rsidR="00EE5D67" w:rsidRPr="00EE5D67" w:rsidRDefault="00EE5D67" w:rsidP="00EE5D67">
            <w:pPr>
              <w:spacing w:after="0" w:line="240" w:lineRule="auto"/>
              <w:jc w:val="right"/>
              <w:rPr>
                <w:rFonts w:cs="Arial"/>
                <w:sz w:val="16"/>
                <w:szCs w:val="16"/>
              </w:rPr>
            </w:pPr>
            <w:r w:rsidRPr="00EE5D67">
              <w:rPr>
                <w:rFonts w:cs="Arial"/>
                <w:sz w:val="16"/>
                <w:szCs w:val="16"/>
              </w:rPr>
              <w:t>76,8</w:t>
            </w:r>
          </w:p>
        </w:tc>
        <w:tc>
          <w:tcPr>
            <w:tcW w:w="687" w:type="dxa"/>
            <w:tcBorders>
              <w:top w:val="nil"/>
              <w:left w:val="nil"/>
              <w:bottom w:val="nil"/>
              <w:right w:val="single" w:sz="4" w:space="0" w:color="auto"/>
            </w:tcBorders>
            <w:shd w:val="clear" w:color="auto" w:fill="auto"/>
            <w:noWrap/>
            <w:vAlign w:val="center"/>
            <w:hideMark/>
          </w:tcPr>
          <w:p w14:paraId="37105C2A" w14:textId="77777777" w:rsidR="00EE5D67" w:rsidRPr="00EE5D67" w:rsidRDefault="00EE5D67" w:rsidP="00EE5D67">
            <w:pPr>
              <w:spacing w:after="0" w:line="240" w:lineRule="auto"/>
              <w:jc w:val="right"/>
              <w:rPr>
                <w:rFonts w:ascii="Arial CE" w:hAnsi="Arial CE" w:cs="Arial CE"/>
                <w:sz w:val="16"/>
                <w:szCs w:val="16"/>
              </w:rPr>
            </w:pPr>
            <w:r w:rsidRPr="00EE5D67">
              <w:rPr>
                <w:rFonts w:ascii="Arial CE" w:hAnsi="Arial CE" w:cs="Arial CE"/>
                <w:sz w:val="16"/>
                <w:szCs w:val="16"/>
              </w:rPr>
              <w:t>91,7</w:t>
            </w:r>
          </w:p>
        </w:tc>
        <w:tc>
          <w:tcPr>
            <w:tcW w:w="747" w:type="dxa"/>
            <w:tcBorders>
              <w:top w:val="nil"/>
              <w:left w:val="nil"/>
              <w:bottom w:val="nil"/>
              <w:right w:val="nil"/>
            </w:tcBorders>
            <w:shd w:val="clear" w:color="auto" w:fill="auto"/>
            <w:noWrap/>
            <w:vAlign w:val="center"/>
            <w:hideMark/>
          </w:tcPr>
          <w:p w14:paraId="09AC9825" w14:textId="77777777" w:rsidR="00EE5D67" w:rsidRPr="00EE5D67" w:rsidRDefault="00EE5D67" w:rsidP="00EE5D67">
            <w:pPr>
              <w:spacing w:after="0" w:line="240" w:lineRule="auto"/>
              <w:jc w:val="right"/>
              <w:rPr>
                <w:rFonts w:cs="Arial"/>
                <w:sz w:val="16"/>
                <w:szCs w:val="16"/>
              </w:rPr>
            </w:pPr>
            <w:r w:rsidRPr="00EE5D67">
              <w:rPr>
                <w:rFonts w:cs="Arial"/>
                <w:sz w:val="16"/>
                <w:szCs w:val="16"/>
              </w:rPr>
              <w:t>143,7</w:t>
            </w:r>
          </w:p>
        </w:tc>
        <w:tc>
          <w:tcPr>
            <w:tcW w:w="686" w:type="dxa"/>
            <w:tcBorders>
              <w:top w:val="nil"/>
              <w:left w:val="nil"/>
              <w:bottom w:val="nil"/>
              <w:right w:val="nil"/>
            </w:tcBorders>
            <w:shd w:val="clear" w:color="auto" w:fill="auto"/>
            <w:noWrap/>
            <w:vAlign w:val="center"/>
            <w:hideMark/>
          </w:tcPr>
          <w:p w14:paraId="3D557199" w14:textId="77777777" w:rsidR="00EE5D67" w:rsidRPr="00EE5D67" w:rsidRDefault="00EE5D67" w:rsidP="00EE5D67">
            <w:pPr>
              <w:spacing w:after="0" w:line="240" w:lineRule="auto"/>
              <w:jc w:val="right"/>
              <w:rPr>
                <w:rFonts w:cs="Arial"/>
                <w:sz w:val="16"/>
                <w:szCs w:val="16"/>
              </w:rPr>
            </w:pPr>
            <w:r w:rsidRPr="00EE5D67">
              <w:rPr>
                <w:rFonts w:cs="Arial"/>
                <w:sz w:val="16"/>
                <w:szCs w:val="16"/>
              </w:rPr>
              <w:t>60,6</w:t>
            </w:r>
          </w:p>
        </w:tc>
        <w:tc>
          <w:tcPr>
            <w:tcW w:w="687" w:type="dxa"/>
            <w:tcBorders>
              <w:top w:val="nil"/>
              <w:left w:val="nil"/>
              <w:bottom w:val="nil"/>
              <w:right w:val="single" w:sz="4" w:space="0" w:color="auto"/>
            </w:tcBorders>
            <w:shd w:val="clear" w:color="auto" w:fill="auto"/>
            <w:noWrap/>
            <w:vAlign w:val="center"/>
            <w:hideMark/>
          </w:tcPr>
          <w:p w14:paraId="11F3D03A" w14:textId="77777777" w:rsidR="00EE5D67" w:rsidRPr="00EE5D67" w:rsidRDefault="00EE5D67" w:rsidP="00EE5D67">
            <w:pPr>
              <w:spacing w:after="0" w:line="240" w:lineRule="auto"/>
              <w:jc w:val="right"/>
              <w:rPr>
                <w:rFonts w:ascii="Arial CE" w:hAnsi="Arial CE" w:cs="Arial CE"/>
                <w:sz w:val="16"/>
                <w:szCs w:val="16"/>
              </w:rPr>
            </w:pPr>
            <w:r w:rsidRPr="00EE5D67">
              <w:rPr>
                <w:rFonts w:ascii="Arial CE" w:hAnsi="Arial CE" w:cs="Arial CE"/>
                <w:sz w:val="16"/>
                <w:szCs w:val="16"/>
              </w:rPr>
              <w:t>83,1</w:t>
            </w:r>
          </w:p>
        </w:tc>
        <w:tc>
          <w:tcPr>
            <w:tcW w:w="761" w:type="dxa"/>
            <w:tcBorders>
              <w:top w:val="nil"/>
              <w:left w:val="nil"/>
              <w:bottom w:val="nil"/>
              <w:right w:val="nil"/>
            </w:tcBorders>
            <w:shd w:val="clear" w:color="auto" w:fill="auto"/>
            <w:noWrap/>
            <w:vAlign w:val="center"/>
            <w:hideMark/>
          </w:tcPr>
          <w:p w14:paraId="51880C26" w14:textId="77777777" w:rsidR="00EE5D67" w:rsidRPr="00EE5D67" w:rsidRDefault="00EE5D67" w:rsidP="00EE5D67">
            <w:pPr>
              <w:spacing w:after="0" w:line="240" w:lineRule="auto"/>
              <w:jc w:val="right"/>
              <w:rPr>
                <w:rFonts w:cs="Arial"/>
                <w:sz w:val="16"/>
                <w:szCs w:val="16"/>
              </w:rPr>
            </w:pPr>
            <w:r w:rsidRPr="00EE5D67">
              <w:rPr>
                <w:rFonts w:cs="Arial"/>
                <w:sz w:val="16"/>
                <w:szCs w:val="16"/>
              </w:rPr>
              <w:t>6,6</w:t>
            </w:r>
          </w:p>
        </w:tc>
        <w:tc>
          <w:tcPr>
            <w:tcW w:w="686" w:type="dxa"/>
            <w:tcBorders>
              <w:top w:val="nil"/>
              <w:left w:val="nil"/>
              <w:bottom w:val="nil"/>
              <w:right w:val="nil"/>
            </w:tcBorders>
            <w:shd w:val="clear" w:color="auto" w:fill="auto"/>
            <w:noWrap/>
            <w:vAlign w:val="center"/>
            <w:hideMark/>
          </w:tcPr>
          <w:p w14:paraId="6B46E7CB" w14:textId="77777777" w:rsidR="00EE5D67" w:rsidRPr="00EE5D67" w:rsidRDefault="00EE5D67" w:rsidP="00EE5D67">
            <w:pPr>
              <w:spacing w:after="0" w:line="240" w:lineRule="auto"/>
              <w:jc w:val="right"/>
              <w:rPr>
                <w:rFonts w:cs="Arial"/>
                <w:sz w:val="16"/>
                <w:szCs w:val="16"/>
              </w:rPr>
            </w:pPr>
            <w:r w:rsidRPr="00EE5D67">
              <w:rPr>
                <w:rFonts w:cs="Arial"/>
                <w:sz w:val="16"/>
                <w:szCs w:val="16"/>
              </w:rPr>
              <w:t>4,6</w:t>
            </w:r>
          </w:p>
        </w:tc>
        <w:tc>
          <w:tcPr>
            <w:tcW w:w="687" w:type="dxa"/>
            <w:tcBorders>
              <w:top w:val="nil"/>
              <w:left w:val="nil"/>
              <w:bottom w:val="nil"/>
              <w:right w:val="single" w:sz="4" w:space="0" w:color="auto"/>
            </w:tcBorders>
            <w:shd w:val="clear" w:color="auto" w:fill="auto"/>
            <w:noWrap/>
            <w:vAlign w:val="center"/>
            <w:hideMark/>
          </w:tcPr>
          <w:p w14:paraId="1A37365B" w14:textId="77777777" w:rsidR="00EE5D67" w:rsidRPr="00EE5D67" w:rsidRDefault="00EE5D67" w:rsidP="00EE5D67">
            <w:pPr>
              <w:spacing w:after="0" w:line="240" w:lineRule="auto"/>
              <w:jc w:val="right"/>
              <w:rPr>
                <w:rFonts w:ascii="Arial CE" w:hAnsi="Arial CE" w:cs="Arial CE"/>
                <w:sz w:val="16"/>
                <w:szCs w:val="16"/>
              </w:rPr>
            </w:pPr>
            <w:r w:rsidRPr="00EE5D67">
              <w:rPr>
                <w:rFonts w:ascii="Arial CE" w:hAnsi="Arial CE" w:cs="Arial CE"/>
                <w:sz w:val="16"/>
                <w:szCs w:val="16"/>
              </w:rPr>
              <w:t>1,9</w:t>
            </w:r>
          </w:p>
        </w:tc>
        <w:tc>
          <w:tcPr>
            <w:tcW w:w="747" w:type="dxa"/>
            <w:tcBorders>
              <w:top w:val="nil"/>
              <w:left w:val="nil"/>
              <w:bottom w:val="nil"/>
              <w:right w:val="nil"/>
            </w:tcBorders>
            <w:shd w:val="clear" w:color="auto" w:fill="auto"/>
            <w:noWrap/>
            <w:vAlign w:val="center"/>
            <w:hideMark/>
          </w:tcPr>
          <w:p w14:paraId="532D1235" w14:textId="77777777" w:rsidR="00EE5D67" w:rsidRPr="00EE5D67" w:rsidRDefault="00EE5D67" w:rsidP="00EE5D67">
            <w:pPr>
              <w:spacing w:after="0" w:line="240" w:lineRule="auto"/>
              <w:jc w:val="right"/>
              <w:rPr>
                <w:rFonts w:cs="Arial"/>
                <w:sz w:val="16"/>
                <w:szCs w:val="16"/>
              </w:rPr>
            </w:pPr>
            <w:r w:rsidRPr="00EE5D67">
              <w:rPr>
                <w:rFonts w:cs="Arial"/>
                <w:sz w:val="16"/>
                <w:szCs w:val="16"/>
              </w:rPr>
              <w:t>18,3</w:t>
            </w:r>
          </w:p>
        </w:tc>
        <w:tc>
          <w:tcPr>
            <w:tcW w:w="686" w:type="dxa"/>
            <w:tcBorders>
              <w:top w:val="nil"/>
              <w:left w:val="nil"/>
              <w:bottom w:val="nil"/>
              <w:right w:val="nil"/>
            </w:tcBorders>
            <w:shd w:val="clear" w:color="auto" w:fill="auto"/>
            <w:noWrap/>
            <w:vAlign w:val="center"/>
            <w:hideMark/>
          </w:tcPr>
          <w:p w14:paraId="03204A3B" w14:textId="77777777" w:rsidR="00EE5D67" w:rsidRPr="00EE5D67" w:rsidRDefault="00EE5D67" w:rsidP="00EE5D67">
            <w:pPr>
              <w:spacing w:after="0" w:line="240" w:lineRule="auto"/>
              <w:jc w:val="right"/>
              <w:rPr>
                <w:rFonts w:cs="Arial"/>
                <w:sz w:val="16"/>
                <w:szCs w:val="16"/>
              </w:rPr>
            </w:pPr>
            <w:r w:rsidRPr="00EE5D67">
              <w:rPr>
                <w:rFonts w:cs="Arial"/>
                <w:sz w:val="16"/>
                <w:szCs w:val="16"/>
              </w:rPr>
              <w:t>11,6</w:t>
            </w:r>
          </w:p>
        </w:tc>
        <w:tc>
          <w:tcPr>
            <w:tcW w:w="688" w:type="dxa"/>
            <w:tcBorders>
              <w:top w:val="nil"/>
              <w:left w:val="nil"/>
              <w:bottom w:val="nil"/>
              <w:right w:val="nil"/>
            </w:tcBorders>
            <w:shd w:val="clear" w:color="auto" w:fill="auto"/>
            <w:noWrap/>
            <w:vAlign w:val="center"/>
            <w:hideMark/>
          </w:tcPr>
          <w:p w14:paraId="08CC7E26" w14:textId="77777777" w:rsidR="00EE5D67" w:rsidRPr="00EE5D67" w:rsidRDefault="00EE5D67" w:rsidP="00EE5D67">
            <w:pPr>
              <w:spacing w:after="0" w:line="240" w:lineRule="auto"/>
              <w:jc w:val="right"/>
              <w:rPr>
                <w:rFonts w:ascii="Arial CE" w:hAnsi="Arial CE" w:cs="Arial CE"/>
                <w:sz w:val="16"/>
                <w:szCs w:val="16"/>
              </w:rPr>
            </w:pPr>
            <w:r w:rsidRPr="00EE5D67">
              <w:rPr>
                <w:rFonts w:ascii="Arial CE" w:hAnsi="Arial CE" w:cs="Arial CE"/>
                <w:sz w:val="16"/>
                <w:szCs w:val="16"/>
              </w:rPr>
              <w:t>6,7</w:t>
            </w:r>
          </w:p>
        </w:tc>
      </w:tr>
      <w:tr w:rsidR="00EE5D67" w:rsidRPr="00EE5D67" w14:paraId="78205064"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0CD84EAA"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2015</w:t>
            </w:r>
          </w:p>
        </w:tc>
        <w:tc>
          <w:tcPr>
            <w:tcW w:w="747" w:type="dxa"/>
            <w:tcBorders>
              <w:top w:val="nil"/>
              <w:left w:val="nil"/>
              <w:bottom w:val="nil"/>
              <w:right w:val="nil"/>
            </w:tcBorders>
            <w:shd w:val="clear" w:color="auto" w:fill="auto"/>
            <w:noWrap/>
            <w:vAlign w:val="center"/>
            <w:hideMark/>
          </w:tcPr>
          <w:p w14:paraId="614E8F1C" w14:textId="77777777" w:rsidR="00EE5D67" w:rsidRPr="00EE5D67" w:rsidRDefault="00EE5D67" w:rsidP="00EE5D67">
            <w:pPr>
              <w:spacing w:after="0" w:line="240" w:lineRule="auto"/>
              <w:jc w:val="right"/>
              <w:rPr>
                <w:rFonts w:cs="Arial"/>
                <w:sz w:val="16"/>
                <w:szCs w:val="16"/>
              </w:rPr>
            </w:pPr>
            <w:r w:rsidRPr="00EE5D67">
              <w:rPr>
                <w:rFonts w:cs="Arial"/>
                <w:sz w:val="16"/>
                <w:szCs w:val="16"/>
              </w:rPr>
              <w:t>193,7</w:t>
            </w:r>
          </w:p>
        </w:tc>
        <w:tc>
          <w:tcPr>
            <w:tcW w:w="686" w:type="dxa"/>
            <w:tcBorders>
              <w:top w:val="nil"/>
              <w:left w:val="nil"/>
              <w:bottom w:val="nil"/>
              <w:right w:val="nil"/>
            </w:tcBorders>
            <w:shd w:val="clear" w:color="auto" w:fill="auto"/>
            <w:noWrap/>
            <w:vAlign w:val="center"/>
            <w:hideMark/>
          </w:tcPr>
          <w:p w14:paraId="1DD501F9" w14:textId="77777777" w:rsidR="00EE5D67" w:rsidRPr="00EE5D67" w:rsidRDefault="00EE5D67" w:rsidP="00EE5D67">
            <w:pPr>
              <w:spacing w:after="0" w:line="240" w:lineRule="auto"/>
              <w:jc w:val="right"/>
              <w:rPr>
                <w:rFonts w:cs="Arial"/>
                <w:sz w:val="16"/>
                <w:szCs w:val="16"/>
              </w:rPr>
            </w:pPr>
            <w:r w:rsidRPr="00EE5D67">
              <w:rPr>
                <w:rFonts w:cs="Arial"/>
                <w:sz w:val="16"/>
                <w:szCs w:val="16"/>
              </w:rPr>
              <w:t>87,8</w:t>
            </w:r>
          </w:p>
        </w:tc>
        <w:tc>
          <w:tcPr>
            <w:tcW w:w="687" w:type="dxa"/>
            <w:tcBorders>
              <w:top w:val="nil"/>
              <w:left w:val="nil"/>
              <w:bottom w:val="nil"/>
              <w:right w:val="single" w:sz="4" w:space="0" w:color="auto"/>
            </w:tcBorders>
            <w:shd w:val="clear" w:color="auto" w:fill="auto"/>
            <w:noWrap/>
            <w:vAlign w:val="center"/>
            <w:hideMark/>
          </w:tcPr>
          <w:p w14:paraId="0FB972B2" w14:textId="77777777" w:rsidR="00EE5D67" w:rsidRPr="00EE5D67" w:rsidRDefault="00EE5D67" w:rsidP="00EE5D67">
            <w:pPr>
              <w:spacing w:after="0" w:line="240" w:lineRule="auto"/>
              <w:jc w:val="right"/>
              <w:rPr>
                <w:rFonts w:cs="Arial"/>
                <w:sz w:val="16"/>
                <w:szCs w:val="16"/>
              </w:rPr>
            </w:pPr>
            <w:r w:rsidRPr="00EE5D67">
              <w:rPr>
                <w:rFonts w:cs="Arial"/>
                <w:sz w:val="16"/>
                <w:szCs w:val="16"/>
              </w:rPr>
              <w:t>105,9</w:t>
            </w:r>
          </w:p>
        </w:tc>
        <w:tc>
          <w:tcPr>
            <w:tcW w:w="747" w:type="dxa"/>
            <w:tcBorders>
              <w:top w:val="nil"/>
              <w:left w:val="nil"/>
              <w:bottom w:val="nil"/>
              <w:right w:val="nil"/>
            </w:tcBorders>
            <w:shd w:val="clear" w:color="auto" w:fill="auto"/>
            <w:noWrap/>
            <w:vAlign w:val="center"/>
            <w:hideMark/>
          </w:tcPr>
          <w:p w14:paraId="5871C3D8" w14:textId="77777777" w:rsidR="00EE5D67" w:rsidRPr="00EE5D67" w:rsidRDefault="00EE5D67" w:rsidP="00EE5D67">
            <w:pPr>
              <w:spacing w:after="0" w:line="240" w:lineRule="auto"/>
              <w:jc w:val="right"/>
              <w:rPr>
                <w:rFonts w:cs="Arial"/>
                <w:sz w:val="16"/>
                <w:szCs w:val="16"/>
              </w:rPr>
            </w:pPr>
            <w:r w:rsidRPr="00EE5D67">
              <w:rPr>
                <w:rFonts w:cs="Arial"/>
                <w:sz w:val="16"/>
                <w:szCs w:val="16"/>
              </w:rPr>
              <w:t>166,8</w:t>
            </w:r>
          </w:p>
        </w:tc>
        <w:tc>
          <w:tcPr>
            <w:tcW w:w="686" w:type="dxa"/>
            <w:tcBorders>
              <w:top w:val="nil"/>
              <w:left w:val="nil"/>
              <w:bottom w:val="nil"/>
              <w:right w:val="nil"/>
            </w:tcBorders>
            <w:shd w:val="clear" w:color="auto" w:fill="auto"/>
            <w:noWrap/>
            <w:vAlign w:val="center"/>
            <w:hideMark/>
          </w:tcPr>
          <w:p w14:paraId="1F73239E" w14:textId="77777777" w:rsidR="00EE5D67" w:rsidRPr="00EE5D67" w:rsidRDefault="00EE5D67" w:rsidP="00EE5D67">
            <w:pPr>
              <w:spacing w:after="0" w:line="240" w:lineRule="auto"/>
              <w:jc w:val="right"/>
              <w:rPr>
                <w:rFonts w:cs="Arial"/>
                <w:sz w:val="16"/>
                <w:szCs w:val="16"/>
              </w:rPr>
            </w:pPr>
            <w:r w:rsidRPr="00EE5D67">
              <w:rPr>
                <w:rFonts w:cs="Arial"/>
                <w:sz w:val="16"/>
                <w:szCs w:val="16"/>
              </w:rPr>
              <w:t>70,7</w:t>
            </w:r>
          </w:p>
        </w:tc>
        <w:tc>
          <w:tcPr>
            <w:tcW w:w="687" w:type="dxa"/>
            <w:tcBorders>
              <w:top w:val="nil"/>
              <w:left w:val="nil"/>
              <w:bottom w:val="nil"/>
              <w:right w:val="single" w:sz="4" w:space="0" w:color="auto"/>
            </w:tcBorders>
            <w:shd w:val="clear" w:color="auto" w:fill="auto"/>
            <w:noWrap/>
            <w:vAlign w:val="center"/>
            <w:hideMark/>
          </w:tcPr>
          <w:p w14:paraId="1F2A1853" w14:textId="77777777" w:rsidR="00EE5D67" w:rsidRPr="00EE5D67" w:rsidRDefault="00EE5D67" w:rsidP="00EE5D67">
            <w:pPr>
              <w:spacing w:after="0" w:line="240" w:lineRule="auto"/>
              <w:jc w:val="right"/>
              <w:rPr>
                <w:rFonts w:cs="Arial"/>
                <w:sz w:val="16"/>
                <w:szCs w:val="16"/>
              </w:rPr>
            </w:pPr>
            <w:r w:rsidRPr="00EE5D67">
              <w:rPr>
                <w:rFonts w:cs="Arial"/>
                <w:sz w:val="16"/>
                <w:szCs w:val="16"/>
              </w:rPr>
              <w:t>96,1</w:t>
            </w:r>
          </w:p>
        </w:tc>
        <w:tc>
          <w:tcPr>
            <w:tcW w:w="761" w:type="dxa"/>
            <w:tcBorders>
              <w:top w:val="nil"/>
              <w:left w:val="nil"/>
              <w:bottom w:val="nil"/>
              <w:right w:val="nil"/>
            </w:tcBorders>
            <w:shd w:val="clear" w:color="auto" w:fill="auto"/>
            <w:noWrap/>
            <w:vAlign w:val="center"/>
            <w:hideMark/>
          </w:tcPr>
          <w:p w14:paraId="2CF3FD46" w14:textId="77777777" w:rsidR="00EE5D67" w:rsidRPr="00EE5D67" w:rsidRDefault="00EE5D67" w:rsidP="00EE5D67">
            <w:pPr>
              <w:spacing w:after="0" w:line="240" w:lineRule="auto"/>
              <w:jc w:val="right"/>
              <w:rPr>
                <w:rFonts w:cs="Arial"/>
                <w:sz w:val="16"/>
                <w:szCs w:val="16"/>
              </w:rPr>
            </w:pPr>
            <w:r w:rsidRPr="00EE5D67">
              <w:rPr>
                <w:rFonts w:cs="Arial"/>
                <w:sz w:val="16"/>
                <w:szCs w:val="16"/>
              </w:rPr>
              <w:t>7,2</w:t>
            </w:r>
          </w:p>
        </w:tc>
        <w:tc>
          <w:tcPr>
            <w:tcW w:w="686" w:type="dxa"/>
            <w:tcBorders>
              <w:top w:val="nil"/>
              <w:left w:val="nil"/>
              <w:bottom w:val="nil"/>
              <w:right w:val="nil"/>
            </w:tcBorders>
            <w:shd w:val="clear" w:color="auto" w:fill="auto"/>
            <w:noWrap/>
            <w:vAlign w:val="center"/>
            <w:hideMark/>
          </w:tcPr>
          <w:p w14:paraId="27482718" w14:textId="77777777" w:rsidR="00EE5D67" w:rsidRPr="00EE5D67" w:rsidRDefault="00EE5D67" w:rsidP="00EE5D67">
            <w:pPr>
              <w:spacing w:after="0" w:line="240" w:lineRule="auto"/>
              <w:jc w:val="right"/>
              <w:rPr>
                <w:rFonts w:cs="Arial"/>
                <w:sz w:val="16"/>
                <w:szCs w:val="16"/>
              </w:rPr>
            </w:pPr>
            <w:r w:rsidRPr="00EE5D67">
              <w:rPr>
                <w:rFonts w:cs="Arial"/>
                <w:sz w:val="16"/>
                <w:szCs w:val="16"/>
              </w:rPr>
              <w:t>4,9</w:t>
            </w:r>
          </w:p>
        </w:tc>
        <w:tc>
          <w:tcPr>
            <w:tcW w:w="687" w:type="dxa"/>
            <w:tcBorders>
              <w:top w:val="nil"/>
              <w:left w:val="nil"/>
              <w:bottom w:val="nil"/>
              <w:right w:val="single" w:sz="4" w:space="0" w:color="auto"/>
            </w:tcBorders>
            <w:shd w:val="clear" w:color="auto" w:fill="auto"/>
            <w:noWrap/>
            <w:vAlign w:val="center"/>
            <w:hideMark/>
          </w:tcPr>
          <w:p w14:paraId="16109432" w14:textId="77777777" w:rsidR="00EE5D67" w:rsidRPr="00EE5D67" w:rsidRDefault="00EE5D67" w:rsidP="00EE5D67">
            <w:pPr>
              <w:spacing w:after="0" w:line="240" w:lineRule="auto"/>
              <w:jc w:val="right"/>
              <w:rPr>
                <w:rFonts w:cs="Arial"/>
                <w:sz w:val="16"/>
                <w:szCs w:val="16"/>
              </w:rPr>
            </w:pPr>
            <w:r w:rsidRPr="00EE5D67">
              <w:rPr>
                <w:rFonts w:cs="Arial"/>
                <w:sz w:val="16"/>
                <w:szCs w:val="16"/>
              </w:rPr>
              <w:t>2,3</w:t>
            </w:r>
          </w:p>
        </w:tc>
        <w:tc>
          <w:tcPr>
            <w:tcW w:w="747" w:type="dxa"/>
            <w:tcBorders>
              <w:top w:val="nil"/>
              <w:left w:val="nil"/>
              <w:bottom w:val="nil"/>
              <w:right w:val="nil"/>
            </w:tcBorders>
            <w:shd w:val="clear" w:color="auto" w:fill="auto"/>
            <w:noWrap/>
            <w:vAlign w:val="center"/>
            <w:hideMark/>
          </w:tcPr>
          <w:p w14:paraId="1511F8CA" w14:textId="77777777" w:rsidR="00EE5D67" w:rsidRPr="00EE5D67" w:rsidRDefault="00EE5D67" w:rsidP="00EE5D67">
            <w:pPr>
              <w:spacing w:after="0" w:line="240" w:lineRule="auto"/>
              <w:jc w:val="right"/>
              <w:rPr>
                <w:rFonts w:cs="Arial"/>
                <w:sz w:val="16"/>
                <w:szCs w:val="16"/>
              </w:rPr>
            </w:pPr>
            <w:r w:rsidRPr="00EE5D67">
              <w:rPr>
                <w:rFonts w:cs="Arial"/>
                <w:sz w:val="16"/>
                <w:szCs w:val="16"/>
              </w:rPr>
              <w:t>19,7</w:t>
            </w:r>
          </w:p>
        </w:tc>
        <w:tc>
          <w:tcPr>
            <w:tcW w:w="686" w:type="dxa"/>
            <w:tcBorders>
              <w:top w:val="nil"/>
              <w:left w:val="nil"/>
              <w:bottom w:val="nil"/>
              <w:right w:val="nil"/>
            </w:tcBorders>
            <w:shd w:val="clear" w:color="auto" w:fill="auto"/>
            <w:noWrap/>
            <w:vAlign w:val="center"/>
            <w:hideMark/>
          </w:tcPr>
          <w:p w14:paraId="6D8220D1" w14:textId="77777777" w:rsidR="00EE5D67" w:rsidRPr="00EE5D67" w:rsidRDefault="00EE5D67" w:rsidP="00EE5D67">
            <w:pPr>
              <w:spacing w:after="0" w:line="240" w:lineRule="auto"/>
              <w:jc w:val="right"/>
              <w:rPr>
                <w:rFonts w:cs="Arial"/>
                <w:sz w:val="16"/>
                <w:szCs w:val="16"/>
              </w:rPr>
            </w:pPr>
            <w:r w:rsidRPr="00EE5D67">
              <w:rPr>
                <w:rFonts w:cs="Arial"/>
                <w:sz w:val="16"/>
                <w:szCs w:val="16"/>
              </w:rPr>
              <w:t>12,2</w:t>
            </w:r>
          </w:p>
        </w:tc>
        <w:tc>
          <w:tcPr>
            <w:tcW w:w="688" w:type="dxa"/>
            <w:tcBorders>
              <w:top w:val="nil"/>
              <w:left w:val="nil"/>
              <w:bottom w:val="nil"/>
              <w:right w:val="nil"/>
            </w:tcBorders>
            <w:shd w:val="clear" w:color="auto" w:fill="auto"/>
            <w:noWrap/>
            <w:vAlign w:val="center"/>
            <w:hideMark/>
          </w:tcPr>
          <w:p w14:paraId="3431DE0C" w14:textId="77777777" w:rsidR="00EE5D67" w:rsidRPr="00EE5D67" w:rsidRDefault="00EE5D67" w:rsidP="00EE5D67">
            <w:pPr>
              <w:spacing w:after="0" w:line="240" w:lineRule="auto"/>
              <w:jc w:val="right"/>
              <w:rPr>
                <w:rFonts w:cs="Arial"/>
                <w:sz w:val="16"/>
                <w:szCs w:val="16"/>
              </w:rPr>
            </w:pPr>
            <w:r w:rsidRPr="00EE5D67">
              <w:rPr>
                <w:rFonts w:cs="Arial"/>
                <w:sz w:val="16"/>
                <w:szCs w:val="16"/>
              </w:rPr>
              <w:t>7,5</w:t>
            </w:r>
          </w:p>
        </w:tc>
      </w:tr>
      <w:tr w:rsidR="00EE5D67" w:rsidRPr="00EE5D67" w14:paraId="5D92E065"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0AB90AF6"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2016</w:t>
            </w:r>
          </w:p>
        </w:tc>
        <w:tc>
          <w:tcPr>
            <w:tcW w:w="747" w:type="dxa"/>
            <w:tcBorders>
              <w:top w:val="nil"/>
              <w:left w:val="nil"/>
              <w:bottom w:val="nil"/>
              <w:right w:val="nil"/>
            </w:tcBorders>
            <w:shd w:val="clear" w:color="auto" w:fill="auto"/>
            <w:noWrap/>
            <w:vAlign w:val="center"/>
            <w:hideMark/>
          </w:tcPr>
          <w:p w14:paraId="77E631F1" w14:textId="77777777" w:rsidR="00EE5D67" w:rsidRPr="00EE5D67" w:rsidRDefault="00EE5D67" w:rsidP="00EE5D67">
            <w:pPr>
              <w:spacing w:after="0" w:line="240" w:lineRule="auto"/>
              <w:jc w:val="right"/>
              <w:rPr>
                <w:rFonts w:cs="Arial"/>
                <w:sz w:val="16"/>
                <w:szCs w:val="16"/>
              </w:rPr>
            </w:pPr>
            <w:r w:rsidRPr="00EE5D67">
              <w:rPr>
                <w:rFonts w:cs="Arial"/>
                <w:sz w:val="16"/>
                <w:szCs w:val="16"/>
              </w:rPr>
              <w:t>202,1</w:t>
            </w:r>
          </w:p>
        </w:tc>
        <w:tc>
          <w:tcPr>
            <w:tcW w:w="686" w:type="dxa"/>
            <w:tcBorders>
              <w:top w:val="nil"/>
              <w:left w:val="nil"/>
              <w:bottom w:val="nil"/>
              <w:right w:val="nil"/>
            </w:tcBorders>
            <w:shd w:val="clear" w:color="auto" w:fill="auto"/>
            <w:noWrap/>
            <w:vAlign w:val="center"/>
            <w:hideMark/>
          </w:tcPr>
          <w:p w14:paraId="5516DBB1" w14:textId="77777777" w:rsidR="00EE5D67" w:rsidRPr="00EE5D67" w:rsidRDefault="00EE5D67" w:rsidP="00EE5D67">
            <w:pPr>
              <w:spacing w:after="0" w:line="240" w:lineRule="auto"/>
              <w:jc w:val="right"/>
              <w:rPr>
                <w:rFonts w:cs="Arial"/>
                <w:sz w:val="16"/>
                <w:szCs w:val="16"/>
              </w:rPr>
            </w:pPr>
            <w:r w:rsidRPr="00EE5D67">
              <w:rPr>
                <w:rFonts w:cs="Arial"/>
                <w:sz w:val="16"/>
                <w:szCs w:val="16"/>
              </w:rPr>
              <w:t>91,5</w:t>
            </w:r>
          </w:p>
        </w:tc>
        <w:tc>
          <w:tcPr>
            <w:tcW w:w="687" w:type="dxa"/>
            <w:tcBorders>
              <w:top w:val="nil"/>
              <w:left w:val="nil"/>
              <w:bottom w:val="nil"/>
              <w:right w:val="single" w:sz="4" w:space="0" w:color="auto"/>
            </w:tcBorders>
            <w:shd w:val="clear" w:color="auto" w:fill="auto"/>
            <w:noWrap/>
            <w:vAlign w:val="center"/>
            <w:hideMark/>
          </w:tcPr>
          <w:p w14:paraId="68F6F9ED" w14:textId="77777777" w:rsidR="00EE5D67" w:rsidRPr="00EE5D67" w:rsidRDefault="00EE5D67" w:rsidP="00EE5D67">
            <w:pPr>
              <w:spacing w:after="0" w:line="240" w:lineRule="auto"/>
              <w:jc w:val="right"/>
              <w:rPr>
                <w:rFonts w:cs="Arial"/>
                <w:sz w:val="16"/>
                <w:szCs w:val="16"/>
              </w:rPr>
            </w:pPr>
            <w:r w:rsidRPr="00EE5D67">
              <w:rPr>
                <w:rFonts w:cs="Arial"/>
                <w:sz w:val="16"/>
                <w:szCs w:val="16"/>
              </w:rPr>
              <w:t>110,6</w:t>
            </w:r>
          </w:p>
        </w:tc>
        <w:tc>
          <w:tcPr>
            <w:tcW w:w="747" w:type="dxa"/>
            <w:tcBorders>
              <w:top w:val="nil"/>
              <w:left w:val="nil"/>
              <w:bottom w:val="nil"/>
              <w:right w:val="nil"/>
            </w:tcBorders>
            <w:shd w:val="clear" w:color="auto" w:fill="auto"/>
            <w:noWrap/>
            <w:vAlign w:val="center"/>
            <w:hideMark/>
          </w:tcPr>
          <w:p w14:paraId="65DEF720" w14:textId="77777777" w:rsidR="00EE5D67" w:rsidRPr="00EE5D67" w:rsidRDefault="00EE5D67" w:rsidP="00EE5D67">
            <w:pPr>
              <w:spacing w:after="0" w:line="240" w:lineRule="auto"/>
              <w:jc w:val="right"/>
              <w:rPr>
                <w:rFonts w:cs="Arial"/>
                <w:sz w:val="16"/>
                <w:szCs w:val="16"/>
              </w:rPr>
            </w:pPr>
            <w:r w:rsidRPr="00EE5D67">
              <w:rPr>
                <w:rFonts w:cs="Arial"/>
                <w:sz w:val="16"/>
                <w:szCs w:val="16"/>
              </w:rPr>
              <w:t>174,0</w:t>
            </w:r>
          </w:p>
        </w:tc>
        <w:tc>
          <w:tcPr>
            <w:tcW w:w="686" w:type="dxa"/>
            <w:tcBorders>
              <w:top w:val="nil"/>
              <w:left w:val="nil"/>
              <w:bottom w:val="nil"/>
              <w:right w:val="nil"/>
            </w:tcBorders>
            <w:shd w:val="clear" w:color="auto" w:fill="auto"/>
            <w:noWrap/>
            <w:vAlign w:val="center"/>
            <w:hideMark/>
          </w:tcPr>
          <w:p w14:paraId="35BB7465" w14:textId="77777777" w:rsidR="00EE5D67" w:rsidRPr="00EE5D67" w:rsidRDefault="00EE5D67" w:rsidP="00EE5D67">
            <w:pPr>
              <w:spacing w:after="0" w:line="240" w:lineRule="auto"/>
              <w:jc w:val="right"/>
              <w:rPr>
                <w:rFonts w:cs="Arial"/>
                <w:sz w:val="16"/>
                <w:szCs w:val="16"/>
              </w:rPr>
            </w:pPr>
            <w:r w:rsidRPr="00EE5D67">
              <w:rPr>
                <w:rFonts w:cs="Arial"/>
                <w:sz w:val="16"/>
                <w:szCs w:val="16"/>
              </w:rPr>
              <w:t>73,7</w:t>
            </w:r>
          </w:p>
        </w:tc>
        <w:tc>
          <w:tcPr>
            <w:tcW w:w="687" w:type="dxa"/>
            <w:tcBorders>
              <w:top w:val="nil"/>
              <w:left w:val="nil"/>
              <w:bottom w:val="nil"/>
              <w:right w:val="single" w:sz="4" w:space="0" w:color="auto"/>
            </w:tcBorders>
            <w:shd w:val="clear" w:color="auto" w:fill="auto"/>
            <w:noWrap/>
            <w:vAlign w:val="center"/>
            <w:hideMark/>
          </w:tcPr>
          <w:p w14:paraId="736D2480" w14:textId="77777777" w:rsidR="00EE5D67" w:rsidRPr="00EE5D67" w:rsidRDefault="00EE5D67" w:rsidP="00EE5D67">
            <w:pPr>
              <w:spacing w:after="0" w:line="240" w:lineRule="auto"/>
              <w:jc w:val="right"/>
              <w:rPr>
                <w:rFonts w:cs="Arial"/>
                <w:sz w:val="16"/>
                <w:szCs w:val="16"/>
              </w:rPr>
            </w:pPr>
            <w:r w:rsidRPr="00EE5D67">
              <w:rPr>
                <w:rFonts w:cs="Arial"/>
                <w:sz w:val="16"/>
                <w:szCs w:val="16"/>
              </w:rPr>
              <w:t>100,3</w:t>
            </w:r>
          </w:p>
        </w:tc>
        <w:tc>
          <w:tcPr>
            <w:tcW w:w="761" w:type="dxa"/>
            <w:tcBorders>
              <w:top w:val="nil"/>
              <w:left w:val="nil"/>
              <w:bottom w:val="nil"/>
              <w:right w:val="nil"/>
            </w:tcBorders>
            <w:shd w:val="clear" w:color="auto" w:fill="auto"/>
            <w:noWrap/>
            <w:vAlign w:val="center"/>
            <w:hideMark/>
          </w:tcPr>
          <w:p w14:paraId="3D1E2C39" w14:textId="77777777" w:rsidR="00EE5D67" w:rsidRPr="00EE5D67" w:rsidRDefault="00EE5D67" w:rsidP="00EE5D67">
            <w:pPr>
              <w:spacing w:after="0" w:line="240" w:lineRule="auto"/>
              <w:jc w:val="right"/>
              <w:rPr>
                <w:rFonts w:cs="Arial"/>
                <w:sz w:val="16"/>
                <w:szCs w:val="16"/>
              </w:rPr>
            </w:pPr>
            <w:r w:rsidRPr="00EE5D67">
              <w:rPr>
                <w:rFonts w:cs="Arial"/>
                <w:sz w:val="16"/>
                <w:szCs w:val="16"/>
              </w:rPr>
              <w:t>7,3</w:t>
            </w:r>
          </w:p>
        </w:tc>
        <w:tc>
          <w:tcPr>
            <w:tcW w:w="686" w:type="dxa"/>
            <w:tcBorders>
              <w:top w:val="nil"/>
              <w:left w:val="nil"/>
              <w:bottom w:val="nil"/>
              <w:right w:val="nil"/>
            </w:tcBorders>
            <w:shd w:val="clear" w:color="auto" w:fill="auto"/>
            <w:noWrap/>
            <w:vAlign w:val="center"/>
            <w:hideMark/>
          </w:tcPr>
          <w:p w14:paraId="49936BEF" w14:textId="77777777" w:rsidR="00EE5D67" w:rsidRPr="00EE5D67" w:rsidRDefault="00EE5D67" w:rsidP="00EE5D67">
            <w:pPr>
              <w:spacing w:after="0" w:line="240" w:lineRule="auto"/>
              <w:jc w:val="right"/>
              <w:rPr>
                <w:rFonts w:cs="Arial"/>
                <w:sz w:val="16"/>
                <w:szCs w:val="16"/>
              </w:rPr>
            </w:pPr>
            <w:r w:rsidRPr="00EE5D67">
              <w:rPr>
                <w:rFonts w:cs="Arial"/>
                <w:sz w:val="16"/>
                <w:szCs w:val="16"/>
              </w:rPr>
              <w:t>4,9</w:t>
            </w:r>
          </w:p>
        </w:tc>
        <w:tc>
          <w:tcPr>
            <w:tcW w:w="687" w:type="dxa"/>
            <w:tcBorders>
              <w:top w:val="nil"/>
              <w:left w:val="nil"/>
              <w:bottom w:val="nil"/>
              <w:right w:val="single" w:sz="4" w:space="0" w:color="auto"/>
            </w:tcBorders>
            <w:shd w:val="clear" w:color="auto" w:fill="auto"/>
            <w:noWrap/>
            <w:vAlign w:val="center"/>
            <w:hideMark/>
          </w:tcPr>
          <w:p w14:paraId="37A098E0" w14:textId="77777777" w:rsidR="00EE5D67" w:rsidRPr="00EE5D67" w:rsidRDefault="00EE5D67" w:rsidP="00EE5D67">
            <w:pPr>
              <w:spacing w:after="0" w:line="240" w:lineRule="auto"/>
              <w:jc w:val="right"/>
              <w:rPr>
                <w:rFonts w:cs="Arial"/>
                <w:sz w:val="16"/>
                <w:szCs w:val="16"/>
              </w:rPr>
            </w:pPr>
            <w:r w:rsidRPr="00EE5D67">
              <w:rPr>
                <w:rFonts w:cs="Arial"/>
                <w:sz w:val="16"/>
                <w:szCs w:val="16"/>
              </w:rPr>
              <w:t>2,3</w:t>
            </w:r>
          </w:p>
        </w:tc>
        <w:tc>
          <w:tcPr>
            <w:tcW w:w="747" w:type="dxa"/>
            <w:tcBorders>
              <w:top w:val="nil"/>
              <w:left w:val="nil"/>
              <w:bottom w:val="nil"/>
              <w:right w:val="nil"/>
            </w:tcBorders>
            <w:shd w:val="clear" w:color="auto" w:fill="auto"/>
            <w:noWrap/>
            <w:vAlign w:val="center"/>
            <w:hideMark/>
          </w:tcPr>
          <w:p w14:paraId="2715962E" w14:textId="77777777" w:rsidR="00EE5D67" w:rsidRPr="00EE5D67" w:rsidRDefault="00EE5D67" w:rsidP="00EE5D67">
            <w:pPr>
              <w:spacing w:after="0" w:line="240" w:lineRule="auto"/>
              <w:jc w:val="right"/>
              <w:rPr>
                <w:rFonts w:cs="Arial"/>
                <w:sz w:val="16"/>
                <w:szCs w:val="16"/>
              </w:rPr>
            </w:pPr>
            <w:r w:rsidRPr="00EE5D67">
              <w:rPr>
                <w:rFonts w:cs="Arial"/>
                <w:sz w:val="16"/>
                <w:szCs w:val="16"/>
              </w:rPr>
              <w:t>20,9</w:t>
            </w:r>
          </w:p>
        </w:tc>
        <w:tc>
          <w:tcPr>
            <w:tcW w:w="686" w:type="dxa"/>
            <w:tcBorders>
              <w:top w:val="nil"/>
              <w:left w:val="nil"/>
              <w:bottom w:val="nil"/>
              <w:right w:val="nil"/>
            </w:tcBorders>
            <w:shd w:val="clear" w:color="auto" w:fill="auto"/>
            <w:noWrap/>
            <w:vAlign w:val="center"/>
            <w:hideMark/>
          </w:tcPr>
          <w:p w14:paraId="022F1D29" w14:textId="77777777" w:rsidR="00EE5D67" w:rsidRPr="00EE5D67" w:rsidRDefault="00EE5D67" w:rsidP="00EE5D67">
            <w:pPr>
              <w:spacing w:after="0" w:line="240" w:lineRule="auto"/>
              <w:jc w:val="right"/>
              <w:rPr>
                <w:rFonts w:cs="Arial"/>
                <w:sz w:val="16"/>
                <w:szCs w:val="16"/>
              </w:rPr>
            </w:pPr>
            <w:r w:rsidRPr="00EE5D67">
              <w:rPr>
                <w:rFonts w:cs="Arial"/>
                <w:sz w:val="16"/>
                <w:szCs w:val="16"/>
              </w:rPr>
              <w:t>12,9</w:t>
            </w:r>
          </w:p>
        </w:tc>
        <w:tc>
          <w:tcPr>
            <w:tcW w:w="688" w:type="dxa"/>
            <w:tcBorders>
              <w:top w:val="nil"/>
              <w:left w:val="nil"/>
              <w:bottom w:val="nil"/>
              <w:right w:val="nil"/>
            </w:tcBorders>
            <w:shd w:val="clear" w:color="auto" w:fill="auto"/>
            <w:noWrap/>
            <w:vAlign w:val="center"/>
            <w:hideMark/>
          </w:tcPr>
          <w:p w14:paraId="647E5515" w14:textId="77777777" w:rsidR="00EE5D67" w:rsidRPr="00EE5D67" w:rsidRDefault="00EE5D67" w:rsidP="00EE5D67">
            <w:pPr>
              <w:spacing w:after="0" w:line="240" w:lineRule="auto"/>
              <w:jc w:val="right"/>
              <w:rPr>
                <w:rFonts w:cs="Arial"/>
                <w:sz w:val="16"/>
                <w:szCs w:val="16"/>
              </w:rPr>
            </w:pPr>
            <w:r w:rsidRPr="00EE5D67">
              <w:rPr>
                <w:rFonts w:cs="Arial"/>
                <w:sz w:val="16"/>
                <w:szCs w:val="16"/>
              </w:rPr>
              <w:t>8,0</w:t>
            </w:r>
          </w:p>
        </w:tc>
      </w:tr>
      <w:tr w:rsidR="00EE5D67" w:rsidRPr="00EE5D67" w14:paraId="295459A7"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66B76465"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2017</w:t>
            </w:r>
          </w:p>
        </w:tc>
        <w:tc>
          <w:tcPr>
            <w:tcW w:w="747" w:type="dxa"/>
            <w:tcBorders>
              <w:top w:val="nil"/>
              <w:left w:val="nil"/>
              <w:bottom w:val="nil"/>
              <w:right w:val="nil"/>
            </w:tcBorders>
            <w:shd w:val="clear" w:color="auto" w:fill="auto"/>
            <w:noWrap/>
            <w:vAlign w:val="center"/>
            <w:hideMark/>
          </w:tcPr>
          <w:p w14:paraId="24937180" w14:textId="77777777" w:rsidR="00EE5D67" w:rsidRPr="00EE5D67" w:rsidRDefault="00EE5D67" w:rsidP="00EE5D67">
            <w:pPr>
              <w:spacing w:after="0" w:line="240" w:lineRule="auto"/>
              <w:jc w:val="right"/>
              <w:rPr>
                <w:rFonts w:cs="Arial"/>
                <w:sz w:val="16"/>
                <w:szCs w:val="16"/>
              </w:rPr>
            </w:pPr>
            <w:r w:rsidRPr="00EE5D67">
              <w:rPr>
                <w:rFonts w:cs="Arial"/>
                <w:sz w:val="16"/>
                <w:szCs w:val="16"/>
              </w:rPr>
              <w:t>213,9</w:t>
            </w:r>
          </w:p>
        </w:tc>
        <w:tc>
          <w:tcPr>
            <w:tcW w:w="686" w:type="dxa"/>
            <w:tcBorders>
              <w:top w:val="nil"/>
              <w:left w:val="nil"/>
              <w:bottom w:val="nil"/>
              <w:right w:val="nil"/>
            </w:tcBorders>
            <w:shd w:val="clear" w:color="auto" w:fill="auto"/>
            <w:noWrap/>
            <w:vAlign w:val="center"/>
            <w:hideMark/>
          </w:tcPr>
          <w:p w14:paraId="47760A2D" w14:textId="77777777" w:rsidR="00EE5D67" w:rsidRPr="00EE5D67" w:rsidRDefault="00EE5D67" w:rsidP="00EE5D67">
            <w:pPr>
              <w:spacing w:after="0" w:line="240" w:lineRule="auto"/>
              <w:jc w:val="right"/>
              <w:rPr>
                <w:rFonts w:cs="Arial"/>
                <w:sz w:val="16"/>
                <w:szCs w:val="16"/>
              </w:rPr>
            </w:pPr>
            <w:r w:rsidRPr="00EE5D67">
              <w:rPr>
                <w:rFonts w:cs="Arial"/>
                <w:sz w:val="16"/>
                <w:szCs w:val="16"/>
              </w:rPr>
              <w:t>97,1</w:t>
            </w:r>
          </w:p>
        </w:tc>
        <w:tc>
          <w:tcPr>
            <w:tcW w:w="687" w:type="dxa"/>
            <w:tcBorders>
              <w:top w:val="nil"/>
              <w:left w:val="nil"/>
              <w:bottom w:val="nil"/>
              <w:right w:val="single" w:sz="4" w:space="0" w:color="auto"/>
            </w:tcBorders>
            <w:shd w:val="clear" w:color="auto" w:fill="auto"/>
            <w:noWrap/>
            <w:vAlign w:val="center"/>
            <w:hideMark/>
          </w:tcPr>
          <w:p w14:paraId="16712F8D" w14:textId="77777777" w:rsidR="00EE5D67" w:rsidRPr="00EE5D67" w:rsidRDefault="00EE5D67" w:rsidP="00EE5D67">
            <w:pPr>
              <w:spacing w:after="0" w:line="240" w:lineRule="auto"/>
              <w:jc w:val="right"/>
              <w:rPr>
                <w:rFonts w:cs="Arial"/>
                <w:sz w:val="16"/>
                <w:szCs w:val="16"/>
              </w:rPr>
            </w:pPr>
            <w:r w:rsidRPr="00EE5D67">
              <w:rPr>
                <w:rFonts w:cs="Arial"/>
                <w:sz w:val="16"/>
                <w:szCs w:val="16"/>
              </w:rPr>
              <w:t>116,8</w:t>
            </w:r>
          </w:p>
        </w:tc>
        <w:tc>
          <w:tcPr>
            <w:tcW w:w="747" w:type="dxa"/>
            <w:tcBorders>
              <w:top w:val="nil"/>
              <w:left w:val="nil"/>
              <w:bottom w:val="nil"/>
              <w:right w:val="nil"/>
            </w:tcBorders>
            <w:shd w:val="clear" w:color="auto" w:fill="auto"/>
            <w:noWrap/>
            <w:vAlign w:val="center"/>
            <w:hideMark/>
          </w:tcPr>
          <w:p w14:paraId="0F39E77A" w14:textId="77777777" w:rsidR="00EE5D67" w:rsidRPr="00EE5D67" w:rsidRDefault="00EE5D67" w:rsidP="00EE5D67">
            <w:pPr>
              <w:spacing w:after="0" w:line="240" w:lineRule="auto"/>
              <w:jc w:val="right"/>
              <w:rPr>
                <w:rFonts w:cs="Arial"/>
                <w:sz w:val="16"/>
                <w:szCs w:val="16"/>
              </w:rPr>
            </w:pPr>
            <w:r w:rsidRPr="00EE5D67">
              <w:rPr>
                <w:rFonts w:cs="Arial"/>
                <w:sz w:val="16"/>
                <w:szCs w:val="16"/>
              </w:rPr>
              <w:t>183,8</w:t>
            </w:r>
          </w:p>
        </w:tc>
        <w:tc>
          <w:tcPr>
            <w:tcW w:w="686" w:type="dxa"/>
            <w:tcBorders>
              <w:top w:val="nil"/>
              <w:left w:val="nil"/>
              <w:bottom w:val="nil"/>
              <w:right w:val="nil"/>
            </w:tcBorders>
            <w:shd w:val="clear" w:color="auto" w:fill="auto"/>
            <w:noWrap/>
            <w:vAlign w:val="center"/>
            <w:hideMark/>
          </w:tcPr>
          <w:p w14:paraId="3B71F016" w14:textId="77777777" w:rsidR="00EE5D67" w:rsidRPr="00EE5D67" w:rsidRDefault="00EE5D67" w:rsidP="00EE5D67">
            <w:pPr>
              <w:spacing w:after="0" w:line="240" w:lineRule="auto"/>
              <w:jc w:val="right"/>
              <w:rPr>
                <w:rFonts w:cs="Arial"/>
                <w:sz w:val="16"/>
                <w:szCs w:val="16"/>
              </w:rPr>
            </w:pPr>
            <w:r w:rsidRPr="00EE5D67">
              <w:rPr>
                <w:rFonts w:cs="Arial"/>
                <w:sz w:val="16"/>
                <w:szCs w:val="16"/>
              </w:rPr>
              <w:t>78,5</w:t>
            </w:r>
          </w:p>
        </w:tc>
        <w:tc>
          <w:tcPr>
            <w:tcW w:w="687" w:type="dxa"/>
            <w:tcBorders>
              <w:top w:val="nil"/>
              <w:left w:val="nil"/>
              <w:bottom w:val="nil"/>
              <w:right w:val="single" w:sz="4" w:space="0" w:color="auto"/>
            </w:tcBorders>
            <w:shd w:val="clear" w:color="auto" w:fill="auto"/>
            <w:noWrap/>
            <w:vAlign w:val="center"/>
            <w:hideMark/>
          </w:tcPr>
          <w:p w14:paraId="1D1461BF" w14:textId="77777777" w:rsidR="00EE5D67" w:rsidRPr="00EE5D67" w:rsidRDefault="00EE5D67" w:rsidP="00EE5D67">
            <w:pPr>
              <w:spacing w:after="0" w:line="240" w:lineRule="auto"/>
              <w:jc w:val="right"/>
              <w:rPr>
                <w:rFonts w:cs="Arial"/>
                <w:sz w:val="16"/>
                <w:szCs w:val="16"/>
              </w:rPr>
            </w:pPr>
            <w:r w:rsidRPr="00EE5D67">
              <w:rPr>
                <w:rFonts w:cs="Arial"/>
                <w:sz w:val="16"/>
                <w:szCs w:val="16"/>
              </w:rPr>
              <w:t>105,2</w:t>
            </w:r>
          </w:p>
        </w:tc>
        <w:tc>
          <w:tcPr>
            <w:tcW w:w="761" w:type="dxa"/>
            <w:tcBorders>
              <w:top w:val="nil"/>
              <w:left w:val="nil"/>
              <w:bottom w:val="nil"/>
              <w:right w:val="nil"/>
            </w:tcBorders>
            <w:shd w:val="clear" w:color="auto" w:fill="auto"/>
            <w:noWrap/>
            <w:vAlign w:val="center"/>
            <w:hideMark/>
          </w:tcPr>
          <w:p w14:paraId="31F6A97D" w14:textId="77777777" w:rsidR="00EE5D67" w:rsidRPr="00EE5D67" w:rsidRDefault="00EE5D67" w:rsidP="00EE5D67">
            <w:pPr>
              <w:spacing w:after="0" w:line="240" w:lineRule="auto"/>
              <w:jc w:val="right"/>
              <w:rPr>
                <w:rFonts w:cs="Arial"/>
                <w:sz w:val="16"/>
                <w:szCs w:val="16"/>
              </w:rPr>
            </w:pPr>
            <w:r w:rsidRPr="00EE5D67">
              <w:rPr>
                <w:rFonts w:cs="Arial"/>
                <w:sz w:val="16"/>
                <w:szCs w:val="16"/>
              </w:rPr>
              <w:t>7,4</w:t>
            </w:r>
          </w:p>
        </w:tc>
        <w:tc>
          <w:tcPr>
            <w:tcW w:w="686" w:type="dxa"/>
            <w:tcBorders>
              <w:top w:val="nil"/>
              <w:left w:val="nil"/>
              <w:bottom w:val="nil"/>
              <w:right w:val="nil"/>
            </w:tcBorders>
            <w:shd w:val="clear" w:color="auto" w:fill="auto"/>
            <w:noWrap/>
            <w:vAlign w:val="center"/>
            <w:hideMark/>
          </w:tcPr>
          <w:p w14:paraId="5ED0F6BA" w14:textId="77777777" w:rsidR="00EE5D67" w:rsidRPr="00EE5D67" w:rsidRDefault="00EE5D67" w:rsidP="00EE5D67">
            <w:pPr>
              <w:spacing w:after="0" w:line="240" w:lineRule="auto"/>
              <w:jc w:val="right"/>
              <w:rPr>
                <w:rFonts w:cs="Arial"/>
                <w:sz w:val="16"/>
                <w:szCs w:val="16"/>
              </w:rPr>
            </w:pPr>
            <w:r w:rsidRPr="00EE5D67">
              <w:rPr>
                <w:rFonts w:cs="Arial"/>
                <w:sz w:val="16"/>
                <w:szCs w:val="16"/>
              </w:rPr>
              <w:t>5,1</w:t>
            </w:r>
          </w:p>
        </w:tc>
        <w:tc>
          <w:tcPr>
            <w:tcW w:w="687" w:type="dxa"/>
            <w:tcBorders>
              <w:top w:val="nil"/>
              <w:left w:val="nil"/>
              <w:bottom w:val="nil"/>
              <w:right w:val="single" w:sz="4" w:space="0" w:color="auto"/>
            </w:tcBorders>
            <w:shd w:val="clear" w:color="auto" w:fill="auto"/>
            <w:noWrap/>
            <w:vAlign w:val="center"/>
            <w:hideMark/>
          </w:tcPr>
          <w:p w14:paraId="11962101" w14:textId="77777777" w:rsidR="00EE5D67" w:rsidRPr="00EE5D67" w:rsidRDefault="00EE5D67" w:rsidP="00EE5D67">
            <w:pPr>
              <w:spacing w:after="0" w:line="240" w:lineRule="auto"/>
              <w:jc w:val="right"/>
              <w:rPr>
                <w:rFonts w:cs="Arial"/>
                <w:sz w:val="16"/>
                <w:szCs w:val="16"/>
              </w:rPr>
            </w:pPr>
            <w:r w:rsidRPr="00EE5D67">
              <w:rPr>
                <w:rFonts w:cs="Arial"/>
                <w:sz w:val="16"/>
                <w:szCs w:val="16"/>
              </w:rPr>
              <w:t>2,4</w:t>
            </w:r>
          </w:p>
        </w:tc>
        <w:tc>
          <w:tcPr>
            <w:tcW w:w="747" w:type="dxa"/>
            <w:tcBorders>
              <w:top w:val="nil"/>
              <w:left w:val="nil"/>
              <w:bottom w:val="nil"/>
              <w:right w:val="nil"/>
            </w:tcBorders>
            <w:shd w:val="clear" w:color="auto" w:fill="auto"/>
            <w:noWrap/>
            <w:vAlign w:val="center"/>
            <w:hideMark/>
          </w:tcPr>
          <w:p w14:paraId="477CD843" w14:textId="77777777" w:rsidR="00EE5D67" w:rsidRPr="00EE5D67" w:rsidRDefault="00EE5D67" w:rsidP="00EE5D67">
            <w:pPr>
              <w:spacing w:after="0" w:line="240" w:lineRule="auto"/>
              <w:jc w:val="right"/>
              <w:rPr>
                <w:rFonts w:cs="Arial"/>
                <w:sz w:val="16"/>
                <w:szCs w:val="16"/>
              </w:rPr>
            </w:pPr>
            <w:r w:rsidRPr="00EE5D67">
              <w:rPr>
                <w:rFonts w:cs="Arial"/>
                <w:sz w:val="16"/>
                <w:szCs w:val="16"/>
              </w:rPr>
              <w:t>22,7</w:t>
            </w:r>
          </w:p>
        </w:tc>
        <w:tc>
          <w:tcPr>
            <w:tcW w:w="686" w:type="dxa"/>
            <w:tcBorders>
              <w:top w:val="nil"/>
              <w:left w:val="nil"/>
              <w:bottom w:val="nil"/>
              <w:right w:val="nil"/>
            </w:tcBorders>
            <w:shd w:val="clear" w:color="auto" w:fill="auto"/>
            <w:noWrap/>
            <w:vAlign w:val="center"/>
            <w:hideMark/>
          </w:tcPr>
          <w:p w14:paraId="1B816553" w14:textId="77777777" w:rsidR="00EE5D67" w:rsidRPr="00EE5D67" w:rsidRDefault="00EE5D67" w:rsidP="00EE5D67">
            <w:pPr>
              <w:spacing w:after="0" w:line="240" w:lineRule="auto"/>
              <w:jc w:val="right"/>
              <w:rPr>
                <w:rFonts w:cs="Arial"/>
                <w:sz w:val="16"/>
                <w:szCs w:val="16"/>
              </w:rPr>
            </w:pPr>
            <w:r w:rsidRPr="00EE5D67">
              <w:rPr>
                <w:rFonts w:cs="Arial"/>
                <w:sz w:val="16"/>
                <w:szCs w:val="16"/>
              </w:rPr>
              <w:t>13,5</w:t>
            </w:r>
          </w:p>
        </w:tc>
        <w:tc>
          <w:tcPr>
            <w:tcW w:w="688" w:type="dxa"/>
            <w:tcBorders>
              <w:top w:val="nil"/>
              <w:left w:val="nil"/>
              <w:bottom w:val="nil"/>
              <w:right w:val="nil"/>
            </w:tcBorders>
            <w:shd w:val="clear" w:color="auto" w:fill="auto"/>
            <w:noWrap/>
            <w:vAlign w:val="center"/>
            <w:hideMark/>
          </w:tcPr>
          <w:p w14:paraId="4E18D29B" w14:textId="77777777" w:rsidR="00EE5D67" w:rsidRPr="00EE5D67" w:rsidRDefault="00EE5D67" w:rsidP="00EE5D67">
            <w:pPr>
              <w:spacing w:after="0" w:line="240" w:lineRule="auto"/>
              <w:jc w:val="right"/>
              <w:rPr>
                <w:rFonts w:cs="Arial"/>
                <w:sz w:val="16"/>
                <w:szCs w:val="16"/>
              </w:rPr>
            </w:pPr>
            <w:r w:rsidRPr="00EE5D67">
              <w:rPr>
                <w:rFonts w:cs="Arial"/>
                <w:sz w:val="16"/>
                <w:szCs w:val="16"/>
              </w:rPr>
              <w:t>9,2</w:t>
            </w:r>
          </w:p>
        </w:tc>
      </w:tr>
      <w:tr w:rsidR="00EE5D67" w:rsidRPr="00EE5D67" w14:paraId="4B03DCF7"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2400313D"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2018</w:t>
            </w:r>
          </w:p>
        </w:tc>
        <w:tc>
          <w:tcPr>
            <w:tcW w:w="747" w:type="dxa"/>
            <w:tcBorders>
              <w:top w:val="nil"/>
              <w:left w:val="nil"/>
              <w:bottom w:val="nil"/>
              <w:right w:val="nil"/>
            </w:tcBorders>
            <w:shd w:val="clear" w:color="auto" w:fill="auto"/>
            <w:noWrap/>
            <w:vAlign w:val="center"/>
            <w:hideMark/>
          </w:tcPr>
          <w:p w14:paraId="366DB545" w14:textId="77777777" w:rsidR="00EE5D67" w:rsidRPr="00EE5D67" w:rsidRDefault="00EE5D67" w:rsidP="00EE5D67">
            <w:pPr>
              <w:spacing w:after="0" w:line="240" w:lineRule="auto"/>
              <w:jc w:val="right"/>
              <w:rPr>
                <w:rFonts w:cs="Arial"/>
                <w:sz w:val="16"/>
                <w:szCs w:val="16"/>
              </w:rPr>
            </w:pPr>
            <w:r w:rsidRPr="00EE5D67">
              <w:rPr>
                <w:rFonts w:cs="Arial"/>
                <w:sz w:val="16"/>
                <w:szCs w:val="16"/>
              </w:rPr>
              <w:t>224,4</w:t>
            </w:r>
          </w:p>
        </w:tc>
        <w:tc>
          <w:tcPr>
            <w:tcW w:w="686" w:type="dxa"/>
            <w:tcBorders>
              <w:top w:val="nil"/>
              <w:left w:val="nil"/>
              <w:bottom w:val="nil"/>
              <w:right w:val="nil"/>
            </w:tcBorders>
            <w:shd w:val="clear" w:color="auto" w:fill="auto"/>
            <w:noWrap/>
            <w:vAlign w:val="center"/>
            <w:hideMark/>
          </w:tcPr>
          <w:p w14:paraId="29CFF62E" w14:textId="77777777" w:rsidR="00EE5D67" w:rsidRPr="00EE5D67" w:rsidRDefault="00EE5D67" w:rsidP="00EE5D67">
            <w:pPr>
              <w:spacing w:after="0" w:line="240" w:lineRule="auto"/>
              <w:jc w:val="right"/>
              <w:rPr>
                <w:rFonts w:cs="Arial"/>
                <w:sz w:val="16"/>
                <w:szCs w:val="16"/>
              </w:rPr>
            </w:pPr>
            <w:r w:rsidRPr="00EE5D67">
              <w:rPr>
                <w:rFonts w:cs="Arial"/>
                <w:sz w:val="16"/>
                <w:szCs w:val="16"/>
              </w:rPr>
              <w:t>101,9</w:t>
            </w:r>
          </w:p>
        </w:tc>
        <w:tc>
          <w:tcPr>
            <w:tcW w:w="687" w:type="dxa"/>
            <w:tcBorders>
              <w:top w:val="nil"/>
              <w:left w:val="nil"/>
              <w:bottom w:val="nil"/>
              <w:right w:val="single" w:sz="4" w:space="0" w:color="auto"/>
            </w:tcBorders>
            <w:shd w:val="clear" w:color="auto" w:fill="auto"/>
            <w:noWrap/>
            <w:vAlign w:val="center"/>
            <w:hideMark/>
          </w:tcPr>
          <w:p w14:paraId="2A23FB95" w14:textId="77777777" w:rsidR="00EE5D67" w:rsidRPr="00EE5D67" w:rsidRDefault="00EE5D67" w:rsidP="00EE5D67">
            <w:pPr>
              <w:spacing w:after="0" w:line="240" w:lineRule="auto"/>
              <w:jc w:val="right"/>
              <w:rPr>
                <w:rFonts w:cs="Arial"/>
                <w:sz w:val="16"/>
                <w:szCs w:val="16"/>
              </w:rPr>
            </w:pPr>
            <w:r w:rsidRPr="00EE5D67">
              <w:rPr>
                <w:rFonts w:cs="Arial"/>
                <w:sz w:val="16"/>
                <w:szCs w:val="16"/>
              </w:rPr>
              <w:t>122,6</w:t>
            </w:r>
          </w:p>
        </w:tc>
        <w:tc>
          <w:tcPr>
            <w:tcW w:w="747" w:type="dxa"/>
            <w:tcBorders>
              <w:top w:val="nil"/>
              <w:left w:val="nil"/>
              <w:bottom w:val="nil"/>
              <w:right w:val="nil"/>
            </w:tcBorders>
            <w:shd w:val="clear" w:color="auto" w:fill="auto"/>
            <w:noWrap/>
            <w:vAlign w:val="center"/>
            <w:hideMark/>
          </w:tcPr>
          <w:p w14:paraId="417757CC" w14:textId="77777777" w:rsidR="00EE5D67" w:rsidRPr="00EE5D67" w:rsidRDefault="00EE5D67" w:rsidP="00EE5D67">
            <w:pPr>
              <w:spacing w:after="0" w:line="240" w:lineRule="auto"/>
              <w:jc w:val="right"/>
              <w:rPr>
                <w:rFonts w:cs="Arial"/>
                <w:sz w:val="16"/>
                <w:szCs w:val="16"/>
              </w:rPr>
            </w:pPr>
            <w:r w:rsidRPr="00EE5D67">
              <w:rPr>
                <w:rFonts w:cs="Arial"/>
                <w:sz w:val="16"/>
                <w:szCs w:val="16"/>
              </w:rPr>
              <w:t>194,3</w:t>
            </w:r>
          </w:p>
        </w:tc>
        <w:tc>
          <w:tcPr>
            <w:tcW w:w="686" w:type="dxa"/>
            <w:tcBorders>
              <w:top w:val="nil"/>
              <w:left w:val="nil"/>
              <w:bottom w:val="nil"/>
              <w:right w:val="nil"/>
            </w:tcBorders>
            <w:shd w:val="clear" w:color="auto" w:fill="auto"/>
            <w:noWrap/>
            <w:vAlign w:val="center"/>
            <w:hideMark/>
          </w:tcPr>
          <w:p w14:paraId="1A7010B1" w14:textId="77777777" w:rsidR="00EE5D67" w:rsidRPr="00EE5D67" w:rsidRDefault="00EE5D67" w:rsidP="00EE5D67">
            <w:pPr>
              <w:spacing w:after="0" w:line="240" w:lineRule="auto"/>
              <w:jc w:val="right"/>
              <w:rPr>
                <w:rFonts w:cs="Arial"/>
                <w:sz w:val="16"/>
                <w:szCs w:val="16"/>
              </w:rPr>
            </w:pPr>
            <w:r w:rsidRPr="00EE5D67">
              <w:rPr>
                <w:rFonts w:cs="Arial"/>
                <w:sz w:val="16"/>
                <w:szCs w:val="16"/>
              </w:rPr>
              <w:t>83,3</w:t>
            </w:r>
          </w:p>
        </w:tc>
        <w:tc>
          <w:tcPr>
            <w:tcW w:w="687" w:type="dxa"/>
            <w:tcBorders>
              <w:top w:val="nil"/>
              <w:left w:val="nil"/>
              <w:bottom w:val="nil"/>
              <w:right w:val="single" w:sz="4" w:space="0" w:color="auto"/>
            </w:tcBorders>
            <w:shd w:val="clear" w:color="auto" w:fill="auto"/>
            <w:noWrap/>
            <w:vAlign w:val="center"/>
            <w:hideMark/>
          </w:tcPr>
          <w:p w14:paraId="583D1923" w14:textId="77777777" w:rsidR="00EE5D67" w:rsidRPr="00EE5D67" w:rsidRDefault="00EE5D67" w:rsidP="00EE5D67">
            <w:pPr>
              <w:spacing w:after="0" w:line="240" w:lineRule="auto"/>
              <w:jc w:val="right"/>
              <w:rPr>
                <w:rFonts w:cs="Arial"/>
                <w:sz w:val="16"/>
                <w:szCs w:val="16"/>
              </w:rPr>
            </w:pPr>
            <w:r w:rsidRPr="00EE5D67">
              <w:rPr>
                <w:rFonts w:cs="Arial"/>
                <w:sz w:val="16"/>
                <w:szCs w:val="16"/>
              </w:rPr>
              <w:t>111,0</w:t>
            </w:r>
          </w:p>
        </w:tc>
        <w:tc>
          <w:tcPr>
            <w:tcW w:w="761" w:type="dxa"/>
            <w:tcBorders>
              <w:top w:val="nil"/>
              <w:left w:val="nil"/>
              <w:bottom w:val="nil"/>
              <w:right w:val="nil"/>
            </w:tcBorders>
            <w:shd w:val="clear" w:color="auto" w:fill="auto"/>
            <w:noWrap/>
            <w:vAlign w:val="center"/>
            <w:hideMark/>
          </w:tcPr>
          <w:p w14:paraId="3AFA2E74" w14:textId="77777777" w:rsidR="00EE5D67" w:rsidRPr="00EE5D67" w:rsidRDefault="00EE5D67" w:rsidP="00EE5D67">
            <w:pPr>
              <w:spacing w:after="0" w:line="240" w:lineRule="auto"/>
              <w:jc w:val="right"/>
              <w:rPr>
                <w:rFonts w:cs="Arial"/>
                <w:sz w:val="16"/>
                <w:szCs w:val="16"/>
              </w:rPr>
            </w:pPr>
            <w:r w:rsidRPr="00EE5D67">
              <w:rPr>
                <w:rFonts w:cs="Arial"/>
                <w:sz w:val="16"/>
                <w:szCs w:val="16"/>
              </w:rPr>
              <w:t>7,3</w:t>
            </w:r>
          </w:p>
        </w:tc>
        <w:tc>
          <w:tcPr>
            <w:tcW w:w="686" w:type="dxa"/>
            <w:tcBorders>
              <w:top w:val="nil"/>
              <w:left w:val="nil"/>
              <w:bottom w:val="nil"/>
              <w:right w:val="nil"/>
            </w:tcBorders>
            <w:shd w:val="clear" w:color="auto" w:fill="auto"/>
            <w:noWrap/>
            <w:vAlign w:val="center"/>
            <w:hideMark/>
          </w:tcPr>
          <w:p w14:paraId="2AD4F0B5" w14:textId="77777777" w:rsidR="00EE5D67" w:rsidRPr="00EE5D67" w:rsidRDefault="00EE5D67" w:rsidP="00EE5D67">
            <w:pPr>
              <w:spacing w:after="0" w:line="240" w:lineRule="auto"/>
              <w:jc w:val="right"/>
              <w:rPr>
                <w:rFonts w:cs="Arial"/>
                <w:sz w:val="16"/>
                <w:szCs w:val="16"/>
              </w:rPr>
            </w:pPr>
            <w:r w:rsidRPr="00EE5D67">
              <w:rPr>
                <w:rFonts w:cs="Arial"/>
                <w:sz w:val="16"/>
                <w:szCs w:val="16"/>
              </w:rPr>
              <w:t>4,9</w:t>
            </w:r>
          </w:p>
        </w:tc>
        <w:tc>
          <w:tcPr>
            <w:tcW w:w="687" w:type="dxa"/>
            <w:tcBorders>
              <w:top w:val="nil"/>
              <w:left w:val="nil"/>
              <w:bottom w:val="nil"/>
              <w:right w:val="single" w:sz="4" w:space="0" w:color="auto"/>
            </w:tcBorders>
            <w:shd w:val="clear" w:color="auto" w:fill="auto"/>
            <w:noWrap/>
            <w:vAlign w:val="center"/>
            <w:hideMark/>
          </w:tcPr>
          <w:p w14:paraId="46231E0E" w14:textId="77777777" w:rsidR="00EE5D67" w:rsidRPr="00EE5D67" w:rsidRDefault="00EE5D67" w:rsidP="00EE5D67">
            <w:pPr>
              <w:spacing w:after="0" w:line="240" w:lineRule="auto"/>
              <w:jc w:val="right"/>
              <w:rPr>
                <w:rFonts w:cs="Arial"/>
                <w:sz w:val="16"/>
                <w:szCs w:val="16"/>
              </w:rPr>
            </w:pPr>
            <w:r w:rsidRPr="00EE5D67">
              <w:rPr>
                <w:rFonts w:cs="Arial"/>
                <w:sz w:val="16"/>
                <w:szCs w:val="16"/>
              </w:rPr>
              <w:t>2,4</w:t>
            </w:r>
          </w:p>
        </w:tc>
        <w:tc>
          <w:tcPr>
            <w:tcW w:w="747" w:type="dxa"/>
            <w:tcBorders>
              <w:top w:val="nil"/>
              <w:left w:val="nil"/>
              <w:bottom w:val="nil"/>
              <w:right w:val="nil"/>
            </w:tcBorders>
            <w:shd w:val="clear" w:color="auto" w:fill="auto"/>
            <w:noWrap/>
            <w:vAlign w:val="center"/>
            <w:hideMark/>
          </w:tcPr>
          <w:p w14:paraId="4C44D1CE" w14:textId="77777777" w:rsidR="00EE5D67" w:rsidRPr="00EE5D67" w:rsidRDefault="00EE5D67" w:rsidP="00EE5D67">
            <w:pPr>
              <w:spacing w:after="0" w:line="240" w:lineRule="auto"/>
              <w:jc w:val="right"/>
              <w:rPr>
                <w:rFonts w:cs="Arial"/>
                <w:sz w:val="16"/>
                <w:szCs w:val="16"/>
              </w:rPr>
            </w:pPr>
            <w:r w:rsidRPr="00EE5D67">
              <w:rPr>
                <w:rFonts w:cs="Arial"/>
                <w:sz w:val="16"/>
                <w:szCs w:val="16"/>
              </w:rPr>
              <w:t>22,9</w:t>
            </w:r>
          </w:p>
        </w:tc>
        <w:tc>
          <w:tcPr>
            <w:tcW w:w="686" w:type="dxa"/>
            <w:tcBorders>
              <w:top w:val="nil"/>
              <w:left w:val="nil"/>
              <w:bottom w:val="nil"/>
              <w:right w:val="nil"/>
            </w:tcBorders>
            <w:shd w:val="clear" w:color="auto" w:fill="auto"/>
            <w:noWrap/>
            <w:vAlign w:val="center"/>
            <w:hideMark/>
          </w:tcPr>
          <w:p w14:paraId="0731BA0F" w14:textId="77777777" w:rsidR="00EE5D67" w:rsidRPr="00EE5D67" w:rsidRDefault="00EE5D67" w:rsidP="00EE5D67">
            <w:pPr>
              <w:spacing w:after="0" w:line="240" w:lineRule="auto"/>
              <w:jc w:val="right"/>
              <w:rPr>
                <w:rFonts w:cs="Arial"/>
                <w:sz w:val="16"/>
                <w:szCs w:val="16"/>
              </w:rPr>
            </w:pPr>
            <w:r w:rsidRPr="00EE5D67">
              <w:rPr>
                <w:rFonts w:cs="Arial"/>
                <w:sz w:val="16"/>
                <w:szCs w:val="16"/>
              </w:rPr>
              <w:t>13,7</w:t>
            </w:r>
          </w:p>
        </w:tc>
        <w:tc>
          <w:tcPr>
            <w:tcW w:w="688" w:type="dxa"/>
            <w:tcBorders>
              <w:top w:val="nil"/>
              <w:left w:val="nil"/>
              <w:bottom w:val="nil"/>
              <w:right w:val="nil"/>
            </w:tcBorders>
            <w:shd w:val="clear" w:color="auto" w:fill="auto"/>
            <w:noWrap/>
            <w:vAlign w:val="center"/>
            <w:hideMark/>
          </w:tcPr>
          <w:p w14:paraId="19BB8C58" w14:textId="77777777" w:rsidR="00EE5D67" w:rsidRPr="00EE5D67" w:rsidRDefault="00EE5D67" w:rsidP="00EE5D67">
            <w:pPr>
              <w:spacing w:after="0" w:line="240" w:lineRule="auto"/>
              <w:jc w:val="right"/>
              <w:rPr>
                <w:rFonts w:cs="Arial"/>
                <w:sz w:val="16"/>
                <w:szCs w:val="16"/>
              </w:rPr>
            </w:pPr>
            <w:r w:rsidRPr="00EE5D67">
              <w:rPr>
                <w:rFonts w:cs="Arial"/>
                <w:sz w:val="16"/>
                <w:szCs w:val="16"/>
              </w:rPr>
              <w:t>9,2</w:t>
            </w:r>
          </w:p>
        </w:tc>
      </w:tr>
      <w:tr w:rsidR="00EE5D67" w:rsidRPr="00EE5D67" w14:paraId="1031CCEC"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6E40D721"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2019</w:t>
            </w:r>
          </w:p>
        </w:tc>
        <w:tc>
          <w:tcPr>
            <w:tcW w:w="747" w:type="dxa"/>
            <w:tcBorders>
              <w:top w:val="nil"/>
              <w:left w:val="nil"/>
              <w:bottom w:val="nil"/>
              <w:right w:val="nil"/>
            </w:tcBorders>
            <w:shd w:val="clear" w:color="auto" w:fill="auto"/>
            <w:noWrap/>
            <w:vAlign w:val="center"/>
            <w:hideMark/>
          </w:tcPr>
          <w:p w14:paraId="488A004D" w14:textId="77777777" w:rsidR="00EE5D67" w:rsidRPr="00EE5D67" w:rsidRDefault="00EE5D67" w:rsidP="00EE5D67">
            <w:pPr>
              <w:spacing w:after="0" w:line="240" w:lineRule="auto"/>
              <w:jc w:val="right"/>
              <w:rPr>
                <w:rFonts w:cs="Arial"/>
                <w:sz w:val="16"/>
                <w:szCs w:val="16"/>
              </w:rPr>
            </w:pPr>
            <w:r w:rsidRPr="00EE5D67">
              <w:rPr>
                <w:rFonts w:cs="Arial"/>
                <w:sz w:val="16"/>
                <w:szCs w:val="16"/>
              </w:rPr>
              <w:t>229,7</w:t>
            </w:r>
          </w:p>
        </w:tc>
        <w:tc>
          <w:tcPr>
            <w:tcW w:w="686" w:type="dxa"/>
            <w:tcBorders>
              <w:top w:val="nil"/>
              <w:left w:val="nil"/>
              <w:bottom w:val="nil"/>
              <w:right w:val="nil"/>
            </w:tcBorders>
            <w:shd w:val="clear" w:color="auto" w:fill="auto"/>
            <w:noWrap/>
            <w:vAlign w:val="center"/>
            <w:hideMark/>
          </w:tcPr>
          <w:p w14:paraId="713A78CA" w14:textId="77777777" w:rsidR="00EE5D67" w:rsidRPr="00EE5D67" w:rsidRDefault="00EE5D67" w:rsidP="00EE5D67">
            <w:pPr>
              <w:spacing w:after="0" w:line="240" w:lineRule="auto"/>
              <w:jc w:val="right"/>
              <w:rPr>
                <w:rFonts w:cs="Arial"/>
                <w:sz w:val="16"/>
                <w:szCs w:val="16"/>
              </w:rPr>
            </w:pPr>
            <w:r w:rsidRPr="00EE5D67">
              <w:rPr>
                <w:rFonts w:cs="Arial"/>
                <w:sz w:val="16"/>
                <w:szCs w:val="16"/>
              </w:rPr>
              <w:t>104,0</w:t>
            </w:r>
          </w:p>
        </w:tc>
        <w:tc>
          <w:tcPr>
            <w:tcW w:w="687" w:type="dxa"/>
            <w:tcBorders>
              <w:top w:val="nil"/>
              <w:left w:val="nil"/>
              <w:bottom w:val="nil"/>
              <w:right w:val="single" w:sz="4" w:space="0" w:color="auto"/>
            </w:tcBorders>
            <w:shd w:val="clear" w:color="auto" w:fill="auto"/>
            <w:noWrap/>
            <w:vAlign w:val="center"/>
            <w:hideMark/>
          </w:tcPr>
          <w:p w14:paraId="6B38D005" w14:textId="77777777" w:rsidR="00EE5D67" w:rsidRPr="00EE5D67" w:rsidRDefault="00EE5D67" w:rsidP="00EE5D67">
            <w:pPr>
              <w:spacing w:after="0" w:line="240" w:lineRule="auto"/>
              <w:jc w:val="right"/>
              <w:rPr>
                <w:rFonts w:cs="Arial"/>
                <w:sz w:val="16"/>
                <w:szCs w:val="16"/>
              </w:rPr>
            </w:pPr>
            <w:r w:rsidRPr="00EE5D67">
              <w:rPr>
                <w:rFonts w:cs="Arial"/>
                <w:sz w:val="16"/>
                <w:szCs w:val="16"/>
              </w:rPr>
              <w:t>125,7</w:t>
            </w:r>
          </w:p>
        </w:tc>
        <w:tc>
          <w:tcPr>
            <w:tcW w:w="747" w:type="dxa"/>
            <w:tcBorders>
              <w:top w:val="nil"/>
              <w:left w:val="nil"/>
              <w:bottom w:val="nil"/>
              <w:right w:val="nil"/>
            </w:tcBorders>
            <w:shd w:val="clear" w:color="auto" w:fill="auto"/>
            <w:noWrap/>
            <w:vAlign w:val="center"/>
            <w:hideMark/>
          </w:tcPr>
          <w:p w14:paraId="7D914CB8" w14:textId="77777777" w:rsidR="00EE5D67" w:rsidRPr="00EE5D67" w:rsidRDefault="00EE5D67" w:rsidP="00EE5D67">
            <w:pPr>
              <w:spacing w:after="0" w:line="240" w:lineRule="auto"/>
              <w:jc w:val="right"/>
              <w:rPr>
                <w:rFonts w:cs="Arial"/>
                <w:sz w:val="16"/>
                <w:szCs w:val="16"/>
              </w:rPr>
            </w:pPr>
            <w:r w:rsidRPr="00EE5D67">
              <w:rPr>
                <w:rFonts w:cs="Arial"/>
                <w:sz w:val="16"/>
                <w:szCs w:val="16"/>
              </w:rPr>
              <w:t>198,1</w:t>
            </w:r>
          </w:p>
        </w:tc>
        <w:tc>
          <w:tcPr>
            <w:tcW w:w="686" w:type="dxa"/>
            <w:tcBorders>
              <w:top w:val="nil"/>
              <w:left w:val="nil"/>
              <w:bottom w:val="nil"/>
              <w:right w:val="nil"/>
            </w:tcBorders>
            <w:shd w:val="clear" w:color="auto" w:fill="auto"/>
            <w:noWrap/>
            <w:vAlign w:val="center"/>
            <w:hideMark/>
          </w:tcPr>
          <w:p w14:paraId="4A392741" w14:textId="77777777" w:rsidR="00EE5D67" w:rsidRPr="00EE5D67" w:rsidRDefault="00EE5D67" w:rsidP="00EE5D67">
            <w:pPr>
              <w:spacing w:after="0" w:line="240" w:lineRule="auto"/>
              <w:jc w:val="right"/>
              <w:rPr>
                <w:rFonts w:cs="Arial"/>
                <w:sz w:val="16"/>
                <w:szCs w:val="16"/>
              </w:rPr>
            </w:pPr>
            <w:r w:rsidRPr="00EE5D67">
              <w:rPr>
                <w:rFonts w:cs="Arial"/>
                <w:sz w:val="16"/>
                <w:szCs w:val="16"/>
              </w:rPr>
              <w:t>84,7</w:t>
            </w:r>
          </w:p>
        </w:tc>
        <w:tc>
          <w:tcPr>
            <w:tcW w:w="687" w:type="dxa"/>
            <w:tcBorders>
              <w:top w:val="nil"/>
              <w:left w:val="nil"/>
              <w:bottom w:val="nil"/>
              <w:right w:val="single" w:sz="4" w:space="0" w:color="auto"/>
            </w:tcBorders>
            <w:shd w:val="clear" w:color="auto" w:fill="auto"/>
            <w:noWrap/>
            <w:vAlign w:val="center"/>
            <w:hideMark/>
          </w:tcPr>
          <w:p w14:paraId="0DA3BE8F" w14:textId="77777777" w:rsidR="00EE5D67" w:rsidRPr="00EE5D67" w:rsidRDefault="00EE5D67" w:rsidP="00EE5D67">
            <w:pPr>
              <w:spacing w:after="0" w:line="240" w:lineRule="auto"/>
              <w:jc w:val="right"/>
              <w:rPr>
                <w:rFonts w:cs="Arial"/>
                <w:sz w:val="16"/>
                <w:szCs w:val="16"/>
              </w:rPr>
            </w:pPr>
            <w:r w:rsidRPr="00EE5D67">
              <w:rPr>
                <w:rFonts w:cs="Arial"/>
                <w:sz w:val="16"/>
                <w:szCs w:val="16"/>
              </w:rPr>
              <w:t>113,5</w:t>
            </w:r>
          </w:p>
        </w:tc>
        <w:tc>
          <w:tcPr>
            <w:tcW w:w="761" w:type="dxa"/>
            <w:tcBorders>
              <w:top w:val="nil"/>
              <w:left w:val="nil"/>
              <w:bottom w:val="nil"/>
              <w:right w:val="nil"/>
            </w:tcBorders>
            <w:shd w:val="clear" w:color="auto" w:fill="auto"/>
            <w:noWrap/>
            <w:vAlign w:val="center"/>
            <w:hideMark/>
          </w:tcPr>
          <w:p w14:paraId="5DD23489" w14:textId="77777777" w:rsidR="00EE5D67" w:rsidRPr="00EE5D67" w:rsidRDefault="00EE5D67" w:rsidP="00EE5D67">
            <w:pPr>
              <w:spacing w:after="0" w:line="240" w:lineRule="auto"/>
              <w:jc w:val="right"/>
              <w:rPr>
                <w:rFonts w:cs="Arial"/>
                <w:sz w:val="16"/>
                <w:szCs w:val="16"/>
              </w:rPr>
            </w:pPr>
            <w:r w:rsidRPr="00EE5D67">
              <w:rPr>
                <w:rFonts w:cs="Arial"/>
                <w:sz w:val="16"/>
                <w:szCs w:val="16"/>
              </w:rPr>
              <w:t>7,3</w:t>
            </w:r>
          </w:p>
        </w:tc>
        <w:tc>
          <w:tcPr>
            <w:tcW w:w="686" w:type="dxa"/>
            <w:tcBorders>
              <w:top w:val="nil"/>
              <w:left w:val="nil"/>
              <w:bottom w:val="nil"/>
              <w:right w:val="nil"/>
            </w:tcBorders>
            <w:shd w:val="clear" w:color="auto" w:fill="auto"/>
            <w:noWrap/>
            <w:vAlign w:val="center"/>
            <w:hideMark/>
          </w:tcPr>
          <w:p w14:paraId="64365BA3" w14:textId="77777777" w:rsidR="00EE5D67" w:rsidRPr="00EE5D67" w:rsidRDefault="00EE5D67" w:rsidP="00EE5D67">
            <w:pPr>
              <w:spacing w:after="0" w:line="240" w:lineRule="auto"/>
              <w:jc w:val="right"/>
              <w:rPr>
                <w:rFonts w:cs="Arial"/>
                <w:sz w:val="16"/>
                <w:szCs w:val="16"/>
              </w:rPr>
            </w:pPr>
            <w:r w:rsidRPr="00EE5D67">
              <w:rPr>
                <w:rFonts w:cs="Arial"/>
                <w:sz w:val="16"/>
                <w:szCs w:val="16"/>
              </w:rPr>
              <w:t>4,9</w:t>
            </w:r>
          </w:p>
        </w:tc>
        <w:tc>
          <w:tcPr>
            <w:tcW w:w="687" w:type="dxa"/>
            <w:tcBorders>
              <w:top w:val="nil"/>
              <w:left w:val="nil"/>
              <w:bottom w:val="nil"/>
              <w:right w:val="single" w:sz="4" w:space="0" w:color="auto"/>
            </w:tcBorders>
            <w:shd w:val="clear" w:color="auto" w:fill="auto"/>
            <w:noWrap/>
            <w:vAlign w:val="center"/>
            <w:hideMark/>
          </w:tcPr>
          <w:p w14:paraId="14665D53" w14:textId="77777777" w:rsidR="00EE5D67" w:rsidRPr="00EE5D67" w:rsidRDefault="00EE5D67" w:rsidP="00EE5D67">
            <w:pPr>
              <w:spacing w:after="0" w:line="240" w:lineRule="auto"/>
              <w:jc w:val="right"/>
              <w:rPr>
                <w:rFonts w:cs="Arial"/>
                <w:sz w:val="16"/>
                <w:szCs w:val="16"/>
              </w:rPr>
            </w:pPr>
            <w:r w:rsidRPr="00EE5D67">
              <w:rPr>
                <w:rFonts w:cs="Arial"/>
                <w:sz w:val="16"/>
                <w:szCs w:val="16"/>
              </w:rPr>
              <w:t>2,4</w:t>
            </w:r>
          </w:p>
        </w:tc>
        <w:tc>
          <w:tcPr>
            <w:tcW w:w="747" w:type="dxa"/>
            <w:tcBorders>
              <w:top w:val="nil"/>
              <w:left w:val="nil"/>
              <w:bottom w:val="nil"/>
              <w:right w:val="nil"/>
            </w:tcBorders>
            <w:shd w:val="clear" w:color="auto" w:fill="auto"/>
            <w:noWrap/>
            <w:vAlign w:val="center"/>
            <w:hideMark/>
          </w:tcPr>
          <w:p w14:paraId="3616FC37" w14:textId="77777777" w:rsidR="00EE5D67" w:rsidRPr="00EE5D67" w:rsidRDefault="00EE5D67" w:rsidP="00EE5D67">
            <w:pPr>
              <w:spacing w:after="0" w:line="240" w:lineRule="auto"/>
              <w:jc w:val="right"/>
              <w:rPr>
                <w:rFonts w:cs="Arial"/>
                <w:sz w:val="16"/>
                <w:szCs w:val="16"/>
              </w:rPr>
            </w:pPr>
            <w:r w:rsidRPr="00EE5D67">
              <w:rPr>
                <w:rFonts w:cs="Arial"/>
                <w:sz w:val="16"/>
                <w:szCs w:val="16"/>
              </w:rPr>
              <w:t>24,3</w:t>
            </w:r>
          </w:p>
        </w:tc>
        <w:tc>
          <w:tcPr>
            <w:tcW w:w="686" w:type="dxa"/>
            <w:tcBorders>
              <w:top w:val="nil"/>
              <w:left w:val="nil"/>
              <w:bottom w:val="nil"/>
              <w:right w:val="nil"/>
            </w:tcBorders>
            <w:shd w:val="clear" w:color="auto" w:fill="auto"/>
            <w:noWrap/>
            <w:vAlign w:val="center"/>
            <w:hideMark/>
          </w:tcPr>
          <w:p w14:paraId="2AD69343" w14:textId="77777777" w:rsidR="00EE5D67" w:rsidRPr="00EE5D67" w:rsidRDefault="00EE5D67" w:rsidP="00EE5D67">
            <w:pPr>
              <w:spacing w:after="0" w:line="240" w:lineRule="auto"/>
              <w:jc w:val="right"/>
              <w:rPr>
                <w:rFonts w:cs="Arial"/>
                <w:sz w:val="16"/>
                <w:szCs w:val="16"/>
              </w:rPr>
            </w:pPr>
            <w:r w:rsidRPr="00EE5D67">
              <w:rPr>
                <w:rFonts w:cs="Arial"/>
                <w:sz w:val="16"/>
                <w:szCs w:val="16"/>
              </w:rPr>
              <w:t>14,4</w:t>
            </w:r>
          </w:p>
        </w:tc>
        <w:tc>
          <w:tcPr>
            <w:tcW w:w="688" w:type="dxa"/>
            <w:tcBorders>
              <w:top w:val="nil"/>
              <w:left w:val="nil"/>
              <w:bottom w:val="nil"/>
              <w:right w:val="nil"/>
            </w:tcBorders>
            <w:shd w:val="clear" w:color="auto" w:fill="auto"/>
            <w:noWrap/>
            <w:vAlign w:val="center"/>
            <w:hideMark/>
          </w:tcPr>
          <w:p w14:paraId="04DC3D8C" w14:textId="77777777" w:rsidR="00EE5D67" w:rsidRPr="00EE5D67" w:rsidRDefault="00EE5D67" w:rsidP="00EE5D67">
            <w:pPr>
              <w:spacing w:after="0" w:line="240" w:lineRule="auto"/>
              <w:jc w:val="right"/>
              <w:rPr>
                <w:rFonts w:cs="Arial"/>
                <w:sz w:val="16"/>
                <w:szCs w:val="16"/>
              </w:rPr>
            </w:pPr>
            <w:r w:rsidRPr="00EE5D67">
              <w:rPr>
                <w:rFonts w:cs="Arial"/>
                <w:sz w:val="16"/>
                <w:szCs w:val="16"/>
              </w:rPr>
              <w:t>9,8</w:t>
            </w:r>
          </w:p>
        </w:tc>
      </w:tr>
    </w:tbl>
    <w:p w14:paraId="699393E2" w14:textId="6507CE03" w:rsidR="00502782" w:rsidRDefault="00EF49F3" w:rsidP="00985367">
      <w:pPr>
        <w:spacing w:before="120"/>
        <w:jc w:val="both"/>
      </w:pPr>
      <w:r>
        <w:fldChar w:fldCharType="end"/>
      </w:r>
      <w:r w:rsidR="00271088">
        <w:rPr>
          <w:rFonts w:cs="Arial"/>
          <w:sz w:val="16"/>
          <w:szCs w:val="16"/>
        </w:rPr>
        <w:t>Zdroj: ČSÚ</w:t>
      </w:r>
    </w:p>
    <w:sectPr w:rsidR="00502782" w:rsidSect="00F711D4">
      <w:headerReference w:type="even" r:id="rId22"/>
      <w:headerReference w:type="default" r:id="rId23"/>
      <w:footerReference w:type="even" r:id="rId24"/>
      <w:footerReference w:type="default" r:id="rId25"/>
      <w:pgSz w:w="11906" w:h="16838" w:code="9"/>
      <w:pgMar w:top="1134" w:right="1134" w:bottom="1418" w:left="1134" w:header="680" w:footer="680" w:gutter="0"/>
      <w:pgNumType w:start="16"/>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EF346" w16cid:durableId="214CE8A3"/>
  <w16cid:commentId w16cid:paraId="1C6EC712" w16cid:durableId="214CE8A4"/>
  <w16cid:commentId w16cid:paraId="6C709477" w16cid:durableId="214CE8A5"/>
  <w16cid:commentId w16cid:paraId="63BFCE94" w16cid:durableId="214CE8A6"/>
  <w16cid:commentId w16cid:paraId="3508B0E3" w16cid:durableId="214CE8A7"/>
  <w16cid:commentId w16cid:paraId="4BA0C102" w16cid:durableId="214CE8A8"/>
  <w16cid:commentId w16cid:paraId="3FEFEFDA" w16cid:durableId="214CE8A9"/>
  <w16cid:commentId w16cid:paraId="657B814A" w16cid:durableId="214CE8AA"/>
  <w16cid:commentId w16cid:paraId="3F0A8039" w16cid:durableId="214CE8AB"/>
  <w16cid:commentId w16cid:paraId="3E6B8EC0" w16cid:durableId="214CE8AC"/>
  <w16cid:commentId w16cid:paraId="72EA8429" w16cid:durableId="214CE8AD"/>
  <w16cid:commentId w16cid:paraId="61EB88A6" w16cid:durableId="214CE8AE"/>
  <w16cid:commentId w16cid:paraId="7ADFBBCF" w16cid:durableId="214CE8AF"/>
  <w16cid:commentId w16cid:paraId="712EEB3D" w16cid:durableId="214CE8B0"/>
  <w16cid:commentId w16cid:paraId="0FDF9989" w16cid:durableId="214CE8B1"/>
  <w16cid:commentId w16cid:paraId="23193299" w16cid:durableId="214CE8B2"/>
  <w16cid:commentId w16cid:paraId="60C8237E" w16cid:durableId="214CE8B3"/>
  <w16cid:commentId w16cid:paraId="722B6F26" w16cid:durableId="214CE8B4"/>
  <w16cid:commentId w16cid:paraId="4FB7049B" w16cid:durableId="214CE8B5"/>
  <w16cid:commentId w16cid:paraId="45B6D117" w16cid:durableId="214CE8B6"/>
  <w16cid:commentId w16cid:paraId="75ADD11B" w16cid:durableId="214CE8B7"/>
  <w16cid:commentId w16cid:paraId="4D77F8EA" w16cid:durableId="214CE8B8"/>
  <w16cid:commentId w16cid:paraId="0B04D717" w16cid:durableId="214CE8B9"/>
  <w16cid:commentId w16cid:paraId="1A6694FC" w16cid:durableId="214CE8BA"/>
  <w16cid:commentId w16cid:paraId="60B8F04E" w16cid:durableId="214CE8BB"/>
  <w16cid:commentId w16cid:paraId="4FFDE52A" w16cid:durableId="214CE8BC"/>
  <w16cid:commentId w16cid:paraId="70DC22B9" w16cid:durableId="214CE8BD"/>
  <w16cid:commentId w16cid:paraId="6311E580" w16cid:durableId="214CE8BE"/>
  <w16cid:commentId w16cid:paraId="5D09CACD" w16cid:durableId="214CE8BF"/>
  <w16cid:commentId w16cid:paraId="17FB8286" w16cid:durableId="214CE8C0"/>
  <w16cid:commentId w16cid:paraId="3CE5500D" w16cid:durableId="214CE8C1"/>
  <w16cid:commentId w16cid:paraId="15A8E929" w16cid:durableId="214CE8C2"/>
  <w16cid:commentId w16cid:paraId="1119082B" w16cid:durableId="214CE8C3"/>
  <w16cid:commentId w16cid:paraId="799808C1" w16cid:durableId="214CE8C4"/>
  <w16cid:commentId w16cid:paraId="5CDADAB5" w16cid:durableId="214CE8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99D94" w14:textId="77777777" w:rsidR="00C81EB1" w:rsidRDefault="00C81EB1" w:rsidP="00E71A58">
      <w:r>
        <w:separator/>
      </w:r>
    </w:p>
  </w:endnote>
  <w:endnote w:type="continuationSeparator" w:id="0">
    <w:p w14:paraId="46A9A6FD" w14:textId="77777777" w:rsidR="00C81EB1" w:rsidRDefault="00C81EB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F180" w14:textId="77B1C73F" w:rsidR="00C81EB1" w:rsidRPr="00932443" w:rsidRDefault="00C81EB1" w:rsidP="00A418BC">
    <w:pPr>
      <w:pStyle w:val="Zpat"/>
      <w:rPr>
        <w:szCs w:val="16"/>
      </w:rPr>
    </w:pPr>
    <w:r>
      <w:rPr>
        <w:szCs w:val="16"/>
        <w:lang w:eastAsia="cs-CZ"/>
      </w:rPr>
      <w:drawing>
        <wp:anchor distT="0" distB="0" distL="114300" distR="114300" simplePos="0" relativeHeight="251658240" behindDoc="0" locked="0" layoutInCell="1" allowOverlap="1" wp14:anchorId="518618CB" wp14:editId="20720B39">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F711D4">
      <w:rPr>
        <w:szCs w:val="16"/>
      </w:rPr>
      <w:t>16</w:t>
    </w:r>
    <w:r w:rsidRPr="00932443">
      <w:rPr>
        <w:szCs w:val="16"/>
      </w:rPr>
      <w:fldChar w:fldCharType="end"/>
    </w:r>
    <w:r w:rsidRPr="00932443">
      <w:rPr>
        <w:szCs w:val="16"/>
      </w:rPr>
      <w:tab/>
    </w:r>
    <w:r>
      <w:rPr>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3A85" w14:textId="7665361A" w:rsidR="00C81EB1" w:rsidRPr="00932443" w:rsidRDefault="00C81EB1" w:rsidP="00A418BC">
    <w:pPr>
      <w:pStyle w:val="Zpat"/>
      <w:rPr>
        <w:szCs w:val="16"/>
      </w:rPr>
    </w:pPr>
    <w:r>
      <w:rPr>
        <w:szCs w:val="16"/>
        <w:lang w:eastAsia="cs-CZ"/>
      </w:rPr>
      <w:drawing>
        <wp:anchor distT="0" distB="0" distL="114300" distR="114300" simplePos="0" relativeHeight="251657216" behindDoc="0" locked="0" layoutInCell="1" allowOverlap="1" wp14:anchorId="52255DA0" wp14:editId="7E85ADBF">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F711D4">
      <w:rPr>
        <w:rStyle w:val="ZpatChar"/>
        <w:szCs w:val="16"/>
      </w:rPr>
      <w:t>31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43AEE" w14:textId="77777777" w:rsidR="00C81EB1" w:rsidRDefault="00C81EB1" w:rsidP="00E71A58">
      <w:r>
        <w:separator/>
      </w:r>
    </w:p>
  </w:footnote>
  <w:footnote w:type="continuationSeparator" w:id="0">
    <w:p w14:paraId="264CFBCA" w14:textId="77777777" w:rsidR="00C81EB1" w:rsidRDefault="00C81EB1" w:rsidP="00E71A58">
      <w:r>
        <w:continuationSeparator/>
      </w:r>
    </w:p>
  </w:footnote>
  <w:footnote w:id="1">
    <w:p w14:paraId="5A67250C" w14:textId="77777777" w:rsidR="00C81EB1" w:rsidRPr="00A07459" w:rsidRDefault="00C81EB1" w:rsidP="00907B59">
      <w:pPr>
        <w:pStyle w:val="Textpoznpodarou"/>
        <w:rPr>
          <w:sz w:val="16"/>
        </w:rPr>
      </w:pPr>
      <w:r w:rsidRPr="00A07459">
        <w:rPr>
          <w:rStyle w:val="Znakapoznpodarou"/>
          <w:sz w:val="16"/>
        </w:rPr>
        <w:footnoteRef/>
      </w:r>
      <w:r w:rsidRPr="00A07459">
        <w:rPr>
          <w:sz w:val="16"/>
        </w:rPr>
        <w:t xml:space="preserve"> </w:t>
      </w:r>
      <w:r>
        <w:rPr>
          <w:sz w:val="16"/>
        </w:rPr>
        <w:t xml:space="preserve">Od </w:t>
      </w:r>
      <w:r w:rsidRPr="00A07459">
        <w:rPr>
          <w:sz w:val="16"/>
        </w:rPr>
        <w:t>1. 7. 2019</w:t>
      </w:r>
      <w:r>
        <w:rPr>
          <w:sz w:val="16"/>
        </w:rPr>
        <w:t xml:space="preserve"> došlo ke zrušení karenční doby.</w:t>
      </w:r>
    </w:p>
  </w:footnote>
  <w:footnote w:id="2">
    <w:p w14:paraId="6E649FB1" w14:textId="77777777" w:rsidR="00C81EB1" w:rsidRDefault="00C81EB1" w:rsidP="00907B59">
      <w:pPr>
        <w:pStyle w:val="Textpoznpodarou"/>
        <w:jc w:val="both"/>
      </w:pPr>
      <w:r w:rsidRPr="00171A2F">
        <w:rPr>
          <w:rStyle w:val="Znakapoznpodarou"/>
          <w:sz w:val="16"/>
        </w:rPr>
        <w:footnoteRef/>
      </w:r>
      <w:r w:rsidRPr="00171A2F">
        <w:rPr>
          <w:sz w:val="16"/>
        </w:rPr>
        <w:t xml:space="preserve"> V Jeseníku se nachází referát účtárny pěstounské péče pro profesionální pěstouny v ČR. Profesionální pěstouni na neschopenku nechodí, protože jim po dobu pracovní neschopnosti svěřené dítě neodeberou. Jsou však zahrnuti do jmenovatele jako počet pojištěnců v okrese.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E9F6" w14:textId="7958ECEB" w:rsidR="00C81EB1" w:rsidRPr="00C62BD6" w:rsidRDefault="00C81EB1" w:rsidP="00C62BD6">
    <w:pPr>
      <w:pStyle w:val="Zhlav"/>
    </w:pPr>
    <w:r>
      <w:t>Pracovní neschopnost pro nemoc a úraz v České republice za 1. pololetí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EFC2" w14:textId="733F8B14" w:rsidR="00C81EB1" w:rsidRPr="00C62BD6" w:rsidRDefault="00C81EB1" w:rsidP="00C62BD6">
    <w:pPr>
      <w:pStyle w:val="Zhlav"/>
    </w:pPr>
    <w:r>
      <w:t>Pracovní neschopnost pro nemoc a úraz v České republice za 1. pololetí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746EB"/>
    <w:multiLevelType w:val="hybridMultilevel"/>
    <w:tmpl w:val="D616BA4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21F7F59"/>
    <w:multiLevelType w:val="hybridMultilevel"/>
    <w:tmpl w:val="9EACCE2C"/>
    <w:lvl w:ilvl="0" w:tplc="04050001">
      <w:start w:val="1"/>
      <w:numFmt w:val="bullet"/>
      <w:lvlText w:val=""/>
      <w:lvlJc w:val="left"/>
      <w:pPr>
        <w:ind w:left="720" w:hanging="360"/>
      </w:pPr>
      <w:rPr>
        <w:rFonts w:ascii="Symbol" w:hAnsi="Symbol" w:hint="default"/>
      </w:rPr>
    </w:lvl>
    <w:lvl w:ilvl="1" w:tplc="04050009">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2469A9"/>
    <w:multiLevelType w:val="hybridMultilevel"/>
    <w:tmpl w:val="6E42498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A133F17"/>
    <w:multiLevelType w:val="hybridMultilevel"/>
    <w:tmpl w:val="1D3A9A2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1603038"/>
    <w:multiLevelType w:val="multilevel"/>
    <w:tmpl w:val="33D0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723F40"/>
    <w:multiLevelType w:val="hybridMultilevel"/>
    <w:tmpl w:val="65E8E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46B787E"/>
    <w:multiLevelType w:val="hybridMultilevel"/>
    <w:tmpl w:val="288A995C"/>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4AE0212"/>
    <w:multiLevelType w:val="hybridMultilevel"/>
    <w:tmpl w:val="B27CAB0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86F1BCF"/>
    <w:multiLevelType w:val="multilevel"/>
    <w:tmpl w:val="0CFA4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394626"/>
    <w:multiLevelType w:val="hybridMultilevel"/>
    <w:tmpl w:val="C29C8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0772BC2"/>
    <w:multiLevelType w:val="multilevel"/>
    <w:tmpl w:val="B6E2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C14F36"/>
    <w:multiLevelType w:val="multilevel"/>
    <w:tmpl w:val="1A9A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FB3472"/>
    <w:multiLevelType w:val="hybridMultilevel"/>
    <w:tmpl w:val="306E3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99855A7"/>
    <w:multiLevelType w:val="hybridMultilevel"/>
    <w:tmpl w:val="5E740A9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AD14163"/>
    <w:multiLevelType w:val="hybridMultilevel"/>
    <w:tmpl w:val="8E5265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DFE13AA"/>
    <w:multiLevelType w:val="hybridMultilevel"/>
    <w:tmpl w:val="3B30054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31BE7536"/>
    <w:multiLevelType w:val="hybridMultilevel"/>
    <w:tmpl w:val="CA56DB9C"/>
    <w:lvl w:ilvl="0" w:tplc="578C2E40">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23435D6"/>
    <w:multiLevelType w:val="hybridMultilevel"/>
    <w:tmpl w:val="299CC6B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2757E69"/>
    <w:multiLevelType w:val="hybridMultilevel"/>
    <w:tmpl w:val="923CA67A"/>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0" w15:restartNumberingAfterBreak="0">
    <w:nsid w:val="42BA0E59"/>
    <w:multiLevelType w:val="hybridMultilevel"/>
    <w:tmpl w:val="3F88B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6375EA9"/>
    <w:multiLevelType w:val="multilevel"/>
    <w:tmpl w:val="8EFA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901B91"/>
    <w:multiLevelType w:val="hybridMultilevel"/>
    <w:tmpl w:val="EA86977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90017F3"/>
    <w:multiLevelType w:val="hybridMultilevel"/>
    <w:tmpl w:val="D4C40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3F873C3"/>
    <w:multiLevelType w:val="hybridMultilevel"/>
    <w:tmpl w:val="B83418D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8" w15:restartNumberingAfterBreak="0">
    <w:nsid w:val="686C4312"/>
    <w:multiLevelType w:val="multilevel"/>
    <w:tmpl w:val="A544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874A64"/>
    <w:multiLevelType w:val="hybridMultilevel"/>
    <w:tmpl w:val="35CA03B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15:restartNumberingAfterBreak="0">
    <w:nsid w:val="71FB04D0"/>
    <w:multiLevelType w:val="hybridMultilevel"/>
    <w:tmpl w:val="A5FC2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42159D4"/>
    <w:multiLevelType w:val="hybridMultilevel"/>
    <w:tmpl w:val="624A4612"/>
    <w:lvl w:ilvl="0" w:tplc="A5AE7386">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34"/>
  </w:num>
  <w:num w:numId="14">
    <w:abstractNumId w:val="17"/>
  </w:num>
  <w:num w:numId="15">
    <w:abstractNumId w:val="27"/>
  </w:num>
  <w:num w:numId="16">
    <w:abstractNumId w:val="10"/>
  </w:num>
  <w:num w:numId="17">
    <w:abstractNumId w:val="40"/>
  </w:num>
  <w:num w:numId="18">
    <w:abstractNumId w:val="22"/>
  </w:num>
  <w:num w:numId="19">
    <w:abstractNumId w:val="36"/>
  </w:num>
  <w:num w:numId="20">
    <w:abstractNumId w:val="25"/>
  </w:num>
  <w:num w:numId="21">
    <w:abstractNumId w:val="32"/>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5"/>
  </w:num>
  <w:num w:numId="25">
    <w:abstractNumId w:val="14"/>
  </w:num>
  <w:num w:numId="26">
    <w:abstractNumId w:val="38"/>
  </w:num>
  <w:num w:numId="27">
    <w:abstractNumId w:val="11"/>
  </w:num>
  <w:num w:numId="28">
    <w:abstractNumId w:val="12"/>
  </w:num>
  <w:num w:numId="29">
    <w:abstractNumId w:val="13"/>
  </w:num>
  <w:num w:numId="30">
    <w:abstractNumId w:val="28"/>
  </w:num>
  <w:num w:numId="31">
    <w:abstractNumId w:val="24"/>
  </w:num>
  <w:num w:numId="32">
    <w:abstractNumId w:val="16"/>
  </w:num>
  <w:num w:numId="33">
    <w:abstractNumId w:val="30"/>
  </w:num>
  <w:num w:numId="34">
    <w:abstractNumId w:val="41"/>
  </w:num>
  <w:num w:numId="35">
    <w:abstractNumId w:val="20"/>
  </w:num>
  <w:num w:numId="36">
    <w:abstractNumId w:val="21"/>
  </w:num>
  <w:num w:numId="37">
    <w:abstractNumId w:val="39"/>
  </w:num>
  <w:num w:numId="38">
    <w:abstractNumId w:val="26"/>
  </w:num>
  <w:num w:numId="39">
    <w:abstractNumId w:val="37"/>
  </w:num>
  <w:num w:numId="40">
    <w:abstractNumId w:val="29"/>
  </w:num>
  <w:num w:numId="41">
    <w:abstractNumId w:val="18"/>
  </w:num>
  <w:num w:numId="42">
    <w:abstractNumId w:val="3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9F"/>
    <w:rsid w:val="0000051B"/>
    <w:rsid w:val="00000F9E"/>
    <w:rsid w:val="0000209D"/>
    <w:rsid w:val="00003180"/>
    <w:rsid w:val="00004D5A"/>
    <w:rsid w:val="000056AC"/>
    <w:rsid w:val="000056D5"/>
    <w:rsid w:val="00006E59"/>
    <w:rsid w:val="00006FF8"/>
    <w:rsid w:val="000073B0"/>
    <w:rsid w:val="0000767A"/>
    <w:rsid w:val="00007B22"/>
    <w:rsid w:val="00010702"/>
    <w:rsid w:val="00010EA9"/>
    <w:rsid w:val="00012AAA"/>
    <w:rsid w:val="00012B24"/>
    <w:rsid w:val="00012D4C"/>
    <w:rsid w:val="000138D2"/>
    <w:rsid w:val="00014CB4"/>
    <w:rsid w:val="00016992"/>
    <w:rsid w:val="00017C11"/>
    <w:rsid w:val="00020366"/>
    <w:rsid w:val="00020F5B"/>
    <w:rsid w:val="00021D4F"/>
    <w:rsid w:val="00022091"/>
    <w:rsid w:val="000220A7"/>
    <w:rsid w:val="000234D6"/>
    <w:rsid w:val="00023752"/>
    <w:rsid w:val="00023D29"/>
    <w:rsid w:val="00025962"/>
    <w:rsid w:val="00026389"/>
    <w:rsid w:val="0002645A"/>
    <w:rsid w:val="00030C62"/>
    <w:rsid w:val="000318FA"/>
    <w:rsid w:val="00031AE0"/>
    <w:rsid w:val="000322EF"/>
    <w:rsid w:val="00032F39"/>
    <w:rsid w:val="00033FCD"/>
    <w:rsid w:val="00034FB1"/>
    <w:rsid w:val="00035D43"/>
    <w:rsid w:val="0003700D"/>
    <w:rsid w:val="00037892"/>
    <w:rsid w:val="00040719"/>
    <w:rsid w:val="00040960"/>
    <w:rsid w:val="00040E2B"/>
    <w:rsid w:val="00040FCB"/>
    <w:rsid w:val="00041CD3"/>
    <w:rsid w:val="00041CEC"/>
    <w:rsid w:val="000422D6"/>
    <w:rsid w:val="00042338"/>
    <w:rsid w:val="00043077"/>
    <w:rsid w:val="000439E1"/>
    <w:rsid w:val="000441B2"/>
    <w:rsid w:val="0004580B"/>
    <w:rsid w:val="00045DE5"/>
    <w:rsid w:val="00046914"/>
    <w:rsid w:val="0004694F"/>
    <w:rsid w:val="00047203"/>
    <w:rsid w:val="00052266"/>
    <w:rsid w:val="000522E4"/>
    <w:rsid w:val="00052494"/>
    <w:rsid w:val="00055BD9"/>
    <w:rsid w:val="0005748C"/>
    <w:rsid w:val="000610E1"/>
    <w:rsid w:val="00061AF0"/>
    <w:rsid w:val="00061D62"/>
    <w:rsid w:val="00062AE9"/>
    <w:rsid w:val="00062EC5"/>
    <w:rsid w:val="00062F22"/>
    <w:rsid w:val="000637B9"/>
    <w:rsid w:val="00063B7E"/>
    <w:rsid w:val="00063EF6"/>
    <w:rsid w:val="00065F99"/>
    <w:rsid w:val="00066244"/>
    <w:rsid w:val="000674CE"/>
    <w:rsid w:val="00067CC5"/>
    <w:rsid w:val="00070698"/>
    <w:rsid w:val="000712B3"/>
    <w:rsid w:val="00071615"/>
    <w:rsid w:val="0007305F"/>
    <w:rsid w:val="000745FC"/>
    <w:rsid w:val="00074D94"/>
    <w:rsid w:val="00075921"/>
    <w:rsid w:val="00076895"/>
    <w:rsid w:val="0008263E"/>
    <w:rsid w:val="00082C19"/>
    <w:rsid w:val="000850A2"/>
    <w:rsid w:val="00085395"/>
    <w:rsid w:val="00085D11"/>
    <w:rsid w:val="00085DD0"/>
    <w:rsid w:val="00085EA1"/>
    <w:rsid w:val="000860AB"/>
    <w:rsid w:val="000860E7"/>
    <w:rsid w:val="00086B0F"/>
    <w:rsid w:val="00086E51"/>
    <w:rsid w:val="00087634"/>
    <w:rsid w:val="00087D6A"/>
    <w:rsid w:val="00087F2B"/>
    <w:rsid w:val="0009095C"/>
    <w:rsid w:val="00090DF3"/>
    <w:rsid w:val="00091189"/>
    <w:rsid w:val="00091191"/>
    <w:rsid w:val="0009251C"/>
    <w:rsid w:val="00092FCF"/>
    <w:rsid w:val="0009305D"/>
    <w:rsid w:val="00096738"/>
    <w:rsid w:val="00096A2D"/>
    <w:rsid w:val="00096D05"/>
    <w:rsid w:val="000974D1"/>
    <w:rsid w:val="0009799E"/>
    <w:rsid w:val="00097C3A"/>
    <w:rsid w:val="00097DA1"/>
    <w:rsid w:val="000A0AB3"/>
    <w:rsid w:val="000A0C86"/>
    <w:rsid w:val="000A1183"/>
    <w:rsid w:val="000A1A53"/>
    <w:rsid w:val="000A1DDF"/>
    <w:rsid w:val="000A256D"/>
    <w:rsid w:val="000A34A2"/>
    <w:rsid w:val="000A376E"/>
    <w:rsid w:val="000A3A2C"/>
    <w:rsid w:val="000A3A51"/>
    <w:rsid w:val="000A5007"/>
    <w:rsid w:val="000A5801"/>
    <w:rsid w:val="000A7FAF"/>
    <w:rsid w:val="000B046F"/>
    <w:rsid w:val="000B07F0"/>
    <w:rsid w:val="000B0F71"/>
    <w:rsid w:val="000B1299"/>
    <w:rsid w:val="000B18E1"/>
    <w:rsid w:val="000B30FA"/>
    <w:rsid w:val="000B3152"/>
    <w:rsid w:val="000B3416"/>
    <w:rsid w:val="000B3EF7"/>
    <w:rsid w:val="000B4F3F"/>
    <w:rsid w:val="000B78F7"/>
    <w:rsid w:val="000C0175"/>
    <w:rsid w:val="000C10D7"/>
    <w:rsid w:val="000C3408"/>
    <w:rsid w:val="000C3871"/>
    <w:rsid w:val="000C4868"/>
    <w:rsid w:val="000C6AFD"/>
    <w:rsid w:val="000D0984"/>
    <w:rsid w:val="000D0B70"/>
    <w:rsid w:val="000D1014"/>
    <w:rsid w:val="000D14EA"/>
    <w:rsid w:val="000D1857"/>
    <w:rsid w:val="000D2467"/>
    <w:rsid w:val="000D2B7A"/>
    <w:rsid w:val="000D2DDC"/>
    <w:rsid w:val="000D3D37"/>
    <w:rsid w:val="000D4A30"/>
    <w:rsid w:val="000D5637"/>
    <w:rsid w:val="000D5763"/>
    <w:rsid w:val="000D6E68"/>
    <w:rsid w:val="000D78C9"/>
    <w:rsid w:val="000E3A0E"/>
    <w:rsid w:val="000E3A9C"/>
    <w:rsid w:val="000E43F6"/>
    <w:rsid w:val="000E525F"/>
    <w:rsid w:val="000E5B2D"/>
    <w:rsid w:val="000E61E7"/>
    <w:rsid w:val="000E66A6"/>
    <w:rsid w:val="000E6D18"/>
    <w:rsid w:val="000E6FBD"/>
    <w:rsid w:val="000F0675"/>
    <w:rsid w:val="000F0CDB"/>
    <w:rsid w:val="000F1056"/>
    <w:rsid w:val="000F1FE8"/>
    <w:rsid w:val="000F218D"/>
    <w:rsid w:val="000F2BFB"/>
    <w:rsid w:val="000F2C27"/>
    <w:rsid w:val="000F2DDC"/>
    <w:rsid w:val="000F4A29"/>
    <w:rsid w:val="000F5618"/>
    <w:rsid w:val="000F5B9A"/>
    <w:rsid w:val="000F64E8"/>
    <w:rsid w:val="000F68B6"/>
    <w:rsid w:val="000F6C9E"/>
    <w:rsid w:val="00100C17"/>
    <w:rsid w:val="00100F5C"/>
    <w:rsid w:val="00102149"/>
    <w:rsid w:val="00102408"/>
    <w:rsid w:val="001030DF"/>
    <w:rsid w:val="0010437D"/>
    <w:rsid w:val="00104554"/>
    <w:rsid w:val="00104C4C"/>
    <w:rsid w:val="00105FD2"/>
    <w:rsid w:val="0010665F"/>
    <w:rsid w:val="00106C1B"/>
    <w:rsid w:val="00106E17"/>
    <w:rsid w:val="001073D0"/>
    <w:rsid w:val="001077C2"/>
    <w:rsid w:val="001121C6"/>
    <w:rsid w:val="00112274"/>
    <w:rsid w:val="001122E0"/>
    <w:rsid w:val="0011457C"/>
    <w:rsid w:val="0012192F"/>
    <w:rsid w:val="00121BBA"/>
    <w:rsid w:val="001236D7"/>
    <w:rsid w:val="001239A7"/>
    <w:rsid w:val="00125175"/>
    <w:rsid w:val="00125D69"/>
    <w:rsid w:val="00125F56"/>
    <w:rsid w:val="00126448"/>
    <w:rsid w:val="00130594"/>
    <w:rsid w:val="00130A21"/>
    <w:rsid w:val="0013313C"/>
    <w:rsid w:val="001338A0"/>
    <w:rsid w:val="00133F2E"/>
    <w:rsid w:val="001345EE"/>
    <w:rsid w:val="0013513B"/>
    <w:rsid w:val="00135740"/>
    <w:rsid w:val="00135C05"/>
    <w:rsid w:val="001405FA"/>
    <w:rsid w:val="00140D94"/>
    <w:rsid w:val="00141374"/>
    <w:rsid w:val="001425C3"/>
    <w:rsid w:val="0014311C"/>
    <w:rsid w:val="00144CD5"/>
    <w:rsid w:val="001458CD"/>
    <w:rsid w:val="00150CBE"/>
    <w:rsid w:val="001529FB"/>
    <w:rsid w:val="00152E1E"/>
    <w:rsid w:val="001555A9"/>
    <w:rsid w:val="00155E6E"/>
    <w:rsid w:val="00156FA0"/>
    <w:rsid w:val="00157C4E"/>
    <w:rsid w:val="00157C82"/>
    <w:rsid w:val="00157F4D"/>
    <w:rsid w:val="00157FF8"/>
    <w:rsid w:val="00161A21"/>
    <w:rsid w:val="00162142"/>
    <w:rsid w:val="0016224B"/>
    <w:rsid w:val="0016256B"/>
    <w:rsid w:val="00162967"/>
    <w:rsid w:val="00162C96"/>
    <w:rsid w:val="00163793"/>
    <w:rsid w:val="001670A7"/>
    <w:rsid w:val="00170240"/>
    <w:rsid w:val="0017027A"/>
    <w:rsid w:val="001706D6"/>
    <w:rsid w:val="00170C5F"/>
    <w:rsid w:val="001714F2"/>
    <w:rsid w:val="001719AD"/>
    <w:rsid w:val="00171A2F"/>
    <w:rsid w:val="001722C1"/>
    <w:rsid w:val="001729E0"/>
    <w:rsid w:val="00172DAA"/>
    <w:rsid w:val="00172F7F"/>
    <w:rsid w:val="001730B3"/>
    <w:rsid w:val="00173D29"/>
    <w:rsid w:val="00174FF2"/>
    <w:rsid w:val="00175140"/>
    <w:rsid w:val="0017531A"/>
    <w:rsid w:val="00176686"/>
    <w:rsid w:val="001771A3"/>
    <w:rsid w:val="00177AF9"/>
    <w:rsid w:val="00182D5F"/>
    <w:rsid w:val="00183E6E"/>
    <w:rsid w:val="00184B08"/>
    <w:rsid w:val="00185010"/>
    <w:rsid w:val="001852CC"/>
    <w:rsid w:val="00186617"/>
    <w:rsid w:val="00191074"/>
    <w:rsid w:val="00191B90"/>
    <w:rsid w:val="0019246C"/>
    <w:rsid w:val="00192C20"/>
    <w:rsid w:val="00193CBE"/>
    <w:rsid w:val="00194E14"/>
    <w:rsid w:val="00194FAA"/>
    <w:rsid w:val="00196668"/>
    <w:rsid w:val="0019672E"/>
    <w:rsid w:val="00196D71"/>
    <w:rsid w:val="00196DFF"/>
    <w:rsid w:val="0019771A"/>
    <w:rsid w:val="001A1661"/>
    <w:rsid w:val="001A552F"/>
    <w:rsid w:val="001A620D"/>
    <w:rsid w:val="001A686A"/>
    <w:rsid w:val="001A6B70"/>
    <w:rsid w:val="001A73CD"/>
    <w:rsid w:val="001B2CA9"/>
    <w:rsid w:val="001B2E27"/>
    <w:rsid w:val="001B3110"/>
    <w:rsid w:val="001B46BC"/>
    <w:rsid w:val="001B4729"/>
    <w:rsid w:val="001B5048"/>
    <w:rsid w:val="001B5429"/>
    <w:rsid w:val="001B64E2"/>
    <w:rsid w:val="001B6683"/>
    <w:rsid w:val="001B6C09"/>
    <w:rsid w:val="001C03A1"/>
    <w:rsid w:val="001C05CD"/>
    <w:rsid w:val="001C1006"/>
    <w:rsid w:val="001C1467"/>
    <w:rsid w:val="001C180F"/>
    <w:rsid w:val="001C2FEB"/>
    <w:rsid w:val="001C3015"/>
    <w:rsid w:val="001C4A15"/>
    <w:rsid w:val="001C560A"/>
    <w:rsid w:val="001C59CA"/>
    <w:rsid w:val="001C69CD"/>
    <w:rsid w:val="001C77B0"/>
    <w:rsid w:val="001D2B7D"/>
    <w:rsid w:val="001D3447"/>
    <w:rsid w:val="001D40F4"/>
    <w:rsid w:val="001D4179"/>
    <w:rsid w:val="001D4D07"/>
    <w:rsid w:val="001D520B"/>
    <w:rsid w:val="001D5F5C"/>
    <w:rsid w:val="001D68B2"/>
    <w:rsid w:val="001D7E19"/>
    <w:rsid w:val="001D7F96"/>
    <w:rsid w:val="001E0887"/>
    <w:rsid w:val="001E1882"/>
    <w:rsid w:val="001E36E8"/>
    <w:rsid w:val="001E3F59"/>
    <w:rsid w:val="001E5798"/>
    <w:rsid w:val="001F07BD"/>
    <w:rsid w:val="001F1AF6"/>
    <w:rsid w:val="001F33CD"/>
    <w:rsid w:val="001F3AEC"/>
    <w:rsid w:val="001F4597"/>
    <w:rsid w:val="001F6B79"/>
    <w:rsid w:val="002011C2"/>
    <w:rsid w:val="00203029"/>
    <w:rsid w:val="002033D2"/>
    <w:rsid w:val="00204A73"/>
    <w:rsid w:val="00204F00"/>
    <w:rsid w:val="0020632C"/>
    <w:rsid w:val="00206395"/>
    <w:rsid w:val="00210FC4"/>
    <w:rsid w:val="002110A0"/>
    <w:rsid w:val="0021141B"/>
    <w:rsid w:val="00211604"/>
    <w:rsid w:val="002118B9"/>
    <w:rsid w:val="0021219D"/>
    <w:rsid w:val="0021523B"/>
    <w:rsid w:val="00215605"/>
    <w:rsid w:val="00215904"/>
    <w:rsid w:val="0021605D"/>
    <w:rsid w:val="00216887"/>
    <w:rsid w:val="00217163"/>
    <w:rsid w:val="00217C5B"/>
    <w:rsid w:val="00217DDE"/>
    <w:rsid w:val="00220202"/>
    <w:rsid w:val="00220A25"/>
    <w:rsid w:val="0022139E"/>
    <w:rsid w:val="00223EE6"/>
    <w:rsid w:val="00224078"/>
    <w:rsid w:val="002247CA"/>
    <w:rsid w:val="002252E0"/>
    <w:rsid w:val="002255F6"/>
    <w:rsid w:val="00225CCC"/>
    <w:rsid w:val="00225D02"/>
    <w:rsid w:val="00225ECD"/>
    <w:rsid w:val="00225F24"/>
    <w:rsid w:val="002273A1"/>
    <w:rsid w:val="00227850"/>
    <w:rsid w:val="00227A53"/>
    <w:rsid w:val="00227ADD"/>
    <w:rsid w:val="002305E5"/>
    <w:rsid w:val="00230BA6"/>
    <w:rsid w:val="00230C6E"/>
    <w:rsid w:val="002321F2"/>
    <w:rsid w:val="0023272F"/>
    <w:rsid w:val="002329E4"/>
    <w:rsid w:val="002332C5"/>
    <w:rsid w:val="002345D2"/>
    <w:rsid w:val="00235C79"/>
    <w:rsid w:val="00236443"/>
    <w:rsid w:val="00236769"/>
    <w:rsid w:val="00240D82"/>
    <w:rsid w:val="00241BC0"/>
    <w:rsid w:val="002436BA"/>
    <w:rsid w:val="0024398E"/>
    <w:rsid w:val="00244622"/>
    <w:rsid w:val="00244A15"/>
    <w:rsid w:val="00247319"/>
    <w:rsid w:val="0024793B"/>
    <w:rsid w:val="0024799E"/>
    <w:rsid w:val="00247D28"/>
    <w:rsid w:val="00253914"/>
    <w:rsid w:val="00253C0F"/>
    <w:rsid w:val="00253D10"/>
    <w:rsid w:val="0025512D"/>
    <w:rsid w:val="00261637"/>
    <w:rsid w:val="002621CD"/>
    <w:rsid w:val="0026326E"/>
    <w:rsid w:val="00263C28"/>
    <w:rsid w:val="002646DA"/>
    <w:rsid w:val="0026618C"/>
    <w:rsid w:val="002665F3"/>
    <w:rsid w:val="0026772B"/>
    <w:rsid w:val="00270A73"/>
    <w:rsid w:val="00270D23"/>
    <w:rsid w:val="00271088"/>
    <w:rsid w:val="002710B1"/>
    <w:rsid w:val="00271465"/>
    <w:rsid w:val="0027197F"/>
    <w:rsid w:val="00272934"/>
    <w:rsid w:val="002737BB"/>
    <w:rsid w:val="00276756"/>
    <w:rsid w:val="002770B9"/>
    <w:rsid w:val="00277F1A"/>
    <w:rsid w:val="0028194C"/>
    <w:rsid w:val="00285412"/>
    <w:rsid w:val="00285599"/>
    <w:rsid w:val="0028613E"/>
    <w:rsid w:val="002865F0"/>
    <w:rsid w:val="00292C38"/>
    <w:rsid w:val="00292EA8"/>
    <w:rsid w:val="00296AB1"/>
    <w:rsid w:val="002970C7"/>
    <w:rsid w:val="00297A8F"/>
    <w:rsid w:val="00297EB5"/>
    <w:rsid w:val="002A00BE"/>
    <w:rsid w:val="002A16D4"/>
    <w:rsid w:val="002A2003"/>
    <w:rsid w:val="002A230C"/>
    <w:rsid w:val="002A6DD0"/>
    <w:rsid w:val="002B03C8"/>
    <w:rsid w:val="002B1C15"/>
    <w:rsid w:val="002B2842"/>
    <w:rsid w:val="002B2E2F"/>
    <w:rsid w:val="002B3776"/>
    <w:rsid w:val="002B3C69"/>
    <w:rsid w:val="002B4327"/>
    <w:rsid w:val="002B58CA"/>
    <w:rsid w:val="002B6146"/>
    <w:rsid w:val="002B7597"/>
    <w:rsid w:val="002C0154"/>
    <w:rsid w:val="002C23FB"/>
    <w:rsid w:val="002C394F"/>
    <w:rsid w:val="002C43BD"/>
    <w:rsid w:val="002C44D3"/>
    <w:rsid w:val="002C4753"/>
    <w:rsid w:val="002C47E9"/>
    <w:rsid w:val="002C4C21"/>
    <w:rsid w:val="002C53A9"/>
    <w:rsid w:val="002C55B2"/>
    <w:rsid w:val="002C61BD"/>
    <w:rsid w:val="002C63D7"/>
    <w:rsid w:val="002C7AE2"/>
    <w:rsid w:val="002C7B67"/>
    <w:rsid w:val="002C7FE0"/>
    <w:rsid w:val="002D0E59"/>
    <w:rsid w:val="002D2EC8"/>
    <w:rsid w:val="002D2FE8"/>
    <w:rsid w:val="002D4060"/>
    <w:rsid w:val="002D51F0"/>
    <w:rsid w:val="002D548C"/>
    <w:rsid w:val="002D55A7"/>
    <w:rsid w:val="002D687B"/>
    <w:rsid w:val="002E0185"/>
    <w:rsid w:val="002E02A1"/>
    <w:rsid w:val="002E1012"/>
    <w:rsid w:val="002E1172"/>
    <w:rsid w:val="002E165B"/>
    <w:rsid w:val="002E246B"/>
    <w:rsid w:val="002E3A00"/>
    <w:rsid w:val="002E3A71"/>
    <w:rsid w:val="002E4E4C"/>
    <w:rsid w:val="002E6E8B"/>
    <w:rsid w:val="002F1BB4"/>
    <w:rsid w:val="002F2413"/>
    <w:rsid w:val="002F3B4C"/>
    <w:rsid w:val="002F5215"/>
    <w:rsid w:val="002F5756"/>
    <w:rsid w:val="003007A7"/>
    <w:rsid w:val="00302799"/>
    <w:rsid w:val="00302820"/>
    <w:rsid w:val="003036D2"/>
    <w:rsid w:val="00304771"/>
    <w:rsid w:val="003052D4"/>
    <w:rsid w:val="0030568C"/>
    <w:rsid w:val="0030594B"/>
    <w:rsid w:val="00306C5B"/>
    <w:rsid w:val="00307A07"/>
    <w:rsid w:val="00307CAA"/>
    <w:rsid w:val="003116A3"/>
    <w:rsid w:val="00312502"/>
    <w:rsid w:val="003125C1"/>
    <w:rsid w:val="00312E21"/>
    <w:rsid w:val="0031360D"/>
    <w:rsid w:val="00315691"/>
    <w:rsid w:val="003168AE"/>
    <w:rsid w:val="00316B01"/>
    <w:rsid w:val="00320302"/>
    <w:rsid w:val="003209D6"/>
    <w:rsid w:val="00320C56"/>
    <w:rsid w:val="00321281"/>
    <w:rsid w:val="00321924"/>
    <w:rsid w:val="003222D9"/>
    <w:rsid w:val="00323C27"/>
    <w:rsid w:val="00325BD1"/>
    <w:rsid w:val="0032656E"/>
    <w:rsid w:val="00326B09"/>
    <w:rsid w:val="003275BA"/>
    <w:rsid w:val="00330AC3"/>
    <w:rsid w:val="00332190"/>
    <w:rsid w:val="00334C1B"/>
    <w:rsid w:val="00334C4B"/>
    <w:rsid w:val="00335F3A"/>
    <w:rsid w:val="003364AA"/>
    <w:rsid w:val="003366E8"/>
    <w:rsid w:val="003417AC"/>
    <w:rsid w:val="003417FB"/>
    <w:rsid w:val="0034374C"/>
    <w:rsid w:val="0034383F"/>
    <w:rsid w:val="00344668"/>
    <w:rsid w:val="00344BAE"/>
    <w:rsid w:val="00344EF8"/>
    <w:rsid w:val="003462D9"/>
    <w:rsid w:val="00346FDD"/>
    <w:rsid w:val="003507B0"/>
    <w:rsid w:val="00350C28"/>
    <w:rsid w:val="00350C58"/>
    <w:rsid w:val="00350E50"/>
    <w:rsid w:val="003528D9"/>
    <w:rsid w:val="00352D01"/>
    <w:rsid w:val="00355A67"/>
    <w:rsid w:val="00357586"/>
    <w:rsid w:val="0036061D"/>
    <w:rsid w:val="003607F1"/>
    <w:rsid w:val="00360C86"/>
    <w:rsid w:val="00361483"/>
    <w:rsid w:val="0036240E"/>
    <w:rsid w:val="00362679"/>
    <w:rsid w:val="003630F4"/>
    <w:rsid w:val="003634FF"/>
    <w:rsid w:val="0036354F"/>
    <w:rsid w:val="00364662"/>
    <w:rsid w:val="00364D94"/>
    <w:rsid w:val="0036570D"/>
    <w:rsid w:val="003657F3"/>
    <w:rsid w:val="00365CBF"/>
    <w:rsid w:val="00366009"/>
    <w:rsid w:val="003705BC"/>
    <w:rsid w:val="003738AC"/>
    <w:rsid w:val="00374DBC"/>
    <w:rsid w:val="0037575F"/>
    <w:rsid w:val="003759C4"/>
    <w:rsid w:val="00377D0A"/>
    <w:rsid w:val="00377F6C"/>
    <w:rsid w:val="00380598"/>
    <w:rsid w:val="003818DC"/>
    <w:rsid w:val="0038419F"/>
    <w:rsid w:val="00384327"/>
    <w:rsid w:val="003847A9"/>
    <w:rsid w:val="003847CF"/>
    <w:rsid w:val="00385D98"/>
    <w:rsid w:val="00386032"/>
    <w:rsid w:val="00386A33"/>
    <w:rsid w:val="00390861"/>
    <w:rsid w:val="0039169F"/>
    <w:rsid w:val="003927A5"/>
    <w:rsid w:val="00393054"/>
    <w:rsid w:val="00393A3A"/>
    <w:rsid w:val="00393CDA"/>
    <w:rsid w:val="00393E1C"/>
    <w:rsid w:val="00395D6A"/>
    <w:rsid w:val="00395E54"/>
    <w:rsid w:val="00397E88"/>
    <w:rsid w:val="00397F8B"/>
    <w:rsid w:val="003A01A6"/>
    <w:rsid w:val="003A1230"/>
    <w:rsid w:val="003A1C4E"/>
    <w:rsid w:val="003A2B4D"/>
    <w:rsid w:val="003A2E6F"/>
    <w:rsid w:val="003A349C"/>
    <w:rsid w:val="003A3529"/>
    <w:rsid w:val="003A478C"/>
    <w:rsid w:val="003A4B26"/>
    <w:rsid w:val="003A5525"/>
    <w:rsid w:val="003A586C"/>
    <w:rsid w:val="003A60D7"/>
    <w:rsid w:val="003A66F7"/>
    <w:rsid w:val="003A6B38"/>
    <w:rsid w:val="003A6C48"/>
    <w:rsid w:val="003B161F"/>
    <w:rsid w:val="003B2E45"/>
    <w:rsid w:val="003B305D"/>
    <w:rsid w:val="003B33EE"/>
    <w:rsid w:val="003B43F6"/>
    <w:rsid w:val="003B49FF"/>
    <w:rsid w:val="003B4BD1"/>
    <w:rsid w:val="003B51A0"/>
    <w:rsid w:val="003B5A32"/>
    <w:rsid w:val="003B5EEE"/>
    <w:rsid w:val="003B787F"/>
    <w:rsid w:val="003C0597"/>
    <w:rsid w:val="003C0FB0"/>
    <w:rsid w:val="003C1083"/>
    <w:rsid w:val="003C29AB"/>
    <w:rsid w:val="003C3490"/>
    <w:rsid w:val="003C389F"/>
    <w:rsid w:val="003C434D"/>
    <w:rsid w:val="003C629F"/>
    <w:rsid w:val="003C6D7F"/>
    <w:rsid w:val="003D106E"/>
    <w:rsid w:val="003D1806"/>
    <w:rsid w:val="003D21F6"/>
    <w:rsid w:val="003D2E88"/>
    <w:rsid w:val="003D3FC2"/>
    <w:rsid w:val="003D5B71"/>
    <w:rsid w:val="003D679F"/>
    <w:rsid w:val="003D6920"/>
    <w:rsid w:val="003D6F1D"/>
    <w:rsid w:val="003E05D3"/>
    <w:rsid w:val="003E0A23"/>
    <w:rsid w:val="003E0F4C"/>
    <w:rsid w:val="003E12C3"/>
    <w:rsid w:val="003E2845"/>
    <w:rsid w:val="003E2CA0"/>
    <w:rsid w:val="003E4049"/>
    <w:rsid w:val="003E466E"/>
    <w:rsid w:val="003E4C91"/>
    <w:rsid w:val="003E6687"/>
    <w:rsid w:val="003E7488"/>
    <w:rsid w:val="003F1703"/>
    <w:rsid w:val="003F2678"/>
    <w:rsid w:val="003F2FB6"/>
    <w:rsid w:val="003F313C"/>
    <w:rsid w:val="003F3A8B"/>
    <w:rsid w:val="003F4B2C"/>
    <w:rsid w:val="003F551C"/>
    <w:rsid w:val="003F647B"/>
    <w:rsid w:val="003F65C2"/>
    <w:rsid w:val="003F75EF"/>
    <w:rsid w:val="003F7D23"/>
    <w:rsid w:val="00401585"/>
    <w:rsid w:val="0040166C"/>
    <w:rsid w:val="00401DCA"/>
    <w:rsid w:val="00401F91"/>
    <w:rsid w:val="00402E84"/>
    <w:rsid w:val="0040332E"/>
    <w:rsid w:val="00404192"/>
    <w:rsid w:val="004054C2"/>
    <w:rsid w:val="00405801"/>
    <w:rsid w:val="00406CE0"/>
    <w:rsid w:val="0040736D"/>
    <w:rsid w:val="00407422"/>
    <w:rsid w:val="004078CE"/>
    <w:rsid w:val="00407C13"/>
    <w:rsid w:val="00407DB7"/>
    <w:rsid w:val="00410638"/>
    <w:rsid w:val="0041080A"/>
    <w:rsid w:val="00411214"/>
    <w:rsid w:val="00412F23"/>
    <w:rsid w:val="0041543D"/>
    <w:rsid w:val="00415A3C"/>
    <w:rsid w:val="0041681B"/>
    <w:rsid w:val="00416B7F"/>
    <w:rsid w:val="00417C49"/>
    <w:rsid w:val="0042086A"/>
    <w:rsid w:val="0042374E"/>
    <w:rsid w:val="0042447C"/>
    <w:rsid w:val="004247C0"/>
    <w:rsid w:val="004259D1"/>
    <w:rsid w:val="004261ED"/>
    <w:rsid w:val="00427AB2"/>
    <w:rsid w:val="004309B2"/>
    <w:rsid w:val="00432636"/>
    <w:rsid w:val="00432A58"/>
    <w:rsid w:val="00434617"/>
    <w:rsid w:val="00436034"/>
    <w:rsid w:val="00440900"/>
    <w:rsid w:val="0044156D"/>
    <w:rsid w:val="00442489"/>
    <w:rsid w:val="00443D15"/>
    <w:rsid w:val="004441A0"/>
    <w:rsid w:val="00446E1A"/>
    <w:rsid w:val="00451B1D"/>
    <w:rsid w:val="004522CC"/>
    <w:rsid w:val="004529E3"/>
    <w:rsid w:val="00452AB0"/>
    <w:rsid w:val="00460FB3"/>
    <w:rsid w:val="004619DA"/>
    <w:rsid w:val="00462A81"/>
    <w:rsid w:val="004638C2"/>
    <w:rsid w:val="00464A3E"/>
    <w:rsid w:val="004657D4"/>
    <w:rsid w:val="0046583C"/>
    <w:rsid w:val="0046681C"/>
    <w:rsid w:val="00466E03"/>
    <w:rsid w:val="00467C9A"/>
    <w:rsid w:val="0047002D"/>
    <w:rsid w:val="00470704"/>
    <w:rsid w:val="0047242F"/>
    <w:rsid w:val="00472BF3"/>
    <w:rsid w:val="004757D5"/>
    <w:rsid w:val="0047619A"/>
    <w:rsid w:val="00476240"/>
    <w:rsid w:val="00476439"/>
    <w:rsid w:val="0047735C"/>
    <w:rsid w:val="004776BC"/>
    <w:rsid w:val="00477A9C"/>
    <w:rsid w:val="0048139F"/>
    <w:rsid w:val="004818DE"/>
    <w:rsid w:val="00481E40"/>
    <w:rsid w:val="00484ECE"/>
    <w:rsid w:val="004852BF"/>
    <w:rsid w:val="00486193"/>
    <w:rsid w:val="004863D4"/>
    <w:rsid w:val="004900FF"/>
    <w:rsid w:val="0049123C"/>
    <w:rsid w:val="004915CB"/>
    <w:rsid w:val="00491867"/>
    <w:rsid w:val="004924DC"/>
    <w:rsid w:val="00492ADF"/>
    <w:rsid w:val="004949FA"/>
    <w:rsid w:val="00494C69"/>
    <w:rsid w:val="00494E37"/>
    <w:rsid w:val="004952C5"/>
    <w:rsid w:val="004963C1"/>
    <w:rsid w:val="00496B5A"/>
    <w:rsid w:val="00496B5E"/>
    <w:rsid w:val="004974FE"/>
    <w:rsid w:val="004A14E4"/>
    <w:rsid w:val="004A199B"/>
    <w:rsid w:val="004A2CC4"/>
    <w:rsid w:val="004A3212"/>
    <w:rsid w:val="004A4A16"/>
    <w:rsid w:val="004A4B7A"/>
    <w:rsid w:val="004A50E3"/>
    <w:rsid w:val="004A5E6C"/>
    <w:rsid w:val="004A61C5"/>
    <w:rsid w:val="004A77DF"/>
    <w:rsid w:val="004B12B7"/>
    <w:rsid w:val="004B1417"/>
    <w:rsid w:val="004B17A6"/>
    <w:rsid w:val="004B1E06"/>
    <w:rsid w:val="004B2E40"/>
    <w:rsid w:val="004B406C"/>
    <w:rsid w:val="004B4122"/>
    <w:rsid w:val="004B5465"/>
    <w:rsid w:val="004B55B7"/>
    <w:rsid w:val="004B6468"/>
    <w:rsid w:val="004C35FD"/>
    <w:rsid w:val="004C37A4"/>
    <w:rsid w:val="004C384C"/>
    <w:rsid w:val="004C3867"/>
    <w:rsid w:val="004C4C8F"/>
    <w:rsid w:val="004C4CD0"/>
    <w:rsid w:val="004C7031"/>
    <w:rsid w:val="004C70DC"/>
    <w:rsid w:val="004C73DA"/>
    <w:rsid w:val="004C7A61"/>
    <w:rsid w:val="004C7F91"/>
    <w:rsid w:val="004D0211"/>
    <w:rsid w:val="004D043B"/>
    <w:rsid w:val="004D0794"/>
    <w:rsid w:val="004D3282"/>
    <w:rsid w:val="004D334E"/>
    <w:rsid w:val="004D341B"/>
    <w:rsid w:val="004D51E2"/>
    <w:rsid w:val="004D6204"/>
    <w:rsid w:val="004D6588"/>
    <w:rsid w:val="004D7A0C"/>
    <w:rsid w:val="004E061D"/>
    <w:rsid w:val="004E09AC"/>
    <w:rsid w:val="004E2877"/>
    <w:rsid w:val="004E364D"/>
    <w:rsid w:val="004E46B4"/>
    <w:rsid w:val="004E62A5"/>
    <w:rsid w:val="004E6D7F"/>
    <w:rsid w:val="004E6FD3"/>
    <w:rsid w:val="004E7C23"/>
    <w:rsid w:val="004E7C48"/>
    <w:rsid w:val="004E7CB3"/>
    <w:rsid w:val="004E7F92"/>
    <w:rsid w:val="004F06F5"/>
    <w:rsid w:val="004F0D45"/>
    <w:rsid w:val="004F0F17"/>
    <w:rsid w:val="004F1EC1"/>
    <w:rsid w:val="004F2E80"/>
    <w:rsid w:val="004F33A0"/>
    <w:rsid w:val="004F35CB"/>
    <w:rsid w:val="004F3B71"/>
    <w:rsid w:val="004F4624"/>
    <w:rsid w:val="004F6655"/>
    <w:rsid w:val="004F6CFB"/>
    <w:rsid w:val="004F7787"/>
    <w:rsid w:val="004F7964"/>
    <w:rsid w:val="004F7FB7"/>
    <w:rsid w:val="00500A8A"/>
    <w:rsid w:val="00501105"/>
    <w:rsid w:val="0050262D"/>
    <w:rsid w:val="00502729"/>
    <w:rsid w:val="00502782"/>
    <w:rsid w:val="00503FBC"/>
    <w:rsid w:val="005059D5"/>
    <w:rsid w:val="00506326"/>
    <w:rsid w:val="00510308"/>
    <w:rsid w:val="005108C0"/>
    <w:rsid w:val="0051143F"/>
    <w:rsid w:val="00511873"/>
    <w:rsid w:val="005129CB"/>
    <w:rsid w:val="00512A2F"/>
    <w:rsid w:val="00513B7E"/>
    <w:rsid w:val="00515C74"/>
    <w:rsid w:val="005164AE"/>
    <w:rsid w:val="00516DC4"/>
    <w:rsid w:val="00517816"/>
    <w:rsid w:val="0052007E"/>
    <w:rsid w:val="00520FF1"/>
    <w:rsid w:val="005229A8"/>
    <w:rsid w:val="0052337A"/>
    <w:rsid w:val="00524184"/>
    <w:rsid w:val="00525137"/>
    <w:rsid w:val="005251DD"/>
    <w:rsid w:val="0052542E"/>
    <w:rsid w:val="00525A37"/>
    <w:rsid w:val="00526EBF"/>
    <w:rsid w:val="00527D14"/>
    <w:rsid w:val="00531B19"/>
    <w:rsid w:val="00532CE7"/>
    <w:rsid w:val="00532E6C"/>
    <w:rsid w:val="0053324C"/>
    <w:rsid w:val="00534A28"/>
    <w:rsid w:val="00535648"/>
    <w:rsid w:val="00535CFF"/>
    <w:rsid w:val="00536482"/>
    <w:rsid w:val="00540B61"/>
    <w:rsid w:val="00541508"/>
    <w:rsid w:val="00541AE1"/>
    <w:rsid w:val="00544075"/>
    <w:rsid w:val="00544095"/>
    <w:rsid w:val="00544D39"/>
    <w:rsid w:val="005454FC"/>
    <w:rsid w:val="00545BBC"/>
    <w:rsid w:val="00546FB5"/>
    <w:rsid w:val="005475EC"/>
    <w:rsid w:val="005506C4"/>
    <w:rsid w:val="00551034"/>
    <w:rsid w:val="0055182B"/>
    <w:rsid w:val="00552895"/>
    <w:rsid w:val="0055378A"/>
    <w:rsid w:val="00553F56"/>
    <w:rsid w:val="0055461C"/>
    <w:rsid w:val="00554F88"/>
    <w:rsid w:val="00555319"/>
    <w:rsid w:val="0055576C"/>
    <w:rsid w:val="0055599F"/>
    <w:rsid w:val="00556D68"/>
    <w:rsid w:val="00556FA9"/>
    <w:rsid w:val="005572D3"/>
    <w:rsid w:val="00557423"/>
    <w:rsid w:val="00561EFF"/>
    <w:rsid w:val="00563F5A"/>
    <w:rsid w:val="00563FC7"/>
    <w:rsid w:val="005642EA"/>
    <w:rsid w:val="005647BF"/>
    <w:rsid w:val="005659A6"/>
    <w:rsid w:val="005676C6"/>
    <w:rsid w:val="005677FF"/>
    <w:rsid w:val="00570106"/>
    <w:rsid w:val="005701A4"/>
    <w:rsid w:val="005706B1"/>
    <w:rsid w:val="005708F5"/>
    <w:rsid w:val="00570BDC"/>
    <w:rsid w:val="00572EBF"/>
    <w:rsid w:val="00573578"/>
    <w:rsid w:val="0057364B"/>
    <w:rsid w:val="00573B0B"/>
    <w:rsid w:val="00573D06"/>
    <w:rsid w:val="00574773"/>
    <w:rsid w:val="00574C7C"/>
    <w:rsid w:val="00575802"/>
    <w:rsid w:val="00577646"/>
    <w:rsid w:val="0057789D"/>
    <w:rsid w:val="00577B80"/>
    <w:rsid w:val="00580A58"/>
    <w:rsid w:val="005827D5"/>
    <w:rsid w:val="00583F66"/>
    <w:rsid w:val="00583FFD"/>
    <w:rsid w:val="00584874"/>
    <w:rsid w:val="0059012E"/>
    <w:rsid w:val="005911BE"/>
    <w:rsid w:val="00592F94"/>
    <w:rsid w:val="00593152"/>
    <w:rsid w:val="00597555"/>
    <w:rsid w:val="005A0510"/>
    <w:rsid w:val="005A10F2"/>
    <w:rsid w:val="005A1722"/>
    <w:rsid w:val="005A19F6"/>
    <w:rsid w:val="005A1D3A"/>
    <w:rsid w:val="005A1DBB"/>
    <w:rsid w:val="005A21E0"/>
    <w:rsid w:val="005A267D"/>
    <w:rsid w:val="005A28FF"/>
    <w:rsid w:val="005A2A92"/>
    <w:rsid w:val="005A3DF8"/>
    <w:rsid w:val="005A3EC3"/>
    <w:rsid w:val="005A3F7E"/>
    <w:rsid w:val="005A4E90"/>
    <w:rsid w:val="005A5549"/>
    <w:rsid w:val="005A55A7"/>
    <w:rsid w:val="005A7888"/>
    <w:rsid w:val="005B121D"/>
    <w:rsid w:val="005B1587"/>
    <w:rsid w:val="005B1FE4"/>
    <w:rsid w:val="005B270C"/>
    <w:rsid w:val="005B3A2E"/>
    <w:rsid w:val="005B4D90"/>
    <w:rsid w:val="005B52C1"/>
    <w:rsid w:val="005B5837"/>
    <w:rsid w:val="005B720A"/>
    <w:rsid w:val="005B7285"/>
    <w:rsid w:val="005C06ED"/>
    <w:rsid w:val="005C0CBD"/>
    <w:rsid w:val="005C2F72"/>
    <w:rsid w:val="005C52B4"/>
    <w:rsid w:val="005C568A"/>
    <w:rsid w:val="005C78E2"/>
    <w:rsid w:val="005C7F8A"/>
    <w:rsid w:val="005D5802"/>
    <w:rsid w:val="005D6703"/>
    <w:rsid w:val="005D673C"/>
    <w:rsid w:val="005D7890"/>
    <w:rsid w:val="005E0948"/>
    <w:rsid w:val="005E2092"/>
    <w:rsid w:val="005E23AF"/>
    <w:rsid w:val="005E408D"/>
    <w:rsid w:val="005E4739"/>
    <w:rsid w:val="005E5347"/>
    <w:rsid w:val="005E5DFC"/>
    <w:rsid w:val="005E7112"/>
    <w:rsid w:val="005E72F8"/>
    <w:rsid w:val="005E79D6"/>
    <w:rsid w:val="005E7C78"/>
    <w:rsid w:val="005F2E14"/>
    <w:rsid w:val="005F348E"/>
    <w:rsid w:val="005F3EB1"/>
    <w:rsid w:val="005F4843"/>
    <w:rsid w:val="005F5469"/>
    <w:rsid w:val="005F554F"/>
    <w:rsid w:val="005F60A2"/>
    <w:rsid w:val="006006C5"/>
    <w:rsid w:val="006008D4"/>
    <w:rsid w:val="006012AD"/>
    <w:rsid w:val="00602D0B"/>
    <w:rsid w:val="00602FBF"/>
    <w:rsid w:val="00603EB8"/>
    <w:rsid w:val="00604307"/>
    <w:rsid w:val="0060487F"/>
    <w:rsid w:val="00604EAD"/>
    <w:rsid w:val="00606BF5"/>
    <w:rsid w:val="006074F9"/>
    <w:rsid w:val="006104FB"/>
    <w:rsid w:val="0061054D"/>
    <w:rsid w:val="00611E58"/>
    <w:rsid w:val="006124AE"/>
    <w:rsid w:val="00612A2F"/>
    <w:rsid w:val="00612FF2"/>
    <w:rsid w:val="00614B4C"/>
    <w:rsid w:val="00614BF6"/>
    <w:rsid w:val="00614C38"/>
    <w:rsid w:val="006157D3"/>
    <w:rsid w:val="00616E05"/>
    <w:rsid w:val="00620BF7"/>
    <w:rsid w:val="00621659"/>
    <w:rsid w:val="00621BD0"/>
    <w:rsid w:val="00621FFF"/>
    <w:rsid w:val="0062229D"/>
    <w:rsid w:val="0062262E"/>
    <w:rsid w:val="0062268C"/>
    <w:rsid w:val="00622CCE"/>
    <w:rsid w:val="00622D50"/>
    <w:rsid w:val="0062392E"/>
    <w:rsid w:val="00624093"/>
    <w:rsid w:val="006257DA"/>
    <w:rsid w:val="0062633A"/>
    <w:rsid w:val="00627DC4"/>
    <w:rsid w:val="006301B8"/>
    <w:rsid w:val="00630BF7"/>
    <w:rsid w:val="0063114F"/>
    <w:rsid w:val="00631642"/>
    <w:rsid w:val="00633FEB"/>
    <w:rsid w:val="00635010"/>
    <w:rsid w:val="006355CC"/>
    <w:rsid w:val="00635B3F"/>
    <w:rsid w:val="00637484"/>
    <w:rsid w:val="00640270"/>
    <w:rsid w:val="006404A7"/>
    <w:rsid w:val="00640CD1"/>
    <w:rsid w:val="0064109D"/>
    <w:rsid w:val="00641A57"/>
    <w:rsid w:val="00641E00"/>
    <w:rsid w:val="00642E80"/>
    <w:rsid w:val="00643042"/>
    <w:rsid w:val="006437C1"/>
    <w:rsid w:val="00644488"/>
    <w:rsid w:val="00644534"/>
    <w:rsid w:val="006451E4"/>
    <w:rsid w:val="006452AE"/>
    <w:rsid w:val="00645B33"/>
    <w:rsid w:val="00645E83"/>
    <w:rsid w:val="00646450"/>
    <w:rsid w:val="0065097C"/>
    <w:rsid w:val="00651553"/>
    <w:rsid w:val="006516CB"/>
    <w:rsid w:val="00655193"/>
    <w:rsid w:val="00655BD5"/>
    <w:rsid w:val="00656BB4"/>
    <w:rsid w:val="006574B7"/>
    <w:rsid w:val="00657DC4"/>
    <w:rsid w:val="00657E87"/>
    <w:rsid w:val="00660123"/>
    <w:rsid w:val="006601C5"/>
    <w:rsid w:val="0066149B"/>
    <w:rsid w:val="00661B65"/>
    <w:rsid w:val="00662C4F"/>
    <w:rsid w:val="00662E7C"/>
    <w:rsid w:val="00662FE6"/>
    <w:rsid w:val="00664803"/>
    <w:rsid w:val="00665A65"/>
    <w:rsid w:val="00665BA4"/>
    <w:rsid w:val="00667AF2"/>
    <w:rsid w:val="00667F20"/>
    <w:rsid w:val="006701EE"/>
    <w:rsid w:val="0067037C"/>
    <w:rsid w:val="006710C9"/>
    <w:rsid w:val="00673301"/>
    <w:rsid w:val="0067418E"/>
    <w:rsid w:val="006743FC"/>
    <w:rsid w:val="00674D89"/>
    <w:rsid w:val="00675E37"/>
    <w:rsid w:val="00676F1E"/>
    <w:rsid w:val="00677B7D"/>
    <w:rsid w:val="0068174E"/>
    <w:rsid w:val="00681DA3"/>
    <w:rsid w:val="00681DCE"/>
    <w:rsid w:val="0068260E"/>
    <w:rsid w:val="0068544B"/>
    <w:rsid w:val="00685594"/>
    <w:rsid w:val="00687770"/>
    <w:rsid w:val="00687950"/>
    <w:rsid w:val="00690A91"/>
    <w:rsid w:val="006916AF"/>
    <w:rsid w:val="00691796"/>
    <w:rsid w:val="00692196"/>
    <w:rsid w:val="00695851"/>
    <w:rsid w:val="00695BEF"/>
    <w:rsid w:val="00695EF9"/>
    <w:rsid w:val="0069663C"/>
    <w:rsid w:val="006970CA"/>
    <w:rsid w:val="006973FE"/>
    <w:rsid w:val="006977F6"/>
    <w:rsid w:val="00697A13"/>
    <w:rsid w:val="006A109C"/>
    <w:rsid w:val="006A184B"/>
    <w:rsid w:val="006A1AA1"/>
    <w:rsid w:val="006A1B07"/>
    <w:rsid w:val="006A3987"/>
    <w:rsid w:val="006A69E6"/>
    <w:rsid w:val="006B0111"/>
    <w:rsid w:val="006B0338"/>
    <w:rsid w:val="006B18F1"/>
    <w:rsid w:val="006B24F7"/>
    <w:rsid w:val="006B344A"/>
    <w:rsid w:val="006B39FA"/>
    <w:rsid w:val="006B3F46"/>
    <w:rsid w:val="006B4327"/>
    <w:rsid w:val="006B4B80"/>
    <w:rsid w:val="006B78D8"/>
    <w:rsid w:val="006B78EE"/>
    <w:rsid w:val="006C113F"/>
    <w:rsid w:val="006C123E"/>
    <w:rsid w:val="006C15F7"/>
    <w:rsid w:val="006C438F"/>
    <w:rsid w:val="006C52A1"/>
    <w:rsid w:val="006C56D4"/>
    <w:rsid w:val="006C605D"/>
    <w:rsid w:val="006C66F4"/>
    <w:rsid w:val="006C6924"/>
    <w:rsid w:val="006C7CA6"/>
    <w:rsid w:val="006D03D8"/>
    <w:rsid w:val="006D3527"/>
    <w:rsid w:val="006D36FB"/>
    <w:rsid w:val="006D389B"/>
    <w:rsid w:val="006D3E8A"/>
    <w:rsid w:val="006D4AB9"/>
    <w:rsid w:val="006D5CEC"/>
    <w:rsid w:val="006D61F6"/>
    <w:rsid w:val="006E03D7"/>
    <w:rsid w:val="006E1860"/>
    <w:rsid w:val="006E279A"/>
    <w:rsid w:val="006E313B"/>
    <w:rsid w:val="006E3675"/>
    <w:rsid w:val="006E4470"/>
    <w:rsid w:val="006E49D7"/>
    <w:rsid w:val="006E5D1E"/>
    <w:rsid w:val="006E6496"/>
    <w:rsid w:val="006E7B95"/>
    <w:rsid w:val="006E7F28"/>
    <w:rsid w:val="006F04E1"/>
    <w:rsid w:val="006F0A07"/>
    <w:rsid w:val="006F21AC"/>
    <w:rsid w:val="006F290A"/>
    <w:rsid w:val="006F2CCF"/>
    <w:rsid w:val="006F4F97"/>
    <w:rsid w:val="006F5416"/>
    <w:rsid w:val="006F5655"/>
    <w:rsid w:val="006F61FF"/>
    <w:rsid w:val="006F7068"/>
    <w:rsid w:val="006F7137"/>
    <w:rsid w:val="006F7833"/>
    <w:rsid w:val="00700B12"/>
    <w:rsid w:val="00701069"/>
    <w:rsid w:val="00701B58"/>
    <w:rsid w:val="00702A76"/>
    <w:rsid w:val="00702DFC"/>
    <w:rsid w:val="00703B9C"/>
    <w:rsid w:val="00703CEE"/>
    <w:rsid w:val="0070458A"/>
    <w:rsid w:val="00704BE9"/>
    <w:rsid w:val="007060E6"/>
    <w:rsid w:val="00706AD4"/>
    <w:rsid w:val="00710388"/>
    <w:rsid w:val="00710926"/>
    <w:rsid w:val="00712A15"/>
    <w:rsid w:val="007133EA"/>
    <w:rsid w:val="00713B8F"/>
    <w:rsid w:val="007140BC"/>
    <w:rsid w:val="007140BE"/>
    <w:rsid w:val="00714A5B"/>
    <w:rsid w:val="00715DF2"/>
    <w:rsid w:val="00716C1C"/>
    <w:rsid w:val="00717416"/>
    <w:rsid w:val="00717B13"/>
    <w:rsid w:val="00720547"/>
    <w:rsid w:val="007211F5"/>
    <w:rsid w:val="00722C20"/>
    <w:rsid w:val="00724433"/>
    <w:rsid w:val="00724A1D"/>
    <w:rsid w:val="00724D2B"/>
    <w:rsid w:val="00725BB5"/>
    <w:rsid w:val="00727506"/>
    <w:rsid w:val="00730AE8"/>
    <w:rsid w:val="00730FC0"/>
    <w:rsid w:val="007315D5"/>
    <w:rsid w:val="00731955"/>
    <w:rsid w:val="00731E15"/>
    <w:rsid w:val="00732F2A"/>
    <w:rsid w:val="00733A55"/>
    <w:rsid w:val="00734018"/>
    <w:rsid w:val="00735A37"/>
    <w:rsid w:val="00736C37"/>
    <w:rsid w:val="00740581"/>
    <w:rsid w:val="0074069C"/>
    <w:rsid w:val="00741493"/>
    <w:rsid w:val="007441F5"/>
    <w:rsid w:val="00744332"/>
    <w:rsid w:val="007445BF"/>
    <w:rsid w:val="00744EEE"/>
    <w:rsid w:val="00745E8A"/>
    <w:rsid w:val="007476C8"/>
    <w:rsid w:val="007508FD"/>
    <w:rsid w:val="00752180"/>
    <w:rsid w:val="007523F4"/>
    <w:rsid w:val="007544B5"/>
    <w:rsid w:val="00755202"/>
    <w:rsid w:val="007558F5"/>
    <w:rsid w:val="00755D3A"/>
    <w:rsid w:val="007565E1"/>
    <w:rsid w:val="007568DD"/>
    <w:rsid w:val="007578D3"/>
    <w:rsid w:val="0076054D"/>
    <w:rsid w:val="007609C6"/>
    <w:rsid w:val="00760B64"/>
    <w:rsid w:val="0076173C"/>
    <w:rsid w:val="0076175D"/>
    <w:rsid w:val="007617E8"/>
    <w:rsid w:val="007647FA"/>
    <w:rsid w:val="00764989"/>
    <w:rsid w:val="00764EDB"/>
    <w:rsid w:val="0076521E"/>
    <w:rsid w:val="007661E9"/>
    <w:rsid w:val="00766569"/>
    <w:rsid w:val="00772F7E"/>
    <w:rsid w:val="0077355B"/>
    <w:rsid w:val="00773F41"/>
    <w:rsid w:val="007754E6"/>
    <w:rsid w:val="0077609F"/>
    <w:rsid w:val="00776169"/>
    <w:rsid w:val="007761A6"/>
    <w:rsid w:val="00776415"/>
    <w:rsid w:val="00776527"/>
    <w:rsid w:val="00780C67"/>
    <w:rsid w:val="00780CDB"/>
    <w:rsid w:val="00780EF1"/>
    <w:rsid w:val="0078196B"/>
    <w:rsid w:val="00782A3A"/>
    <w:rsid w:val="00783112"/>
    <w:rsid w:val="00783E45"/>
    <w:rsid w:val="0078584A"/>
    <w:rsid w:val="00786257"/>
    <w:rsid w:val="0078678E"/>
    <w:rsid w:val="00786B8F"/>
    <w:rsid w:val="00790764"/>
    <w:rsid w:val="00793E89"/>
    <w:rsid w:val="0079453C"/>
    <w:rsid w:val="007945FC"/>
    <w:rsid w:val="00794677"/>
    <w:rsid w:val="0079652D"/>
    <w:rsid w:val="007965D2"/>
    <w:rsid w:val="00796E73"/>
    <w:rsid w:val="007A03CD"/>
    <w:rsid w:val="007A0E7D"/>
    <w:rsid w:val="007A19CD"/>
    <w:rsid w:val="007A25D1"/>
    <w:rsid w:val="007A266B"/>
    <w:rsid w:val="007A30B2"/>
    <w:rsid w:val="007A32F7"/>
    <w:rsid w:val="007A5A82"/>
    <w:rsid w:val="007A600D"/>
    <w:rsid w:val="007A7C65"/>
    <w:rsid w:val="007B17CC"/>
    <w:rsid w:val="007B2702"/>
    <w:rsid w:val="007B2D45"/>
    <w:rsid w:val="007B573F"/>
    <w:rsid w:val="007B6689"/>
    <w:rsid w:val="007B7979"/>
    <w:rsid w:val="007C0204"/>
    <w:rsid w:val="007C0C4F"/>
    <w:rsid w:val="007C1650"/>
    <w:rsid w:val="007C1E57"/>
    <w:rsid w:val="007C21CE"/>
    <w:rsid w:val="007C4154"/>
    <w:rsid w:val="007C48B2"/>
    <w:rsid w:val="007C51D7"/>
    <w:rsid w:val="007C540D"/>
    <w:rsid w:val="007C5A37"/>
    <w:rsid w:val="007C6070"/>
    <w:rsid w:val="007C66C6"/>
    <w:rsid w:val="007C73B7"/>
    <w:rsid w:val="007D1522"/>
    <w:rsid w:val="007D290E"/>
    <w:rsid w:val="007D2DE0"/>
    <w:rsid w:val="007D40DF"/>
    <w:rsid w:val="007D4160"/>
    <w:rsid w:val="007D4C41"/>
    <w:rsid w:val="007D5731"/>
    <w:rsid w:val="007D7426"/>
    <w:rsid w:val="007E060F"/>
    <w:rsid w:val="007E063A"/>
    <w:rsid w:val="007E0679"/>
    <w:rsid w:val="007E095A"/>
    <w:rsid w:val="007E09FA"/>
    <w:rsid w:val="007E14DB"/>
    <w:rsid w:val="007E15FF"/>
    <w:rsid w:val="007E1BCE"/>
    <w:rsid w:val="007E34D5"/>
    <w:rsid w:val="007E3F3A"/>
    <w:rsid w:val="007E46E2"/>
    <w:rsid w:val="007E6165"/>
    <w:rsid w:val="007E6BAD"/>
    <w:rsid w:val="007E7E61"/>
    <w:rsid w:val="007E7FDD"/>
    <w:rsid w:val="007F0845"/>
    <w:rsid w:val="007F1D5D"/>
    <w:rsid w:val="007F1EBD"/>
    <w:rsid w:val="007F2077"/>
    <w:rsid w:val="007F39CF"/>
    <w:rsid w:val="007F6998"/>
    <w:rsid w:val="007F799E"/>
    <w:rsid w:val="008021F7"/>
    <w:rsid w:val="008057CB"/>
    <w:rsid w:val="0080631D"/>
    <w:rsid w:val="00807C82"/>
    <w:rsid w:val="00807F51"/>
    <w:rsid w:val="008112F3"/>
    <w:rsid w:val="00813687"/>
    <w:rsid w:val="00814C52"/>
    <w:rsid w:val="00816905"/>
    <w:rsid w:val="00816CA3"/>
    <w:rsid w:val="008176E8"/>
    <w:rsid w:val="008202D1"/>
    <w:rsid w:val="00821FF6"/>
    <w:rsid w:val="00822BA7"/>
    <w:rsid w:val="00824AFD"/>
    <w:rsid w:val="00825C4D"/>
    <w:rsid w:val="008300B8"/>
    <w:rsid w:val="008301EE"/>
    <w:rsid w:val="008305CB"/>
    <w:rsid w:val="0083066F"/>
    <w:rsid w:val="008310A4"/>
    <w:rsid w:val="0083143E"/>
    <w:rsid w:val="00831CDE"/>
    <w:rsid w:val="00832655"/>
    <w:rsid w:val="008330E8"/>
    <w:rsid w:val="00833468"/>
    <w:rsid w:val="00834298"/>
    <w:rsid w:val="00834304"/>
    <w:rsid w:val="00834FAA"/>
    <w:rsid w:val="00835C6C"/>
    <w:rsid w:val="00835FE1"/>
    <w:rsid w:val="0083606E"/>
    <w:rsid w:val="00836086"/>
    <w:rsid w:val="00836669"/>
    <w:rsid w:val="00836A50"/>
    <w:rsid w:val="00836C6F"/>
    <w:rsid w:val="00836EE4"/>
    <w:rsid w:val="0083748E"/>
    <w:rsid w:val="008404E1"/>
    <w:rsid w:val="00840858"/>
    <w:rsid w:val="0084708F"/>
    <w:rsid w:val="00847661"/>
    <w:rsid w:val="008477C8"/>
    <w:rsid w:val="00847FF3"/>
    <w:rsid w:val="008507D8"/>
    <w:rsid w:val="00850977"/>
    <w:rsid w:val="0085114D"/>
    <w:rsid w:val="00852217"/>
    <w:rsid w:val="0085318E"/>
    <w:rsid w:val="00853CAE"/>
    <w:rsid w:val="00855127"/>
    <w:rsid w:val="00855408"/>
    <w:rsid w:val="008557F6"/>
    <w:rsid w:val="00856213"/>
    <w:rsid w:val="008562DF"/>
    <w:rsid w:val="00856D65"/>
    <w:rsid w:val="0085764A"/>
    <w:rsid w:val="00861778"/>
    <w:rsid w:val="00861B41"/>
    <w:rsid w:val="008629F8"/>
    <w:rsid w:val="00863434"/>
    <w:rsid w:val="00865807"/>
    <w:rsid w:val="00865E4C"/>
    <w:rsid w:val="0086633B"/>
    <w:rsid w:val="00866779"/>
    <w:rsid w:val="00866F6A"/>
    <w:rsid w:val="00867653"/>
    <w:rsid w:val="008701E4"/>
    <w:rsid w:val="00870D8A"/>
    <w:rsid w:val="00874926"/>
    <w:rsid w:val="00875A32"/>
    <w:rsid w:val="00876086"/>
    <w:rsid w:val="008777C8"/>
    <w:rsid w:val="008803BD"/>
    <w:rsid w:val="00880500"/>
    <w:rsid w:val="00880961"/>
    <w:rsid w:val="00882C6E"/>
    <w:rsid w:val="00882F7E"/>
    <w:rsid w:val="00883D0A"/>
    <w:rsid w:val="008849C2"/>
    <w:rsid w:val="00885538"/>
    <w:rsid w:val="0088572C"/>
    <w:rsid w:val="008868E6"/>
    <w:rsid w:val="008873D4"/>
    <w:rsid w:val="00887509"/>
    <w:rsid w:val="0089057B"/>
    <w:rsid w:val="00890DB5"/>
    <w:rsid w:val="00891046"/>
    <w:rsid w:val="0089159B"/>
    <w:rsid w:val="008917BA"/>
    <w:rsid w:val="00891FEA"/>
    <w:rsid w:val="00892950"/>
    <w:rsid w:val="00893138"/>
    <w:rsid w:val="00893D9C"/>
    <w:rsid w:val="00893E85"/>
    <w:rsid w:val="00894031"/>
    <w:rsid w:val="0089447D"/>
    <w:rsid w:val="008947FE"/>
    <w:rsid w:val="00895A67"/>
    <w:rsid w:val="0089601F"/>
    <w:rsid w:val="008961BE"/>
    <w:rsid w:val="00896E9B"/>
    <w:rsid w:val="0089762D"/>
    <w:rsid w:val="00897D43"/>
    <w:rsid w:val="008A1753"/>
    <w:rsid w:val="008A1E01"/>
    <w:rsid w:val="008A1E63"/>
    <w:rsid w:val="008A324F"/>
    <w:rsid w:val="008B1014"/>
    <w:rsid w:val="008B111A"/>
    <w:rsid w:val="008B31A0"/>
    <w:rsid w:val="008B3915"/>
    <w:rsid w:val="008B3DA5"/>
    <w:rsid w:val="008B4FEF"/>
    <w:rsid w:val="008B7776"/>
    <w:rsid w:val="008B7C02"/>
    <w:rsid w:val="008B7D2B"/>
    <w:rsid w:val="008C0049"/>
    <w:rsid w:val="008C0A80"/>
    <w:rsid w:val="008C0B00"/>
    <w:rsid w:val="008C0E38"/>
    <w:rsid w:val="008C0E88"/>
    <w:rsid w:val="008C2820"/>
    <w:rsid w:val="008C2DFB"/>
    <w:rsid w:val="008C51BB"/>
    <w:rsid w:val="008C5C6B"/>
    <w:rsid w:val="008C6565"/>
    <w:rsid w:val="008C667A"/>
    <w:rsid w:val="008C71B1"/>
    <w:rsid w:val="008D1E6A"/>
    <w:rsid w:val="008D25F1"/>
    <w:rsid w:val="008D267F"/>
    <w:rsid w:val="008D27B0"/>
    <w:rsid w:val="008D2A16"/>
    <w:rsid w:val="008D3268"/>
    <w:rsid w:val="008D3293"/>
    <w:rsid w:val="008D34B0"/>
    <w:rsid w:val="008D3B78"/>
    <w:rsid w:val="008D40B9"/>
    <w:rsid w:val="008D40FC"/>
    <w:rsid w:val="008D451C"/>
    <w:rsid w:val="008D4AB7"/>
    <w:rsid w:val="008D52F8"/>
    <w:rsid w:val="008D5933"/>
    <w:rsid w:val="008D7208"/>
    <w:rsid w:val="008E048A"/>
    <w:rsid w:val="008E1BD2"/>
    <w:rsid w:val="008E1DD6"/>
    <w:rsid w:val="008E25C7"/>
    <w:rsid w:val="008E2B76"/>
    <w:rsid w:val="008E2C57"/>
    <w:rsid w:val="008E31FF"/>
    <w:rsid w:val="008E657B"/>
    <w:rsid w:val="008E687A"/>
    <w:rsid w:val="008E6F06"/>
    <w:rsid w:val="008F029B"/>
    <w:rsid w:val="008F1070"/>
    <w:rsid w:val="008F165D"/>
    <w:rsid w:val="008F1850"/>
    <w:rsid w:val="008F26A0"/>
    <w:rsid w:val="008F3FC9"/>
    <w:rsid w:val="008F585B"/>
    <w:rsid w:val="008F7E19"/>
    <w:rsid w:val="009003A8"/>
    <w:rsid w:val="00901128"/>
    <w:rsid w:val="00902500"/>
    <w:rsid w:val="00902BE2"/>
    <w:rsid w:val="00902CC1"/>
    <w:rsid w:val="00902EFF"/>
    <w:rsid w:val="009033BC"/>
    <w:rsid w:val="00904E83"/>
    <w:rsid w:val="0090503A"/>
    <w:rsid w:val="00905115"/>
    <w:rsid w:val="00906401"/>
    <w:rsid w:val="009064D8"/>
    <w:rsid w:val="00907B59"/>
    <w:rsid w:val="0091006C"/>
    <w:rsid w:val="0091019B"/>
    <w:rsid w:val="0091155E"/>
    <w:rsid w:val="009123DA"/>
    <w:rsid w:val="009124AB"/>
    <w:rsid w:val="009127C6"/>
    <w:rsid w:val="00912A92"/>
    <w:rsid w:val="0091377A"/>
    <w:rsid w:val="00913D94"/>
    <w:rsid w:val="009141DD"/>
    <w:rsid w:val="009159A2"/>
    <w:rsid w:val="00915A26"/>
    <w:rsid w:val="009160BD"/>
    <w:rsid w:val="0091689F"/>
    <w:rsid w:val="00916B54"/>
    <w:rsid w:val="0091728D"/>
    <w:rsid w:val="00920489"/>
    <w:rsid w:val="00921332"/>
    <w:rsid w:val="0092180B"/>
    <w:rsid w:val="0092188B"/>
    <w:rsid w:val="00921F14"/>
    <w:rsid w:val="00922112"/>
    <w:rsid w:val="00924266"/>
    <w:rsid w:val="00924AC8"/>
    <w:rsid w:val="00925344"/>
    <w:rsid w:val="0092597A"/>
    <w:rsid w:val="00926386"/>
    <w:rsid w:val="00926E5D"/>
    <w:rsid w:val="00927F23"/>
    <w:rsid w:val="009301D7"/>
    <w:rsid w:val="00932443"/>
    <w:rsid w:val="00932746"/>
    <w:rsid w:val="00933B68"/>
    <w:rsid w:val="00933C5B"/>
    <w:rsid w:val="009340AD"/>
    <w:rsid w:val="0093420B"/>
    <w:rsid w:val="009354B5"/>
    <w:rsid w:val="00935C87"/>
    <w:rsid w:val="0093767B"/>
    <w:rsid w:val="00937AE2"/>
    <w:rsid w:val="00937F97"/>
    <w:rsid w:val="00942578"/>
    <w:rsid w:val="00942832"/>
    <w:rsid w:val="0094357D"/>
    <w:rsid w:val="009439D1"/>
    <w:rsid w:val="009440E0"/>
    <w:rsid w:val="0094427A"/>
    <w:rsid w:val="00944344"/>
    <w:rsid w:val="0094763D"/>
    <w:rsid w:val="00950169"/>
    <w:rsid w:val="0095018E"/>
    <w:rsid w:val="00951456"/>
    <w:rsid w:val="00954C6B"/>
    <w:rsid w:val="00954EB4"/>
    <w:rsid w:val="009557DA"/>
    <w:rsid w:val="00956159"/>
    <w:rsid w:val="00956D26"/>
    <w:rsid w:val="0096136C"/>
    <w:rsid w:val="00962306"/>
    <w:rsid w:val="0096445E"/>
    <w:rsid w:val="00966734"/>
    <w:rsid w:val="009674BF"/>
    <w:rsid w:val="00967566"/>
    <w:rsid w:val="00972D12"/>
    <w:rsid w:val="00972F12"/>
    <w:rsid w:val="00973076"/>
    <w:rsid w:val="00973206"/>
    <w:rsid w:val="00973496"/>
    <w:rsid w:val="009738D3"/>
    <w:rsid w:val="00973C9C"/>
    <w:rsid w:val="0097481B"/>
    <w:rsid w:val="00974923"/>
    <w:rsid w:val="00976ED2"/>
    <w:rsid w:val="00977F2A"/>
    <w:rsid w:val="00980012"/>
    <w:rsid w:val="00980D3D"/>
    <w:rsid w:val="0098101A"/>
    <w:rsid w:val="0098169D"/>
    <w:rsid w:val="00981ECB"/>
    <w:rsid w:val="00982253"/>
    <w:rsid w:val="00982FBA"/>
    <w:rsid w:val="0098336C"/>
    <w:rsid w:val="00984415"/>
    <w:rsid w:val="00985367"/>
    <w:rsid w:val="00985C98"/>
    <w:rsid w:val="00985FE8"/>
    <w:rsid w:val="009870BD"/>
    <w:rsid w:val="00987526"/>
    <w:rsid w:val="00987A30"/>
    <w:rsid w:val="0099109D"/>
    <w:rsid w:val="0099235C"/>
    <w:rsid w:val="00992BE9"/>
    <w:rsid w:val="00992CF3"/>
    <w:rsid w:val="00992EE1"/>
    <w:rsid w:val="00992F38"/>
    <w:rsid w:val="00992F65"/>
    <w:rsid w:val="00993D76"/>
    <w:rsid w:val="009968D6"/>
    <w:rsid w:val="009975B3"/>
    <w:rsid w:val="009A187B"/>
    <w:rsid w:val="009A1A83"/>
    <w:rsid w:val="009A1CAB"/>
    <w:rsid w:val="009A2ADD"/>
    <w:rsid w:val="009A3455"/>
    <w:rsid w:val="009A3A03"/>
    <w:rsid w:val="009A4127"/>
    <w:rsid w:val="009A55F5"/>
    <w:rsid w:val="009A60D1"/>
    <w:rsid w:val="009A6833"/>
    <w:rsid w:val="009A7F9C"/>
    <w:rsid w:val="009B0236"/>
    <w:rsid w:val="009B0289"/>
    <w:rsid w:val="009B13DF"/>
    <w:rsid w:val="009B156D"/>
    <w:rsid w:val="009B2883"/>
    <w:rsid w:val="009B2BB2"/>
    <w:rsid w:val="009B6961"/>
    <w:rsid w:val="009B6FD3"/>
    <w:rsid w:val="009B72A5"/>
    <w:rsid w:val="009B79BF"/>
    <w:rsid w:val="009C0AB7"/>
    <w:rsid w:val="009C1750"/>
    <w:rsid w:val="009C2E29"/>
    <w:rsid w:val="009C383A"/>
    <w:rsid w:val="009C3A9A"/>
    <w:rsid w:val="009C554B"/>
    <w:rsid w:val="009C5D8C"/>
    <w:rsid w:val="009C6BC5"/>
    <w:rsid w:val="009C719E"/>
    <w:rsid w:val="009D0D51"/>
    <w:rsid w:val="009D1642"/>
    <w:rsid w:val="009D3ACD"/>
    <w:rsid w:val="009D44C6"/>
    <w:rsid w:val="009D6320"/>
    <w:rsid w:val="009D6623"/>
    <w:rsid w:val="009E046D"/>
    <w:rsid w:val="009E05D9"/>
    <w:rsid w:val="009E14BE"/>
    <w:rsid w:val="009E22F5"/>
    <w:rsid w:val="009E2434"/>
    <w:rsid w:val="009E4456"/>
    <w:rsid w:val="009E468E"/>
    <w:rsid w:val="009E4D5C"/>
    <w:rsid w:val="009E4D91"/>
    <w:rsid w:val="009E5273"/>
    <w:rsid w:val="009E5330"/>
    <w:rsid w:val="009E5DDB"/>
    <w:rsid w:val="009F00CC"/>
    <w:rsid w:val="009F0FB7"/>
    <w:rsid w:val="009F22E0"/>
    <w:rsid w:val="009F4CA7"/>
    <w:rsid w:val="009F57D7"/>
    <w:rsid w:val="009F76B9"/>
    <w:rsid w:val="00A00C73"/>
    <w:rsid w:val="00A00D45"/>
    <w:rsid w:val="00A02A9E"/>
    <w:rsid w:val="00A02F0C"/>
    <w:rsid w:val="00A0398B"/>
    <w:rsid w:val="00A03E8E"/>
    <w:rsid w:val="00A0534B"/>
    <w:rsid w:val="00A05546"/>
    <w:rsid w:val="00A062F4"/>
    <w:rsid w:val="00A073EB"/>
    <w:rsid w:val="00A07459"/>
    <w:rsid w:val="00A07544"/>
    <w:rsid w:val="00A10D66"/>
    <w:rsid w:val="00A11191"/>
    <w:rsid w:val="00A117BA"/>
    <w:rsid w:val="00A136D6"/>
    <w:rsid w:val="00A13B06"/>
    <w:rsid w:val="00A14114"/>
    <w:rsid w:val="00A14163"/>
    <w:rsid w:val="00A15600"/>
    <w:rsid w:val="00A162F9"/>
    <w:rsid w:val="00A16413"/>
    <w:rsid w:val="00A17A6E"/>
    <w:rsid w:val="00A2028E"/>
    <w:rsid w:val="00A2036D"/>
    <w:rsid w:val="00A209E5"/>
    <w:rsid w:val="00A20AA1"/>
    <w:rsid w:val="00A210D8"/>
    <w:rsid w:val="00A21FDD"/>
    <w:rsid w:val="00A22C2E"/>
    <w:rsid w:val="00A239B9"/>
    <w:rsid w:val="00A23E43"/>
    <w:rsid w:val="00A24164"/>
    <w:rsid w:val="00A247BC"/>
    <w:rsid w:val="00A25054"/>
    <w:rsid w:val="00A253D5"/>
    <w:rsid w:val="00A25EBA"/>
    <w:rsid w:val="00A26069"/>
    <w:rsid w:val="00A2673E"/>
    <w:rsid w:val="00A26EB2"/>
    <w:rsid w:val="00A26F00"/>
    <w:rsid w:val="00A270F2"/>
    <w:rsid w:val="00A30773"/>
    <w:rsid w:val="00A30F65"/>
    <w:rsid w:val="00A317E0"/>
    <w:rsid w:val="00A31E19"/>
    <w:rsid w:val="00A322CE"/>
    <w:rsid w:val="00A32678"/>
    <w:rsid w:val="00A332FB"/>
    <w:rsid w:val="00A333B8"/>
    <w:rsid w:val="00A33D88"/>
    <w:rsid w:val="00A34C92"/>
    <w:rsid w:val="00A354BB"/>
    <w:rsid w:val="00A35FA0"/>
    <w:rsid w:val="00A36429"/>
    <w:rsid w:val="00A368AD"/>
    <w:rsid w:val="00A3716F"/>
    <w:rsid w:val="00A37C85"/>
    <w:rsid w:val="00A418BC"/>
    <w:rsid w:val="00A421A3"/>
    <w:rsid w:val="00A44661"/>
    <w:rsid w:val="00A45784"/>
    <w:rsid w:val="00A46DE0"/>
    <w:rsid w:val="00A50D73"/>
    <w:rsid w:val="00A50DA1"/>
    <w:rsid w:val="00A5168E"/>
    <w:rsid w:val="00A51E70"/>
    <w:rsid w:val="00A52BBE"/>
    <w:rsid w:val="00A52CAD"/>
    <w:rsid w:val="00A53336"/>
    <w:rsid w:val="00A53E07"/>
    <w:rsid w:val="00A53FC7"/>
    <w:rsid w:val="00A54C8E"/>
    <w:rsid w:val="00A557D4"/>
    <w:rsid w:val="00A57165"/>
    <w:rsid w:val="00A5761A"/>
    <w:rsid w:val="00A57689"/>
    <w:rsid w:val="00A61EC3"/>
    <w:rsid w:val="00A623F0"/>
    <w:rsid w:val="00A62CE1"/>
    <w:rsid w:val="00A63EEE"/>
    <w:rsid w:val="00A6741E"/>
    <w:rsid w:val="00A67D11"/>
    <w:rsid w:val="00A70CE0"/>
    <w:rsid w:val="00A7244E"/>
    <w:rsid w:val="00A72C46"/>
    <w:rsid w:val="00A735F6"/>
    <w:rsid w:val="00A73B75"/>
    <w:rsid w:val="00A73EBB"/>
    <w:rsid w:val="00A743C7"/>
    <w:rsid w:val="00A75E40"/>
    <w:rsid w:val="00A7608F"/>
    <w:rsid w:val="00A77D1D"/>
    <w:rsid w:val="00A829BF"/>
    <w:rsid w:val="00A82D93"/>
    <w:rsid w:val="00A857C0"/>
    <w:rsid w:val="00A85F44"/>
    <w:rsid w:val="00A86013"/>
    <w:rsid w:val="00A868DC"/>
    <w:rsid w:val="00A8730D"/>
    <w:rsid w:val="00A87EC2"/>
    <w:rsid w:val="00A911B2"/>
    <w:rsid w:val="00A91388"/>
    <w:rsid w:val="00A91B0B"/>
    <w:rsid w:val="00A92BED"/>
    <w:rsid w:val="00A93A05"/>
    <w:rsid w:val="00A94F86"/>
    <w:rsid w:val="00A95DFC"/>
    <w:rsid w:val="00A96047"/>
    <w:rsid w:val="00A96828"/>
    <w:rsid w:val="00A97D8C"/>
    <w:rsid w:val="00AA1C10"/>
    <w:rsid w:val="00AA2639"/>
    <w:rsid w:val="00AA2996"/>
    <w:rsid w:val="00AA2EA0"/>
    <w:rsid w:val="00AA3579"/>
    <w:rsid w:val="00AA3EC3"/>
    <w:rsid w:val="00AA52BF"/>
    <w:rsid w:val="00AA559A"/>
    <w:rsid w:val="00AA58EB"/>
    <w:rsid w:val="00AA5FC4"/>
    <w:rsid w:val="00AA7252"/>
    <w:rsid w:val="00AB26F9"/>
    <w:rsid w:val="00AB2800"/>
    <w:rsid w:val="00AB2A28"/>
    <w:rsid w:val="00AB2AF1"/>
    <w:rsid w:val="00AB3FBB"/>
    <w:rsid w:val="00AB4EBB"/>
    <w:rsid w:val="00AB570B"/>
    <w:rsid w:val="00AB5EF4"/>
    <w:rsid w:val="00AB63F2"/>
    <w:rsid w:val="00AB6CE1"/>
    <w:rsid w:val="00AC0812"/>
    <w:rsid w:val="00AC09DD"/>
    <w:rsid w:val="00AC1857"/>
    <w:rsid w:val="00AC5C2A"/>
    <w:rsid w:val="00AC6AD7"/>
    <w:rsid w:val="00AC70C6"/>
    <w:rsid w:val="00AC74F3"/>
    <w:rsid w:val="00AD3021"/>
    <w:rsid w:val="00AD306C"/>
    <w:rsid w:val="00AD32E7"/>
    <w:rsid w:val="00AD3FEE"/>
    <w:rsid w:val="00AD43E3"/>
    <w:rsid w:val="00AD5262"/>
    <w:rsid w:val="00AD5376"/>
    <w:rsid w:val="00AD6583"/>
    <w:rsid w:val="00AD74B8"/>
    <w:rsid w:val="00AD787C"/>
    <w:rsid w:val="00AE09B3"/>
    <w:rsid w:val="00AE0DBE"/>
    <w:rsid w:val="00AE1A83"/>
    <w:rsid w:val="00AE1E1F"/>
    <w:rsid w:val="00AE2563"/>
    <w:rsid w:val="00AE3ACD"/>
    <w:rsid w:val="00AE5059"/>
    <w:rsid w:val="00AE6162"/>
    <w:rsid w:val="00AE6232"/>
    <w:rsid w:val="00AF0E9A"/>
    <w:rsid w:val="00AF1BCE"/>
    <w:rsid w:val="00AF2871"/>
    <w:rsid w:val="00AF2E89"/>
    <w:rsid w:val="00AF3D61"/>
    <w:rsid w:val="00AF3FDC"/>
    <w:rsid w:val="00AF5820"/>
    <w:rsid w:val="00AF6409"/>
    <w:rsid w:val="00AF7A82"/>
    <w:rsid w:val="00B00135"/>
    <w:rsid w:val="00B00913"/>
    <w:rsid w:val="00B00F39"/>
    <w:rsid w:val="00B01593"/>
    <w:rsid w:val="00B052F7"/>
    <w:rsid w:val="00B0599A"/>
    <w:rsid w:val="00B07D89"/>
    <w:rsid w:val="00B100E6"/>
    <w:rsid w:val="00B10A4D"/>
    <w:rsid w:val="00B10DD3"/>
    <w:rsid w:val="00B1157F"/>
    <w:rsid w:val="00B11FC0"/>
    <w:rsid w:val="00B1279D"/>
    <w:rsid w:val="00B12B85"/>
    <w:rsid w:val="00B13C76"/>
    <w:rsid w:val="00B17D34"/>
    <w:rsid w:val="00B17E71"/>
    <w:rsid w:val="00B17FDE"/>
    <w:rsid w:val="00B21FF6"/>
    <w:rsid w:val="00B2281D"/>
    <w:rsid w:val="00B22A87"/>
    <w:rsid w:val="00B2379C"/>
    <w:rsid w:val="00B240C9"/>
    <w:rsid w:val="00B2687D"/>
    <w:rsid w:val="00B30390"/>
    <w:rsid w:val="00B30F55"/>
    <w:rsid w:val="00B31DCA"/>
    <w:rsid w:val="00B3240A"/>
    <w:rsid w:val="00B3274A"/>
    <w:rsid w:val="00B32CA3"/>
    <w:rsid w:val="00B32DDB"/>
    <w:rsid w:val="00B33295"/>
    <w:rsid w:val="00B334D9"/>
    <w:rsid w:val="00B33A8E"/>
    <w:rsid w:val="00B34528"/>
    <w:rsid w:val="00B34EAF"/>
    <w:rsid w:val="00B353F9"/>
    <w:rsid w:val="00B3736B"/>
    <w:rsid w:val="00B40073"/>
    <w:rsid w:val="00B40241"/>
    <w:rsid w:val="00B402FC"/>
    <w:rsid w:val="00B408F0"/>
    <w:rsid w:val="00B40EA9"/>
    <w:rsid w:val="00B43570"/>
    <w:rsid w:val="00B44599"/>
    <w:rsid w:val="00B445C5"/>
    <w:rsid w:val="00B45399"/>
    <w:rsid w:val="00B46604"/>
    <w:rsid w:val="00B466E5"/>
    <w:rsid w:val="00B467EC"/>
    <w:rsid w:val="00B46E78"/>
    <w:rsid w:val="00B47683"/>
    <w:rsid w:val="00B47694"/>
    <w:rsid w:val="00B47D35"/>
    <w:rsid w:val="00B50BF2"/>
    <w:rsid w:val="00B510F3"/>
    <w:rsid w:val="00B520C9"/>
    <w:rsid w:val="00B530CD"/>
    <w:rsid w:val="00B55638"/>
    <w:rsid w:val="00B55F4A"/>
    <w:rsid w:val="00B55F5E"/>
    <w:rsid w:val="00B564BA"/>
    <w:rsid w:val="00B5752E"/>
    <w:rsid w:val="00B57734"/>
    <w:rsid w:val="00B57DBA"/>
    <w:rsid w:val="00B57FA0"/>
    <w:rsid w:val="00B630A8"/>
    <w:rsid w:val="00B63A11"/>
    <w:rsid w:val="00B63E16"/>
    <w:rsid w:val="00B64C24"/>
    <w:rsid w:val="00B6608F"/>
    <w:rsid w:val="00B679FB"/>
    <w:rsid w:val="00B67E5F"/>
    <w:rsid w:val="00B71AD2"/>
    <w:rsid w:val="00B72CBF"/>
    <w:rsid w:val="00B732D9"/>
    <w:rsid w:val="00B73F80"/>
    <w:rsid w:val="00B74FBC"/>
    <w:rsid w:val="00B7550F"/>
    <w:rsid w:val="00B757BC"/>
    <w:rsid w:val="00B75D15"/>
    <w:rsid w:val="00B7631B"/>
    <w:rsid w:val="00B76D1E"/>
    <w:rsid w:val="00B80EC6"/>
    <w:rsid w:val="00B817E5"/>
    <w:rsid w:val="00B81CC4"/>
    <w:rsid w:val="00B821AC"/>
    <w:rsid w:val="00B8355D"/>
    <w:rsid w:val="00B83E6D"/>
    <w:rsid w:val="00B84FF9"/>
    <w:rsid w:val="00B86D45"/>
    <w:rsid w:val="00B91522"/>
    <w:rsid w:val="00B9253D"/>
    <w:rsid w:val="00B92D1D"/>
    <w:rsid w:val="00B938C5"/>
    <w:rsid w:val="00B95940"/>
    <w:rsid w:val="00B96AE1"/>
    <w:rsid w:val="00B97385"/>
    <w:rsid w:val="00BA05E6"/>
    <w:rsid w:val="00BA064B"/>
    <w:rsid w:val="00BA1760"/>
    <w:rsid w:val="00BA2808"/>
    <w:rsid w:val="00BA3AFA"/>
    <w:rsid w:val="00BA3CED"/>
    <w:rsid w:val="00BA5248"/>
    <w:rsid w:val="00BA52AC"/>
    <w:rsid w:val="00BA5ABB"/>
    <w:rsid w:val="00BB46F3"/>
    <w:rsid w:val="00BB4CB1"/>
    <w:rsid w:val="00BB4F98"/>
    <w:rsid w:val="00BB541C"/>
    <w:rsid w:val="00BB5A75"/>
    <w:rsid w:val="00BB5DB3"/>
    <w:rsid w:val="00BB70FA"/>
    <w:rsid w:val="00BC21EC"/>
    <w:rsid w:val="00BC2D19"/>
    <w:rsid w:val="00BC2E08"/>
    <w:rsid w:val="00BC2EE6"/>
    <w:rsid w:val="00BC3D45"/>
    <w:rsid w:val="00BC40CD"/>
    <w:rsid w:val="00BC4956"/>
    <w:rsid w:val="00BC5F04"/>
    <w:rsid w:val="00BC67F7"/>
    <w:rsid w:val="00BC6857"/>
    <w:rsid w:val="00BC7154"/>
    <w:rsid w:val="00BD0745"/>
    <w:rsid w:val="00BD15F7"/>
    <w:rsid w:val="00BD30CC"/>
    <w:rsid w:val="00BD35B7"/>
    <w:rsid w:val="00BD366B"/>
    <w:rsid w:val="00BD49E8"/>
    <w:rsid w:val="00BD5565"/>
    <w:rsid w:val="00BD5AA2"/>
    <w:rsid w:val="00BD602C"/>
    <w:rsid w:val="00BD64F6"/>
    <w:rsid w:val="00BD664B"/>
    <w:rsid w:val="00BD6D50"/>
    <w:rsid w:val="00BE0937"/>
    <w:rsid w:val="00BE12EE"/>
    <w:rsid w:val="00BE18B9"/>
    <w:rsid w:val="00BE2495"/>
    <w:rsid w:val="00BE2E55"/>
    <w:rsid w:val="00BE4A84"/>
    <w:rsid w:val="00BE52D6"/>
    <w:rsid w:val="00BE61AB"/>
    <w:rsid w:val="00BE7F0A"/>
    <w:rsid w:val="00BF0D77"/>
    <w:rsid w:val="00BF1410"/>
    <w:rsid w:val="00BF1578"/>
    <w:rsid w:val="00BF576A"/>
    <w:rsid w:val="00BF62BF"/>
    <w:rsid w:val="00BF7EA5"/>
    <w:rsid w:val="00C02411"/>
    <w:rsid w:val="00C02C16"/>
    <w:rsid w:val="00C02D54"/>
    <w:rsid w:val="00C03339"/>
    <w:rsid w:val="00C03857"/>
    <w:rsid w:val="00C048C9"/>
    <w:rsid w:val="00C05003"/>
    <w:rsid w:val="00C065FE"/>
    <w:rsid w:val="00C07704"/>
    <w:rsid w:val="00C07A76"/>
    <w:rsid w:val="00C11750"/>
    <w:rsid w:val="00C11B22"/>
    <w:rsid w:val="00C11C0A"/>
    <w:rsid w:val="00C132AF"/>
    <w:rsid w:val="00C1393C"/>
    <w:rsid w:val="00C162B6"/>
    <w:rsid w:val="00C16508"/>
    <w:rsid w:val="00C165EF"/>
    <w:rsid w:val="00C20048"/>
    <w:rsid w:val="00C21F94"/>
    <w:rsid w:val="00C24890"/>
    <w:rsid w:val="00C26342"/>
    <w:rsid w:val="00C26854"/>
    <w:rsid w:val="00C26C4E"/>
    <w:rsid w:val="00C2757F"/>
    <w:rsid w:val="00C27913"/>
    <w:rsid w:val="00C27980"/>
    <w:rsid w:val="00C27A21"/>
    <w:rsid w:val="00C27ECC"/>
    <w:rsid w:val="00C31081"/>
    <w:rsid w:val="00C31DB6"/>
    <w:rsid w:val="00C33061"/>
    <w:rsid w:val="00C3345B"/>
    <w:rsid w:val="00C33B68"/>
    <w:rsid w:val="00C348D6"/>
    <w:rsid w:val="00C35505"/>
    <w:rsid w:val="00C35701"/>
    <w:rsid w:val="00C36A31"/>
    <w:rsid w:val="00C36A79"/>
    <w:rsid w:val="00C372E9"/>
    <w:rsid w:val="00C37668"/>
    <w:rsid w:val="00C3789E"/>
    <w:rsid w:val="00C37FBC"/>
    <w:rsid w:val="00C405D4"/>
    <w:rsid w:val="00C41518"/>
    <w:rsid w:val="00C419A2"/>
    <w:rsid w:val="00C42146"/>
    <w:rsid w:val="00C43E7A"/>
    <w:rsid w:val="00C447C1"/>
    <w:rsid w:val="00C4495B"/>
    <w:rsid w:val="00C4513B"/>
    <w:rsid w:val="00C45357"/>
    <w:rsid w:val="00C454F9"/>
    <w:rsid w:val="00C45D78"/>
    <w:rsid w:val="00C4660F"/>
    <w:rsid w:val="00C46A1C"/>
    <w:rsid w:val="00C47E8D"/>
    <w:rsid w:val="00C52683"/>
    <w:rsid w:val="00C52B60"/>
    <w:rsid w:val="00C53647"/>
    <w:rsid w:val="00C53D42"/>
    <w:rsid w:val="00C54697"/>
    <w:rsid w:val="00C54F66"/>
    <w:rsid w:val="00C56BDF"/>
    <w:rsid w:val="00C579C4"/>
    <w:rsid w:val="00C61315"/>
    <w:rsid w:val="00C613C3"/>
    <w:rsid w:val="00C62BD6"/>
    <w:rsid w:val="00C62BF2"/>
    <w:rsid w:val="00C63197"/>
    <w:rsid w:val="00C634E0"/>
    <w:rsid w:val="00C6382E"/>
    <w:rsid w:val="00C63A93"/>
    <w:rsid w:val="00C63C0B"/>
    <w:rsid w:val="00C63D29"/>
    <w:rsid w:val="00C642C9"/>
    <w:rsid w:val="00C65507"/>
    <w:rsid w:val="00C6673D"/>
    <w:rsid w:val="00C700FC"/>
    <w:rsid w:val="00C73885"/>
    <w:rsid w:val="00C747B1"/>
    <w:rsid w:val="00C81EB1"/>
    <w:rsid w:val="00C82191"/>
    <w:rsid w:val="00C86A96"/>
    <w:rsid w:val="00C878E6"/>
    <w:rsid w:val="00C904CE"/>
    <w:rsid w:val="00C90CF4"/>
    <w:rsid w:val="00C91D7E"/>
    <w:rsid w:val="00C92EB6"/>
    <w:rsid w:val="00C93194"/>
    <w:rsid w:val="00C93389"/>
    <w:rsid w:val="00C93504"/>
    <w:rsid w:val="00C9485A"/>
    <w:rsid w:val="00C952ED"/>
    <w:rsid w:val="00C95C73"/>
    <w:rsid w:val="00CA01CF"/>
    <w:rsid w:val="00CA04F2"/>
    <w:rsid w:val="00CA17EB"/>
    <w:rsid w:val="00CA1CA7"/>
    <w:rsid w:val="00CA20B0"/>
    <w:rsid w:val="00CA25B2"/>
    <w:rsid w:val="00CA271C"/>
    <w:rsid w:val="00CA2EB1"/>
    <w:rsid w:val="00CA48A2"/>
    <w:rsid w:val="00CA50DA"/>
    <w:rsid w:val="00CA57C9"/>
    <w:rsid w:val="00CA60C2"/>
    <w:rsid w:val="00CA774F"/>
    <w:rsid w:val="00CA79AC"/>
    <w:rsid w:val="00CB0A23"/>
    <w:rsid w:val="00CB2D93"/>
    <w:rsid w:val="00CB4930"/>
    <w:rsid w:val="00CB5CFB"/>
    <w:rsid w:val="00CB71CA"/>
    <w:rsid w:val="00CB73DA"/>
    <w:rsid w:val="00CB7E33"/>
    <w:rsid w:val="00CC088A"/>
    <w:rsid w:val="00CC28E0"/>
    <w:rsid w:val="00CC2E7D"/>
    <w:rsid w:val="00CC4392"/>
    <w:rsid w:val="00CC457C"/>
    <w:rsid w:val="00CC5C8B"/>
    <w:rsid w:val="00CC5F4A"/>
    <w:rsid w:val="00CC6E4B"/>
    <w:rsid w:val="00CC7F6A"/>
    <w:rsid w:val="00CD10A5"/>
    <w:rsid w:val="00CD1A2F"/>
    <w:rsid w:val="00CD2076"/>
    <w:rsid w:val="00CD2783"/>
    <w:rsid w:val="00CD2CF0"/>
    <w:rsid w:val="00CD2DB7"/>
    <w:rsid w:val="00CD3C81"/>
    <w:rsid w:val="00CD3EEE"/>
    <w:rsid w:val="00CD4988"/>
    <w:rsid w:val="00CD5722"/>
    <w:rsid w:val="00CD573A"/>
    <w:rsid w:val="00CD66CE"/>
    <w:rsid w:val="00CD7F0B"/>
    <w:rsid w:val="00CE53B8"/>
    <w:rsid w:val="00CE5647"/>
    <w:rsid w:val="00CE6550"/>
    <w:rsid w:val="00CE670B"/>
    <w:rsid w:val="00CE702A"/>
    <w:rsid w:val="00CF05A6"/>
    <w:rsid w:val="00CF08BF"/>
    <w:rsid w:val="00CF2CEE"/>
    <w:rsid w:val="00CF40B5"/>
    <w:rsid w:val="00CF4D3E"/>
    <w:rsid w:val="00CF51EC"/>
    <w:rsid w:val="00CF73AE"/>
    <w:rsid w:val="00CF797C"/>
    <w:rsid w:val="00D02FB3"/>
    <w:rsid w:val="00D040DD"/>
    <w:rsid w:val="00D044F5"/>
    <w:rsid w:val="00D052F5"/>
    <w:rsid w:val="00D0614E"/>
    <w:rsid w:val="00D06983"/>
    <w:rsid w:val="00D06F01"/>
    <w:rsid w:val="00D11B8B"/>
    <w:rsid w:val="00D13986"/>
    <w:rsid w:val="00D15AAE"/>
    <w:rsid w:val="00D20CD3"/>
    <w:rsid w:val="00D21E88"/>
    <w:rsid w:val="00D235B7"/>
    <w:rsid w:val="00D2391A"/>
    <w:rsid w:val="00D2462F"/>
    <w:rsid w:val="00D24A11"/>
    <w:rsid w:val="00D251E2"/>
    <w:rsid w:val="00D25F28"/>
    <w:rsid w:val="00D27973"/>
    <w:rsid w:val="00D27E2C"/>
    <w:rsid w:val="00D303A2"/>
    <w:rsid w:val="00D30E0E"/>
    <w:rsid w:val="00D32481"/>
    <w:rsid w:val="00D326DC"/>
    <w:rsid w:val="00D348CD"/>
    <w:rsid w:val="00D35C57"/>
    <w:rsid w:val="00D371DA"/>
    <w:rsid w:val="00D3720A"/>
    <w:rsid w:val="00D37750"/>
    <w:rsid w:val="00D378EB"/>
    <w:rsid w:val="00D420A5"/>
    <w:rsid w:val="00D4237F"/>
    <w:rsid w:val="00D4240E"/>
    <w:rsid w:val="00D43819"/>
    <w:rsid w:val="00D44D76"/>
    <w:rsid w:val="00D44D86"/>
    <w:rsid w:val="00D457E4"/>
    <w:rsid w:val="00D46337"/>
    <w:rsid w:val="00D46673"/>
    <w:rsid w:val="00D47982"/>
    <w:rsid w:val="00D50F46"/>
    <w:rsid w:val="00D51DDC"/>
    <w:rsid w:val="00D52642"/>
    <w:rsid w:val="00D53D17"/>
    <w:rsid w:val="00D567E1"/>
    <w:rsid w:val="00D606E9"/>
    <w:rsid w:val="00D60C8B"/>
    <w:rsid w:val="00D621E4"/>
    <w:rsid w:val="00D62C76"/>
    <w:rsid w:val="00D64773"/>
    <w:rsid w:val="00D650FC"/>
    <w:rsid w:val="00D6573C"/>
    <w:rsid w:val="00D65865"/>
    <w:rsid w:val="00D66223"/>
    <w:rsid w:val="00D664F9"/>
    <w:rsid w:val="00D70250"/>
    <w:rsid w:val="00D7051B"/>
    <w:rsid w:val="00D708DB"/>
    <w:rsid w:val="00D72304"/>
    <w:rsid w:val="00D74C16"/>
    <w:rsid w:val="00D76139"/>
    <w:rsid w:val="00D770CA"/>
    <w:rsid w:val="00D7766B"/>
    <w:rsid w:val="00D8084C"/>
    <w:rsid w:val="00D80917"/>
    <w:rsid w:val="00D810E4"/>
    <w:rsid w:val="00D82646"/>
    <w:rsid w:val="00D82821"/>
    <w:rsid w:val="00D833BA"/>
    <w:rsid w:val="00D853A4"/>
    <w:rsid w:val="00D85E22"/>
    <w:rsid w:val="00D86428"/>
    <w:rsid w:val="00D86F84"/>
    <w:rsid w:val="00D8720A"/>
    <w:rsid w:val="00D9368A"/>
    <w:rsid w:val="00D951D5"/>
    <w:rsid w:val="00D95AD4"/>
    <w:rsid w:val="00D96393"/>
    <w:rsid w:val="00D963CC"/>
    <w:rsid w:val="00D97380"/>
    <w:rsid w:val="00D9745B"/>
    <w:rsid w:val="00D97D02"/>
    <w:rsid w:val="00D97F77"/>
    <w:rsid w:val="00DA0A68"/>
    <w:rsid w:val="00DA0DF0"/>
    <w:rsid w:val="00DA15A5"/>
    <w:rsid w:val="00DA2071"/>
    <w:rsid w:val="00DA2A48"/>
    <w:rsid w:val="00DA3391"/>
    <w:rsid w:val="00DA7B0A"/>
    <w:rsid w:val="00DA7C0C"/>
    <w:rsid w:val="00DB1B98"/>
    <w:rsid w:val="00DB2EC8"/>
    <w:rsid w:val="00DB3F89"/>
    <w:rsid w:val="00DB4336"/>
    <w:rsid w:val="00DB44CC"/>
    <w:rsid w:val="00DB5444"/>
    <w:rsid w:val="00DB5B58"/>
    <w:rsid w:val="00DB6726"/>
    <w:rsid w:val="00DB67FD"/>
    <w:rsid w:val="00DC159D"/>
    <w:rsid w:val="00DC235B"/>
    <w:rsid w:val="00DC4F91"/>
    <w:rsid w:val="00DC5849"/>
    <w:rsid w:val="00DC5B3B"/>
    <w:rsid w:val="00DD04C2"/>
    <w:rsid w:val="00DD07A3"/>
    <w:rsid w:val="00DD0D6F"/>
    <w:rsid w:val="00DD129F"/>
    <w:rsid w:val="00DD3730"/>
    <w:rsid w:val="00DD6112"/>
    <w:rsid w:val="00DD72DE"/>
    <w:rsid w:val="00DD7AA0"/>
    <w:rsid w:val="00DE096E"/>
    <w:rsid w:val="00DE244A"/>
    <w:rsid w:val="00DE28AE"/>
    <w:rsid w:val="00DE2A88"/>
    <w:rsid w:val="00DE2D5D"/>
    <w:rsid w:val="00DE3224"/>
    <w:rsid w:val="00DE3A0F"/>
    <w:rsid w:val="00DE4294"/>
    <w:rsid w:val="00DE4B39"/>
    <w:rsid w:val="00DE5B4C"/>
    <w:rsid w:val="00DE6286"/>
    <w:rsid w:val="00DE63C1"/>
    <w:rsid w:val="00DE6447"/>
    <w:rsid w:val="00DF07F3"/>
    <w:rsid w:val="00DF08CD"/>
    <w:rsid w:val="00DF0F74"/>
    <w:rsid w:val="00DF24E1"/>
    <w:rsid w:val="00DF42FF"/>
    <w:rsid w:val="00DF4A21"/>
    <w:rsid w:val="00DF5FAC"/>
    <w:rsid w:val="00DF6019"/>
    <w:rsid w:val="00DF6103"/>
    <w:rsid w:val="00E00C80"/>
    <w:rsid w:val="00E01C0E"/>
    <w:rsid w:val="00E02B4A"/>
    <w:rsid w:val="00E03F9A"/>
    <w:rsid w:val="00E0424E"/>
    <w:rsid w:val="00E04694"/>
    <w:rsid w:val="00E04833"/>
    <w:rsid w:val="00E065C6"/>
    <w:rsid w:val="00E06DE4"/>
    <w:rsid w:val="00E06E04"/>
    <w:rsid w:val="00E075C7"/>
    <w:rsid w:val="00E119FC"/>
    <w:rsid w:val="00E12B1E"/>
    <w:rsid w:val="00E16BB9"/>
    <w:rsid w:val="00E17262"/>
    <w:rsid w:val="00E20908"/>
    <w:rsid w:val="00E22824"/>
    <w:rsid w:val="00E2338D"/>
    <w:rsid w:val="00E2346D"/>
    <w:rsid w:val="00E23DF6"/>
    <w:rsid w:val="00E2420F"/>
    <w:rsid w:val="00E253A2"/>
    <w:rsid w:val="00E25DC1"/>
    <w:rsid w:val="00E25EE7"/>
    <w:rsid w:val="00E2797D"/>
    <w:rsid w:val="00E304B8"/>
    <w:rsid w:val="00E3162B"/>
    <w:rsid w:val="00E31A21"/>
    <w:rsid w:val="00E3309D"/>
    <w:rsid w:val="00E347B9"/>
    <w:rsid w:val="00E34C83"/>
    <w:rsid w:val="00E35A83"/>
    <w:rsid w:val="00E35DB6"/>
    <w:rsid w:val="00E365EF"/>
    <w:rsid w:val="00E3682C"/>
    <w:rsid w:val="00E37668"/>
    <w:rsid w:val="00E377DA"/>
    <w:rsid w:val="00E41950"/>
    <w:rsid w:val="00E4543C"/>
    <w:rsid w:val="00E460E2"/>
    <w:rsid w:val="00E4634B"/>
    <w:rsid w:val="00E46833"/>
    <w:rsid w:val="00E476DF"/>
    <w:rsid w:val="00E50156"/>
    <w:rsid w:val="00E5050F"/>
    <w:rsid w:val="00E50B5D"/>
    <w:rsid w:val="00E51B4F"/>
    <w:rsid w:val="00E53470"/>
    <w:rsid w:val="00E539F6"/>
    <w:rsid w:val="00E53F32"/>
    <w:rsid w:val="00E543DC"/>
    <w:rsid w:val="00E54C98"/>
    <w:rsid w:val="00E555EA"/>
    <w:rsid w:val="00E56175"/>
    <w:rsid w:val="00E57EBE"/>
    <w:rsid w:val="00E613B6"/>
    <w:rsid w:val="00E61425"/>
    <w:rsid w:val="00E6186A"/>
    <w:rsid w:val="00E62416"/>
    <w:rsid w:val="00E6289A"/>
    <w:rsid w:val="00E63F61"/>
    <w:rsid w:val="00E6403A"/>
    <w:rsid w:val="00E64343"/>
    <w:rsid w:val="00E6519D"/>
    <w:rsid w:val="00E655F4"/>
    <w:rsid w:val="00E65730"/>
    <w:rsid w:val="00E67611"/>
    <w:rsid w:val="00E67696"/>
    <w:rsid w:val="00E679B0"/>
    <w:rsid w:val="00E7195D"/>
    <w:rsid w:val="00E71A58"/>
    <w:rsid w:val="00E7263C"/>
    <w:rsid w:val="00E72A7A"/>
    <w:rsid w:val="00E730E1"/>
    <w:rsid w:val="00E73E6C"/>
    <w:rsid w:val="00E740C2"/>
    <w:rsid w:val="00E745AE"/>
    <w:rsid w:val="00E75C94"/>
    <w:rsid w:val="00E765D3"/>
    <w:rsid w:val="00E7699C"/>
    <w:rsid w:val="00E76D7A"/>
    <w:rsid w:val="00E77EE7"/>
    <w:rsid w:val="00E800A2"/>
    <w:rsid w:val="00E806B8"/>
    <w:rsid w:val="00E814CF"/>
    <w:rsid w:val="00E835E4"/>
    <w:rsid w:val="00E8731A"/>
    <w:rsid w:val="00E87F02"/>
    <w:rsid w:val="00E9007A"/>
    <w:rsid w:val="00E91461"/>
    <w:rsid w:val="00E91BAF"/>
    <w:rsid w:val="00E91FAA"/>
    <w:rsid w:val="00E92827"/>
    <w:rsid w:val="00E93820"/>
    <w:rsid w:val="00E948CC"/>
    <w:rsid w:val="00E95883"/>
    <w:rsid w:val="00E9671F"/>
    <w:rsid w:val="00E96A41"/>
    <w:rsid w:val="00EA09A4"/>
    <w:rsid w:val="00EA0C68"/>
    <w:rsid w:val="00EA0DC0"/>
    <w:rsid w:val="00EA0F16"/>
    <w:rsid w:val="00EA1AC5"/>
    <w:rsid w:val="00EA1FB2"/>
    <w:rsid w:val="00EA32BC"/>
    <w:rsid w:val="00EA35D8"/>
    <w:rsid w:val="00EA35EB"/>
    <w:rsid w:val="00EA3B4C"/>
    <w:rsid w:val="00EA53EA"/>
    <w:rsid w:val="00EB091A"/>
    <w:rsid w:val="00EB2471"/>
    <w:rsid w:val="00EB32B8"/>
    <w:rsid w:val="00EB35FF"/>
    <w:rsid w:val="00EB4511"/>
    <w:rsid w:val="00EB4A1C"/>
    <w:rsid w:val="00EB4E1E"/>
    <w:rsid w:val="00EB515A"/>
    <w:rsid w:val="00EB7EAD"/>
    <w:rsid w:val="00EC03D7"/>
    <w:rsid w:val="00EC1220"/>
    <w:rsid w:val="00EC14DF"/>
    <w:rsid w:val="00EC277B"/>
    <w:rsid w:val="00EC4E6F"/>
    <w:rsid w:val="00EC5F96"/>
    <w:rsid w:val="00EC666B"/>
    <w:rsid w:val="00ED2C99"/>
    <w:rsid w:val="00ED62C6"/>
    <w:rsid w:val="00ED64C1"/>
    <w:rsid w:val="00ED6D0C"/>
    <w:rsid w:val="00ED79AF"/>
    <w:rsid w:val="00EE09C9"/>
    <w:rsid w:val="00EE1C59"/>
    <w:rsid w:val="00EE21B8"/>
    <w:rsid w:val="00EE22A4"/>
    <w:rsid w:val="00EE32DC"/>
    <w:rsid w:val="00EE3446"/>
    <w:rsid w:val="00EE3E78"/>
    <w:rsid w:val="00EE4B1B"/>
    <w:rsid w:val="00EE5D67"/>
    <w:rsid w:val="00EE6CB8"/>
    <w:rsid w:val="00EF1455"/>
    <w:rsid w:val="00EF150D"/>
    <w:rsid w:val="00EF1BB4"/>
    <w:rsid w:val="00EF1F5A"/>
    <w:rsid w:val="00EF38A1"/>
    <w:rsid w:val="00EF47BF"/>
    <w:rsid w:val="00EF49F3"/>
    <w:rsid w:val="00EF49FE"/>
    <w:rsid w:val="00EF5F06"/>
    <w:rsid w:val="00EF6746"/>
    <w:rsid w:val="00EF6CC6"/>
    <w:rsid w:val="00F00C8A"/>
    <w:rsid w:val="00F0170B"/>
    <w:rsid w:val="00F018FD"/>
    <w:rsid w:val="00F01ECB"/>
    <w:rsid w:val="00F0211D"/>
    <w:rsid w:val="00F022F9"/>
    <w:rsid w:val="00F02CF5"/>
    <w:rsid w:val="00F03713"/>
    <w:rsid w:val="00F04285"/>
    <w:rsid w:val="00F04811"/>
    <w:rsid w:val="00F0488C"/>
    <w:rsid w:val="00F05F5E"/>
    <w:rsid w:val="00F062EE"/>
    <w:rsid w:val="00F06F3B"/>
    <w:rsid w:val="00F075BE"/>
    <w:rsid w:val="00F07CCC"/>
    <w:rsid w:val="00F10F11"/>
    <w:rsid w:val="00F11480"/>
    <w:rsid w:val="00F1265A"/>
    <w:rsid w:val="00F12F00"/>
    <w:rsid w:val="00F14D4C"/>
    <w:rsid w:val="00F156BE"/>
    <w:rsid w:val="00F15AAA"/>
    <w:rsid w:val="00F15BEF"/>
    <w:rsid w:val="00F17588"/>
    <w:rsid w:val="00F176F7"/>
    <w:rsid w:val="00F20251"/>
    <w:rsid w:val="00F20986"/>
    <w:rsid w:val="00F20F72"/>
    <w:rsid w:val="00F23DB0"/>
    <w:rsid w:val="00F24407"/>
    <w:rsid w:val="00F24626"/>
    <w:rsid w:val="00F24FAA"/>
    <w:rsid w:val="00F25CD1"/>
    <w:rsid w:val="00F25D37"/>
    <w:rsid w:val="00F269BC"/>
    <w:rsid w:val="00F2725D"/>
    <w:rsid w:val="00F273D0"/>
    <w:rsid w:val="00F311A7"/>
    <w:rsid w:val="00F323A3"/>
    <w:rsid w:val="00F327AA"/>
    <w:rsid w:val="00F32DE9"/>
    <w:rsid w:val="00F3364D"/>
    <w:rsid w:val="00F35DBA"/>
    <w:rsid w:val="00F368B6"/>
    <w:rsid w:val="00F371C1"/>
    <w:rsid w:val="00F40594"/>
    <w:rsid w:val="00F40DD1"/>
    <w:rsid w:val="00F41279"/>
    <w:rsid w:val="00F42CC1"/>
    <w:rsid w:val="00F42E31"/>
    <w:rsid w:val="00F42F12"/>
    <w:rsid w:val="00F4325A"/>
    <w:rsid w:val="00F4341D"/>
    <w:rsid w:val="00F437CC"/>
    <w:rsid w:val="00F449CD"/>
    <w:rsid w:val="00F45472"/>
    <w:rsid w:val="00F45C1D"/>
    <w:rsid w:val="00F46792"/>
    <w:rsid w:val="00F46EA8"/>
    <w:rsid w:val="00F47067"/>
    <w:rsid w:val="00F5018B"/>
    <w:rsid w:val="00F501A6"/>
    <w:rsid w:val="00F515CB"/>
    <w:rsid w:val="00F516B1"/>
    <w:rsid w:val="00F51EC0"/>
    <w:rsid w:val="00F5251A"/>
    <w:rsid w:val="00F525EB"/>
    <w:rsid w:val="00F527BD"/>
    <w:rsid w:val="00F52952"/>
    <w:rsid w:val="00F53BD9"/>
    <w:rsid w:val="00F540C6"/>
    <w:rsid w:val="00F5640A"/>
    <w:rsid w:val="00F5749E"/>
    <w:rsid w:val="00F60985"/>
    <w:rsid w:val="00F6109F"/>
    <w:rsid w:val="00F6133A"/>
    <w:rsid w:val="00F61DF1"/>
    <w:rsid w:val="00F621C3"/>
    <w:rsid w:val="00F6238A"/>
    <w:rsid w:val="00F62AD8"/>
    <w:rsid w:val="00F63DDE"/>
    <w:rsid w:val="00F63F46"/>
    <w:rsid w:val="00F63FB7"/>
    <w:rsid w:val="00F649B5"/>
    <w:rsid w:val="00F649D2"/>
    <w:rsid w:val="00F64B87"/>
    <w:rsid w:val="00F64E97"/>
    <w:rsid w:val="00F6505B"/>
    <w:rsid w:val="00F65853"/>
    <w:rsid w:val="00F659EB"/>
    <w:rsid w:val="00F6602B"/>
    <w:rsid w:val="00F66ABA"/>
    <w:rsid w:val="00F67737"/>
    <w:rsid w:val="00F7045B"/>
    <w:rsid w:val="00F711D4"/>
    <w:rsid w:val="00F715BF"/>
    <w:rsid w:val="00F7260E"/>
    <w:rsid w:val="00F72B45"/>
    <w:rsid w:val="00F72B48"/>
    <w:rsid w:val="00F737C3"/>
    <w:rsid w:val="00F739D7"/>
    <w:rsid w:val="00F73A0C"/>
    <w:rsid w:val="00F73A5D"/>
    <w:rsid w:val="00F73E71"/>
    <w:rsid w:val="00F74551"/>
    <w:rsid w:val="00F748EF"/>
    <w:rsid w:val="00F756DB"/>
    <w:rsid w:val="00F76C15"/>
    <w:rsid w:val="00F77300"/>
    <w:rsid w:val="00F77E3B"/>
    <w:rsid w:val="00F8053B"/>
    <w:rsid w:val="00F80A26"/>
    <w:rsid w:val="00F81888"/>
    <w:rsid w:val="00F826BA"/>
    <w:rsid w:val="00F8293A"/>
    <w:rsid w:val="00F8297C"/>
    <w:rsid w:val="00F85066"/>
    <w:rsid w:val="00F8597B"/>
    <w:rsid w:val="00F878C2"/>
    <w:rsid w:val="00F87D7B"/>
    <w:rsid w:val="00F906E8"/>
    <w:rsid w:val="00F9071A"/>
    <w:rsid w:val="00F90B23"/>
    <w:rsid w:val="00F90FA8"/>
    <w:rsid w:val="00F910A9"/>
    <w:rsid w:val="00F9151E"/>
    <w:rsid w:val="00F92269"/>
    <w:rsid w:val="00F94398"/>
    <w:rsid w:val="00F94436"/>
    <w:rsid w:val="00F95781"/>
    <w:rsid w:val="00F959B6"/>
    <w:rsid w:val="00F96D4A"/>
    <w:rsid w:val="00F977B3"/>
    <w:rsid w:val="00F97D0B"/>
    <w:rsid w:val="00FA0878"/>
    <w:rsid w:val="00FA0D30"/>
    <w:rsid w:val="00FA1E74"/>
    <w:rsid w:val="00FA2642"/>
    <w:rsid w:val="00FA2D8E"/>
    <w:rsid w:val="00FA3B19"/>
    <w:rsid w:val="00FA436A"/>
    <w:rsid w:val="00FA5D4D"/>
    <w:rsid w:val="00FA6210"/>
    <w:rsid w:val="00FA6C3F"/>
    <w:rsid w:val="00FA7982"/>
    <w:rsid w:val="00FB09FE"/>
    <w:rsid w:val="00FB0EE2"/>
    <w:rsid w:val="00FB3A35"/>
    <w:rsid w:val="00FB3CD0"/>
    <w:rsid w:val="00FB4E48"/>
    <w:rsid w:val="00FB542E"/>
    <w:rsid w:val="00FB5965"/>
    <w:rsid w:val="00FB7EE1"/>
    <w:rsid w:val="00FC09CD"/>
    <w:rsid w:val="00FC0E5F"/>
    <w:rsid w:val="00FC1A95"/>
    <w:rsid w:val="00FC2D9F"/>
    <w:rsid w:val="00FC358D"/>
    <w:rsid w:val="00FC4659"/>
    <w:rsid w:val="00FC494B"/>
    <w:rsid w:val="00FC4C80"/>
    <w:rsid w:val="00FC56DE"/>
    <w:rsid w:val="00FC684B"/>
    <w:rsid w:val="00FC6D8D"/>
    <w:rsid w:val="00FC7652"/>
    <w:rsid w:val="00FD0EBD"/>
    <w:rsid w:val="00FD1136"/>
    <w:rsid w:val="00FD3265"/>
    <w:rsid w:val="00FD3E96"/>
    <w:rsid w:val="00FD6DDD"/>
    <w:rsid w:val="00FD7AEC"/>
    <w:rsid w:val="00FE049D"/>
    <w:rsid w:val="00FE0CF2"/>
    <w:rsid w:val="00FE13BF"/>
    <w:rsid w:val="00FE1E9C"/>
    <w:rsid w:val="00FE2407"/>
    <w:rsid w:val="00FE247E"/>
    <w:rsid w:val="00FE251F"/>
    <w:rsid w:val="00FE26A1"/>
    <w:rsid w:val="00FE2F78"/>
    <w:rsid w:val="00FE31A5"/>
    <w:rsid w:val="00FE3526"/>
    <w:rsid w:val="00FE3BCF"/>
    <w:rsid w:val="00FE4C49"/>
    <w:rsid w:val="00FE54D3"/>
    <w:rsid w:val="00FE5AE6"/>
    <w:rsid w:val="00FF0024"/>
    <w:rsid w:val="00FF00AC"/>
    <w:rsid w:val="00FF1661"/>
    <w:rsid w:val="00FF1901"/>
    <w:rsid w:val="00FF2BDB"/>
    <w:rsid w:val="00FF308E"/>
    <w:rsid w:val="00FF3B8F"/>
    <w:rsid w:val="00FF53D3"/>
    <w:rsid w:val="00FF5E69"/>
    <w:rsid w:val="00FF6F77"/>
    <w:rsid w:val="00FF7B96"/>
    <w:rsid w:val="00FF7F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62A3085"/>
  <w15:docId w15:val="{CAA5458B-ABAA-4B41-8786-E189B519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412F23"/>
    <w:pPr>
      <w:ind w:left="170"/>
    </w:pPr>
  </w:style>
  <w:style w:type="paragraph" w:styleId="Obsah3">
    <w:name w:val="toc 3"/>
    <w:basedOn w:val="Obsahpoloky"/>
    <w:next w:val="Obsahpoloky"/>
    <w:autoRedefine/>
    <w:uiPriority w:val="39"/>
    <w:unhideWhenUsed/>
    <w:rsid w:val="00412F23"/>
    <w:pPr>
      <w:ind w:left="34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basedOn w:val="Standardnpsmoodstavce"/>
    <w:uiPriority w:val="99"/>
    <w:semiHidden/>
    <w:unhideWhenUsed/>
    <w:rsid w:val="0089159B"/>
    <w:rPr>
      <w:sz w:val="16"/>
      <w:szCs w:val="16"/>
    </w:rPr>
  </w:style>
  <w:style w:type="paragraph" w:styleId="Textkomente">
    <w:name w:val="annotation text"/>
    <w:basedOn w:val="Normln"/>
    <w:link w:val="TextkomenteChar"/>
    <w:uiPriority w:val="99"/>
    <w:semiHidden/>
    <w:unhideWhenUsed/>
    <w:rsid w:val="0089159B"/>
    <w:pPr>
      <w:spacing w:line="240" w:lineRule="auto"/>
    </w:pPr>
    <w:rPr>
      <w:szCs w:val="20"/>
    </w:rPr>
  </w:style>
  <w:style w:type="character" w:customStyle="1" w:styleId="TextkomenteChar">
    <w:name w:val="Text komentáře Char"/>
    <w:basedOn w:val="Standardnpsmoodstavce"/>
    <w:link w:val="Textkomente"/>
    <w:uiPriority w:val="99"/>
    <w:semiHidden/>
    <w:rsid w:val="0089159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9159B"/>
    <w:rPr>
      <w:b/>
      <w:bCs/>
    </w:rPr>
  </w:style>
  <w:style w:type="character" w:customStyle="1" w:styleId="PedmtkomenteChar">
    <w:name w:val="Předmět komentáře Char"/>
    <w:basedOn w:val="TextkomenteChar"/>
    <w:link w:val="Pedmtkomente"/>
    <w:uiPriority w:val="99"/>
    <w:semiHidden/>
    <w:rsid w:val="0089159B"/>
    <w:rPr>
      <w:rFonts w:ascii="Arial" w:eastAsia="Times New Roman" w:hAnsi="Arial"/>
      <w:b/>
      <w:bCs/>
      <w:lang w:eastAsia="cs-CZ"/>
    </w:rPr>
  </w:style>
  <w:style w:type="character" w:styleId="Znakapoznpodarou">
    <w:name w:val="footnote reference"/>
    <w:uiPriority w:val="99"/>
    <w:rsid w:val="00A82D93"/>
    <w:rPr>
      <w:vertAlign w:val="superscript"/>
    </w:rPr>
  </w:style>
  <w:style w:type="paragraph" w:styleId="Odstavecseseznamem">
    <w:name w:val="List Paragraph"/>
    <w:basedOn w:val="Normln"/>
    <w:uiPriority w:val="99"/>
    <w:qFormat/>
    <w:rsid w:val="00A82D93"/>
    <w:pPr>
      <w:suppressAutoHyphens/>
      <w:spacing w:before="280" w:after="280" w:line="240" w:lineRule="auto"/>
      <w:ind w:left="720"/>
    </w:pPr>
    <w:rPr>
      <w:rFonts w:ascii="Times New Roman" w:hAnsi="Times New Roman"/>
      <w:sz w:val="24"/>
      <w:lang w:eastAsia="ar-SA"/>
    </w:rPr>
  </w:style>
  <w:style w:type="paragraph" w:styleId="Textpoznpodarou">
    <w:name w:val="footnote text"/>
    <w:basedOn w:val="Normln"/>
    <w:link w:val="TextpoznpodarouChar"/>
    <w:uiPriority w:val="99"/>
    <w:semiHidden/>
    <w:rsid w:val="00A82D93"/>
    <w:pPr>
      <w:spacing w:after="0"/>
    </w:pPr>
    <w:rPr>
      <w:szCs w:val="20"/>
    </w:rPr>
  </w:style>
  <w:style w:type="character" w:customStyle="1" w:styleId="TextpoznpodarouChar">
    <w:name w:val="Text pozn. pod čarou Char"/>
    <w:basedOn w:val="Standardnpsmoodstavce"/>
    <w:link w:val="Textpoznpodarou"/>
    <w:uiPriority w:val="99"/>
    <w:semiHidden/>
    <w:rsid w:val="00A82D93"/>
    <w:rPr>
      <w:rFonts w:ascii="Arial" w:eastAsia="Times New Roman" w:hAnsi="Arial"/>
      <w:lang w:eastAsia="cs-CZ"/>
    </w:rPr>
  </w:style>
  <w:style w:type="character" w:styleId="Sledovanodkaz">
    <w:name w:val="FollowedHyperlink"/>
    <w:basedOn w:val="Standardnpsmoodstavce"/>
    <w:uiPriority w:val="99"/>
    <w:semiHidden/>
    <w:unhideWhenUsed/>
    <w:rsid w:val="00494E37"/>
    <w:rPr>
      <w:color w:val="800080" w:themeColor="followedHyperlink"/>
      <w:u w:val="single"/>
    </w:rPr>
  </w:style>
  <w:style w:type="paragraph" w:styleId="Zkladntextodsazen">
    <w:name w:val="Body Text Indent"/>
    <w:basedOn w:val="Normln"/>
    <w:link w:val="ZkladntextodsazenChar"/>
    <w:uiPriority w:val="99"/>
    <w:rsid w:val="008E657B"/>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8E657B"/>
    <w:rPr>
      <w:rFonts w:ascii="Arial" w:eastAsia="Times New Roman" w:hAnsi="Arial"/>
      <w:lang w:eastAsia="cs-CZ"/>
    </w:rPr>
  </w:style>
  <w:style w:type="paragraph" w:styleId="Normlnweb">
    <w:name w:val="Normal (Web)"/>
    <w:basedOn w:val="Normln"/>
    <w:uiPriority w:val="99"/>
    <w:unhideWhenUsed/>
    <w:rsid w:val="003E2CA0"/>
    <w:pPr>
      <w:spacing w:before="100" w:beforeAutospacing="1" w:after="100" w:afterAutospacing="1" w:line="240" w:lineRule="auto"/>
    </w:pPr>
    <w:rPr>
      <w:rFonts w:ascii="Times New Roman" w:hAnsi="Times New Roman"/>
      <w:sz w:val="24"/>
    </w:rPr>
  </w:style>
  <w:style w:type="character" w:customStyle="1" w:styleId="input-std">
    <w:name w:val="input-std"/>
    <w:basedOn w:val="Standardnpsmoodstavce"/>
    <w:rsid w:val="002F3B4C"/>
  </w:style>
  <w:style w:type="paragraph" w:customStyle="1" w:styleId="Default">
    <w:name w:val="Default"/>
    <w:rsid w:val="001C3015"/>
    <w:pPr>
      <w:autoSpaceDE w:val="0"/>
      <w:autoSpaceDN w:val="0"/>
      <w:adjustRightInd w:val="0"/>
    </w:pPr>
    <w:rPr>
      <w:rFonts w:ascii="Arial" w:hAnsi="Arial" w:cs="Arial"/>
      <w:color w:val="000000"/>
      <w:sz w:val="24"/>
      <w:szCs w:val="24"/>
    </w:rPr>
  </w:style>
  <w:style w:type="paragraph" w:styleId="Revize">
    <w:name w:val="Revision"/>
    <w:hidden/>
    <w:uiPriority w:val="99"/>
    <w:semiHidden/>
    <w:rsid w:val="00F1265A"/>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7314992">
      <w:bodyDiv w:val="1"/>
      <w:marLeft w:val="0"/>
      <w:marRight w:val="0"/>
      <w:marTop w:val="0"/>
      <w:marBottom w:val="0"/>
      <w:divBdr>
        <w:top w:val="none" w:sz="0" w:space="0" w:color="auto"/>
        <w:left w:val="none" w:sz="0" w:space="0" w:color="auto"/>
        <w:bottom w:val="none" w:sz="0" w:space="0" w:color="auto"/>
        <w:right w:val="none" w:sz="0" w:space="0" w:color="auto"/>
      </w:divBdr>
    </w:div>
    <w:div w:id="64838206">
      <w:bodyDiv w:val="1"/>
      <w:marLeft w:val="0"/>
      <w:marRight w:val="0"/>
      <w:marTop w:val="0"/>
      <w:marBottom w:val="0"/>
      <w:divBdr>
        <w:top w:val="none" w:sz="0" w:space="0" w:color="auto"/>
        <w:left w:val="none" w:sz="0" w:space="0" w:color="auto"/>
        <w:bottom w:val="none" w:sz="0" w:space="0" w:color="auto"/>
        <w:right w:val="none" w:sz="0" w:space="0" w:color="auto"/>
      </w:divBdr>
    </w:div>
    <w:div w:id="91627299">
      <w:bodyDiv w:val="1"/>
      <w:marLeft w:val="0"/>
      <w:marRight w:val="0"/>
      <w:marTop w:val="0"/>
      <w:marBottom w:val="0"/>
      <w:divBdr>
        <w:top w:val="none" w:sz="0" w:space="0" w:color="auto"/>
        <w:left w:val="none" w:sz="0" w:space="0" w:color="auto"/>
        <w:bottom w:val="none" w:sz="0" w:space="0" w:color="auto"/>
        <w:right w:val="none" w:sz="0" w:space="0" w:color="auto"/>
      </w:divBdr>
    </w:div>
    <w:div w:id="95562307">
      <w:bodyDiv w:val="1"/>
      <w:marLeft w:val="0"/>
      <w:marRight w:val="0"/>
      <w:marTop w:val="0"/>
      <w:marBottom w:val="0"/>
      <w:divBdr>
        <w:top w:val="none" w:sz="0" w:space="0" w:color="auto"/>
        <w:left w:val="none" w:sz="0" w:space="0" w:color="auto"/>
        <w:bottom w:val="none" w:sz="0" w:space="0" w:color="auto"/>
        <w:right w:val="none" w:sz="0" w:space="0" w:color="auto"/>
      </w:divBdr>
      <w:divsChild>
        <w:div w:id="863444442">
          <w:marLeft w:val="0"/>
          <w:marRight w:val="0"/>
          <w:marTop w:val="0"/>
          <w:marBottom w:val="0"/>
          <w:divBdr>
            <w:top w:val="none" w:sz="0" w:space="0" w:color="auto"/>
            <w:left w:val="none" w:sz="0" w:space="0" w:color="auto"/>
            <w:bottom w:val="none" w:sz="0" w:space="0" w:color="auto"/>
            <w:right w:val="none" w:sz="0" w:space="0" w:color="auto"/>
          </w:divBdr>
        </w:div>
        <w:div w:id="1098452719">
          <w:marLeft w:val="0"/>
          <w:marRight w:val="0"/>
          <w:marTop w:val="0"/>
          <w:marBottom w:val="0"/>
          <w:divBdr>
            <w:top w:val="none" w:sz="0" w:space="0" w:color="auto"/>
            <w:left w:val="none" w:sz="0" w:space="0" w:color="auto"/>
            <w:bottom w:val="none" w:sz="0" w:space="0" w:color="auto"/>
            <w:right w:val="none" w:sz="0" w:space="0" w:color="auto"/>
          </w:divBdr>
        </w:div>
        <w:div w:id="2076663688">
          <w:marLeft w:val="0"/>
          <w:marRight w:val="0"/>
          <w:marTop w:val="0"/>
          <w:marBottom w:val="0"/>
          <w:divBdr>
            <w:top w:val="none" w:sz="0" w:space="0" w:color="auto"/>
            <w:left w:val="none" w:sz="0" w:space="0" w:color="auto"/>
            <w:bottom w:val="none" w:sz="0" w:space="0" w:color="auto"/>
            <w:right w:val="none" w:sz="0" w:space="0" w:color="auto"/>
          </w:divBdr>
        </w:div>
        <w:div w:id="228157269">
          <w:marLeft w:val="0"/>
          <w:marRight w:val="0"/>
          <w:marTop w:val="0"/>
          <w:marBottom w:val="0"/>
          <w:divBdr>
            <w:top w:val="none" w:sz="0" w:space="0" w:color="auto"/>
            <w:left w:val="none" w:sz="0" w:space="0" w:color="auto"/>
            <w:bottom w:val="none" w:sz="0" w:space="0" w:color="auto"/>
            <w:right w:val="none" w:sz="0" w:space="0" w:color="auto"/>
          </w:divBdr>
        </w:div>
        <w:div w:id="1002973247">
          <w:marLeft w:val="0"/>
          <w:marRight w:val="0"/>
          <w:marTop w:val="0"/>
          <w:marBottom w:val="0"/>
          <w:divBdr>
            <w:top w:val="none" w:sz="0" w:space="0" w:color="auto"/>
            <w:left w:val="none" w:sz="0" w:space="0" w:color="auto"/>
            <w:bottom w:val="none" w:sz="0" w:space="0" w:color="auto"/>
            <w:right w:val="none" w:sz="0" w:space="0" w:color="auto"/>
          </w:divBdr>
        </w:div>
        <w:div w:id="492377890">
          <w:marLeft w:val="0"/>
          <w:marRight w:val="0"/>
          <w:marTop w:val="0"/>
          <w:marBottom w:val="0"/>
          <w:divBdr>
            <w:top w:val="none" w:sz="0" w:space="0" w:color="auto"/>
            <w:left w:val="none" w:sz="0" w:space="0" w:color="auto"/>
            <w:bottom w:val="none" w:sz="0" w:space="0" w:color="auto"/>
            <w:right w:val="none" w:sz="0" w:space="0" w:color="auto"/>
          </w:divBdr>
        </w:div>
        <w:div w:id="175119462">
          <w:marLeft w:val="0"/>
          <w:marRight w:val="0"/>
          <w:marTop w:val="0"/>
          <w:marBottom w:val="0"/>
          <w:divBdr>
            <w:top w:val="none" w:sz="0" w:space="0" w:color="auto"/>
            <w:left w:val="none" w:sz="0" w:space="0" w:color="auto"/>
            <w:bottom w:val="none" w:sz="0" w:space="0" w:color="auto"/>
            <w:right w:val="none" w:sz="0" w:space="0" w:color="auto"/>
          </w:divBdr>
        </w:div>
      </w:divsChild>
    </w:div>
    <w:div w:id="122618438">
      <w:bodyDiv w:val="1"/>
      <w:marLeft w:val="0"/>
      <w:marRight w:val="0"/>
      <w:marTop w:val="0"/>
      <w:marBottom w:val="0"/>
      <w:divBdr>
        <w:top w:val="none" w:sz="0" w:space="0" w:color="auto"/>
        <w:left w:val="none" w:sz="0" w:space="0" w:color="auto"/>
        <w:bottom w:val="none" w:sz="0" w:space="0" w:color="auto"/>
        <w:right w:val="none" w:sz="0" w:space="0" w:color="auto"/>
      </w:divBdr>
    </w:div>
    <w:div w:id="128524121">
      <w:bodyDiv w:val="1"/>
      <w:marLeft w:val="0"/>
      <w:marRight w:val="0"/>
      <w:marTop w:val="0"/>
      <w:marBottom w:val="0"/>
      <w:divBdr>
        <w:top w:val="none" w:sz="0" w:space="0" w:color="auto"/>
        <w:left w:val="none" w:sz="0" w:space="0" w:color="auto"/>
        <w:bottom w:val="none" w:sz="0" w:space="0" w:color="auto"/>
        <w:right w:val="none" w:sz="0" w:space="0" w:color="auto"/>
      </w:divBdr>
    </w:div>
    <w:div w:id="156506043">
      <w:bodyDiv w:val="1"/>
      <w:marLeft w:val="0"/>
      <w:marRight w:val="0"/>
      <w:marTop w:val="0"/>
      <w:marBottom w:val="0"/>
      <w:divBdr>
        <w:top w:val="none" w:sz="0" w:space="0" w:color="auto"/>
        <w:left w:val="none" w:sz="0" w:space="0" w:color="auto"/>
        <w:bottom w:val="none" w:sz="0" w:space="0" w:color="auto"/>
        <w:right w:val="none" w:sz="0" w:space="0" w:color="auto"/>
      </w:divBdr>
    </w:div>
    <w:div w:id="161551492">
      <w:bodyDiv w:val="1"/>
      <w:marLeft w:val="0"/>
      <w:marRight w:val="0"/>
      <w:marTop w:val="0"/>
      <w:marBottom w:val="0"/>
      <w:divBdr>
        <w:top w:val="none" w:sz="0" w:space="0" w:color="auto"/>
        <w:left w:val="none" w:sz="0" w:space="0" w:color="auto"/>
        <w:bottom w:val="none" w:sz="0" w:space="0" w:color="auto"/>
        <w:right w:val="none" w:sz="0" w:space="0" w:color="auto"/>
      </w:divBdr>
    </w:div>
    <w:div w:id="170070272">
      <w:bodyDiv w:val="1"/>
      <w:marLeft w:val="0"/>
      <w:marRight w:val="0"/>
      <w:marTop w:val="0"/>
      <w:marBottom w:val="0"/>
      <w:divBdr>
        <w:top w:val="none" w:sz="0" w:space="0" w:color="auto"/>
        <w:left w:val="none" w:sz="0" w:space="0" w:color="auto"/>
        <w:bottom w:val="none" w:sz="0" w:space="0" w:color="auto"/>
        <w:right w:val="none" w:sz="0" w:space="0" w:color="auto"/>
      </w:divBdr>
    </w:div>
    <w:div w:id="170217429">
      <w:bodyDiv w:val="1"/>
      <w:marLeft w:val="0"/>
      <w:marRight w:val="0"/>
      <w:marTop w:val="0"/>
      <w:marBottom w:val="0"/>
      <w:divBdr>
        <w:top w:val="none" w:sz="0" w:space="0" w:color="auto"/>
        <w:left w:val="none" w:sz="0" w:space="0" w:color="auto"/>
        <w:bottom w:val="none" w:sz="0" w:space="0" w:color="auto"/>
        <w:right w:val="none" w:sz="0" w:space="0" w:color="auto"/>
      </w:divBdr>
    </w:div>
    <w:div w:id="170950127">
      <w:bodyDiv w:val="1"/>
      <w:marLeft w:val="0"/>
      <w:marRight w:val="0"/>
      <w:marTop w:val="0"/>
      <w:marBottom w:val="0"/>
      <w:divBdr>
        <w:top w:val="none" w:sz="0" w:space="0" w:color="auto"/>
        <w:left w:val="none" w:sz="0" w:space="0" w:color="auto"/>
        <w:bottom w:val="none" w:sz="0" w:space="0" w:color="auto"/>
        <w:right w:val="none" w:sz="0" w:space="0" w:color="auto"/>
      </w:divBdr>
    </w:div>
    <w:div w:id="196747102">
      <w:bodyDiv w:val="1"/>
      <w:marLeft w:val="0"/>
      <w:marRight w:val="0"/>
      <w:marTop w:val="0"/>
      <w:marBottom w:val="0"/>
      <w:divBdr>
        <w:top w:val="none" w:sz="0" w:space="0" w:color="auto"/>
        <w:left w:val="none" w:sz="0" w:space="0" w:color="auto"/>
        <w:bottom w:val="none" w:sz="0" w:space="0" w:color="auto"/>
        <w:right w:val="none" w:sz="0" w:space="0" w:color="auto"/>
      </w:divBdr>
    </w:div>
    <w:div w:id="207424309">
      <w:bodyDiv w:val="1"/>
      <w:marLeft w:val="0"/>
      <w:marRight w:val="0"/>
      <w:marTop w:val="0"/>
      <w:marBottom w:val="0"/>
      <w:divBdr>
        <w:top w:val="none" w:sz="0" w:space="0" w:color="auto"/>
        <w:left w:val="none" w:sz="0" w:space="0" w:color="auto"/>
        <w:bottom w:val="none" w:sz="0" w:space="0" w:color="auto"/>
        <w:right w:val="none" w:sz="0" w:space="0" w:color="auto"/>
      </w:divBdr>
    </w:div>
    <w:div w:id="239145239">
      <w:bodyDiv w:val="1"/>
      <w:marLeft w:val="0"/>
      <w:marRight w:val="0"/>
      <w:marTop w:val="0"/>
      <w:marBottom w:val="0"/>
      <w:divBdr>
        <w:top w:val="none" w:sz="0" w:space="0" w:color="auto"/>
        <w:left w:val="none" w:sz="0" w:space="0" w:color="auto"/>
        <w:bottom w:val="none" w:sz="0" w:space="0" w:color="auto"/>
        <w:right w:val="none" w:sz="0" w:space="0" w:color="auto"/>
      </w:divBdr>
    </w:div>
    <w:div w:id="248194766">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83998286">
      <w:bodyDiv w:val="1"/>
      <w:marLeft w:val="0"/>
      <w:marRight w:val="0"/>
      <w:marTop w:val="0"/>
      <w:marBottom w:val="0"/>
      <w:divBdr>
        <w:top w:val="none" w:sz="0" w:space="0" w:color="auto"/>
        <w:left w:val="none" w:sz="0" w:space="0" w:color="auto"/>
        <w:bottom w:val="none" w:sz="0" w:space="0" w:color="auto"/>
        <w:right w:val="none" w:sz="0" w:space="0" w:color="auto"/>
      </w:divBdr>
    </w:div>
    <w:div w:id="307327012">
      <w:bodyDiv w:val="1"/>
      <w:marLeft w:val="0"/>
      <w:marRight w:val="0"/>
      <w:marTop w:val="0"/>
      <w:marBottom w:val="0"/>
      <w:divBdr>
        <w:top w:val="none" w:sz="0" w:space="0" w:color="auto"/>
        <w:left w:val="none" w:sz="0" w:space="0" w:color="auto"/>
        <w:bottom w:val="none" w:sz="0" w:space="0" w:color="auto"/>
        <w:right w:val="none" w:sz="0" w:space="0" w:color="auto"/>
      </w:divBdr>
    </w:div>
    <w:div w:id="307906955">
      <w:bodyDiv w:val="1"/>
      <w:marLeft w:val="0"/>
      <w:marRight w:val="0"/>
      <w:marTop w:val="0"/>
      <w:marBottom w:val="0"/>
      <w:divBdr>
        <w:top w:val="none" w:sz="0" w:space="0" w:color="auto"/>
        <w:left w:val="none" w:sz="0" w:space="0" w:color="auto"/>
        <w:bottom w:val="none" w:sz="0" w:space="0" w:color="auto"/>
        <w:right w:val="none" w:sz="0" w:space="0" w:color="auto"/>
      </w:divBdr>
    </w:div>
    <w:div w:id="315959004">
      <w:bodyDiv w:val="1"/>
      <w:marLeft w:val="0"/>
      <w:marRight w:val="0"/>
      <w:marTop w:val="0"/>
      <w:marBottom w:val="0"/>
      <w:divBdr>
        <w:top w:val="none" w:sz="0" w:space="0" w:color="auto"/>
        <w:left w:val="none" w:sz="0" w:space="0" w:color="auto"/>
        <w:bottom w:val="none" w:sz="0" w:space="0" w:color="auto"/>
        <w:right w:val="none" w:sz="0" w:space="0" w:color="auto"/>
      </w:divBdr>
    </w:div>
    <w:div w:id="327443108">
      <w:bodyDiv w:val="1"/>
      <w:marLeft w:val="0"/>
      <w:marRight w:val="0"/>
      <w:marTop w:val="0"/>
      <w:marBottom w:val="0"/>
      <w:divBdr>
        <w:top w:val="none" w:sz="0" w:space="0" w:color="auto"/>
        <w:left w:val="none" w:sz="0" w:space="0" w:color="auto"/>
        <w:bottom w:val="none" w:sz="0" w:space="0" w:color="auto"/>
        <w:right w:val="none" w:sz="0" w:space="0" w:color="auto"/>
      </w:divBdr>
    </w:div>
    <w:div w:id="337922816">
      <w:bodyDiv w:val="1"/>
      <w:marLeft w:val="0"/>
      <w:marRight w:val="0"/>
      <w:marTop w:val="0"/>
      <w:marBottom w:val="0"/>
      <w:divBdr>
        <w:top w:val="none" w:sz="0" w:space="0" w:color="auto"/>
        <w:left w:val="none" w:sz="0" w:space="0" w:color="auto"/>
        <w:bottom w:val="none" w:sz="0" w:space="0" w:color="auto"/>
        <w:right w:val="none" w:sz="0" w:space="0" w:color="auto"/>
      </w:divBdr>
      <w:divsChild>
        <w:div w:id="1510213356">
          <w:marLeft w:val="0"/>
          <w:marRight w:val="0"/>
          <w:marTop w:val="0"/>
          <w:marBottom w:val="0"/>
          <w:divBdr>
            <w:top w:val="none" w:sz="0" w:space="0" w:color="auto"/>
            <w:left w:val="none" w:sz="0" w:space="0" w:color="auto"/>
            <w:bottom w:val="none" w:sz="0" w:space="0" w:color="auto"/>
            <w:right w:val="none" w:sz="0" w:space="0" w:color="auto"/>
          </w:divBdr>
        </w:div>
        <w:div w:id="603268121">
          <w:marLeft w:val="0"/>
          <w:marRight w:val="0"/>
          <w:marTop w:val="0"/>
          <w:marBottom w:val="0"/>
          <w:divBdr>
            <w:top w:val="none" w:sz="0" w:space="0" w:color="auto"/>
            <w:left w:val="none" w:sz="0" w:space="0" w:color="auto"/>
            <w:bottom w:val="none" w:sz="0" w:space="0" w:color="auto"/>
            <w:right w:val="none" w:sz="0" w:space="0" w:color="auto"/>
          </w:divBdr>
        </w:div>
        <w:div w:id="1617173120">
          <w:marLeft w:val="0"/>
          <w:marRight w:val="0"/>
          <w:marTop w:val="0"/>
          <w:marBottom w:val="0"/>
          <w:divBdr>
            <w:top w:val="none" w:sz="0" w:space="0" w:color="auto"/>
            <w:left w:val="none" w:sz="0" w:space="0" w:color="auto"/>
            <w:bottom w:val="none" w:sz="0" w:space="0" w:color="auto"/>
            <w:right w:val="none" w:sz="0" w:space="0" w:color="auto"/>
          </w:divBdr>
        </w:div>
        <w:div w:id="651101726">
          <w:marLeft w:val="0"/>
          <w:marRight w:val="0"/>
          <w:marTop w:val="0"/>
          <w:marBottom w:val="0"/>
          <w:divBdr>
            <w:top w:val="none" w:sz="0" w:space="0" w:color="auto"/>
            <w:left w:val="none" w:sz="0" w:space="0" w:color="auto"/>
            <w:bottom w:val="none" w:sz="0" w:space="0" w:color="auto"/>
            <w:right w:val="none" w:sz="0" w:space="0" w:color="auto"/>
          </w:divBdr>
        </w:div>
        <w:div w:id="1013528657">
          <w:marLeft w:val="0"/>
          <w:marRight w:val="0"/>
          <w:marTop w:val="0"/>
          <w:marBottom w:val="0"/>
          <w:divBdr>
            <w:top w:val="none" w:sz="0" w:space="0" w:color="auto"/>
            <w:left w:val="none" w:sz="0" w:space="0" w:color="auto"/>
            <w:bottom w:val="none" w:sz="0" w:space="0" w:color="auto"/>
            <w:right w:val="none" w:sz="0" w:space="0" w:color="auto"/>
          </w:divBdr>
        </w:div>
        <w:div w:id="459305170">
          <w:marLeft w:val="0"/>
          <w:marRight w:val="0"/>
          <w:marTop w:val="0"/>
          <w:marBottom w:val="0"/>
          <w:divBdr>
            <w:top w:val="none" w:sz="0" w:space="0" w:color="auto"/>
            <w:left w:val="none" w:sz="0" w:space="0" w:color="auto"/>
            <w:bottom w:val="none" w:sz="0" w:space="0" w:color="auto"/>
            <w:right w:val="none" w:sz="0" w:space="0" w:color="auto"/>
          </w:divBdr>
        </w:div>
        <w:div w:id="1274435138">
          <w:marLeft w:val="0"/>
          <w:marRight w:val="0"/>
          <w:marTop w:val="0"/>
          <w:marBottom w:val="0"/>
          <w:divBdr>
            <w:top w:val="none" w:sz="0" w:space="0" w:color="auto"/>
            <w:left w:val="none" w:sz="0" w:space="0" w:color="auto"/>
            <w:bottom w:val="none" w:sz="0" w:space="0" w:color="auto"/>
            <w:right w:val="none" w:sz="0" w:space="0" w:color="auto"/>
          </w:divBdr>
        </w:div>
        <w:div w:id="1235355156">
          <w:marLeft w:val="0"/>
          <w:marRight w:val="0"/>
          <w:marTop w:val="0"/>
          <w:marBottom w:val="0"/>
          <w:divBdr>
            <w:top w:val="none" w:sz="0" w:space="0" w:color="auto"/>
            <w:left w:val="none" w:sz="0" w:space="0" w:color="auto"/>
            <w:bottom w:val="none" w:sz="0" w:space="0" w:color="auto"/>
            <w:right w:val="none" w:sz="0" w:space="0" w:color="auto"/>
          </w:divBdr>
        </w:div>
        <w:div w:id="922639230">
          <w:marLeft w:val="0"/>
          <w:marRight w:val="0"/>
          <w:marTop w:val="0"/>
          <w:marBottom w:val="0"/>
          <w:divBdr>
            <w:top w:val="none" w:sz="0" w:space="0" w:color="auto"/>
            <w:left w:val="none" w:sz="0" w:space="0" w:color="auto"/>
            <w:bottom w:val="none" w:sz="0" w:space="0" w:color="auto"/>
            <w:right w:val="none" w:sz="0" w:space="0" w:color="auto"/>
          </w:divBdr>
        </w:div>
        <w:div w:id="494154961">
          <w:marLeft w:val="0"/>
          <w:marRight w:val="0"/>
          <w:marTop w:val="0"/>
          <w:marBottom w:val="0"/>
          <w:divBdr>
            <w:top w:val="none" w:sz="0" w:space="0" w:color="auto"/>
            <w:left w:val="none" w:sz="0" w:space="0" w:color="auto"/>
            <w:bottom w:val="none" w:sz="0" w:space="0" w:color="auto"/>
            <w:right w:val="none" w:sz="0" w:space="0" w:color="auto"/>
          </w:divBdr>
        </w:div>
        <w:div w:id="1180436136">
          <w:marLeft w:val="0"/>
          <w:marRight w:val="0"/>
          <w:marTop w:val="0"/>
          <w:marBottom w:val="0"/>
          <w:divBdr>
            <w:top w:val="none" w:sz="0" w:space="0" w:color="auto"/>
            <w:left w:val="none" w:sz="0" w:space="0" w:color="auto"/>
            <w:bottom w:val="none" w:sz="0" w:space="0" w:color="auto"/>
            <w:right w:val="none" w:sz="0" w:space="0" w:color="auto"/>
          </w:divBdr>
        </w:div>
        <w:div w:id="1913662701">
          <w:marLeft w:val="0"/>
          <w:marRight w:val="0"/>
          <w:marTop w:val="0"/>
          <w:marBottom w:val="0"/>
          <w:divBdr>
            <w:top w:val="none" w:sz="0" w:space="0" w:color="auto"/>
            <w:left w:val="none" w:sz="0" w:space="0" w:color="auto"/>
            <w:bottom w:val="none" w:sz="0" w:space="0" w:color="auto"/>
            <w:right w:val="none" w:sz="0" w:space="0" w:color="auto"/>
          </w:divBdr>
        </w:div>
        <w:div w:id="336277801">
          <w:marLeft w:val="0"/>
          <w:marRight w:val="0"/>
          <w:marTop w:val="0"/>
          <w:marBottom w:val="0"/>
          <w:divBdr>
            <w:top w:val="none" w:sz="0" w:space="0" w:color="auto"/>
            <w:left w:val="none" w:sz="0" w:space="0" w:color="auto"/>
            <w:bottom w:val="none" w:sz="0" w:space="0" w:color="auto"/>
            <w:right w:val="none" w:sz="0" w:space="0" w:color="auto"/>
          </w:divBdr>
        </w:div>
        <w:div w:id="193808912">
          <w:marLeft w:val="0"/>
          <w:marRight w:val="0"/>
          <w:marTop w:val="0"/>
          <w:marBottom w:val="0"/>
          <w:divBdr>
            <w:top w:val="none" w:sz="0" w:space="0" w:color="auto"/>
            <w:left w:val="none" w:sz="0" w:space="0" w:color="auto"/>
            <w:bottom w:val="none" w:sz="0" w:space="0" w:color="auto"/>
            <w:right w:val="none" w:sz="0" w:space="0" w:color="auto"/>
          </w:divBdr>
        </w:div>
        <w:div w:id="1419130565">
          <w:marLeft w:val="0"/>
          <w:marRight w:val="0"/>
          <w:marTop w:val="0"/>
          <w:marBottom w:val="0"/>
          <w:divBdr>
            <w:top w:val="none" w:sz="0" w:space="0" w:color="auto"/>
            <w:left w:val="none" w:sz="0" w:space="0" w:color="auto"/>
            <w:bottom w:val="none" w:sz="0" w:space="0" w:color="auto"/>
            <w:right w:val="none" w:sz="0" w:space="0" w:color="auto"/>
          </w:divBdr>
        </w:div>
        <w:div w:id="1089624056">
          <w:marLeft w:val="0"/>
          <w:marRight w:val="0"/>
          <w:marTop w:val="0"/>
          <w:marBottom w:val="0"/>
          <w:divBdr>
            <w:top w:val="none" w:sz="0" w:space="0" w:color="auto"/>
            <w:left w:val="none" w:sz="0" w:space="0" w:color="auto"/>
            <w:bottom w:val="none" w:sz="0" w:space="0" w:color="auto"/>
            <w:right w:val="none" w:sz="0" w:space="0" w:color="auto"/>
          </w:divBdr>
        </w:div>
        <w:div w:id="1841460128">
          <w:marLeft w:val="0"/>
          <w:marRight w:val="0"/>
          <w:marTop w:val="0"/>
          <w:marBottom w:val="0"/>
          <w:divBdr>
            <w:top w:val="none" w:sz="0" w:space="0" w:color="auto"/>
            <w:left w:val="none" w:sz="0" w:space="0" w:color="auto"/>
            <w:bottom w:val="none" w:sz="0" w:space="0" w:color="auto"/>
            <w:right w:val="none" w:sz="0" w:space="0" w:color="auto"/>
          </w:divBdr>
        </w:div>
        <w:div w:id="1701004991">
          <w:marLeft w:val="0"/>
          <w:marRight w:val="0"/>
          <w:marTop w:val="0"/>
          <w:marBottom w:val="0"/>
          <w:divBdr>
            <w:top w:val="none" w:sz="0" w:space="0" w:color="auto"/>
            <w:left w:val="none" w:sz="0" w:space="0" w:color="auto"/>
            <w:bottom w:val="none" w:sz="0" w:space="0" w:color="auto"/>
            <w:right w:val="none" w:sz="0" w:space="0" w:color="auto"/>
          </w:divBdr>
        </w:div>
        <w:div w:id="397633789">
          <w:marLeft w:val="0"/>
          <w:marRight w:val="0"/>
          <w:marTop w:val="0"/>
          <w:marBottom w:val="0"/>
          <w:divBdr>
            <w:top w:val="none" w:sz="0" w:space="0" w:color="auto"/>
            <w:left w:val="none" w:sz="0" w:space="0" w:color="auto"/>
            <w:bottom w:val="none" w:sz="0" w:space="0" w:color="auto"/>
            <w:right w:val="none" w:sz="0" w:space="0" w:color="auto"/>
          </w:divBdr>
        </w:div>
        <w:div w:id="1736512755">
          <w:marLeft w:val="0"/>
          <w:marRight w:val="0"/>
          <w:marTop w:val="0"/>
          <w:marBottom w:val="0"/>
          <w:divBdr>
            <w:top w:val="none" w:sz="0" w:space="0" w:color="auto"/>
            <w:left w:val="none" w:sz="0" w:space="0" w:color="auto"/>
            <w:bottom w:val="none" w:sz="0" w:space="0" w:color="auto"/>
            <w:right w:val="none" w:sz="0" w:space="0" w:color="auto"/>
          </w:divBdr>
        </w:div>
        <w:div w:id="740257467">
          <w:marLeft w:val="0"/>
          <w:marRight w:val="0"/>
          <w:marTop w:val="0"/>
          <w:marBottom w:val="0"/>
          <w:divBdr>
            <w:top w:val="none" w:sz="0" w:space="0" w:color="auto"/>
            <w:left w:val="none" w:sz="0" w:space="0" w:color="auto"/>
            <w:bottom w:val="none" w:sz="0" w:space="0" w:color="auto"/>
            <w:right w:val="none" w:sz="0" w:space="0" w:color="auto"/>
          </w:divBdr>
        </w:div>
        <w:div w:id="859514466">
          <w:marLeft w:val="0"/>
          <w:marRight w:val="0"/>
          <w:marTop w:val="0"/>
          <w:marBottom w:val="0"/>
          <w:divBdr>
            <w:top w:val="none" w:sz="0" w:space="0" w:color="auto"/>
            <w:left w:val="none" w:sz="0" w:space="0" w:color="auto"/>
            <w:bottom w:val="none" w:sz="0" w:space="0" w:color="auto"/>
            <w:right w:val="none" w:sz="0" w:space="0" w:color="auto"/>
          </w:divBdr>
        </w:div>
        <w:div w:id="282151775">
          <w:marLeft w:val="0"/>
          <w:marRight w:val="0"/>
          <w:marTop w:val="0"/>
          <w:marBottom w:val="0"/>
          <w:divBdr>
            <w:top w:val="none" w:sz="0" w:space="0" w:color="auto"/>
            <w:left w:val="none" w:sz="0" w:space="0" w:color="auto"/>
            <w:bottom w:val="none" w:sz="0" w:space="0" w:color="auto"/>
            <w:right w:val="none" w:sz="0" w:space="0" w:color="auto"/>
          </w:divBdr>
        </w:div>
      </w:divsChild>
    </w:div>
    <w:div w:id="353964847">
      <w:bodyDiv w:val="1"/>
      <w:marLeft w:val="0"/>
      <w:marRight w:val="0"/>
      <w:marTop w:val="0"/>
      <w:marBottom w:val="0"/>
      <w:divBdr>
        <w:top w:val="none" w:sz="0" w:space="0" w:color="auto"/>
        <w:left w:val="none" w:sz="0" w:space="0" w:color="auto"/>
        <w:bottom w:val="none" w:sz="0" w:space="0" w:color="auto"/>
        <w:right w:val="none" w:sz="0" w:space="0" w:color="auto"/>
      </w:divBdr>
    </w:div>
    <w:div w:id="369501658">
      <w:bodyDiv w:val="1"/>
      <w:marLeft w:val="0"/>
      <w:marRight w:val="0"/>
      <w:marTop w:val="0"/>
      <w:marBottom w:val="0"/>
      <w:divBdr>
        <w:top w:val="none" w:sz="0" w:space="0" w:color="auto"/>
        <w:left w:val="none" w:sz="0" w:space="0" w:color="auto"/>
        <w:bottom w:val="none" w:sz="0" w:space="0" w:color="auto"/>
        <w:right w:val="none" w:sz="0" w:space="0" w:color="auto"/>
      </w:divBdr>
    </w:div>
    <w:div w:id="385764642">
      <w:bodyDiv w:val="1"/>
      <w:marLeft w:val="0"/>
      <w:marRight w:val="0"/>
      <w:marTop w:val="0"/>
      <w:marBottom w:val="0"/>
      <w:divBdr>
        <w:top w:val="none" w:sz="0" w:space="0" w:color="auto"/>
        <w:left w:val="none" w:sz="0" w:space="0" w:color="auto"/>
        <w:bottom w:val="none" w:sz="0" w:space="0" w:color="auto"/>
        <w:right w:val="none" w:sz="0" w:space="0" w:color="auto"/>
      </w:divBdr>
    </w:div>
    <w:div w:id="386148165">
      <w:bodyDiv w:val="1"/>
      <w:marLeft w:val="0"/>
      <w:marRight w:val="0"/>
      <w:marTop w:val="0"/>
      <w:marBottom w:val="0"/>
      <w:divBdr>
        <w:top w:val="none" w:sz="0" w:space="0" w:color="auto"/>
        <w:left w:val="none" w:sz="0" w:space="0" w:color="auto"/>
        <w:bottom w:val="none" w:sz="0" w:space="0" w:color="auto"/>
        <w:right w:val="none" w:sz="0" w:space="0" w:color="auto"/>
      </w:divBdr>
    </w:div>
    <w:div w:id="388768179">
      <w:bodyDiv w:val="1"/>
      <w:marLeft w:val="0"/>
      <w:marRight w:val="0"/>
      <w:marTop w:val="0"/>
      <w:marBottom w:val="0"/>
      <w:divBdr>
        <w:top w:val="none" w:sz="0" w:space="0" w:color="auto"/>
        <w:left w:val="none" w:sz="0" w:space="0" w:color="auto"/>
        <w:bottom w:val="none" w:sz="0" w:space="0" w:color="auto"/>
        <w:right w:val="none" w:sz="0" w:space="0" w:color="auto"/>
      </w:divBdr>
    </w:div>
    <w:div w:id="453136204">
      <w:bodyDiv w:val="1"/>
      <w:marLeft w:val="0"/>
      <w:marRight w:val="0"/>
      <w:marTop w:val="0"/>
      <w:marBottom w:val="0"/>
      <w:divBdr>
        <w:top w:val="none" w:sz="0" w:space="0" w:color="auto"/>
        <w:left w:val="none" w:sz="0" w:space="0" w:color="auto"/>
        <w:bottom w:val="none" w:sz="0" w:space="0" w:color="auto"/>
        <w:right w:val="none" w:sz="0" w:space="0" w:color="auto"/>
      </w:divBdr>
    </w:div>
    <w:div w:id="464584722">
      <w:bodyDiv w:val="1"/>
      <w:marLeft w:val="0"/>
      <w:marRight w:val="0"/>
      <w:marTop w:val="0"/>
      <w:marBottom w:val="0"/>
      <w:divBdr>
        <w:top w:val="none" w:sz="0" w:space="0" w:color="auto"/>
        <w:left w:val="none" w:sz="0" w:space="0" w:color="auto"/>
        <w:bottom w:val="none" w:sz="0" w:space="0" w:color="auto"/>
        <w:right w:val="none" w:sz="0" w:space="0" w:color="auto"/>
      </w:divBdr>
    </w:div>
    <w:div w:id="47672631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5369483">
      <w:bodyDiv w:val="1"/>
      <w:marLeft w:val="0"/>
      <w:marRight w:val="0"/>
      <w:marTop w:val="0"/>
      <w:marBottom w:val="0"/>
      <w:divBdr>
        <w:top w:val="none" w:sz="0" w:space="0" w:color="auto"/>
        <w:left w:val="none" w:sz="0" w:space="0" w:color="auto"/>
        <w:bottom w:val="none" w:sz="0" w:space="0" w:color="auto"/>
        <w:right w:val="none" w:sz="0" w:space="0" w:color="auto"/>
      </w:divBdr>
    </w:div>
    <w:div w:id="509806170">
      <w:bodyDiv w:val="1"/>
      <w:marLeft w:val="0"/>
      <w:marRight w:val="0"/>
      <w:marTop w:val="0"/>
      <w:marBottom w:val="0"/>
      <w:divBdr>
        <w:top w:val="none" w:sz="0" w:space="0" w:color="auto"/>
        <w:left w:val="none" w:sz="0" w:space="0" w:color="auto"/>
        <w:bottom w:val="none" w:sz="0" w:space="0" w:color="auto"/>
        <w:right w:val="none" w:sz="0" w:space="0" w:color="auto"/>
      </w:divBdr>
    </w:div>
    <w:div w:id="533541792">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5773494">
      <w:bodyDiv w:val="1"/>
      <w:marLeft w:val="0"/>
      <w:marRight w:val="0"/>
      <w:marTop w:val="0"/>
      <w:marBottom w:val="0"/>
      <w:divBdr>
        <w:top w:val="none" w:sz="0" w:space="0" w:color="auto"/>
        <w:left w:val="none" w:sz="0" w:space="0" w:color="auto"/>
        <w:bottom w:val="none" w:sz="0" w:space="0" w:color="auto"/>
        <w:right w:val="none" w:sz="0" w:space="0" w:color="auto"/>
      </w:divBdr>
    </w:div>
    <w:div w:id="655691827">
      <w:bodyDiv w:val="1"/>
      <w:marLeft w:val="0"/>
      <w:marRight w:val="0"/>
      <w:marTop w:val="0"/>
      <w:marBottom w:val="0"/>
      <w:divBdr>
        <w:top w:val="none" w:sz="0" w:space="0" w:color="auto"/>
        <w:left w:val="none" w:sz="0" w:space="0" w:color="auto"/>
        <w:bottom w:val="none" w:sz="0" w:space="0" w:color="auto"/>
        <w:right w:val="none" w:sz="0" w:space="0" w:color="auto"/>
      </w:divBdr>
    </w:div>
    <w:div w:id="675688729">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37215018">
      <w:bodyDiv w:val="1"/>
      <w:marLeft w:val="0"/>
      <w:marRight w:val="0"/>
      <w:marTop w:val="0"/>
      <w:marBottom w:val="0"/>
      <w:divBdr>
        <w:top w:val="none" w:sz="0" w:space="0" w:color="auto"/>
        <w:left w:val="none" w:sz="0" w:space="0" w:color="auto"/>
        <w:bottom w:val="none" w:sz="0" w:space="0" w:color="auto"/>
        <w:right w:val="none" w:sz="0" w:space="0" w:color="auto"/>
      </w:divBdr>
    </w:div>
    <w:div w:id="756484825">
      <w:bodyDiv w:val="1"/>
      <w:marLeft w:val="0"/>
      <w:marRight w:val="0"/>
      <w:marTop w:val="0"/>
      <w:marBottom w:val="0"/>
      <w:divBdr>
        <w:top w:val="none" w:sz="0" w:space="0" w:color="auto"/>
        <w:left w:val="none" w:sz="0" w:space="0" w:color="auto"/>
        <w:bottom w:val="none" w:sz="0" w:space="0" w:color="auto"/>
        <w:right w:val="none" w:sz="0" w:space="0" w:color="auto"/>
      </w:divBdr>
    </w:div>
    <w:div w:id="796488829">
      <w:bodyDiv w:val="1"/>
      <w:marLeft w:val="0"/>
      <w:marRight w:val="0"/>
      <w:marTop w:val="0"/>
      <w:marBottom w:val="0"/>
      <w:divBdr>
        <w:top w:val="none" w:sz="0" w:space="0" w:color="auto"/>
        <w:left w:val="none" w:sz="0" w:space="0" w:color="auto"/>
        <w:bottom w:val="none" w:sz="0" w:space="0" w:color="auto"/>
        <w:right w:val="none" w:sz="0" w:space="0" w:color="auto"/>
      </w:divBdr>
    </w:div>
    <w:div w:id="804278233">
      <w:bodyDiv w:val="1"/>
      <w:marLeft w:val="0"/>
      <w:marRight w:val="0"/>
      <w:marTop w:val="0"/>
      <w:marBottom w:val="0"/>
      <w:divBdr>
        <w:top w:val="none" w:sz="0" w:space="0" w:color="auto"/>
        <w:left w:val="none" w:sz="0" w:space="0" w:color="auto"/>
        <w:bottom w:val="none" w:sz="0" w:space="0" w:color="auto"/>
        <w:right w:val="none" w:sz="0" w:space="0" w:color="auto"/>
      </w:divBdr>
    </w:div>
    <w:div w:id="820344037">
      <w:bodyDiv w:val="1"/>
      <w:marLeft w:val="0"/>
      <w:marRight w:val="0"/>
      <w:marTop w:val="0"/>
      <w:marBottom w:val="0"/>
      <w:divBdr>
        <w:top w:val="none" w:sz="0" w:space="0" w:color="auto"/>
        <w:left w:val="none" w:sz="0" w:space="0" w:color="auto"/>
        <w:bottom w:val="none" w:sz="0" w:space="0" w:color="auto"/>
        <w:right w:val="none" w:sz="0" w:space="0" w:color="auto"/>
      </w:divBdr>
    </w:div>
    <w:div w:id="834490117">
      <w:bodyDiv w:val="1"/>
      <w:marLeft w:val="0"/>
      <w:marRight w:val="0"/>
      <w:marTop w:val="0"/>
      <w:marBottom w:val="0"/>
      <w:divBdr>
        <w:top w:val="none" w:sz="0" w:space="0" w:color="auto"/>
        <w:left w:val="none" w:sz="0" w:space="0" w:color="auto"/>
        <w:bottom w:val="none" w:sz="0" w:space="0" w:color="auto"/>
        <w:right w:val="none" w:sz="0" w:space="0" w:color="auto"/>
      </w:divBdr>
    </w:div>
    <w:div w:id="843324763">
      <w:bodyDiv w:val="1"/>
      <w:marLeft w:val="0"/>
      <w:marRight w:val="0"/>
      <w:marTop w:val="0"/>
      <w:marBottom w:val="0"/>
      <w:divBdr>
        <w:top w:val="none" w:sz="0" w:space="0" w:color="auto"/>
        <w:left w:val="none" w:sz="0" w:space="0" w:color="auto"/>
        <w:bottom w:val="none" w:sz="0" w:space="0" w:color="auto"/>
        <w:right w:val="none" w:sz="0" w:space="0" w:color="auto"/>
      </w:divBdr>
    </w:div>
    <w:div w:id="849687133">
      <w:bodyDiv w:val="1"/>
      <w:marLeft w:val="0"/>
      <w:marRight w:val="0"/>
      <w:marTop w:val="0"/>
      <w:marBottom w:val="0"/>
      <w:divBdr>
        <w:top w:val="none" w:sz="0" w:space="0" w:color="auto"/>
        <w:left w:val="none" w:sz="0" w:space="0" w:color="auto"/>
        <w:bottom w:val="none" w:sz="0" w:space="0" w:color="auto"/>
        <w:right w:val="none" w:sz="0" w:space="0" w:color="auto"/>
      </w:divBdr>
    </w:div>
    <w:div w:id="854613406">
      <w:bodyDiv w:val="1"/>
      <w:marLeft w:val="0"/>
      <w:marRight w:val="0"/>
      <w:marTop w:val="0"/>
      <w:marBottom w:val="0"/>
      <w:divBdr>
        <w:top w:val="none" w:sz="0" w:space="0" w:color="auto"/>
        <w:left w:val="none" w:sz="0" w:space="0" w:color="auto"/>
        <w:bottom w:val="none" w:sz="0" w:space="0" w:color="auto"/>
        <w:right w:val="none" w:sz="0" w:space="0" w:color="auto"/>
      </w:divBdr>
    </w:div>
    <w:div w:id="901524199">
      <w:bodyDiv w:val="1"/>
      <w:marLeft w:val="0"/>
      <w:marRight w:val="0"/>
      <w:marTop w:val="0"/>
      <w:marBottom w:val="0"/>
      <w:divBdr>
        <w:top w:val="none" w:sz="0" w:space="0" w:color="auto"/>
        <w:left w:val="none" w:sz="0" w:space="0" w:color="auto"/>
        <w:bottom w:val="none" w:sz="0" w:space="0" w:color="auto"/>
        <w:right w:val="none" w:sz="0" w:space="0" w:color="auto"/>
      </w:divBdr>
    </w:div>
    <w:div w:id="928925745">
      <w:bodyDiv w:val="1"/>
      <w:marLeft w:val="0"/>
      <w:marRight w:val="0"/>
      <w:marTop w:val="0"/>
      <w:marBottom w:val="0"/>
      <w:divBdr>
        <w:top w:val="none" w:sz="0" w:space="0" w:color="auto"/>
        <w:left w:val="none" w:sz="0" w:space="0" w:color="auto"/>
        <w:bottom w:val="none" w:sz="0" w:space="0" w:color="auto"/>
        <w:right w:val="none" w:sz="0" w:space="0" w:color="auto"/>
      </w:divBdr>
    </w:div>
    <w:div w:id="937640537">
      <w:bodyDiv w:val="1"/>
      <w:marLeft w:val="0"/>
      <w:marRight w:val="0"/>
      <w:marTop w:val="0"/>
      <w:marBottom w:val="0"/>
      <w:divBdr>
        <w:top w:val="none" w:sz="0" w:space="0" w:color="auto"/>
        <w:left w:val="none" w:sz="0" w:space="0" w:color="auto"/>
        <w:bottom w:val="none" w:sz="0" w:space="0" w:color="auto"/>
        <w:right w:val="none" w:sz="0" w:space="0" w:color="auto"/>
      </w:divBdr>
    </w:div>
    <w:div w:id="938102411">
      <w:bodyDiv w:val="1"/>
      <w:marLeft w:val="0"/>
      <w:marRight w:val="0"/>
      <w:marTop w:val="0"/>
      <w:marBottom w:val="0"/>
      <w:divBdr>
        <w:top w:val="none" w:sz="0" w:space="0" w:color="auto"/>
        <w:left w:val="none" w:sz="0" w:space="0" w:color="auto"/>
        <w:bottom w:val="none" w:sz="0" w:space="0" w:color="auto"/>
        <w:right w:val="none" w:sz="0" w:space="0" w:color="auto"/>
      </w:divBdr>
    </w:div>
    <w:div w:id="942303216">
      <w:bodyDiv w:val="1"/>
      <w:marLeft w:val="0"/>
      <w:marRight w:val="0"/>
      <w:marTop w:val="0"/>
      <w:marBottom w:val="0"/>
      <w:divBdr>
        <w:top w:val="none" w:sz="0" w:space="0" w:color="auto"/>
        <w:left w:val="none" w:sz="0" w:space="0" w:color="auto"/>
        <w:bottom w:val="none" w:sz="0" w:space="0" w:color="auto"/>
        <w:right w:val="none" w:sz="0" w:space="0" w:color="auto"/>
      </w:divBdr>
    </w:div>
    <w:div w:id="950554830">
      <w:bodyDiv w:val="1"/>
      <w:marLeft w:val="0"/>
      <w:marRight w:val="0"/>
      <w:marTop w:val="0"/>
      <w:marBottom w:val="0"/>
      <w:divBdr>
        <w:top w:val="none" w:sz="0" w:space="0" w:color="auto"/>
        <w:left w:val="none" w:sz="0" w:space="0" w:color="auto"/>
        <w:bottom w:val="none" w:sz="0" w:space="0" w:color="auto"/>
        <w:right w:val="none" w:sz="0" w:space="0" w:color="auto"/>
      </w:divBdr>
    </w:div>
    <w:div w:id="970744538">
      <w:bodyDiv w:val="1"/>
      <w:marLeft w:val="0"/>
      <w:marRight w:val="0"/>
      <w:marTop w:val="0"/>
      <w:marBottom w:val="0"/>
      <w:divBdr>
        <w:top w:val="none" w:sz="0" w:space="0" w:color="auto"/>
        <w:left w:val="none" w:sz="0" w:space="0" w:color="auto"/>
        <w:bottom w:val="none" w:sz="0" w:space="0" w:color="auto"/>
        <w:right w:val="none" w:sz="0" w:space="0" w:color="auto"/>
      </w:divBdr>
    </w:div>
    <w:div w:id="995524603">
      <w:bodyDiv w:val="1"/>
      <w:marLeft w:val="0"/>
      <w:marRight w:val="0"/>
      <w:marTop w:val="0"/>
      <w:marBottom w:val="0"/>
      <w:divBdr>
        <w:top w:val="none" w:sz="0" w:space="0" w:color="auto"/>
        <w:left w:val="none" w:sz="0" w:space="0" w:color="auto"/>
        <w:bottom w:val="none" w:sz="0" w:space="0" w:color="auto"/>
        <w:right w:val="none" w:sz="0" w:space="0" w:color="auto"/>
      </w:divBdr>
    </w:div>
    <w:div w:id="1019041289">
      <w:bodyDiv w:val="1"/>
      <w:marLeft w:val="0"/>
      <w:marRight w:val="0"/>
      <w:marTop w:val="0"/>
      <w:marBottom w:val="0"/>
      <w:divBdr>
        <w:top w:val="none" w:sz="0" w:space="0" w:color="auto"/>
        <w:left w:val="none" w:sz="0" w:space="0" w:color="auto"/>
        <w:bottom w:val="none" w:sz="0" w:space="0" w:color="auto"/>
        <w:right w:val="none" w:sz="0" w:space="0" w:color="auto"/>
      </w:divBdr>
    </w:div>
    <w:div w:id="1037703072">
      <w:bodyDiv w:val="1"/>
      <w:marLeft w:val="0"/>
      <w:marRight w:val="0"/>
      <w:marTop w:val="0"/>
      <w:marBottom w:val="0"/>
      <w:divBdr>
        <w:top w:val="none" w:sz="0" w:space="0" w:color="auto"/>
        <w:left w:val="none" w:sz="0" w:space="0" w:color="auto"/>
        <w:bottom w:val="none" w:sz="0" w:space="0" w:color="auto"/>
        <w:right w:val="none" w:sz="0" w:space="0" w:color="auto"/>
      </w:divBdr>
    </w:div>
    <w:div w:id="1087772334">
      <w:bodyDiv w:val="1"/>
      <w:marLeft w:val="0"/>
      <w:marRight w:val="0"/>
      <w:marTop w:val="0"/>
      <w:marBottom w:val="0"/>
      <w:divBdr>
        <w:top w:val="none" w:sz="0" w:space="0" w:color="auto"/>
        <w:left w:val="none" w:sz="0" w:space="0" w:color="auto"/>
        <w:bottom w:val="none" w:sz="0" w:space="0" w:color="auto"/>
        <w:right w:val="none" w:sz="0" w:space="0" w:color="auto"/>
      </w:divBdr>
    </w:div>
    <w:div w:id="1149131241">
      <w:bodyDiv w:val="1"/>
      <w:marLeft w:val="0"/>
      <w:marRight w:val="0"/>
      <w:marTop w:val="0"/>
      <w:marBottom w:val="0"/>
      <w:divBdr>
        <w:top w:val="none" w:sz="0" w:space="0" w:color="auto"/>
        <w:left w:val="none" w:sz="0" w:space="0" w:color="auto"/>
        <w:bottom w:val="none" w:sz="0" w:space="0" w:color="auto"/>
        <w:right w:val="none" w:sz="0" w:space="0" w:color="auto"/>
      </w:divBdr>
    </w:div>
    <w:div w:id="1150555817">
      <w:bodyDiv w:val="1"/>
      <w:marLeft w:val="0"/>
      <w:marRight w:val="0"/>
      <w:marTop w:val="0"/>
      <w:marBottom w:val="0"/>
      <w:divBdr>
        <w:top w:val="none" w:sz="0" w:space="0" w:color="auto"/>
        <w:left w:val="none" w:sz="0" w:space="0" w:color="auto"/>
        <w:bottom w:val="none" w:sz="0" w:space="0" w:color="auto"/>
        <w:right w:val="none" w:sz="0" w:space="0" w:color="auto"/>
      </w:divBdr>
    </w:div>
    <w:div w:id="1171410498">
      <w:bodyDiv w:val="1"/>
      <w:marLeft w:val="0"/>
      <w:marRight w:val="0"/>
      <w:marTop w:val="0"/>
      <w:marBottom w:val="0"/>
      <w:divBdr>
        <w:top w:val="none" w:sz="0" w:space="0" w:color="auto"/>
        <w:left w:val="none" w:sz="0" w:space="0" w:color="auto"/>
        <w:bottom w:val="none" w:sz="0" w:space="0" w:color="auto"/>
        <w:right w:val="none" w:sz="0" w:space="0" w:color="auto"/>
      </w:divBdr>
    </w:div>
    <w:div w:id="1185971857">
      <w:bodyDiv w:val="1"/>
      <w:marLeft w:val="0"/>
      <w:marRight w:val="0"/>
      <w:marTop w:val="0"/>
      <w:marBottom w:val="0"/>
      <w:divBdr>
        <w:top w:val="none" w:sz="0" w:space="0" w:color="auto"/>
        <w:left w:val="none" w:sz="0" w:space="0" w:color="auto"/>
        <w:bottom w:val="none" w:sz="0" w:space="0" w:color="auto"/>
        <w:right w:val="none" w:sz="0" w:space="0" w:color="auto"/>
      </w:divBdr>
    </w:div>
    <w:div w:id="119053269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18518436">
      <w:bodyDiv w:val="1"/>
      <w:marLeft w:val="0"/>
      <w:marRight w:val="0"/>
      <w:marTop w:val="0"/>
      <w:marBottom w:val="0"/>
      <w:divBdr>
        <w:top w:val="none" w:sz="0" w:space="0" w:color="auto"/>
        <w:left w:val="none" w:sz="0" w:space="0" w:color="auto"/>
        <w:bottom w:val="none" w:sz="0" w:space="0" w:color="auto"/>
        <w:right w:val="none" w:sz="0" w:space="0" w:color="auto"/>
      </w:divBdr>
    </w:div>
    <w:div w:id="1255211118">
      <w:bodyDiv w:val="1"/>
      <w:marLeft w:val="0"/>
      <w:marRight w:val="0"/>
      <w:marTop w:val="0"/>
      <w:marBottom w:val="0"/>
      <w:divBdr>
        <w:top w:val="none" w:sz="0" w:space="0" w:color="auto"/>
        <w:left w:val="none" w:sz="0" w:space="0" w:color="auto"/>
        <w:bottom w:val="none" w:sz="0" w:space="0" w:color="auto"/>
        <w:right w:val="none" w:sz="0" w:space="0" w:color="auto"/>
      </w:divBdr>
    </w:div>
    <w:div w:id="1264457586">
      <w:bodyDiv w:val="1"/>
      <w:marLeft w:val="0"/>
      <w:marRight w:val="0"/>
      <w:marTop w:val="0"/>
      <w:marBottom w:val="0"/>
      <w:divBdr>
        <w:top w:val="none" w:sz="0" w:space="0" w:color="auto"/>
        <w:left w:val="none" w:sz="0" w:space="0" w:color="auto"/>
        <w:bottom w:val="none" w:sz="0" w:space="0" w:color="auto"/>
        <w:right w:val="none" w:sz="0" w:space="0" w:color="auto"/>
      </w:divBdr>
    </w:div>
    <w:div w:id="1266497639">
      <w:bodyDiv w:val="1"/>
      <w:marLeft w:val="0"/>
      <w:marRight w:val="0"/>
      <w:marTop w:val="0"/>
      <w:marBottom w:val="0"/>
      <w:divBdr>
        <w:top w:val="none" w:sz="0" w:space="0" w:color="auto"/>
        <w:left w:val="none" w:sz="0" w:space="0" w:color="auto"/>
        <w:bottom w:val="none" w:sz="0" w:space="0" w:color="auto"/>
        <w:right w:val="none" w:sz="0" w:space="0" w:color="auto"/>
      </w:divBdr>
    </w:div>
    <w:div w:id="1275137038">
      <w:bodyDiv w:val="1"/>
      <w:marLeft w:val="0"/>
      <w:marRight w:val="0"/>
      <w:marTop w:val="0"/>
      <w:marBottom w:val="0"/>
      <w:divBdr>
        <w:top w:val="none" w:sz="0" w:space="0" w:color="auto"/>
        <w:left w:val="none" w:sz="0" w:space="0" w:color="auto"/>
        <w:bottom w:val="none" w:sz="0" w:space="0" w:color="auto"/>
        <w:right w:val="none" w:sz="0" w:space="0" w:color="auto"/>
      </w:divBdr>
    </w:div>
    <w:div w:id="1305966470">
      <w:bodyDiv w:val="1"/>
      <w:marLeft w:val="0"/>
      <w:marRight w:val="0"/>
      <w:marTop w:val="0"/>
      <w:marBottom w:val="0"/>
      <w:divBdr>
        <w:top w:val="none" w:sz="0" w:space="0" w:color="auto"/>
        <w:left w:val="none" w:sz="0" w:space="0" w:color="auto"/>
        <w:bottom w:val="none" w:sz="0" w:space="0" w:color="auto"/>
        <w:right w:val="none" w:sz="0" w:space="0" w:color="auto"/>
      </w:divBdr>
    </w:div>
    <w:div w:id="1327588401">
      <w:bodyDiv w:val="1"/>
      <w:marLeft w:val="0"/>
      <w:marRight w:val="0"/>
      <w:marTop w:val="0"/>
      <w:marBottom w:val="0"/>
      <w:divBdr>
        <w:top w:val="none" w:sz="0" w:space="0" w:color="auto"/>
        <w:left w:val="none" w:sz="0" w:space="0" w:color="auto"/>
        <w:bottom w:val="none" w:sz="0" w:space="0" w:color="auto"/>
        <w:right w:val="none" w:sz="0" w:space="0" w:color="auto"/>
      </w:divBdr>
    </w:div>
    <w:div w:id="1329362183">
      <w:bodyDiv w:val="1"/>
      <w:marLeft w:val="0"/>
      <w:marRight w:val="0"/>
      <w:marTop w:val="0"/>
      <w:marBottom w:val="0"/>
      <w:divBdr>
        <w:top w:val="none" w:sz="0" w:space="0" w:color="auto"/>
        <w:left w:val="none" w:sz="0" w:space="0" w:color="auto"/>
        <w:bottom w:val="none" w:sz="0" w:space="0" w:color="auto"/>
        <w:right w:val="none" w:sz="0" w:space="0" w:color="auto"/>
      </w:divBdr>
    </w:div>
    <w:div w:id="1330252014">
      <w:bodyDiv w:val="1"/>
      <w:marLeft w:val="0"/>
      <w:marRight w:val="0"/>
      <w:marTop w:val="0"/>
      <w:marBottom w:val="0"/>
      <w:divBdr>
        <w:top w:val="none" w:sz="0" w:space="0" w:color="auto"/>
        <w:left w:val="none" w:sz="0" w:space="0" w:color="auto"/>
        <w:bottom w:val="none" w:sz="0" w:space="0" w:color="auto"/>
        <w:right w:val="none" w:sz="0" w:space="0" w:color="auto"/>
      </w:divBdr>
    </w:div>
    <w:div w:id="1341932562">
      <w:bodyDiv w:val="1"/>
      <w:marLeft w:val="0"/>
      <w:marRight w:val="0"/>
      <w:marTop w:val="0"/>
      <w:marBottom w:val="0"/>
      <w:divBdr>
        <w:top w:val="none" w:sz="0" w:space="0" w:color="auto"/>
        <w:left w:val="none" w:sz="0" w:space="0" w:color="auto"/>
        <w:bottom w:val="none" w:sz="0" w:space="0" w:color="auto"/>
        <w:right w:val="none" w:sz="0" w:space="0" w:color="auto"/>
      </w:divBdr>
    </w:div>
    <w:div w:id="1348756887">
      <w:bodyDiv w:val="1"/>
      <w:marLeft w:val="0"/>
      <w:marRight w:val="0"/>
      <w:marTop w:val="0"/>
      <w:marBottom w:val="0"/>
      <w:divBdr>
        <w:top w:val="none" w:sz="0" w:space="0" w:color="auto"/>
        <w:left w:val="none" w:sz="0" w:space="0" w:color="auto"/>
        <w:bottom w:val="none" w:sz="0" w:space="0" w:color="auto"/>
        <w:right w:val="none" w:sz="0" w:space="0" w:color="auto"/>
      </w:divBdr>
    </w:div>
    <w:div w:id="1352607021">
      <w:bodyDiv w:val="1"/>
      <w:marLeft w:val="0"/>
      <w:marRight w:val="0"/>
      <w:marTop w:val="0"/>
      <w:marBottom w:val="0"/>
      <w:divBdr>
        <w:top w:val="none" w:sz="0" w:space="0" w:color="auto"/>
        <w:left w:val="none" w:sz="0" w:space="0" w:color="auto"/>
        <w:bottom w:val="none" w:sz="0" w:space="0" w:color="auto"/>
        <w:right w:val="none" w:sz="0" w:space="0" w:color="auto"/>
      </w:divBdr>
    </w:div>
    <w:div w:id="1357778231">
      <w:bodyDiv w:val="1"/>
      <w:marLeft w:val="0"/>
      <w:marRight w:val="0"/>
      <w:marTop w:val="0"/>
      <w:marBottom w:val="0"/>
      <w:divBdr>
        <w:top w:val="none" w:sz="0" w:space="0" w:color="auto"/>
        <w:left w:val="none" w:sz="0" w:space="0" w:color="auto"/>
        <w:bottom w:val="none" w:sz="0" w:space="0" w:color="auto"/>
        <w:right w:val="none" w:sz="0" w:space="0" w:color="auto"/>
      </w:divBdr>
    </w:div>
    <w:div w:id="1365324918">
      <w:bodyDiv w:val="1"/>
      <w:marLeft w:val="0"/>
      <w:marRight w:val="0"/>
      <w:marTop w:val="0"/>
      <w:marBottom w:val="0"/>
      <w:divBdr>
        <w:top w:val="none" w:sz="0" w:space="0" w:color="auto"/>
        <w:left w:val="none" w:sz="0" w:space="0" w:color="auto"/>
        <w:bottom w:val="none" w:sz="0" w:space="0" w:color="auto"/>
        <w:right w:val="none" w:sz="0" w:space="0" w:color="auto"/>
      </w:divBdr>
    </w:div>
    <w:div w:id="1370766345">
      <w:bodyDiv w:val="1"/>
      <w:marLeft w:val="0"/>
      <w:marRight w:val="0"/>
      <w:marTop w:val="0"/>
      <w:marBottom w:val="0"/>
      <w:divBdr>
        <w:top w:val="none" w:sz="0" w:space="0" w:color="auto"/>
        <w:left w:val="none" w:sz="0" w:space="0" w:color="auto"/>
        <w:bottom w:val="none" w:sz="0" w:space="0" w:color="auto"/>
        <w:right w:val="none" w:sz="0" w:space="0" w:color="auto"/>
      </w:divBdr>
    </w:div>
    <w:div w:id="1372147565">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1929446">
      <w:bodyDiv w:val="1"/>
      <w:marLeft w:val="0"/>
      <w:marRight w:val="0"/>
      <w:marTop w:val="0"/>
      <w:marBottom w:val="0"/>
      <w:divBdr>
        <w:top w:val="none" w:sz="0" w:space="0" w:color="auto"/>
        <w:left w:val="none" w:sz="0" w:space="0" w:color="auto"/>
        <w:bottom w:val="none" w:sz="0" w:space="0" w:color="auto"/>
        <w:right w:val="none" w:sz="0" w:space="0" w:color="auto"/>
      </w:divBdr>
    </w:div>
    <w:div w:id="1413237553">
      <w:bodyDiv w:val="1"/>
      <w:marLeft w:val="0"/>
      <w:marRight w:val="0"/>
      <w:marTop w:val="0"/>
      <w:marBottom w:val="0"/>
      <w:divBdr>
        <w:top w:val="none" w:sz="0" w:space="0" w:color="auto"/>
        <w:left w:val="none" w:sz="0" w:space="0" w:color="auto"/>
        <w:bottom w:val="none" w:sz="0" w:space="0" w:color="auto"/>
        <w:right w:val="none" w:sz="0" w:space="0" w:color="auto"/>
      </w:divBdr>
    </w:div>
    <w:div w:id="1443916108">
      <w:bodyDiv w:val="1"/>
      <w:marLeft w:val="0"/>
      <w:marRight w:val="0"/>
      <w:marTop w:val="0"/>
      <w:marBottom w:val="0"/>
      <w:divBdr>
        <w:top w:val="none" w:sz="0" w:space="0" w:color="auto"/>
        <w:left w:val="none" w:sz="0" w:space="0" w:color="auto"/>
        <w:bottom w:val="none" w:sz="0" w:space="0" w:color="auto"/>
        <w:right w:val="none" w:sz="0" w:space="0" w:color="auto"/>
      </w:divBdr>
    </w:div>
    <w:div w:id="1444423530">
      <w:bodyDiv w:val="1"/>
      <w:marLeft w:val="0"/>
      <w:marRight w:val="0"/>
      <w:marTop w:val="0"/>
      <w:marBottom w:val="0"/>
      <w:divBdr>
        <w:top w:val="none" w:sz="0" w:space="0" w:color="auto"/>
        <w:left w:val="none" w:sz="0" w:space="0" w:color="auto"/>
        <w:bottom w:val="none" w:sz="0" w:space="0" w:color="auto"/>
        <w:right w:val="none" w:sz="0" w:space="0" w:color="auto"/>
      </w:divBdr>
    </w:div>
    <w:div w:id="1453015761">
      <w:bodyDiv w:val="1"/>
      <w:marLeft w:val="0"/>
      <w:marRight w:val="0"/>
      <w:marTop w:val="0"/>
      <w:marBottom w:val="0"/>
      <w:divBdr>
        <w:top w:val="none" w:sz="0" w:space="0" w:color="auto"/>
        <w:left w:val="none" w:sz="0" w:space="0" w:color="auto"/>
        <w:bottom w:val="none" w:sz="0" w:space="0" w:color="auto"/>
        <w:right w:val="none" w:sz="0" w:space="0" w:color="auto"/>
      </w:divBdr>
    </w:div>
    <w:div w:id="1453477984">
      <w:bodyDiv w:val="1"/>
      <w:marLeft w:val="0"/>
      <w:marRight w:val="0"/>
      <w:marTop w:val="0"/>
      <w:marBottom w:val="0"/>
      <w:divBdr>
        <w:top w:val="none" w:sz="0" w:space="0" w:color="auto"/>
        <w:left w:val="none" w:sz="0" w:space="0" w:color="auto"/>
        <w:bottom w:val="none" w:sz="0" w:space="0" w:color="auto"/>
        <w:right w:val="none" w:sz="0" w:space="0" w:color="auto"/>
      </w:divBdr>
    </w:div>
    <w:div w:id="1467700967">
      <w:bodyDiv w:val="1"/>
      <w:marLeft w:val="0"/>
      <w:marRight w:val="0"/>
      <w:marTop w:val="0"/>
      <w:marBottom w:val="0"/>
      <w:divBdr>
        <w:top w:val="none" w:sz="0" w:space="0" w:color="auto"/>
        <w:left w:val="none" w:sz="0" w:space="0" w:color="auto"/>
        <w:bottom w:val="none" w:sz="0" w:space="0" w:color="auto"/>
        <w:right w:val="none" w:sz="0" w:space="0" w:color="auto"/>
      </w:divBdr>
    </w:div>
    <w:div w:id="1485969670">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4686140">
      <w:bodyDiv w:val="1"/>
      <w:marLeft w:val="0"/>
      <w:marRight w:val="0"/>
      <w:marTop w:val="0"/>
      <w:marBottom w:val="0"/>
      <w:divBdr>
        <w:top w:val="none" w:sz="0" w:space="0" w:color="auto"/>
        <w:left w:val="none" w:sz="0" w:space="0" w:color="auto"/>
        <w:bottom w:val="none" w:sz="0" w:space="0" w:color="auto"/>
        <w:right w:val="none" w:sz="0" w:space="0" w:color="auto"/>
      </w:divBdr>
    </w:div>
    <w:div w:id="1525631312">
      <w:bodyDiv w:val="1"/>
      <w:marLeft w:val="0"/>
      <w:marRight w:val="0"/>
      <w:marTop w:val="0"/>
      <w:marBottom w:val="0"/>
      <w:divBdr>
        <w:top w:val="none" w:sz="0" w:space="0" w:color="auto"/>
        <w:left w:val="none" w:sz="0" w:space="0" w:color="auto"/>
        <w:bottom w:val="none" w:sz="0" w:space="0" w:color="auto"/>
        <w:right w:val="none" w:sz="0" w:space="0" w:color="auto"/>
      </w:divBdr>
    </w:div>
    <w:div w:id="1562322362">
      <w:bodyDiv w:val="1"/>
      <w:marLeft w:val="0"/>
      <w:marRight w:val="0"/>
      <w:marTop w:val="0"/>
      <w:marBottom w:val="0"/>
      <w:divBdr>
        <w:top w:val="none" w:sz="0" w:space="0" w:color="auto"/>
        <w:left w:val="none" w:sz="0" w:space="0" w:color="auto"/>
        <w:bottom w:val="none" w:sz="0" w:space="0" w:color="auto"/>
        <w:right w:val="none" w:sz="0" w:space="0" w:color="auto"/>
      </w:divBdr>
    </w:div>
    <w:div w:id="1603756995">
      <w:bodyDiv w:val="1"/>
      <w:marLeft w:val="0"/>
      <w:marRight w:val="0"/>
      <w:marTop w:val="0"/>
      <w:marBottom w:val="0"/>
      <w:divBdr>
        <w:top w:val="none" w:sz="0" w:space="0" w:color="auto"/>
        <w:left w:val="none" w:sz="0" w:space="0" w:color="auto"/>
        <w:bottom w:val="none" w:sz="0" w:space="0" w:color="auto"/>
        <w:right w:val="none" w:sz="0" w:space="0" w:color="auto"/>
      </w:divBdr>
    </w:div>
    <w:div w:id="1614248048">
      <w:bodyDiv w:val="1"/>
      <w:marLeft w:val="0"/>
      <w:marRight w:val="0"/>
      <w:marTop w:val="0"/>
      <w:marBottom w:val="0"/>
      <w:divBdr>
        <w:top w:val="none" w:sz="0" w:space="0" w:color="auto"/>
        <w:left w:val="none" w:sz="0" w:space="0" w:color="auto"/>
        <w:bottom w:val="none" w:sz="0" w:space="0" w:color="auto"/>
        <w:right w:val="none" w:sz="0" w:space="0" w:color="auto"/>
      </w:divBdr>
    </w:div>
    <w:div w:id="1614285093">
      <w:bodyDiv w:val="1"/>
      <w:marLeft w:val="0"/>
      <w:marRight w:val="0"/>
      <w:marTop w:val="0"/>
      <w:marBottom w:val="0"/>
      <w:divBdr>
        <w:top w:val="none" w:sz="0" w:space="0" w:color="auto"/>
        <w:left w:val="none" w:sz="0" w:space="0" w:color="auto"/>
        <w:bottom w:val="none" w:sz="0" w:space="0" w:color="auto"/>
        <w:right w:val="none" w:sz="0" w:space="0" w:color="auto"/>
      </w:divBdr>
    </w:div>
    <w:div w:id="1621260028">
      <w:bodyDiv w:val="1"/>
      <w:marLeft w:val="0"/>
      <w:marRight w:val="0"/>
      <w:marTop w:val="0"/>
      <w:marBottom w:val="0"/>
      <w:divBdr>
        <w:top w:val="none" w:sz="0" w:space="0" w:color="auto"/>
        <w:left w:val="none" w:sz="0" w:space="0" w:color="auto"/>
        <w:bottom w:val="none" w:sz="0" w:space="0" w:color="auto"/>
        <w:right w:val="none" w:sz="0" w:space="0" w:color="auto"/>
      </w:divBdr>
    </w:div>
    <w:div w:id="1649245364">
      <w:bodyDiv w:val="1"/>
      <w:marLeft w:val="0"/>
      <w:marRight w:val="0"/>
      <w:marTop w:val="0"/>
      <w:marBottom w:val="0"/>
      <w:divBdr>
        <w:top w:val="none" w:sz="0" w:space="0" w:color="auto"/>
        <w:left w:val="none" w:sz="0" w:space="0" w:color="auto"/>
        <w:bottom w:val="none" w:sz="0" w:space="0" w:color="auto"/>
        <w:right w:val="none" w:sz="0" w:space="0" w:color="auto"/>
      </w:divBdr>
    </w:div>
    <w:div w:id="1662811878">
      <w:bodyDiv w:val="1"/>
      <w:marLeft w:val="0"/>
      <w:marRight w:val="0"/>
      <w:marTop w:val="0"/>
      <w:marBottom w:val="0"/>
      <w:divBdr>
        <w:top w:val="none" w:sz="0" w:space="0" w:color="auto"/>
        <w:left w:val="none" w:sz="0" w:space="0" w:color="auto"/>
        <w:bottom w:val="none" w:sz="0" w:space="0" w:color="auto"/>
        <w:right w:val="none" w:sz="0" w:space="0" w:color="auto"/>
      </w:divBdr>
    </w:div>
    <w:div w:id="1687629517">
      <w:bodyDiv w:val="1"/>
      <w:marLeft w:val="0"/>
      <w:marRight w:val="0"/>
      <w:marTop w:val="0"/>
      <w:marBottom w:val="0"/>
      <w:divBdr>
        <w:top w:val="none" w:sz="0" w:space="0" w:color="auto"/>
        <w:left w:val="none" w:sz="0" w:space="0" w:color="auto"/>
        <w:bottom w:val="none" w:sz="0" w:space="0" w:color="auto"/>
        <w:right w:val="none" w:sz="0" w:space="0" w:color="auto"/>
      </w:divBdr>
    </w:div>
    <w:div w:id="1692755238">
      <w:bodyDiv w:val="1"/>
      <w:marLeft w:val="0"/>
      <w:marRight w:val="0"/>
      <w:marTop w:val="0"/>
      <w:marBottom w:val="0"/>
      <w:divBdr>
        <w:top w:val="none" w:sz="0" w:space="0" w:color="auto"/>
        <w:left w:val="none" w:sz="0" w:space="0" w:color="auto"/>
        <w:bottom w:val="none" w:sz="0" w:space="0" w:color="auto"/>
        <w:right w:val="none" w:sz="0" w:space="0" w:color="auto"/>
      </w:divBdr>
    </w:div>
    <w:div w:id="1699700917">
      <w:bodyDiv w:val="1"/>
      <w:marLeft w:val="0"/>
      <w:marRight w:val="0"/>
      <w:marTop w:val="0"/>
      <w:marBottom w:val="0"/>
      <w:divBdr>
        <w:top w:val="none" w:sz="0" w:space="0" w:color="auto"/>
        <w:left w:val="none" w:sz="0" w:space="0" w:color="auto"/>
        <w:bottom w:val="none" w:sz="0" w:space="0" w:color="auto"/>
        <w:right w:val="none" w:sz="0" w:space="0" w:color="auto"/>
      </w:divBdr>
    </w:div>
    <w:div w:id="1709838590">
      <w:bodyDiv w:val="1"/>
      <w:marLeft w:val="0"/>
      <w:marRight w:val="0"/>
      <w:marTop w:val="0"/>
      <w:marBottom w:val="0"/>
      <w:divBdr>
        <w:top w:val="none" w:sz="0" w:space="0" w:color="auto"/>
        <w:left w:val="none" w:sz="0" w:space="0" w:color="auto"/>
        <w:bottom w:val="none" w:sz="0" w:space="0" w:color="auto"/>
        <w:right w:val="none" w:sz="0" w:space="0" w:color="auto"/>
      </w:divBdr>
    </w:div>
    <w:div w:id="1763260647">
      <w:bodyDiv w:val="1"/>
      <w:marLeft w:val="0"/>
      <w:marRight w:val="0"/>
      <w:marTop w:val="0"/>
      <w:marBottom w:val="0"/>
      <w:divBdr>
        <w:top w:val="none" w:sz="0" w:space="0" w:color="auto"/>
        <w:left w:val="none" w:sz="0" w:space="0" w:color="auto"/>
        <w:bottom w:val="none" w:sz="0" w:space="0" w:color="auto"/>
        <w:right w:val="none" w:sz="0" w:space="0" w:color="auto"/>
      </w:divBdr>
    </w:div>
    <w:div w:id="1798064231">
      <w:bodyDiv w:val="1"/>
      <w:marLeft w:val="0"/>
      <w:marRight w:val="0"/>
      <w:marTop w:val="0"/>
      <w:marBottom w:val="0"/>
      <w:divBdr>
        <w:top w:val="none" w:sz="0" w:space="0" w:color="auto"/>
        <w:left w:val="none" w:sz="0" w:space="0" w:color="auto"/>
        <w:bottom w:val="none" w:sz="0" w:space="0" w:color="auto"/>
        <w:right w:val="none" w:sz="0" w:space="0" w:color="auto"/>
      </w:divBdr>
    </w:div>
    <w:div w:id="1801454864">
      <w:bodyDiv w:val="1"/>
      <w:marLeft w:val="0"/>
      <w:marRight w:val="0"/>
      <w:marTop w:val="0"/>
      <w:marBottom w:val="0"/>
      <w:divBdr>
        <w:top w:val="none" w:sz="0" w:space="0" w:color="auto"/>
        <w:left w:val="none" w:sz="0" w:space="0" w:color="auto"/>
        <w:bottom w:val="none" w:sz="0" w:space="0" w:color="auto"/>
        <w:right w:val="none" w:sz="0" w:space="0" w:color="auto"/>
      </w:divBdr>
    </w:div>
    <w:div w:id="1836259990">
      <w:bodyDiv w:val="1"/>
      <w:marLeft w:val="0"/>
      <w:marRight w:val="0"/>
      <w:marTop w:val="0"/>
      <w:marBottom w:val="0"/>
      <w:divBdr>
        <w:top w:val="none" w:sz="0" w:space="0" w:color="auto"/>
        <w:left w:val="none" w:sz="0" w:space="0" w:color="auto"/>
        <w:bottom w:val="none" w:sz="0" w:space="0" w:color="auto"/>
        <w:right w:val="none" w:sz="0" w:space="0" w:color="auto"/>
      </w:divBdr>
    </w:div>
    <w:div w:id="1876964214">
      <w:bodyDiv w:val="1"/>
      <w:marLeft w:val="0"/>
      <w:marRight w:val="0"/>
      <w:marTop w:val="0"/>
      <w:marBottom w:val="0"/>
      <w:divBdr>
        <w:top w:val="none" w:sz="0" w:space="0" w:color="auto"/>
        <w:left w:val="none" w:sz="0" w:space="0" w:color="auto"/>
        <w:bottom w:val="none" w:sz="0" w:space="0" w:color="auto"/>
        <w:right w:val="none" w:sz="0" w:space="0" w:color="auto"/>
      </w:divBdr>
    </w:div>
    <w:div w:id="1891379432">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6839824">
      <w:bodyDiv w:val="1"/>
      <w:marLeft w:val="0"/>
      <w:marRight w:val="0"/>
      <w:marTop w:val="0"/>
      <w:marBottom w:val="0"/>
      <w:divBdr>
        <w:top w:val="none" w:sz="0" w:space="0" w:color="auto"/>
        <w:left w:val="none" w:sz="0" w:space="0" w:color="auto"/>
        <w:bottom w:val="none" w:sz="0" w:space="0" w:color="auto"/>
        <w:right w:val="none" w:sz="0" w:space="0" w:color="auto"/>
      </w:divBdr>
    </w:div>
    <w:div w:id="1953437670">
      <w:bodyDiv w:val="1"/>
      <w:marLeft w:val="0"/>
      <w:marRight w:val="0"/>
      <w:marTop w:val="0"/>
      <w:marBottom w:val="0"/>
      <w:divBdr>
        <w:top w:val="none" w:sz="0" w:space="0" w:color="auto"/>
        <w:left w:val="none" w:sz="0" w:space="0" w:color="auto"/>
        <w:bottom w:val="none" w:sz="0" w:space="0" w:color="auto"/>
        <w:right w:val="none" w:sz="0" w:space="0" w:color="auto"/>
      </w:divBdr>
      <w:divsChild>
        <w:div w:id="873805513">
          <w:marLeft w:val="0"/>
          <w:marRight w:val="0"/>
          <w:marTop w:val="0"/>
          <w:marBottom w:val="0"/>
          <w:divBdr>
            <w:top w:val="none" w:sz="0" w:space="0" w:color="auto"/>
            <w:left w:val="none" w:sz="0" w:space="0" w:color="auto"/>
            <w:bottom w:val="none" w:sz="0" w:space="0" w:color="auto"/>
            <w:right w:val="none" w:sz="0" w:space="0" w:color="auto"/>
          </w:divBdr>
        </w:div>
        <w:div w:id="1213230712">
          <w:marLeft w:val="0"/>
          <w:marRight w:val="0"/>
          <w:marTop w:val="0"/>
          <w:marBottom w:val="0"/>
          <w:divBdr>
            <w:top w:val="none" w:sz="0" w:space="0" w:color="auto"/>
            <w:left w:val="none" w:sz="0" w:space="0" w:color="auto"/>
            <w:bottom w:val="none" w:sz="0" w:space="0" w:color="auto"/>
            <w:right w:val="none" w:sz="0" w:space="0" w:color="auto"/>
          </w:divBdr>
        </w:div>
        <w:div w:id="335960360">
          <w:marLeft w:val="0"/>
          <w:marRight w:val="0"/>
          <w:marTop w:val="0"/>
          <w:marBottom w:val="0"/>
          <w:divBdr>
            <w:top w:val="none" w:sz="0" w:space="0" w:color="auto"/>
            <w:left w:val="none" w:sz="0" w:space="0" w:color="auto"/>
            <w:bottom w:val="none" w:sz="0" w:space="0" w:color="auto"/>
            <w:right w:val="none" w:sz="0" w:space="0" w:color="auto"/>
          </w:divBdr>
        </w:div>
        <w:div w:id="1894808074">
          <w:marLeft w:val="0"/>
          <w:marRight w:val="0"/>
          <w:marTop w:val="0"/>
          <w:marBottom w:val="0"/>
          <w:divBdr>
            <w:top w:val="none" w:sz="0" w:space="0" w:color="auto"/>
            <w:left w:val="none" w:sz="0" w:space="0" w:color="auto"/>
            <w:bottom w:val="none" w:sz="0" w:space="0" w:color="auto"/>
            <w:right w:val="none" w:sz="0" w:space="0" w:color="auto"/>
          </w:divBdr>
        </w:div>
      </w:divsChild>
    </w:div>
    <w:div w:id="1970819806">
      <w:bodyDiv w:val="1"/>
      <w:marLeft w:val="0"/>
      <w:marRight w:val="0"/>
      <w:marTop w:val="0"/>
      <w:marBottom w:val="0"/>
      <w:divBdr>
        <w:top w:val="none" w:sz="0" w:space="0" w:color="auto"/>
        <w:left w:val="none" w:sz="0" w:space="0" w:color="auto"/>
        <w:bottom w:val="none" w:sz="0" w:space="0" w:color="auto"/>
        <w:right w:val="none" w:sz="0" w:space="0" w:color="auto"/>
      </w:divBdr>
    </w:div>
    <w:div w:id="1974289017">
      <w:bodyDiv w:val="1"/>
      <w:marLeft w:val="0"/>
      <w:marRight w:val="0"/>
      <w:marTop w:val="0"/>
      <w:marBottom w:val="0"/>
      <w:divBdr>
        <w:top w:val="none" w:sz="0" w:space="0" w:color="auto"/>
        <w:left w:val="none" w:sz="0" w:space="0" w:color="auto"/>
        <w:bottom w:val="none" w:sz="0" w:space="0" w:color="auto"/>
        <w:right w:val="none" w:sz="0" w:space="0" w:color="auto"/>
      </w:divBdr>
    </w:div>
    <w:div w:id="2009865370">
      <w:bodyDiv w:val="1"/>
      <w:marLeft w:val="0"/>
      <w:marRight w:val="0"/>
      <w:marTop w:val="0"/>
      <w:marBottom w:val="0"/>
      <w:divBdr>
        <w:top w:val="none" w:sz="0" w:space="0" w:color="auto"/>
        <w:left w:val="none" w:sz="0" w:space="0" w:color="auto"/>
        <w:bottom w:val="none" w:sz="0" w:space="0" w:color="auto"/>
        <w:right w:val="none" w:sz="0" w:space="0" w:color="auto"/>
      </w:divBdr>
    </w:div>
    <w:div w:id="2037845227">
      <w:bodyDiv w:val="1"/>
      <w:marLeft w:val="0"/>
      <w:marRight w:val="0"/>
      <w:marTop w:val="0"/>
      <w:marBottom w:val="0"/>
      <w:divBdr>
        <w:top w:val="none" w:sz="0" w:space="0" w:color="auto"/>
        <w:left w:val="none" w:sz="0" w:space="0" w:color="auto"/>
        <w:bottom w:val="none" w:sz="0" w:space="0" w:color="auto"/>
        <w:right w:val="none" w:sz="0" w:space="0" w:color="auto"/>
      </w:divBdr>
    </w:div>
    <w:div w:id="2038432787">
      <w:bodyDiv w:val="1"/>
      <w:marLeft w:val="0"/>
      <w:marRight w:val="0"/>
      <w:marTop w:val="0"/>
      <w:marBottom w:val="0"/>
      <w:divBdr>
        <w:top w:val="none" w:sz="0" w:space="0" w:color="auto"/>
        <w:left w:val="none" w:sz="0" w:space="0" w:color="auto"/>
        <w:bottom w:val="none" w:sz="0" w:space="0" w:color="auto"/>
        <w:right w:val="none" w:sz="0" w:space="0" w:color="auto"/>
      </w:divBdr>
    </w:div>
    <w:div w:id="2052729352">
      <w:bodyDiv w:val="1"/>
      <w:marLeft w:val="0"/>
      <w:marRight w:val="0"/>
      <w:marTop w:val="0"/>
      <w:marBottom w:val="0"/>
      <w:divBdr>
        <w:top w:val="none" w:sz="0" w:space="0" w:color="auto"/>
        <w:left w:val="none" w:sz="0" w:space="0" w:color="auto"/>
        <w:bottom w:val="none" w:sz="0" w:space="0" w:color="auto"/>
        <w:right w:val="none" w:sz="0" w:space="0" w:color="auto"/>
      </w:divBdr>
    </w:div>
    <w:div w:id="2064015031">
      <w:bodyDiv w:val="1"/>
      <w:marLeft w:val="0"/>
      <w:marRight w:val="0"/>
      <w:marTop w:val="0"/>
      <w:marBottom w:val="0"/>
      <w:divBdr>
        <w:top w:val="none" w:sz="0" w:space="0" w:color="auto"/>
        <w:left w:val="none" w:sz="0" w:space="0" w:color="auto"/>
        <w:bottom w:val="none" w:sz="0" w:space="0" w:color="auto"/>
        <w:right w:val="none" w:sz="0" w:space="0" w:color="auto"/>
      </w:divBdr>
    </w:div>
    <w:div w:id="2071994726">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0772585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2433870">
      <w:bodyDiv w:val="1"/>
      <w:marLeft w:val="0"/>
      <w:marRight w:val="0"/>
      <w:marTop w:val="0"/>
      <w:marBottom w:val="0"/>
      <w:divBdr>
        <w:top w:val="none" w:sz="0" w:space="0" w:color="auto"/>
        <w:left w:val="none" w:sz="0" w:space="0" w:color="auto"/>
        <w:bottom w:val="none" w:sz="0" w:space="0" w:color="auto"/>
        <w:right w:val="none" w:sz="0" w:space="0" w:color="auto"/>
      </w:divBdr>
    </w:div>
    <w:div w:id="2143306692">
      <w:bodyDiv w:val="1"/>
      <w:marLeft w:val="0"/>
      <w:marRight w:val="0"/>
      <w:marTop w:val="0"/>
      <w:marBottom w:val="0"/>
      <w:divBdr>
        <w:top w:val="none" w:sz="0" w:space="0" w:color="auto"/>
        <w:left w:val="none" w:sz="0" w:space="0" w:color="auto"/>
        <w:bottom w:val="none" w:sz="0" w:space="0" w:color="auto"/>
        <w:right w:val="none" w:sz="0" w:space="0" w:color="auto"/>
      </w:divBdr>
    </w:div>
    <w:div w:id="2143960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51" Type="http://schemas.microsoft.com/office/2016/09/relationships/commentsIds" Target="commentsIds.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Odbor%2063\NEM_UR\tabulky_moje\Publikace%20bar%20CZ_lide%20a%20spolecnost_2017-08-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N\2019\1.%20pol\POMOCN&#201;%20TABULKY_PRO%20GRAFY_FINAL_s%20v&#253;po&#269;ty.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8.xml"/><Relationship Id="rId1" Type="http://schemas.microsoft.com/office/2011/relationships/chartStyle" Target="style8.xml"/></Relationships>
</file>

<file path=word/charts/_rels/chart12.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1" Type="http://schemas.openxmlformats.org/officeDocument/2006/relationships/oleObject" Target="file:///D:\PN\2019\1.%20pol\POMOCN&#201;%20TABULKY_PRO%20GRAFY_FINAL_s%20v&#253;po&#269;ty.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oleObject" Target="file:///D:\PN\2019\1.%20pol\26000418p1_POMOCN&#201;%20TABULKY_PRO%20GRAFY_FINAL.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oleObject" Target="file:///\\ABFS2\DATA\DATA\ZPRAC\TECHNOL\oddeleni_6301\1_Zdravotnictv&#237;\ADMNEMUR_Statistika%20pracovn&#237;%20neschopnosti%20pro%20nemoc%20a%20&#250;raz_Hyky&#353;ov&#225;\E-PUBLIKACE_PRACOVN&#205;%20NESCHOPNOST%20PRO%20NEMOC%20A%20&#218;RAZ%20V%20&#268;R\ADMNEMUR_1.%20POL.%202019\PRO%20GRAFY_FINAL_s%20v&#253;po&#269;ty_1.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file:///\\ABFS2\DATA\DATA\ZPRAC\TECHNOL\oddeleni_6301\1_Zdravotnictv&#237;\ADMNEMUR_Statistika%20pracovn&#237;%20neschopnosti%20pro%20nemoc%20a%20&#250;raz_Hyky&#353;ov&#225;\E-PUBLIKACE_PRACOVN&#205;%20NESCHOPNOST%20PRO%20NEMOC%20A%20&#218;RAZ%20V%20&#268;R\ADMNEMUR_1.%20POL.%202019\PRO%20GRAFY_FINAL_s%20v&#253;po&#269;ty_1.xlsx" TargetMode="External"/><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solidFill>
                  <a:schemeClr val="tx1">
                    <a:lumMod val="65000"/>
                    <a:lumOff val="35000"/>
                  </a:schemeClr>
                </a:solidFill>
              </a:defRPr>
            </a:pPr>
            <a:r>
              <a:rPr lang="cs-CZ" sz="1000">
                <a:solidFill>
                  <a:sysClr val="windowText" lastClr="000000"/>
                </a:solidFill>
                <a:latin typeface="Arial" panose="020B0604020202020204" pitchFamily="34" charset="0"/>
                <a:cs typeface="Arial" panose="020B0604020202020204" pitchFamily="34" charset="0"/>
              </a:rPr>
              <a:t>muži</a:t>
            </a:r>
            <a:endParaRPr lang="en-US" sz="10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44979548286875137"/>
          <c:y val="2.7862802113243698E-2"/>
        </c:manualLayout>
      </c:layout>
      <c:overlay val="0"/>
    </c:title>
    <c:autoTitleDeleted val="0"/>
    <c:plotArea>
      <c:layout>
        <c:manualLayout>
          <c:layoutTarget val="inner"/>
          <c:xMode val="edge"/>
          <c:yMode val="edge"/>
          <c:x val="0.22179261289057772"/>
          <c:y val="0.20240157480314958"/>
          <c:w val="0.49059099415025853"/>
          <c:h val="0.69010425780110818"/>
        </c:manualLayout>
      </c:layout>
      <c:doughnutChart>
        <c:varyColors val="1"/>
        <c:ser>
          <c:idx val="0"/>
          <c:order val="0"/>
          <c:tx>
            <c:strRef>
              <c:f>'2.1'!$A$14</c:f>
              <c:strCache>
                <c:ptCount val="1"/>
                <c:pt idx="0">
                  <c:v>muži</c:v>
                </c:pt>
              </c:strCache>
            </c:strRef>
          </c:tx>
          <c:spPr>
            <a:ln>
              <a:solidFill>
                <a:schemeClr val="bg1"/>
              </a:solidFill>
            </a:ln>
          </c:spPr>
          <c:dLbls>
            <c:dLbl>
              <c:idx val="0"/>
              <c:layout/>
              <c:tx>
                <c:rich>
                  <a:bodyPr wrap="square" lIns="38100" tIns="19050" rIns="38100" bIns="19050" anchor="ctr">
                    <a:spAutoFit/>
                  </a:bodyPr>
                  <a:lstStyle/>
                  <a:p>
                    <a:pPr>
                      <a:defRPr sz="800">
                        <a:solidFill>
                          <a:srgbClr val="D9D9D9"/>
                        </a:solidFill>
                        <a:latin typeface="Arial" panose="020B0604020202020204" pitchFamily="34" charset="0"/>
                        <a:cs typeface="Arial" panose="020B0604020202020204" pitchFamily="34" charset="0"/>
                      </a:defRPr>
                    </a:pPr>
                    <a:fld id="{9F4F5C3A-E6E9-4E23-8AED-78362DF7F101}" type="CELLRANGE">
                      <a:rPr lang="en-US"/>
                      <a:pPr>
                        <a:defRPr sz="800">
                          <a:solidFill>
                            <a:srgbClr val="D9D9D9"/>
                          </a:solidFill>
                          <a:latin typeface="Arial" panose="020B0604020202020204" pitchFamily="34" charset="0"/>
                          <a:cs typeface="Arial" panose="020B0604020202020204" pitchFamily="34" charset="0"/>
                        </a:defRPr>
                      </a:pPr>
                      <a:t>[OBLAST BUNĚK]</a:t>
                    </a:fld>
                    <a:endParaRPr lang="en-US" baseline="0"/>
                  </a:p>
                  <a:p>
                    <a:pPr>
                      <a:defRPr sz="800">
                        <a:solidFill>
                          <a:srgbClr val="D9D9D9"/>
                        </a:solidFill>
                        <a:latin typeface="Arial" panose="020B0604020202020204" pitchFamily="34" charset="0"/>
                        <a:cs typeface="Arial" panose="020B0604020202020204" pitchFamily="34" charset="0"/>
                      </a:defRPr>
                    </a:pPr>
                    <a:fld id="{18E89FB6-7EB3-4183-B2EF-4C7E78EC4690}" type="PERCENTAGE">
                      <a:rPr lang="en-US"/>
                      <a:pPr>
                        <a:defRPr sz="800">
                          <a:solidFill>
                            <a:srgbClr val="D9D9D9"/>
                          </a:solidFill>
                          <a:latin typeface="Arial" panose="020B0604020202020204" pitchFamily="34" charset="0"/>
                          <a:cs typeface="Arial" panose="020B0604020202020204" pitchFamily="34" charset="0"/>
                        </a:defRPr>
                      </a:pPr>
                      <a:t>[PROCENTO]</a:t>
                    </a:fld>
                    <a:endParaRPr lang="cs-CZ"/>
                  </a:p>
                </c:rich>
              </c:tx>
              <c:numFmt formatCode="0.0%" sourceLinked="0"/>
              <c:spPr>
                <a:noFill/>
                <a:ln>
                  <a:noFill/>
                </a:ln>
                <a:effectLst/>
              </c:spPr>
              <c:showLegendKey val="0"/>
              <c:showVal val="0"/>
              <c:showCatName val="0"/>
              <c:showSerName val="0"/>
              <c:showPercent val="1"/>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ED3E-42BF-81ED-036085269D98}"/>
                </c:ext>
              </c:extLst>
            </c:dLbl>
            <c:dLbl>
              <c:idx val="1"/>
              <c:layout>
                <c:manualLayout>
                  <c:x val="-8.722110536474359E-2"/>
                  <c:y val="-8.9495863458909419E-2"/>
                </c:manualLayout>
              </c:layout>
              <c:tx>
                <c:rich>
                  <a:bodyPr wrap="square" lIns="38100" tIns="19050" rIns="38100" bIns="19050" anchor="ctr">
                    <a:spAutoFit/>
                  </a:bodyPr>
                  <a:lstStyle/>
                  <a:p>
                    <a:pPr>
                      <a:defRPr sz="800">
                        <a:solidFill>
                          <a:schemeClr val="tx1"/>
                        </a:solidFill>
                        <a:latin typeface="Arial" panose="020B0604020202020204" pitchFamily="34" charset="0"/>
                        <a:cs typeface="Arial" panose="020B0604020202020204" pitchFamily="34" charset="0"/>
                      </a:defRPr>
                    </a:pPr>
                    <a:fld id="{91110122-4CF4-44B6-B718-4B160238FC05}" type="CELLRANGE">
                      <a:rPr lang="en-US"/>
                      <a:pPr>
                        <a:defRPr sz="800">
                          <a:solidFill>
                            <a:schemeClr val="tx1"/>
                          </a:solidFill>
                          <a:latin typeface="Arial" panose="020B0604020202020204" pitchFamily="34" charset="0"/>
                          <a:cs typeface="Arial" panose="020B0604020202020204" pitchFamily="34" charset="0"/>
                        </a:defRPr>
                      </a:pPr>
                      <a:t>[OBLAST BUNĚK]</a:t>
                    </a:fld>
                    <a:endParaRPr lang="en-US" baseline="0"/>
                  </a:p>
                  <a:p>
                    <a:pPr>
                      <a:defRPr sz="800">
                        <a:solidFill>
                          <a:schemeClr val="tx1"/>
                        </a:solidFill>
                        <a:latin typeface="Arial" panose="020B0604020202020204" pitchFamily="34" charset="0"/>
                        <a:cs typeface="Arial" panose="020B0604020202020204" pitchFamily="34" charset="0"/>
                      </a:defRPr>
                    </a:pPr>
                    <a:fld id="{61373358-6CD3-4DC6-9DAF-B23CE2D0AF33}" type="PERCENTAGE">
                      <a:rPr lang="en-US"/>
                      <a:pPr>
                        <a:defRPr sz="800">
                          <a:solidFill>
                            <a:schemeClr val="tx1"/>
                          </a:solidFill>
                          <a:latin typeface="Arial" panose="020B0604020202020204" pitchFamily="34" charset="0"/>
                          <a:cs typeface="Arial" panose="020B0604020202020204" pitchFamily="34" charset="0"/>
                        </a:defRPr>
                      </a:pPr>
                      <a:t>[PROCENTO]</a:t>
                    </a:fld>
                    <a:endParaRPr lang="cs-CZ"/>
                  </a:p>
                </c:rich>
              </c:tx>
              <c:numFmt formatCode="0.0%" sourceLinked="0"/>
              <c:spPr>
                <a:noFill/>
                <a:ln>
                  <a:noFill/>
                </a:ln>
                <a:effectLst/>
              </c:spPr>
              <c:showLegendKey val="0"/>
              <c:showVal val="0"/>
              <c:showCatName val="0"/>
              <c:showSerName val="0"/>
              <c:showPercent val="1"/>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ED3E-42BF-81ED-036085269D98}"/>
                </c:ext>
              </c:extLst>
            </c:dLbl>
            <c:dLbl>
              <c:idx val="2"/>
              <c:layout/>
              <c:tx>
                <c:rich>
                  <a:bodyPr wrap="square" lIns="38100" tIns="19050" rIns="38100" bIns="19050" anchor="ctr">
                    <a:spAutoFit/>
                  </a:bodyPr>
                  <a:lstStyle/>
                  <a:p>
                    <a:pPr>
                      <a:defRPr sz="800">
                        <a:solidFill>
                          <a:sysClr val="windowText" lastClr="000000"/>
                        </a:solidFill>
                        <a:latin typeface="Arial" panose="020B0604020202020204" pitchFamily="34" charset="0"/>
                        <a:cs typeface="Arial" panose="020B0604020202020204" pitchFamily="34" charset="0"/>
                      </a:defRPr>
                    </a:pPr>
                    <a:fld id="{231563E0-3C4A-48F5-A590-26EC93E91EC2}" type="CELLRANGE">
                      <a:rPr lang="en-US">
                        <a:solidFill>
                          <a:sysClr val="windowText" lastClr="000000"/>
                        </a:solidFill>
                      </a:rPr>
                      <a:pPr>
                        <a:defRPr sz="800">
                          <a:solidFill>
                            <a:sysClr val="windowText" lastClr="000000"/>
                          </a:solidFill>
                          <a:latin typeface="Arial" panose="020B0604020202020204" pitchFamily="34" charset="0"/>
                          <a:cs typeface="Arial" panose="020B0604020202020204" pitchFamily="34" charset="0"/>
                        </a:defRPr>
                      </a:pPr>
                      <a:t>[OBLAST BUNĚK]</a:t>
                    </a:fld>
                    <a:endParaRPr lang="en-US" baseline="0">
                      <a:solidFill>
                        <a:sysClr val="windowText" lastClr="000000"/>
                      </a:solidFill>
                    </a:endParaRPr>
                  </a:p>
                  <a:p>
                    <a:pPr>
                      <a:defRPr sz="800">
                        <a:solidFill>
                          <a:sysClr val="windowText" lastClr="000000"/>
                        </a:solidFill>
                        <a:latin typeface="Arial" panose="020B0604020202020204" pitchFamily="34" charset="0"/>
                        <a:cs typeface="Arial" panose="020B0604020202020204" pitchFamily="34" charset="0"/>
                      </a:defRPr>
                    </a:pPr>
                    <a:fld id="{42CDD9D7-84FD-48C6-AB15-C27AC260B5B7}" type="PERCENTAGE">
                      <a:rPr lang="en-US">
                        <a:solidFill>
                          <a:sysClr val="windowText" lastClr="000000"/>
                        </a:solidFill>
                      </a:rPr>
                      <a:pPr>
                        <a:defRPr sz="800">
                          <a:solidFill>
                            <a:sysClr val="windowText" lastClr="000000"/>
                          </a:solidFill>
                          <a:latin typeface="Arial" panose="020B0604020202020204" pitchFamily="34" charset="0"/>
                          <a:cs typeface="Arial" panose="020B0604020202020204" pitchFamily="34" charset="0"/>
                        </a:defRPr>
                      </a:pPr>
                      <a:t>[PROCENTO]</a:t>
                    </a:fld>
                    <a:endParaRPr lang="cs-CZ"/>
                  </a:p>
                </c:rich>
              </c:tx>
              <c:numFmt formatCode="0.0%" sourceLinked="0"/>
              <c:spPr>
                <a:noFill/>
                <a:ln>
                  <a:noFill/>
                </a:ln>
                <a:effectLst/>
              </c:spPr>
              <c:showLegendKey val="0"/>
              <c:showVal val="0"/>
              <c:showCatName val="0"/>
              <c:showSerName val="0"/>
              <c:showPercent val="1"/>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2-ED3E-42BF-81ED-036085269D98}"/>
                </c:ext>
              </c:extLst>
            </c:dLbl>
            <c:numFmt formatCode="0.0%" sourceLinked="0"/>
            <c:spPr>
              <a:noFill/>
              <a:ln>
                <a:noFill/>
              </a:ln>
              <a:effectLst/>
            </c:spPr>
            <c:txPr>
              <a:bodyPr wrap="square" lIns="38100" tIns="19050" rIns="38100" bIns="19050" anchor="ctr">
                <a:spAutoFit/>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cs-CZ"/>
              </a:p>
            </c:txPr>
            <c:showLegendKey val="0"/>
            <c:showVal val="0"/>
            <c:showCatName val="0"/>
            <c:showSerName val="0"/>
            <c:showPercent val="1"/>
            <c:showBubbleSize val="0"/>
            <c:separator>
</c:separator>
            <c:showLeaderLines val="1"/>
            <c:extLst>
              <c:ext xmlns:c15="http://schemas.microsoft.com/office/drawing/2012/chart" uri="{CE6537A1-D6FC-4f65-9D91-7224C49458BB}">
                <c15:showDataLabelsRange val="1"/>
              </c:ext>
            </c:extLst>
          </c:dLbls>
          <c:cat>
            <c:strRef>
              <c:f>'2.1'!$B$15:$B$17</c:f>
              <c:strCache>
                <c:ptCount val="3"/>
                <c:pt idx="0">
                  <c:v> nemoc</c:v>
                </c:pt>
                <c:pt idx="1">
                  <c:v> pracovní úrazy</c:v>
                </c:pt>
                <c:pt idx="2">
                  <c:v> ostatní úrazy</c:v>
                </c:pt>
              </c:strCache>
            </c:strRef>
          </c:cat>
          <c:val>
            <c:numRef>
              <c:f>'2.1'!$N$15:$N$17</c:f>
              <c:numCache>
                <c:formatCode>#,##0</c:formatCode>
                <c:ptCount val="3"/>
                <c:pt idx="0">
                  <c:v>389753</c:v>
                </c:pt>
                <c:pt idx="1">
                  <c:v>15602</c:v>
                </c:pt>
                <c:pt idx="2">
                  <c:v>48589</c:v>
                </c:pt>
              </c:numCache>
            </c:numRef>
          </c:val>
          <c:extLst>
            <c:ext xmlns:c15="http://schemas.microsoft.com/office/drawing/2012/chart" uri="{02D57815-91ED-43cb-92C2-25804820EDAC}">
              <c15:datalabelsRange>
                <c15:f>'2.1'!$N$23:$N$25</c15:f>
                <c15:dlblRangeCache>
                  <c:ptCount val="3"/>
                  <c:pt idx="0">
                    <c:v>389,8 tis.</c:v>
                  </c:pt>
                  <c:pt idx="1">
                    <c:v>15,6 tis.</c:v>
                  </c:pt>
                  <c:pt idx="2">
                    <c:v>48,6 tis.</c:v>
                  </c:pt>
                </c15:dlblRangeCache>
              </c15:datalabelsRange>
            </c:ext>
            <c:ext xmlns:c16="http://schemas.microsoft.com/office/drawing/2014/chart" uri="{C3380CC4-5D6E-409C-BE32-E72D297353CC}">
              <c16:uniqueId val="{00000003-ED3E-42BF-81ED-036085269D98}"/>
            </c:ext>
          </c:extLst>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'2.9'!$D$5</c:f>
              <c:strCache>
                <c:ptCount val="1"/>
                <c:pt idx="0">
                  <c:v> nemoc</c:v>
                </c:pt>
              </c:strCache>
            </c:strRef>
          </c:tx>
          <c:spPr>
            <a:solidFill>
              <a:srgbClr val="6F2D2B"/>
            </a:solidFill>
            <a:ln>
              <a:noFill/>
            </a:ln>
            <a:effectLst/>
          </c:spPr>
          <c:invertIfNegative val="0"/>
          <c:cat>
            <c:multiLvlStrRef>
              <c:f>'2.9'!$A$6:$B$10</c:f>
              <c:multiLvlStrCache>
                <c:ptCount val="5"/>
                <c:lvl>
                  <c:pt idx="2">
                    <c:v>1–49</c:v>
                  </c:pt>
                  <c:pt idx="3">
                    <c:v>50–249</c:v>
                  </c:pt>
                  <c:pt idx="4">
                    <c:v>250 a více</c:v>
                  </c:pt>
                </c:lvl>
                <c:lvl>
                  <c:pt idx="0">
                    <c:v>CELKEM</c:v>
                  </c:pt>
                  <c:pt idx="1">
                    <c:v>OSVČ</c:v>
                  </c:pt>
                  <c:pt idx="2">
                    <c:v>zaměstnanci (počet)</c:v>
                  </c:pt>
                </c:lvl>
              </c:multiLvlStrCache>
            </c:multiLvlStrRef>
          </c:cat>
          <c:val>
            <c:numRef>
              <c:f>'2.9'!$D$6:$D$10</c:f>
              <c:numCache>
                <c:formatCode>#,##0.00</c:formatCode>
                <c:ptCount val="5"/>
                <c:pt idx="0">
                  <c:v>41.090733046565084</c:v>
                </c:pt>
                <c:pt idx="1">
                  <c:v>115.19373167155425</c:v>
                </c:pt>
                <c:pt idx="2">
                  <c:v>45.878625536970198</c:v>
                </c:pt>
                <c:pt idx="3">
                  <c:v>38.749567433092011</c:v>
                </c:pt>
                <c:pt idx="4">
                  <c:v>38.865276404146606</c:v>
                </c:pt>
              </c:numCache>
            </c:numRef>
          </c:val>
          <c:extLst>
            <c:ext xmlns:c16="http://schemas.microsoft.com/office/drawing/2014/chart" uri="{C3380CC4-5D6E-409C-BE32-E72D297353CC}">
              <c16:uniqueId val="{00000000-6B48-406C-B962-0879FAC9C83C}"/>
            </c:ext>
          </c:extLst>
        </c:ser>
        <c:ser>
          <c:idx val="2"/>
          <c:order val="1"/>
          <c:tx>
            <c:strRef>
              <c:f>'2.9'!$E$5</c:f>
              <c:strCache>
                <c:ptCount val="1"/>
                <c:pt idx="0">
                  <c:v> pracovní úraz</c:v>
                </c:pt>
              </c:strCache>
            </c:strRef>
          </c:tx>
          <c:spPr>
            <a:solidFill>
              <a:srgbClr val="C05350"/>
            </a:solidFill>
            <a:ln>
              <a:noFill/>
            </a:ln>
            <a:effectLst/>
          </c:spPr>
          <c:invertIfNegative val="0"/>
          <c:cat>
            <c:multiLvlStrRef>
              <c:f>'2.9'!$A$6:$B$10</c:f>
              <c:multiLvlStrCache>
                <c:ptCount val="5"/>
                <c:lvl>
                  <c:pt idx="2">
                    <c:v>1–49</c:v>
                  </c:pt>
                  <c:pt idx="3">
                    <c:v>50–249</c:v>
                  </c:pt>
                  <c:pt idx="4">
                    <c:v>250 a více</c:v>
                  </c:pt>
                </c:lvl>
                <c:lvl>
                  <c:pt idx="0">
                    <c:v>CELKEM</c:v>
                  </c:pt>
                  <c:pt idx="1">
                    <c:v>OSVČ</c:v>
                  </c:pt>
                  <c:pt idx="2">
                    <c:v>zaměstnanci (počet)</c:v>
                  </c:pt>
                </c:lvl>
              </c:multiLvlStrCache>
            </c:multiLvlStrRef>
          </c:cat>
          <c:val>
            <c:numRef>
              <c:f>'2.9'!$E$6:$E$10</c:f>
              <c:numCache>
                <c:formatCode>#,##0.00</c:formatCode>
                <c:ptCount val="5"/>
                <c:pt idx="0">
                  <c:v>57.075329485743822</c:v>
                </c:pt>
                <c:pt idx="1">
                  <c:v>102.96116504854369</c:v>
                </c:pt>
                <c:pt idx="2">
                  <c:v>58.482900136798904</c:v>
                </c:pt>
                <c:pt idx="3">
                  <c:v>53.228284771852664</c:v>
                </c:pt>
                <c:pt idx="4">
                  <c:v>58.580022019817839</c:v>
                </c:pt>
              </c:numCache>
            </c:numRef>
          </c:val>
          <c:extLst>
            <c:ext xmlns:c16="http://schemas.microsoft.com/office/drawing/2014/chart" uri="{C3380CC4-5D6E-409C-BE32-E72D297353CC}">
              <c16:uniqueId val="{00000001-6B48-406C-B962-0879FAC9C83C}"/>
            </c:ext>
          </c:extLst>
        </c:ser>
        <c:ser>
          <c:idx val="3"/>
          <c:order val="2"/>
          <c:tx>
            <c:strRef>
              <c:f>'2.9'!$F$5</c:f>
              <c:strCache>
                <c:ptCount val="1"/>
                <c:pt idx="0">
                  <c:v> ostatní úraz</c:v>
                </c:pt>
              </c:strCache>
            </c:strRef>
          </c:tx>
          <c:spPr>
            <a:solidFill>
              <a:srgbClr val="DA9896"/>
            </a:solidFill>
            <a:ln>
              <a:noFill/>
            </a:ln>
            <a:effectLst/>
          </c:spPr>
          <c:invertIfNegative val="0"/>
          <c:cat>
            <c:multiLvlStrRef>
              <c:f>'2.9'!$A$6:$B$10</c:f>
              <c:multiLvlStrCache>
                <c:ptCount val="5"/>
                <c:lvl>
                  <c:pt idx="2">
                    <c:v>1–49</c:v>
                  </c:pt>
                  <c:pt idx="3">
                    <c:v>50–249</c:v>
                  </c:pt>
                  <c:pt idx="4">
                    <c:v>250 a více</c:v>
                  </c:pt>
                </c:lvl>
                <c:lvl>
                  <c:pt idx="0">
                    <c:v>CELKEM</c:v>
                  </c:pt>
                  <c:pt idx="1">
                    <c:v>OSVČ</c:v>
                  </c:pt>
                  <c:pt idx="2">
                    <c:v>zaměstnanci (počet)</c:v>
                  </c:pt>
                </c:lvl>
              </c:multiLvlStrCache>
            </c:multiLvlStrRef>
          </c:cat>
          <c:val>
            <c:numRef>
              <c:f>'2.9'!$F$6:$F$10</c:f>
              <c:numCache>
                <c:formatCode>#,##0.00</c:formatCode>
                <c:ptCount val="5"/>
                <c:pt idx="0">
                  <c:v>55.569254320487843</c:v>
                </c:pt>
                <c:pt idx="1">
                  <c:v>100.73526824978012</c:v>
                </c:pt>
                <c:pt idx="2">
                  <c:v>61.207678883071551</c:v>
                </c:pt>
                <c:pt idx="3">
                  <c:v>52.694126659856998</c:v>
                </c:pt>
                <c:pt idx="4">
                  <c:v>51.908187873220029</c:v>
                </c:pt>
              </c:numCache>
            </c:numRef>
          </c:val>
          <c:extLst>
            <c:ext xmlns:c16="http://schemas.microsoft.com/office/drawing/2014/chart" uri="{C3380CC4-5D6E-409C-BE32-E72D297353CC}">
              <c16:uniqueId val="{00000002-6B48-406C-B962-0879FAC9C83C}"/>
            </c:ext>
          </c:extLst>
        </c:ser>
        <c:dLbls>
          <c:showLegendKey val="0"/>
          <c:showVal val="0"/>
          <c:showCatName val="0"/>
          <c:showSerName val="0"/>
          <c:showPercent val="0"/>
          <c:showBubbleSize val="0"/>
        </c:dLbls>
        <c:gapWidth val="219"/>
        <c:axId val="976889184"/>
        <c:axId val="976890016"/>
      </c:barChart>
      <c:catAx>
        <c:axId val="97688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76890016"/>
        <c:crosses val="autoZero"/>
        <c:auto val="1"/>
        <c:lblAlgn val="ctr"/>
        <c:lblOffset val="100"/>
        <c:noMultiLvlLbl val="0"/>
      </c:catAx>
      <c:valAx>
        <c:axId val="976890016"/>
        <c:scaling>
          <c:orientation val="minMax"/>
          <c:max val="1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počet dnů</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768891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887246285767206"/>
          <c:y val="2.9451137884872823E-2"/>
          <c:w val="0.4875648725873229"/>
          <c:h val="0.85166450579219766"/>
        </c:manualLayout>
      </c:layout>
      <c:barChart>
        <c:barDir val="bar"/>
        <c:grouping val="clustered"/>
        <c:varyColors val="0"/>
        <c:ser>
          <c:idx val="0"/>
          <c:order val="0"/>
          <c:tx>
            <c:strRef>
              <c:f>'2.10'!$B$27</c:f>
              <c:strCache>
                <c:ptCount val="1"/>
                <c:pt idx="0">
                  <c:v>1. pol. 2019</c:v>
                </c:pt>
              </c:strCache>
            </c:strRef>
          </c:tx>
          <c:spPr>
            <a:solidFill>
              <a:srgbClr val="DA9896"/>
            </a:solidFill>
            <a:ln>
              <a:noFill/>
            </a:ln>
            <a:effectLst/>
          </c:spPr>
          <c:invertIfNegative val="0"/>
          <c:dPt>
            <c:idx val="11"/>
            <c:invertIfNegative val="0"/>
            <c:bubble3D val="0"/>
            <c:spPr>
              <a:solidFill>
                <a:srgbClr val="DA9896"/>
              </a:solidFill>
              <a:ln w="31750">
                <a:solidFill>
                  <a:srgbClr val="A50021"/>
                </a:solidFill>
              </a:ln>
              <a:effectLst/>
            </c:spPr>
            <c:extLst>
              <c:ext xmlns:c16="http://schemas.microsoft.com/office/drawing/2014/chart" uri="{C3380CC4-5D6E-409C-BE32-E72D297353CC}">
                <c16:uniqueId val="{00000002-0BEE-4363-BA9A-9E7B3882545C}"/>
              </c:ext>
            </c:extLst>
          </c:dPt>
          <c:dPt>
            <c:idx val="12"/>
            <c:invertIfNegative val="0"/>
            <c:bubble3D val="0"/>
            <c:spPr>
              <a:solidFill>
                <a:srgbClr val="DA9896"/>
              </a:solidFill>
              <a:ln w="31750">
                <a:noFill/>
              </a:ln>
              <a:effectLst/>
            </c:spPr>
            <c:extLst>
              <c:ext xmlns:c16="http://schemas.microsoft.com/office/drawing/2014/chart" uri="{C3380CC4-5D6E-409C-BE32-E72D297353CC}">
                <c16:uniqueId val="{00000001-4C54-4155-A3D7-B5D0BC98B069}"/>
              </c:ext>
            </c:extLst>
          </c:dPt>
          <c:cat>
            <c:strRef>
              <c:f>'2.10'!$A$29:$A$48</c:f>
              <c:strCache>
                <c:ptCount val="20"/>
                <c:pt idx="0">
                  <c:v>J – Informační a komunikační činnosti</c:v>
                </c:pt>
                <c:pt idx="1">
                  <c:v>M – Profesní, vědecké a technické činnosti</c:v>
                </c:pt>
                <c:pt idx="2">
                  <c:v>L – Činnosti v oblasti nemovitostí</c:v>
                </c:pt>
                <c:pt idx="3">
                  <c:v>K – Peněžnictví a pojišťovnictví</c:v>
                </c:pt>
                <c:pt idx="4">
                  <c:v>R – Kulturní, zábavní a rekreační činnosti</c:v>
                </c:pt>
                <c:pt idx="5">
                  <c:v>D – Výroba a rozvod elektřiny, plynu, 
tepla a klimatizovaného vzduchu</c:v>
                </c:pt>
                <c:pt idx="6">
                  <c:v>P – Vzdělávání</c:v>
                </c:pt>
                <c:pt idx="7">
                  <c:v>O – Veřejná správa a obrana; povinné sociální zabezpečení</c:v>
                </c:pt>
                <c:pt idx="8">
                  <c:v>S – Ostatní činnosti</c:v>
                </c:pt>
                <c:pt idx="9">
                  <c:v>Q – Zdravotní a sociální péče</c:v>
                </c:pt>
                <c:pt idx="10">
                  <c:v>I – Ubytování, stravování a pohostinství</c:v>
                </c:pt>
                <c:pt idx="11">
                  <c:v>CELKEM</c:v>
                </c:pt>
                <c:pt idx="12">
                  <c:v>G – Velkoobchod a maloobchod; 
opravy a údržba motorových vozidel</c:v>
                </c:pt>
                <c:pt idx="13">
                  <c:v>H – Doprava a skladování</c:v>
                </c:pt>
                <c:pt idx="14">
                  <c:v>F – Stavebnictví</c:v>
                </c:pt>
                <c:pt idx="15">
                  <c:v>E – Zásobování vodou; činnosti související 
s odpadními vodami, odpady a sanacemi</c:v>
                </c:pt>
                <c:pt idx="16">
                  <c:v>N – Administrativní a podpůrné činnosti</c:v>
                </c:pt>
                <c:pt idx="17">
                  <c:v>A – Zemědělství, lesnictví a rybářství</c:v>
                </c:pt>
                <c:pt idx="18">
                  <c:v>B – Těžba a dobývání</c:v>
                </c:pt>
                <c:pt idx="19">
                  <c:v>C – Zpracovatelský průmysl</c:v>
                </c:pt>
              </c:strCache>
            </c:strRef>
          </c:cat>
          <c:val>
            <c:numRef>
              <c:f>'2.10'!$B$29:$B$48</c:f>
              <c:numCache>
                <c:formatCode>0.00</c:formatCode>
                <c:ptCount val="20"/>
                <c:pt idx="0">
                  <c:v>1.9741945419</c:v>
                </c:pt>
                <c:pt idx="1">
                  <c:v>2.5708723614000002</c:v>
                </c:pt>
                <c:pt idx="2">
                  <c:v>2.6529413488000002</c:v>
                </c:pt>
                <c:pt idx="3">
                  <c:v>2.7386827023999998</c:v>
                </c:pt>
                <c:pt idx="4">
                  <c:v>3.2763502589</c:v>
                </c:pt>
                <c:pt idx="5">
                  <c:v>3.2836346989999998</c:v>
                </c:pt>
                <c:pt idx="6">
                  <c:v>3.4058745078000001</c:v>
                </c:pt>
                <c:pt idx="7">
                  <c:v>3.5378141331999999</c:v>
                </c:pt>
                <c:pt idx="8">
                  <c:v>4.1126522739000002</c:v>
                </c:pt>
                <c:pt idx="9">
                  <c:v>4.6903950022999998</c:v>
                </c:pt>
                <c:pt idx="10">
                  <c:v>4.7559733915000004</c:v>
                </c:pt>
                <c:pt idx="11">
                  <c:v>4.8494297227000001</c:v>
                </c:pt>
                <c:pt idx="12">
                  <c:v>5.0697209594999997</c:v>
                </c:pt>
                <c:pt idx="13">
                  <c:v>5.1128014719000001</c:v>
                </c:pt>
                <c:pt idx="14">
                  <c:v>5.2362668280999998</c:v>
                </c:pt>
                <c:pt idx="15">
                  <c:v>5.4187299150000001</c:v>
                </c:pt>
                <c:pt idx="16">
                  <c:v>5.6747788022999996</c:v>
                </c:pt>
                <c:pt idx="17">
                  <c:v>5.8364012365000004</c:v>
                </c:pt>
                <c:pt idx="18">
                  <c:v>6.1140866758000003</c:v>
                </c:pt>
                <c:pt idx="19">
                  <c:v>6.2743354580000004</c:v>
                </c:pt>
              </c:numCache>
            </c:numRef>
          </c:val>
          <c:extLst>
            <c:ext xmlns:c16="http://schemas.microsoft.com/office/drawing/2014/chart" uri="{C3380CC4-5D6E-409C-BE32-E72D297353CC}">
              <c16:uniqueId val="{00000002-4C54-4155-A3D7-B5D0BC98B069}"/>
            </c:ext>
          </c:extLst>
        </c:ser>
        <c:dLbls>
          <c:showLegendKey val="0"/>
          <c:showVal val="0"/>
          <c:showCatName val="0"/>
          <c:showSerName val="0"/>
          <c:showPercent val="0"/>
          <c:showBubbleSize val="0"/>
        </c:dLbls>
        <c:gapWidth val="182"/>
        <c:axId val="862625392"/>
        <c:axId val="862628304"/>
      </c:barChart>
      <c:catAx>
        <c:axId val="862625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62628304"/>
        <c:crosses val="autoZero"/>
        <c:auto val="1"/>
        <c:lblAlgn val="ctr"/>
        <c:lblOffset val="100"/>
        <c:noMultiLvlLbl val="0"/>
      </c:catAx>
      <c:valAx>
        <c:axId val="8626283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p>
            </c:rich>
          </c:tx>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62625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989635150819765"/>
          <c:y val="4.1548630783758263E-2"/>
          <c:w val="0.73901205053822594"/>
          <c:h val="0.79073349542355365"/>
        </c:manualLayout>
      </c:layout>
      <c:barChart>
        <c:barDir val="bar"/>
        <c:grouping val="clustered"/>
        <c:varyColors val="0"/>
        <c:ser>
          <c:idx val="0"/>
          <c:order val="0"/>
          <c:tx>
            <c:strRef>
              <c:f>'2.11'!$B$21</c:f>
              <c:strCache>
                <c:ptCount val="1"/>
                <c:pt idx="0">
                  <c:v>1. pol. 2019</c:v>
                </c:pt>
              </c:strCache>
            </c:strRef>
          </c:tx>
          <c:spPr>
            <a:solidFill>
              <a:srgbClr val="DA9896"/>
            </a:solidFill>
            <a:ln>
              <a:noFill/>
            </a:ln>
            <a:effectLst/>
          </c:spPr>
          <c:invertIfNegative val="0"/>
          <c:dPt>
            <c:idx val="2"/>
            <c:invertIfNegative val="0"/>
            <c:bubble3D val="0"/>
            <c:spPr>
              <a:solidFill>
                <a:srgbClr val="DA9896"/>
              </a:solidFill>
              <a:ln w="31750">
                <a:solidFill>
                  <a:srgbClr val="A50021"/>
                </a:solidFill>
              </a:ln>
              <a:effectLst/>
            </c:spPr>
            <c:extLst>
              <c:ext xmlns:c16="http://schemas.microsoft.com/office/drawing/2014/chart" uri="{C3380CC4-5D6E-409C-BE32-E72D297353CC}">
                <c16:uniqueId val="{00000001-79D4-4F18-9D61-780B24F78E4B}"/>
              </c:ext>
            </c:extLst>
          </c:dPt>
          <c:cat>
            <c:strRef>
              <c:f>'2.11'!$A$22:$A$36</c:f>
              <c:strCache>
                <c:ptCount val="15"/>
                <c:pt idx="0">
                  <c:v>Hl. m. Praha</c:v>
                </c:pt>
                <c:pt idx="1">
                  <c:v>Jihomoravský kraj</c:v>
                </c:pt>
                <c:pt idx="2">
                  <c:v>ČR CELKEM</c:v>
                </c:pt>
                <c:pt idx="3">
                  <c:v>Středočeský kraj</c:v>
                </c:pt>
                <c:pt idx="4">
                  <c:v>Královéhradecký kraj</c:v>
                </c:pt>
                <c:pt idx="5">
                  <c:v>Pardubický kraj</c:v>
                </c:pt>
                <c:pt idx="6">
                  <c:v>Olomoucký kraj</c:v>
                </c:pt>
                <c:pt idx="7">
                  <c:v>Karlovarský kraj</c:v>
                </c:pt>
                <c:pt idx="8">
                  <c:v>Plzeňský kraj</c:v>
                </c:pt>
                <c:pt idx="9">
                  <c:v>Ústecký kraj</c:v>
                </c:pt>
                <c:pt idx="10">
                  <c:v>Liberecký kraj</c:v>
                </c:pt>
                <c:pt idx="11">
                  <c:v>Jihočeský kraj</c:v>
                </c:pt>
                <c:pt idx="12">
                  <c:v>Vysočina</c:v>
                </c:pt>
                <c:pt idx="13">
                  <c:v>Zlínský kraj</c:v>
                </c:pt>
                <c:pt idx="14">
                  <c:v>Moravskoslezský kraj</c:v>
                </c:pt>
              </c:strCache>
            </c:strRef>
          </c:cat>
          <c:val>
            <c:numRef>
              <c:f>'2.11'!$B$22:$B$36</c:f>
              <c:numCache>
                <c:formatCode>0.00</c:formatCode>
                <c:ptCount val="15"/>
                <c:pt idx="0">
                  <c:v>3.6241640477999999</c:v>
                </c:pt>
                <c:pt idx="1">
                  <c:v>4.7920895321000003</c:v>
                </c:pt>
                <c:pt idx="2">
                  <c:v>4.8494297227000001</c:v>
                </c:pt>
                <c:pt idx="3">
                  <c:v>4.9583657012</c:v>
                </c:pt>
                <c:pt idx="4">
                  <c:v>5.0450559291000001</c:v>
                </c:pt>
                <c:pt idx="5">
                  <c:v>5.1080595562999997</c:v>
                </c:pt>
                <c:pt idx="6">
                  <c:v>5.1866915991000004</c:v>
                </c:pt>
                <c:pt idx="7">
                  <c:v>5.2027732628000001</c:v>
                </c:pt>
                <c:pt idx="8">
                  <c:v>5.2230084662999996</c:v>
                </c:pt>
                <c:pt idx="9">
                  <c:v>5.2571320172</c:v>
                </c:pt>
                <c:pt idx="10">
                  <c:v>5.3561331828999998</c:v>
                </c:pt>
                <c:pt idx="11">
                  <c:v>5.5828888244000003</c:v>
                </c:pt>
                <c:pt idx="12">
                  <c:v>5.6252364033999998</c:v>
                </c:pt>
                <c:pt idx="13">
                  <c:v>5.8176758423999999</c:v>
                </c:pt>
                <c:pt idx="14">
                  <c:v>5.9648320808999999</c:v>
                </c:pt>
              </c:numCache>
            </c:numRef>
          </c:val>
          <c:extLst>
            <c:ext xmlns:c16="http://schemas.microsoft.com/office/drawing/2014/chart" uri="{C3380CC4-5D6E-409C-BE32-E72D297353CC}">
              <c16:uniqueId val="{00000002-79D4-4F18-9D61-780B24F78E4B}"/>
            </c:ext>
          </c:extLst>
        </c:ser>
        <c:dLbls>
          <c:showLegendKey val="0"/>
          <c:showVal val="0"/>
          <c:showCatName val="0"/>
          <c:showSerName val="0"/>
          <c:showPercent val="0"/>
          <c:showBubbleSize val="0"/>
        </c:dLbls>
        <c:gapWidth val="182"/>
        <c:axId val="831742672"/>
        <c:axId val="691316720"/>
      </c:barChart>
      <c:catAx>
        <c:axId val="831742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91316720"/>
        <c:crosses val="autoZero"/>
        <c:auto val="1"/>
        <c:lblAlgn val="ctr"/>
        <c:lblOffset val="100"/>
        <c:noMultiLvlLbl val="0"/>
      </c:catAx>
      <c:valAx>
        <c:axId val="691316720"/>
        <c:scaling>
          <c:orientation val="minMax"/>
          <c:max val="6"/>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p>
            </c:rich>
          </c:tx>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317426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000">
                <a:solidFill>
                  <a:schemeClr val="tx1">
                    <a:lumMod val="65000"/>
                    <a:lumOff val="35000"/>
                  </a:schemeClr>
                </a:solidFill>
                <a:latin typeface="Arial" pitchFamily="34" charset="0"/>
                <a:cs typeface="Arial" pitchFamily="34" charset="0"/>
              </a:defRPr>
            </a:pPr>
            <a:r>
              <a:rPr lang="en-US">
                <a:solidFill>
                  <a:sysClr val="windowText" lastClr="000000"/>
                </a:solidFill>
              </a:rPr>
              <a:t>ženy</a:t>
            </a:r>
          </a:p>
        </c:rich>
      </c:tx>
      <c:layout>
        <c:manualLayout>
          <c:xMode val="edge"/>
          <c:yMode val="edge"/>
          <c:x val="0.51702784140587188"/>
          <c:y val="1.8518518518518517E-2"/>
        </c:manualLayout>
      </c:layout>
      <c:overlay val="0"/>
    </c:title>
    <c:autoTitleDeleted val="0"/>
    <c:plotArea>
      <c:layout>
        <c:manualLayout>
          <c:layoutTarget val="inner"/>
          <c:xMode val="edge"/>
          <c:yMode val="edge"/>
          <c:x val="0.33971681684502603"/>
          <c:y val="0.20240157480314958"/>
          <c:w val="0.48854694308155877"/>
          <c:h val="0.69010425780110818"/>
        </c:manualLayout>
      </c:layout>
      <c:doughnutChart>
        <c:varyColors val="1"/>
        <c:ser>
          <c:idx val="0"/>
          <c:order val="0"/>
          <c:tx>
            <c:strRef>
              <c:f>'2.1'!$A$9</c:f>
              <c:strCache>
                <c:ptCount val="1"/>
                <c:pt idx="0">
                  <c:v>ženy</c:v>
                </c:pt>
              </c:strCache>
            </c:strRef>
          </c:tx>
          <c:spPr>
            <a:ln>
              <a:solidFill>
                <a:prstClr val="white"/>
              </a:solidFill>
            </a:ln>
          </c:spPr>
          <c:dLbls>
            <c:dLbl>
              <c:idx val="0"/>
              <c:layout/>
              <c:tx>
                <c:rich>
                  <a:bodyPr wrap="square" lIns="38100" tIns="19050" rIns="38100" bIns="19050" anchor="ctr">
                    <a:spAutoFit/>
                  </a:bodyPr>
                  <a:lstStyle/>
                  <a:p>
                    <a:pPr>
                      <a:defRPr sz="800">
                        <a:solidFill>
                          <a:srgbClr val="D9D9D9"/>
                        </a:solidFill>
                        <a:latin typeface="Arial" panose="020B0604020202020204" pitchFamily="34" charset="0"/>
                        <a:cs typeface="Arial" panose="020B0604020202020204" pitchFamily="34" charset="0"/>
                      </a:defRPr>
                    </a:pPr>
                    <a:fld id="{37C0F659-2F72-4AE4-B4F3-2A10DE9D3179}" type="CELLRANGE">
                      <a:rPr lang="en-US"/>
                      <a:pPr>
                        <a:defRPr sz="800">
                          <a:solidFill>
                            <a:srgbClr val="D9D9D9"/>
                          </a:solidFill>
                          <a:latin typeface="Arial" panose="020B0604020202020204" pitchFamily="34" charset="0"/>
                          <a:cs typeface="Arial" panose="020B0604020202020204" pitchFamily="34" charset="0"/>
                        </a:defRPr>
                      </a:pPr>
                      <a:t>[OBLAST BUNĚK]</a:t>
                    </a:fld>
                    <a:endParaRPr lang="en-US" baseline="0"/>
                  </a:p>
                  <a:p>
                    <a:pPr>
                      <a:defRPr sz="800">
                        <a:solidFill>
                          <a:srgbClr val="D9D9D9"/>
                        </a:solidFill>
                        <a:latin typeface="Arial" panose="020B0604020202020204" pitchFamily="34" charset="0"/>
                        <a:cs typeface="Arial" panose="020B0604020202020204" pitchFamily="34" charset="0"/>
                      </a:defRPr>
                    </a:pPr>
                    <a:fld id="{B8358D7A-3733-4338-816C-3D2181D99008}" type="PERCENTAGE">
                      <a:rPr lang="en-US"/>
                      <a:pPr>
                        <a:defRPr sz="800">
                          <a:solidFill>
                            <a:srgbClr val="D9D9D9"/>
                          </a:solidFill>
                          <a:latin typeface="Arial" panose="020B0604020202020204" pitchFamily="34" charset="0"/>
                          <a:cs typeface="Arial" panose="020B0604020202020204" pitchFamily="34" charset="0"/>
                        </a:defRPr>
                      </a:pPr>
                      <a:t>[PROCENTO]</a:t>
                    </a:fld>
                    <a:endParaRPr lang="cs-CZ"/>
                  </a:p>
                </c:rich>
              </c:tx>
              <c:numFmt formatCode="0.0%" sourceLinked="0"/>
              <c:spPr>
                <a:noFill/>
                <a:ln>
                  <a:noFill/>
                </a:ln>
                <a:effectLst/>
              </c:spPr>
              <c:showLegendKey val="0"/>
              <c:showVal val="0"/>
              <c:showCatName val="0"/>
              <c:showSerName val="0"/>
              <c:showPercent val="1"/>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9CD8-4A50-8AFF-533B19EA35D8}"/>
                </c:ext>
              </c:extLst>
            </c:dLbl>
            <c:dLbl>
              <c:idx val="1"/>
              <c:layout>
                <c:manualLayout>
                  <c:x val="-6.5970255005943251E-2"/>
                  <c:y val="-0.1120400124025764"/>
                </c:manualLayout>
              </c:layout>
              <c:tx>
                <c:rich>
                  <a:bodyPr wrap="square" lIns="38100" tIns="19050" rIns="38100" bIns="19050" anchor="ctr">
                    <a:spAutoFit/>
                  </a:bodyPr>
                  <a:lstStyle/>
                  <a:p>
                    <a:pPr>
                      <a:defRPr sz="800">
                        <a:solidFill>
                          <a:schemeClr val="tx1"/>
                        </a:solidFill>
                        <a:latin typeface="Arial" panose="020B0604020202020204" pitchFamily="34" charset="0"/>
                        <a:cs typeface="Arial" panose="020B0604020202020204" pitchFamily="34" charset="0"/>
                      </a:defRPr>
                    </a:pPr>
                    <a:fld id="{7BEE64F1-4E60-45E8-A4F3-F15F5D4C90FC}" type="CELLRANGE">
                      <a:rPr lang="en-US"/>
                      <a:pPr>
                        <a:defRPr sz="800">
                          <a:solidFill>
                            <a:schemeClr val="tx1"/>
                          </a:solidFill>
                          <a:latin typeface="Arial" panose="020B0604020202020204" pitchFamily="34" charset="0"/>
                          <a:cs typeface="Arial" panose="020B0604020202020204" pitchFamily="34" charset="0"/>
                        </a:defRPr>
                      </a:pPr>
                      <a:t>[OBLAST BUNĚK]</a:t>
                    </a:fld>
                    <a:endParaRPr lang="en-US" baseline="0"/>
                  </a:p>
                  <a:p>
                    <a:pPr>
                      <a:defRPr sz="800">
                        <a:solidFill>
                          <a:schemeClr val="tx1"/>
                        </a:solidFill>
                        <a:latin typeface="Arial" panose="020B0604020202020204" pitchFamily="34" charset="0"/>
                        <a:cs typeface="Arial" panose="020B0604020202020204" pitchFamily="34" charset="0"/>
                      </a:defRPr>
                    </a:pPr>
                    <a:fld id="{2066802F-D28F-4860-B6DE-13477CB52077}" type="PERCENTAGE">
                      <a:rPr lang="en-US"/>
                      <a:pPr>
                        <a:defRPr sz="800">
                          <a:solidFill>
                            <a:schemeClr val="tx1"/>
                          </a:solidFill>
                          <a:latin typeface="Arial" panose="020B0604020202020204" pitchFamily="34" charset="0"/>
                          <a:cs typeface="Arial" panose="020B0604020202020204" pitchFamily="34" charset="0"/>
                        </a:defRPr>
                      </a:pPr>
                      <a:t>[PROCENTO]</a:t>
                    </a:fld>
                    <a:endParaRPr lang="cs-CZ"/>
                  </a:p>
                </c:rich>
              </c:tx>
              <c:numFmt formatCode="0.0%" sourceLinked="0"/>
              <c:spPr>
                <a:noFill/>
                <a:ln>
                  <a:noFill/>
                </a:ln>
                <a:effectLst/>
              </c:spPr>
              <c:showLegendKey val="0"/>
              <c:showVal val="0"/>
              <c:showCatName val="0"/>
              <c:showSerName val="0"/>
              <c:showPercent val="1"/>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9CD8-4A50-8AFF-533B19EA35D8}"/>
                </c:ext>
              </c:extLst>
            </c:dLbl>
            <c:dLbl>
              <c:idx val="2"/>
              <c:layout>
                <c:manualLayout>
                  <c:x val="1.3888888888888888E-2"/>
                  <c:y val="-0.14351851851851852"/>
                </c:manualLayout>
              </c:layout>
              <c:tx>
                <c:rich>
                  <a:bodyPr wrap="square" lIns="38100" tIns="19050" rIns="38100" bIns="19050" anchor="ctr">
                    <a:spAutoFit/>
                  </a:bodyPr>
                  <a:lstStyle/>
                  <a:p>
                    <a:pPr>
                      <a:defRPr sz="800">
                        <a:solidFill>
                          <a:schemeClr val="tx1"/>
                        </a:solidFill>
                        <a:latin typeface="Arial" panose="020B0604020202020204" pitchFamily="34" charset="0"/>
                        <a:cs typeface="Arial" panose="020B0604020202020204" pitchFamily="34" charset="0"/>
                      </a:defRPr>
                    </a:pPr>
                    <a:fld id="{10A6194F-BFCC-4E7B-B0DB-A7302FE2D65E}" type="CELLRANGE">
                      <a:rPr lang="en-US"/>
                      <a:pPr>
                        <a:defRPr sz="800">
                          <a:solidFill>
                            <a:schemeClr val="tx1"/>
                          </a:solidFill>
                          <a:latin typeface="Arial" panose="020B0604020202020204" pitchFamily="34" charset="0"/>
                          <a:cs typeface="Arial" panose="020B0604020202020204" pitchFamily="34" charset="0"/>
                        </a:defRPr>
                      </a:pPr>
                      <a:t>[OBLAST BUNĚK]</a:t>
                    </a:fld>
                    <a:endParaRPr lang="en-US" baseline="0"/>
                  </a:p>
                  <a:p>
                    <a:pPr>
                      <a:defRPr sz="800">
                        <a:solidFill>
                          <a:schemeClr val="tx1"/>
                        </a:solidFill>
                        <a:latin typeface="Arial" panose="020B0604020202020204" pitchFamily="34" charset="0"/>
                        <a:cs typeface="Arial" panose="020B0604020202020204" pitchFamily="34" charset="0"/>
                      </a:defRPr>
                    </a:pPr>
                    <a:fld id="{F28D6552-B558-42D2-9908-186ADFE8E883}" type="PERCENTAGE">
                      <a:rPr lang="en-US"/>
                      <a:pPr>
                        <a:defRPr sz="800">
                          <a:solidFill>
                            <a:schemeClr val="tx1"/>
                          </a:solidFill>
                          <a:latin typeface="Arial" panose="020B0604020202020204" pitchFamily="34" charset="0"/>
                          <a:cs typeface="Arial" panose="020B0604020202020204" pitchFamily="34" charset="0"/>
                        </a:defRPr>
                      </a:pPr>
                      <a:t>[PROCENTO]</a:t>
                    </a:fld>
                    <a:endParaRPr lang="cs-CZ"/>
                  </a:p>
                </c:rich>
              </c:tx>
              <c:numFmt formatCode="0.0%" sourceLinked="0"/>
              <c:spPr>
                <a:noFill/>
                <a:ln>
                  <a:noFill/>
                </a:ln>
                <a:effectLst/>
              </c:spPr>
              <c:showLegendKey val="0"/>
              <c:showVal val="0"/>
              <c:showCatName val="0"/>
              <c:showSerName val="0"/>
              <c:showPercent val="1"/>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2-9CD8-4A50-8AFF-533B19EA35D8}"/>
                </c:ext>
              </c:extLst>
            </c:dLbl>
            <c:numFmt formatCode="0.0%" sourceLinked="0"/>
            <c:spPr>
              <a:noFill/>
              <a:ln>
                <a:noFill/>
              </a:ln>
              <a:effectLst/>
            </c:spPr>
            <c:txPr>
              <a:bodyPr wrap="square" lIns="38100" tIns="19050" rIns="38100" bIns="19050" anchor="ctr">
                <a:spAutoFit/>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cs-CZ"/>
              </a:p>
            </c:txPr>
            <c:showLegendKey val="0"/>
            <c:showVal val="0"/>
            <c:showCatName val="0"/>
            <c:showSerName val="0"/>
            <c:showPercent val="1"/>
            <c:showBubbleSize val="0"/>
            <c:separator>
</c:separator>
            <c:showLeaderLines val="1"/>
            <c:extLst>
              <c:ext xmlns:c15="http://schemas.microsoft.com/office/drawing/2012/chart" uri="{CE6537A1-D6FC-4f65-9D91-7224C49458BB}">
                <c15:showDataLabelsRange val="1"/>
              </c:ext>
            </c:extLst>
          </c:dLbls>
          <c:cat>
            <c:strRef>
              <c:f>'2.1'!$B$10:$B$12</c:f>
              <c:strCache>
                <c:ptCount val="3"/>
                <c:pt idx="0">
                  <c:v> nemoc</c:v>
                </c:pt>
                <c:pt idx="1">
                  <c:v> pracovní úrazy</c:v>
                </c:pt>
                <c:pt idx="2">
                  <c:v> ostatní úrazy</c:v>
                </c:pt>
              </c:strCache>
            </c:strRef>
          </c:cat>
          <c:val>
            <c:numRef>
              <c:f>'2.1'!$N$10:$N$12</c:f>
              <c:numCache>
                <c:formatCode>#,##0</c:formatCode>
                <c:ptCount val="3"/>
                <c:pt idx="0">
                  <c:v>482961</c:v>
                </c:pt>
                <c:pt idx="1">
                  <c:v>7616</c:v>
                </c:pt>
                <c:pt idx="2">
                  <c:v>30453</c:v>
                </c:pt>
              </c:numCache>
            </c:numRef>
          </c:val>
          <c:extLst>
            <c:ext xmlns:c15="http://schemas.microsoft.com/office/drawing/2012/chart" uri="{02D57815-91ED-43cb-92C2-25804820EDAC}">
              <c15:datalabelsRange>
                <c15:f>'2.1'!$N$19:$N$21</c15:f>
                <c15:dlblRangeCache>
                  <c:ptCount val="3"/>
                  <c:pt idx="0">
                    <c:v>483,0 tis.</c:v>
                  </c:pt>
                  <c:pt idx="1">
                    <c:v>7,6 tis. </c:v>
                  </c:pt>
                  <c:pt idx="2">
                    <c:v>30,5 tis.</c:v>
                  </c:pt>
                </c15:dlblRangeCache>
              </c15:datalabelsRange>
            </c:ext>
            <c:ext xmlns:c16="http://schemas.microsoft.com/office/drawing/2014/chart" uri="{C3380CC4-5D6E-409C-BE32-E72D297353CC}">
              <c16:uniqueId val="{00000003-9CD8-4A50-8AFF-533B19EA35D8}"/>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
          <c:y val="0.35710228929717125"/>
          <c:w val="0.24377617454479392"/>
          <c:h val="0.34044801691455229"/>
        </c:manualLayout>
      </c:layout>
      <c:overlay val="0"/>
      <c:txPr>
        <a:bodyPr/>
        <a:lstStyle/>
        <a:p>
          <a:pPr rtl="0">
            <a:defRPr sz="800">
              <a:latin typeface="Arial" pitchFamily="34" charset="0"/>
              <a:cs typeface="Arial" pitchFamily="34" charset="0"/>
            </a:defRPr>
          </a:pPr>
          <a:endParaRPr lang="cs-CZ"/>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'2.2'!$I$4</c:f>
              <c:strCache>
                <c:ptCount val="1"/>
                <c:pt idx="0">
                  <c:v>  nemoc</c:v>
                </c:pt>
              </c:strCache>
            </c:strRef>
          </c:tx>
          <c:spPr>
            <a:solidFill>
              <a:srgbClr val="6F2D2B"/>
            </a:solidFill>
            <a:ln>
              <a:noFill/>
            </a:ln>
            <a:effectLst/>
          </c:spPr>
          <c:invertIfNegative val="0"/>
          <c:cat>
            <c:strRef>
              <c:f>'2.2'!$H$5:$H$16</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'2.2'!$I$5:$I$16</c:f>
              <c:numCache>
                <c:formatCode>#,##0.00</c:formatCode>
                <c:ptCount val="12"/>
                <c:pt idx="0">
                  <c:v>22.705371367197866</c:v>
                </c:pt>
                <c:pt idx="1">
                  <c:v>16.110979803139699</c:v>
                </c:pt>
                <c:pt idx="2">
                  <c:v>14.952929749871979</c:v>
                </c:pt>
                <c:pt idx="3">
                  <c:v>15.489533578577863</c:v>
                </c:pt>
                <c:pt idx="4">
                  <c:v>11.93368136212951</c:v>
                </c:pt>
                <c:pt idx="5">
                  <c:v>15.22353919027414</c:v>
                </c:pt>
                <c:pt idx="6">
                  <c:v>13.124563413687495</c:v>
                </c:pt>
                <c:pt idx="7">
                  <c:v>17.529538058975476</c:v>
                </c:pt>
                <c:pt idx="8">
                  <c:v>17.118336039193487</c:v>
                </c:pt>
                <c:pt idx="9">
                  <c:v>18.168811341669436</c:v>
                </c:pt>
                <c:pt idx="10">
                  <c:v>19.906457263625533</c:v>
                </c:pt>
                <c:pt idx="11">
                  <c:v>18.423758849983905</c:v>
                </c:pt>
              </c:numCache>
            </c:numRef>
          </c:val>
          <c:extLst>
            <c:ext xmlns:c16="http://schemas.microsoft.com/office/drawing/2014/chart" uri="{C3380CC4-5D6E-409C-BE32-E72D297353CC}">
              <c16:uniqueId val="{00000000-D98F-41DC-BA1A-CC99C0A89195}"/>
            </c:ext>
          </c:extLst>
        </c:ser>
        <c:ser>
          <c:idx val="1"/>
          <c:order val="1"/>
          <c:tx>
            <c:strRef>
              <c:f>'2.2'!$J$4</c:f>
              <c:strCache>
                <c:ptCount val="1"/>
                <c:pt idx="0">
                  <c:v> pracovní úrazy</c:v>
                </c:pt>
              </c:strCache>
            </c:strRef>
          </c:tx>
          <c:spPr>
            <a:solidFill>
              <a:schemeClr val="accent2"/>
            </a:solidFill>
            <a:ln>
              <a:noFill/>
            </a:ln>
            <a:effectLst/>
          </c:spPr>
          <c:invertIfNegative val="0"/>
          <c:cat>
            <c:strRef>
              <c:f>'2.2'!$H$5:$H$16</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'2.2'!$J$5:$J$16</c:f>
              <c:numCache>
                <c:formatCode>#,##0.00</c:formatCode>
                <c:ptCount val="12"/>
                <c:pt idx="0">
                  <c:v>0.7683346168428814</c:v>
                </c:pt>
                <c:pt idx="1">
                  <c:v>0.60153683465846575</c:v>
                </c:pt>
                <c:pt idx="2">
                  <c:v>0.62057240145197834</c:v>
                </c:pt>
                <c:pt idx="3">
                  <c:v>0.58113434803437247</c:v>
                </c:pt>
                <c:pt idx="4">
                  <c:v>0.48925570607698826</c:v>
                </c:pt>
                <c:pt idx="5">
                  <c:v>0.49677892035797072</c:v>
                </c:pt>
                <c:pt idx="6">
                  <c:v>0.5035229385818929</c:v>
                </c:pt>
                <c:pt idx="7">
                  <c:v>0.52469612085835371</c:v>
                </c:pt>
                <c:pt idx="8">
                  <c:v>0.54785407299874656</c:v>
                </c:pt>
                <c:pt idx="9">
                  <c:v>0.53392535174372657</c:v>
                </c:pt>
                <c:pt idx="10">
                  <c:v>0.51078503214324233</c:v>
                </c:pt>
                <c:pt idx="11">
                  <c:v>0.49015236718893734</c:v>
                </c:pt>
              </c:numCache>
            </c:numRef>
          </c:val>
          <c:extLst>
            <c:ext xmlns:c16="http://schemas.microsoft.com/office/drawing/2014/chart" uri="{C3380CC4-5D6E-409C-BE32-E72D297353CC}">
              <c16:uniqueId val="{00000001-D98F-41DC-BA1A-CC99C0A89195}"/>
            </c:ext>
          </c:extLst>
        </c:ser>
        <c:ser>
          <c:idx val="2"/>
          <c:order val="2"/>
          <c:tx>
            <c:strRef>
              <c:f>'2.2'!$K$4</c:f>
              <c:strCache>
                <c:ptCount val="1"/>
                <c:pt idx="0">
                  <c:v> ostatní úrazy</c:v>
                </c:pt>
              </c:strCache>
            </c:strRef>
          </c:tx>
          <c:spPr>
            <a:solidFill>
              <a:srgbClr val="DA9896"/>
            </a:solidFill>
            <a:ln>
              <a:noFill/>
            </a:ln>
            <a:effectLst/>
          </c:spPr>
          <c:invertIfNegative val="0"/>
          <c:cat>
            <c:strRef>
              <c:f>'2.2'!$H$5:$H$16</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'2.2'!$K$5:$K$16</c:f>
              <c:numCache>
                <c:formatCode>#,##0.00</c:formatCode>
                <c:ptCount val="12"/>
                <c:pt idx="0">
                  <c:v>1.1378629194310226</c:v>
                </c:pt>
                <c:pt idx="1">
                  <c:v>1.0247335699649303</c:v>
                </c:pt>
                <c:pt idx="2">
                  <c:v>1.0263903297185044</c:v>
                </c:pt>
                <c:pt idx="3">
                  <c:v>0.92173580701690183</c:v>
                </c:pt>
                <c:pt idx="4">
                  <c:v>1.1980664801084004</c:v>
                </c:pt>
                <c:pt idx="5">
                  <c:v>1.3692391140643809</c:v>
                </c:pt>
                <c:pt idx="6">
                  <c:v>1.41934875766483</c:v>
                </c:pt>
                <c:pt idx="7">
                  <c:v>1.4892593959318774</c:v>
                </c:pt>
                <c:pt idx="8">
                  <c:v>1.6412271755005474</c:v>
                </c:pt>
                <c:pt idx="9">
                  <c:v>1.6923611585756999</c:v>
                </c:pt>
                <c:pt idx="10">
                  <c:v>1.6646259606673024</c:v>
                </c:pt>
                <c:pt idx="11">
                  <c:v>1.6686460249525363</c:v>
                </c:pt>
              </c:numCache>
            </c:numRef>
          </c:val>
          <c:extLst>
            <c:ext xmlns:c16="http://schemas.microsoft.com/office/drawing/2014/chart" uri="{C3380CC4-5D6E-409C-BE32-E72D297353CC}">
              <c16:uniqueId val="{00000002-D98F-41DC-BA1A-CC99C0A89195}"/>
            </c:ext>
          </c:extLst>
        </c:ser>
        <c:dLbls>
          <c:showLegendKey val="0"/>
          <c:showVal val="0"/>
          <c:showCatName val="0"/>
          <c:showSerName val="0"/>
          <c:showPercent val="0"/>
          <c:showBubbleSize val="0"/>
        </c:dLbls>
        <c:gapWidth val="150"/>
        <c:overlap val="100"/>
        <c:axId val="1035109184"/>
        <c:axId val="1035110016"/>
      </c:barChart>
      <c:catAx>
        <c:axId val="103510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35110016"/>
        <c:crosses val="autoZero"/>
        <c:auto val="1"/>
        <c:lblAlgn val="ctr"/>
        <c:lblOffset val="100"/>
        <c:noMultiLvlLbl val="0"/>
      </c:catAx>
      <c:valAx>
        <c:axId val="1035110016"/>
        <c:scaling>
          <c:orientation val="minMax"/>
          <c:max val="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počet případů</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351091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74411127481259"/>
          <c:y val="3.036576949620428E-2"/>
          <c:w val="0.49510109277501901"/>
          <c:h val="0.86983497752436123"/>
        </c:manualLayout>
      </c:layout>
      <c:barChart>
        <c:barDir val="bar"/>
        <c:grouping val="clustered"/>
        <c:varyColors val="0"/>
        <c:ser>
          <c:idx val="3"/>
          <c:order val="3"/>
          <c:spPr>
            <a:solidFill>
              <a:schemeClr val="accent4"/>
            </a:solidFill>
            <a:ln>
              <a:noFill/>
            </a:ln>
            <a:effectLst/>
          </c:spPr>
          <c:invertIfNegative val="0"/>
          <c:cat>
            <c:strRef>
              <c:f>'2.3'!$A$35:$A$55</c:f>
              <c:strCache>
                <c:ptCount val="21"/>
                <c:pt idx="0">
                  <c:v>U – Činnosti exteritoriálních organizací a orgánů</c:v>
                </c:pt>
                <c:pt idx="1">
                  <c:v>L – Činnosti v oblasti nemovitostí</c:v>
                </c:pt>
                <c:pt idx="2">
                  <c:v>M – Profesní, vědecké a technické činnosti</c:v>
                </c:pt>
                <c:pt idx="3">
                  <c:v>J – Informační a komunikační činnosti</c:v>
                </c:pt>
                <c:pt idx="4">
                  <c:v>R – Kulturní, zábavní a rekreační činnosti</c:v>
                </c:pt>
                <c:pt idx="5">
                  <c:v>K – Peněžnictví a pojišťovnictví</c:v>
                </c:pt>
                <c:pt idx="6">
                  <c:v>D – Výroba a rozvod elektřiny, plynu, tepla a klimatizovaného vzduchu</c:v>
                </c:pt>
                <c:pt idx="7">
                  <c:v>I – Ubytování, stravování a pohostinství</c:v>
                </c:pt>
                <c:pt idx="8">
                  <c:v>S – Ostatní činnosti</c:v>
                </c:pt>
                <c:pt idx="9">
                  <c:v>F – Stavebnictví</c:v>
                </c:pt>
                <c:pt idx="10">
                  <c:v>O – Veřejná správa a obrana; povinné sociální zabezpečení</c:v>
                </c:pt>
                <c:pt idx="11">
                  <c:v>A – Zemědělství, lesnictví a rybářství</c:v>
                </c:pt>
                <c:pt idx="12">
                  <c:v>Q – Zdravotní a sociální péče</c:v>
                </c:pt>
                <c:pt idx="13">
                  <c:v>H – Doprava a skladování</c:v>
                </c:pt>
                <c:pt idx="14">
                  <c:v>P – Vzdělávání</c:v>
                </c:pt>
                <c:pt idx="15">
                  <c:v>G – Velkoobchod a maloobchod; opravy a údržba  motorových vozidel</c:v>
                </c:pt>
                <c:pt idx="16">
                  <c:v>CELKEM</c:v>
                </c:pt>
                <c:pt idx="17">
                  <c:v>E – Zásobování vodou; činnosti související s odpadními vodami, 
odpady a sanacemi</c:v>
                </c:pt>
                <c:pt idx="18">
                  <c:v>B – Těžba a dobývání</c:v>
                </c:pt>
                <c:pt idx="19">
                  <c:v>N – Administrativní a podpůrné činnosti</c:v>
                </c:pt>
                <c:pt idx="20">
                  <c:v>C – Zpracovatelský průmysl</c:v>
                </c:pt>
              </c:strCache>
            </c:strRef>
          </c:cat>
          <c:val>
            <c:numRef>
              <c:f>'2.3'!$E$35:$E$55</c:f>
            </c:numRef>
          </c:val>
          <c:extLst>
            <c:ext xmlns:c16="http://schemas.microsoft.com/office/drawing/2014/chart" uri="{C3380CC4-5D6E-409C-BE32-E72D297353CC}">
              <c16:uniqueId val="{00000000-3417-4103-BABB-041216D28F62}"/>
            </c:ext>
          </c:extLst>
        </c:ser>
        <c:ser>
          <c:idx val="4"/>
          <c:order val="4"/>
          <c:spPr>
            <a:solidFill>
              <a:schemeClr val="accent5"/>
            </a:solidFill>
            <a:ln>
              <a:noFill/>
            </a:ln>
            <a:effectLst/>
          </c:spPr>
          <c:invertIfNegative val="0"/>
          <c:cat>
            <c:strRef>
              <c:f>'2.3'!$A$35:$A$55</c:f>
              <c:strCache>
                <c:ptCount val="21"/>
                <c:pt idx="0">
                  <c:v>U – Činnosti exteritoriálních organizací a orgánů</c:v>
                </c:pt>
                <c:pt idx="1">
                  <c:v>L – Činnosti v oblasti nemovitostí</c:v>
                </c:pt>
                <c:pt idx="2">
                  <c:v>M – Profesní, vědecké a technické činnosti</c:v>
                </c:pt>
                <c:pt idx="3">
                  <c:v>J – Informační a komunikační činnosti</c:v>
                </c:pt>
                <c:pt idx="4">
                  <c:v>R – Kulturní, zábavní a rekreační činnosti</c:v>
                </c:pt>
                <c:pt idx="5">
                  <c:v>K – Peněžnictví a pojišťovnictví</c:v>
                </c:pt>
                <c:pt idx="6">
                  <c:v>D – Výroba a rozvod elektřiny, plynu, tepla a klimatizovaného vzduchu</c:v>
                </c:pt>
                <c:pt idx="7">
                  <c:v>I – Ubytování, stravování a pohostinství</c:v>
                </c:pt>
                <c:pt idx="8">
                  <c:v>S – Ostatní činnosti</c:v>
                </c:pt>
                <c:pt idx="9">
                  <c:v>F – Stavebnictví</c:v>
                </c:pt>
                <c:pt idx="10">
                  <c:v>O – Veřejná správa a obrana; povinné sociální zabezpečení</c:v>
                </c:pt>
                <c:pt idx="11">
                  <c:v>A – Zemědělství, lesnictví a rybářství</c:v>
                </c:pt>
                <c:pt idx="12">
                  <c:v>Q – Zdravotní a sociální péče</c:v>
                </c:pt>
                <c:pt idx="13">
                  <c:v>H – Doprava a skladování</c:v>
                </c:pt>
                <c:pt idx="14">
                  <c:v>P – Vzdělávání</c:v>
                </c:pt>
                <c:pt idx="15">
                  <c:v>G – Velkoobchod a maloobchod; opravy a údržba  motorových vozidel</c:v>
                </c:pt>
                <c:pt idx="16">
                  <c:v>CELKEM</c:v>
                </c:pt>
                <c:pt idx="17">
                  <c:v>E – Zásobování vodou; činnosti související s odpadními vodami, 
odpady a sanacemi</c:v>
                </c:pt>
                <c:pt idx="18">
                  <c:v>B – Těžba a dobývání</c:v>
                </c:pt>
                <c:pt idx="19">
                  <c:v>N – Administrativní a podpůrné činnosti</c:v>
                </c:pt>
                <c:pt idx="20">
                  <c:v>C – Zpracovatelský průmysl</c:v>
                </c:pt>
              </c:strCache>
            </c:strRef>
          </c:cat>
          <c:val>
            <c:numRef>
              <c:f>'2.3'!$F$35:$F$55</c:f>
            </c:numRef>
          </c:val>
          <c:extLst>
            <c:ext xmlns:c16="http://schemas.microsoft.com/office/drawing/2014/chart" uri="{C3380CC4-5D6E-409C-BE32-E72D297353CC}">
              <c16:uniqueId val="{00000001-3417-4103-BABB-041216D28F62}"/>
            </c:ext>
          </c:extLst>
        </c:ser>
        <c:ser>
          <c:idx val="5"/>
          <c:order val="5"/>
          <c:spPr>
            <a:solidFill>
              <a:schemeClr val="accent6"/>
            </a:solidFill>
            <a:ln>
              <a:noFill/>
            </a:ln>
            <a:effectLst/>
          </c:spPr>
          <c:invertIfNegative val="0"/>
          <c:cat>
            <c:strRef>
              <c:f>'2.3'!$A$35:$A$55</c:f>
              <c:strCache>
                <c:ptCount val="21"/>
                <c:pt idx="0">
                  <c:v>U – Činnosti exteritoriálních organizací a orgánů</c:v>
                </c:pt>
                <c:pt idx="1">
                  <c:v>L – Činnosti v oblasti nemovitostí</c:v>
                </c:pt>
                <c:pt idx="2">
                  <c:v>M – Profesní, vědecké a technické činnosti</c:v>
                </c:pt>
                <c:pt idx="3">
                  <c:v>J – Informační a komunikační činnosti</c:v>
                </c:pt>
                <c:pt idx="4">
                  <c:v>R – Kulturní, zábavní a rekreační činnosti</c:v>
                </c:pt>
                <c:pt idx="5">
                  <c:v>K – Peněžnictví a pojišťovnictví</c:v>
                </c:pt>
                <c:pt idx="6">
                  <c:v>D – Výroba a rozvod elektřiny, plynu, tepla a klimatizovaného vzduchu</c:v>
                </c:pt>
                <c:pt idx="7">
                  <c:v>I – Ubytování, stravování a pohostinství</c:v>
                </c:pt>
                <c:pt idx="8">
                  <c:v>S – Ostatní činnosti</c:v>
                </c:pt>
                <c:pt idx="9">
                  <c:v>F – Stavebnictví</c:v>
                </c:pt>
                <c:pt idx="10">
                  <c:v>O – Veřejná správa a obrana; povinné sociální zabezpečení</c:v>
                </c:pt>
                <c:pt idx="11">
                  <c:v>A – Zemědělství, lesnictví a rybářství</c:v>
                </c:pt>
                <c:pt idx="12">
                  <c:v>Q – Zdravotní a sociální péče</c:v>
                </c:pt>
                <c:pt idx="13">
                  <c:v>H – Doprava a skladování</c:v>
                </c:pt>
                <c:pt idx="14">
                  <c:v>P – Vzdělávání</c:v>
                </c:pt>
                <c:pt idx="15">
                  <c:v>G – Velkoobchod a maloobchod; opravy a údržba  motorových vozidel</c:v>
                </c:pt>
                <c:pt idx="16">
                  <c:v>CELKEM</c:v>
                </c:pt>
                <c:pt idx="17">
                  <c:v>E – Zásobování vodou; činnosti související s odpadními vodami, 
odpady a sanacemi</c:v>
                </c:pt>
                <c:pt idx="18">
                  <c:v>B – Těžba a dobývání</c:v>
                </c:pt>
                <c:pt idx="19">
                  <c:v>N – Administrativní a podpůrné činnosti</c:v>
                </c:pt>
                <c:pt idx="20">
                  <c:v>C – Zpracovatelský průmysl</c:v>
                </c:pt>
              </c:strCache>
            </c:strRef>
          </c:cat>
          <c:val>
            <c:numRef>
              <c:f>'2.3'!$G$35:$G$55</c:f>
            </c:numRef>
          </c:val>
          <c:extLst>
            <c:ext xmlns:c16="http://schemas.microsoft.com/office/drawing/2014/chart" uri="{C3380CC4-5D6E-409C-BE32-E72D297353CC}">
              <c16:uniqueId val="{00000002-3417-4103-BABB-041216D28F62}"/>
            </c:ext>
          </c:extLst>
        </c:ser>
        <c:ser>
          <c:idx val="6"/>
          <c:order val="6"/>
          <c:spPr>
            <a:solidFill>
              <a:schemeClr val="accent1">
                <a:lumMod val="60000"/>
              </a:schemeClr>
            </a:solidFill>
            <a:ln>
              <a:noFill/>
            </a:ln>
            <a:effectLst/>
          </c:spPr>
          <c:invertIfNegative val="0"/>
          <c:cat>
            <c:strRef>
              <c:f>'2.3'!$A$35:$A$55</c:f>
              <c:strCache>
                <c:ptCount val="21"/>
                <c:pt idx="0">
                  <c:v>U – Činnosti exteritoriálních organizací a orgánů</c:v>
                </c:pt>
                <c:pt idx="1">
                  <c:v>L – Činnosti v oblasti nemovitostí</c:v>
                </c:pt>
                <c:pt idx="2">
                  <c:v>M – Profesní, vědecké a technické činnosti</c:v>
                </c:pt>
                <c:pt idx="3">
                  <c:v>J – Informační a komunikační činnosti</c:v>
                </c:pt>
                <c:pt idx="4">
                  <c:v>R – Kulturní, zábavní a rekreační činnosti</c:v>
                </c:pt>
                <c:pt idx="5">
                  <c:v>K – Peněžnictví a pojišťovnictví</c:v>
                </c:pt>
                <c:pt idx="6">
                  <c:v>D – Výroba a rozvod elektřiny, plynu, tepla a klimatizovaného vzduchu</c:v>
                </c:pt>
                <c:pt idx="7">
                  <c:v>I – Ubytování, stravování a pohostinství</c:v>
                </c:pt>
                <c:pt idx="8">
                  <c:v>S – Ostatní činnosti</c:v>
                </c:pt>
                <c:pt idx="9">
                  <c:v>F – Stavebnictví</c:v>
                </c:pt>
                <c:pt idx="10">
                  <c:v>O – Veřejná správa a obrana; povinné sociální zabezpečení</c:v>
                </c:pt>
                <c:pt idx="11">
                  <c:v>A – Zemědělství, lesnictví a rybářství</c:v>
                </c:pt>
                <c:pt idx="12">
                  <c:v>Q – Zdravotní a sociální péče</c:v>
                </c:pt>
                <c:pt idx="13">
                  <c:v>H – Doprava a skladování</c:v>
                </c:pt>
                <c:pt idx="14">
                  <c:v>P – Vzdělávání</c:v>
                </c:pt>
                <c:pt idx="15">
                  <c:v>G – Velkoobchod a maloobchod; opravy a údržba  motorových vozidel</c:v>
                </c:pt>
                <c:pt idx="16">
                  <c:v>CELKEM</c:v>
                </c:pt>
                <c:pt idx="17">
                  <c:v>E – Zásobování vodou; činnosti související s odpadními vodami, 
odpady a sanacemi</c:v>
                </c:pt>
                <c:pt idx="18">
                  <c:v>B – Těžba a dobývání</c:v>
                </c:pt>
                <c:pt idx="19">
                  <c:v>N – Administrativní a podpůrné činnosti</c:v>
                </c:pt>
                <c:pt idx="20">
                  <c:v>C – Zpracovatelský průmysl</c:v>
                </c:pt>
              </c:strCache>
            </c:strRef>
          </c:cat>
          <c:val>
            <c:numRef>
              <c:f>'2.3'!$H$35:$H$55</c:f>
            </c:numRef>
          </c:val>
          <c:extLst>
            <c:ext xmlns:c16="http://schemas.microsoft.com/office/drawing/2014/chart" uri="{C3380CC4-5D6E-409C-BE32-E72D297353CC}">
              <c16:uniqueId val="{00000003-3417-4103-BABB-041216D28F62}"/>
            </c:ext>
          </c:extLst>
        </c:ser>
        <c:ser>
          <c:idx val="8"/>
          <c:order val="8"/>
          <c:spPr>
            <a:solidFill>
              <a:srgbClr val="DA9896"/>
            </a:solidFill>
            <a:ln>
              <a:noFill/>
            </a:ln>
            <a:effectLst/>
          </c:spPr>
          <c:invertIfNegative val="0"/>
          <c:dPt>
            <c:idx val="15"/>
            <c:invertIfNegative val="0"/>
            <c:bubble3D val="0"/>
            <c:spPr>
              <a:solidFill>
                <a:srgbClr val="DA9896"/>
              </a:solidFill>
              <a:ln w="31750">
                <a:solidFill>
                  <a:srgbClr val="A50021"/>
                </a:solidFill>
              </a:ln>
              <a:effectLst/>
            </c:spPr>
            <c:extLst>
              <c:ext xmlns:c16="http://schemas.microsoft.com/office/drawing/2014/chart" uri="{C3380CC4-5D6E-409C-BE32-E72D297353CC}">
                <c16:uniqueId val="{00000005-3417-4103-BABB-041216D28F62}"/>
              </c:ext>
            </c:extLst>
          </c:dPt>
          <c:cat>
            <c:strRef>
              <c:f>'2.3'!$A$35:$A$55</c:f>
              <c:strCache>
                <c:ptCount val="20"/>
                <c:pt idx="0">
                  <c:v>L – Činnosti v oblasti nemovitostí</c:v>
                </c:pt>
                <c:pt idx="1">
                  <c:v>M – Profesní, vědecké a technické činnosti</c:v>
                </c:pt>
                <c:pt idx="2">
                  <c:v>J – Informační a komunikační činnosti</c:v>
                </c:pt>
                <c:pt idx="3">
                  <c:v>R – Kulturní, zábavní a rekreační činnosti</c:v>
                </c:pt>
                <c:pt idx="4">
                  <c:v>K – Peněžnictví a pojišťovnictví</c:v>
                </c:pt>
                <c:pt idx="5">
                  <c:v>D – Výroba a rozvod elektřiny, plynu, tepla a klimatizovaného vzduchu</c:v>
                </c:pt>
                <c:pt idx="6">
                  <c:v>I – Ubytování, stravování a pohostinství</c:v>
                </c:pt>
                <c:pt idx="7">
                  <c:v>S – Ostatní činnosti</c:v>
                </c:pt>
                <c:pt idx="8">
                  <c:v>F – Stavebnictví</c:v>
                </c:pt>
                <c:pt idx="9">
                  <c:v>O – Veřejná správa a obrana; povinné sociální zabezpečení</c:v>
                </c:pt>
                <c:pt idx="10">
                  <c:v>A – Zemědělství, lesnictví a rybářství</c:v>
                </c:pt>
                <c:pt idx="11">
                  <c:v>Q – Zdravotní a sociální péče</c:v>
                </c:pt>
                <c:pt idx="12">
                  <c:v>H – Doprava a skladování</c:v>
                </c:pt>
                <c:pt idx="13">
                  <c:v>P – Vzdělávání</c:v>
                </c:pt>
                <c:pt idx="14">
                  <c:v>G – Velkoobchod a maloobchod; opravy a údržba  motorových vozidel</c:v>
                </c:pt>
                <c:pt idx="15">
                  <c:v>CELKEM</c:v>
                </c:pt>
                <c:pt idx="16">
                  <c:v>E – Zásobování vodou; činnosti související s odpadními vodami, 
odpady a sanacemi</c:v>
                </c:pt>
                <c:pt idx="17">
                  <c:v>B – Těžba a dobývání</c:v>
                </c:pt>
                <c:pt idx="18">
                  <c:v>N – Administrativní a podpůrné činnosti</c:v>
                </c:pt>
                <c:pt idx="19">
                  <c:v>C – Zpracovatelský průmysl</c:v>
                </c:pt>
              </c:strCache>
            </c:strRef>
          </c:cat>
          <c:val>
            <c:numRef>
              <c:f>'2.3'!$J$35:$J$55</c:f>
              <c:numCache>
                <c:formatCode>0.00</c:formatCode>
                <c:ptCount val="20"/>
                <c:pt idx="0">
                  <c:v>9.2297135669999992</c:v>
                </c:pt>
                <c:pt idx="1">
                  <c:v>11.5954346093</c:v>
                </c:pt>
                <c:pt idx="2">
                  <c:v>13.5372292738</c:v>
                </c:pt>
                <c:pt idx="3">
                  <c:v>14.6777903195</c:v>
                </c:pt>
                <c:pt idx="4">
                  <c:v>14.970705157599999</c:v>
                </c:pt>
                <c:pt idx="5">
                  <c:v>15.7330079975</c:v>
                </c:pt>
                <c:pt idx="6">
                  <c:v>15.7685325512</c:v>
                </c:pt>
                <c:pt idx="7">
                  <c:v>16.151619930999999</c:v>
                </c:pt>
                <c:pt idx="8">
                  <c:v>17.238029836799999</c:v>
                </c:pt>
                <c:pt idx="9">
                  <c:v>18.008724815600001</c:v>
                </c:pt>
                <c:pt idx="10">
                  <c:v>18.106071715900001</c:v>
                </c:pt>
                <c:pt idx="11">
                  <c:v>18.4770092959</c:v>
                </c:pt>
                <c:pt idx="12">
                  <c:v>20.1726852223</c:v>
                </c:pt>
                <c:pt idx="13">
                  <c:v>20.262612829399998</c:v>
                </c:pt>
                <c:pt idx="14">
                  <c:v>20.408255940499998</c:v>
                </c:pt>
                <c:pt idx="15">
                  <c:v>20.582557242099998</c:v>
                </c:pt>
                <c:pt idx="16">
                  <c:v>21.308281770200001</c:v>
                </c:pt>
                <c:pt idx="17">
                  <c:v>22.000516627</c:v>
                </c:pt>
                <c:pt idx="18">
                  <c:v>23.525716510199999</c:v>
                </c:pt>
                <c:pt idx="19">
                  <c:v>27.048496434400001</c:v>
                </c:pt>
              </c:numCache>
            </c:numRef>
          </c:val>
          <c:extLst>
            <c:ext xmlns:c16="http://schemas.microsoft.com/office/drawing/2014/chart" uri="{C3380CC4-5D6E-409C-BE32-E72D297353CC}">
              <c16:uniqueId val="{00000006-3417-4103-BABB-041216D28F62}"/>
            </c:ext>
          </c:extLst>
        </c:ser>
        <c:dLbls>
          <c:showLegendKey val="0"/>
          <c:showVal val="0"/>
          <c:showCatName val="0"/>
          <c:showSerName val="0"/>
          <c:showPercent val="0"/>
          <c:showBubbleSize val="0"/>
        </c:dLbls>
        <c:gapWidth val="182"/>
        <c:axId val="836964832"/>
        <c:axId val="874188576"/>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'2.3'!$A$35:$A$55</c15:sqref>
                        </c15:formulaRef>
                      </c:ext>
                    </c:extLst>
                    <c:strCache>
                      <c:ptCount val="20"/>
                      <c:pt idx="0">
                        <c:v>L – Činnosti v oblasti nemovitostí</c:v>
                      </c:pt>
                      <c:pt idx="1">
                        <c:v>M – Profesní, vědecké a technické činnosti</c:v>
                      </c:pt>
                      <c:pt idx="2">
                        <c:v>J – Informační a komunikační činnosti</c:v>
                      </c:pt>
                      <c:pt idx="3">
                        <c:v>R – Kulturní, zábavní a rekreační činnosti</c:v>
                      </c:pt>
                      <c:pt idx="4">
                        <c:v>K – Peněžnictví a pojišťovnictví</c:v>
                      </c:pt>
                      <c:pt idx="5">
                        <c:v>D – Výroba a rozvod elektřiny, plynu, tepla a klimatizovaného vzduchu</c:v>
                      </c:pt>
                      <c:pt idx="6">
                        <c:v>I – Ubytování, stravování a pohostinství</c:v>
                      </c:pt>
                      <c:pt idx="7">
                        <c:v>S – Ostatní činnosti</c:v>
                      </c:pt>
                      <c:pt idx="8">
                        <c:v>F – Stavebnictví</c:v>
                      </c:pt>
                      <c:pt idx="9">
                        <c:v>O – Veřejná správa a obrana; povinné sociální zabezpečení</c:v>
                      </c:pt>
                      <c:pt idx="10">
                        <c:v>A – Zemědělství, lesnictví a rybářství</c:v>
                      </c:pt>
                      <c:pt idx="11">
                        <c:v>Q – Zdravotní a sociální péče</c:v>
                      </c:pt>
                      <c:pt idx="12">
                        <c:v>H – Doprava a skladování</c:v>
                      </c:pt>
                      <c:pt idx="13">
                        <c:v>P – Vzdělávání</c:v>
                      </c:pt>
                      <c:pt idx="14">
                        <c:v>G – Velkoobchod a maloobchod; opravy a údržba  motorových vozidel</c:v>
                      </c:pt>
                      <c:pt idx="15">
                        <c:v>CELKEM</c:v>
                      </c:pt>
                      <c:pt idx="16">
                        <c:v>E – Zásobování vodou; činnosti související s odpadními vodami, 
odpady a sanacemi</c:v>
                      </c:pt>
                      <c:pt idx="17">
                        <c:v>B – Těžba a dobývání</c:v>
                      </c:pt>
                      <c:pt idx="18">
                        <c:v>N – Administrativní a podpůrné činnosti</c:v>
                      </c:pt>
                      <c:pt idx="19">
                        <c:v>C – Zpracovatelský průmysl</c:v>
                      </c:pt>
                    </c:strCache>
                  </c:strRef>
                </c:cat>
                <c:val>
                  <c:numRef>
                    <c:extLst>
                      <c:ext uri="{02D57815-91ED-43cb-92C2-25804820EDAC}">
                        <c15:formulaRef>
                          <c15:sqref>'2.3'!$B$35:$B$55</c15:sqref>
                        </c15:formulaRef>
                      </c:ext>
                    </c:extLst>
                    <c:numCache>
                      <c:formatCode>General</c:formatCode>
                      <c:ptCount val="20"/>
                    </c:numCache>
                  </c:numRef>
                </c:val>
                <c:extLst>
                  <c:ext xmlns:c16="http://schemas.microsoft.com/office/drawing/2014/chart" uri="{C3380CC4-5D6E-409C-BE32-E72D297353CC}">
                    <c16:uniqueId val="{00000007-3417-4103-BABB-041216D28F62}"/>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'2.3'!$A$35:$A$55</c15:sqref>
                        </c15:formulaRef>
                      </c:ext>
                    </c:extLst>
                    <c:strCache>
                      <c:ptCount val="20"/>
                      <c:pt idx="0">
                        <c:v>L – Činnosti v oblasti nemovitostí</c:v>
                      </c:pt>
                      <c:pt idx="1">
                        <c:v>M – Profesní, vědecké a technické činnosti</c:v>
                      </c:pt>
                      <c:pt idx="2">
                        <c:v>J – Informační a komunikační činnosti</c:v>
                      </c:pt>
                      <c:pt idx="3">
                        <c:v>R – Kulturní, zábavní a rekreační činnosti</c:v>
                      </c:pt>
                      <c:pt idx="4">
                        <c:v>K – Peněžnictví a pojišťovnictví</c:v>
                      </c:pt>
                      <c:pt idx="5">
                        <c:v>D – Výroba a rozvod elektřiny, plynu, tepla a klimatizovaného vzduchu</c:v>
                      </c:pt>
                      <c:pt idx="6">
                        <c:v>I – Ubytování, stravování a pohostinství</c:v>
                      </c:pt>
                      <c:pt idx="7">
                        <c:v>S – Ostatní činnosti</c:v>
                      </c:pt>
                      <c:pt idx="8">
                        <c:v>F – Stavebnictví</c:v>
                      </c:pt>
                      <c:pt idx="9">
                        <c:v>O – Veřejná správa a obrana; povinné sociální zabezpečení</c:v>
                      </c:pt>
                      <c:pt idx="10">
                        <c:v>A – Zemědělství, lesnictví a rybářství</c:v>
                      </c:pt>
                      <c:pt idx="11">
                        <c:v>Q – Zdravotní a sociální péče</c:v>
                      </c:pt>
                      <c:pt idx="12">
                        <c:v>H – Doprava a skladování</c:v>
                      </c:pt>
                      <c:pt idx="13">
                        <c:v>P – Vzdělávání</c:v>
                      </c:pt>
                      <c:pt idx="14">
                        <c:v>G – Velkoobchod a maloobchod; opravy a údržba  motorových vozidel</c:v>
                      </c:pt>
                      <c:pt idx="15">
                        <c:v>CELKEM</c:v>
                      </c:pt>
                      <c:pt idx="16">
                        <c:v>E – Zásobování vodou; činnosti související s odpadními vodami, 
odpady a sanacemi</c:v>
                      </c:pt>
                      <c:pt idx="17">
                        <c:v>B – Těžba a dobývání</c:v>
                      </c:pt>
                      <c:pt idx="18">
                        <c:v>N – Administrativní a podpůrné činnosti</c:v>
                      </c:pt>
                      <c:pt idx="19">
                        <c:v>C – Zpracovatelský průmysl</c:v>
                      </c:pt>
                    </c:strCache>
                  </c:strRef>
                </c:cat>
                <c:val>
                  <c:numRef>
                    <c:extLst xmlns:c15="http://schemas.microsoft.com/office/drawing/2012/chart">
                      <c:ext xmlns:c15="http://schemas.microsoft.com/office/drawing/2012/chart" uri="{02D57815-91ED-43cb-92C2-25804820EDAC}">
                        <c15:formulaRef>
                          <c15:sqref>'2.3'!$C$35:$C$55</c15:sqref>
                        </c15:formulaRef>
                      </c:ext>
                    </c:extLst>
                    <c:numCache>
                      <c:formatCode>General</c:formatCode>
                      <c:ptCount val="20"/>
                    </c:numCache>
                  </c:numRef>
                </c:val>
                <c:extLst xmlns:c15="http://schemas.microsoft.com/office/drawing/2012/chart">
                  <c:ext xmlns:c16="http://schemas.microsoft.com/office/drawing/2014/chart" uri="{C3380CC4-5D6E-409C-BE32-E72D297353CC}">
                    <c16:uniqueId val="{00000008-3417-4103-BABB-041216D28F62}"/>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'2.3'!$A$35:$A$55</c15:sqref>
                        </c15:formulaRef>
                      </c:ext>
                    </c:extLst>
                    <c:strCache>
                      <c:ptCount val="20"/>
                      <c:pt idx="0">
                        <c:v>L – Činnosti v oblasti nemovitostí</c:v>
                      </c:pt>
                      <c:pt idx="1">
                        <c:v>M – Profesní, vědecké a technické činnosti</c:v>
                      </c:pt>
                      <c:pt idx="2">
                        <c:v>J – Informační a komunikační činnosti</c:v>
                      </c:pt>
                      <c:pt idx="3">
                        <c:v>R – Kulturní, zábavní a rekreační činnosti</c:v>
                      </c:pt>
                      <c:pt idx="4">
                        <c:v>K – Peněžnictví a pojišťovnictví</c:v>
                      </c:pt>
                      <c:pt idx="5">
                        <c:v>D – Výroba a rozvod elektřiny, plynu, tepla a klimatizovaného vzduchu</c:v>
                      </c:pt>
                      <c:pt idx="6">
                        <c:v>I – Ubytování, stravování a pohostinství</c:v>
                      </c:pt>
                      <c:pt idx="7">
                        <c:v>S – Ostatní činnosti</c:v>
                      </c:pt>
                      <c:pt idx="8">
                        <c:v>F – Stavebnictví</c:v>
                      </c:pt>
                      <c:pt idx="9">
                        <c:v>O – Veřejná správa a obrana; povinné sociální zabezpečení</c:v>
                      </c:pt>
                      <c:pt idx="10">
                        <c:v>A – Zemědělství, lesnictví a rybářství</c:v>
                      </c:pt>
                      <c:pt idx="11">
                        <c:v>Q – Zdravotní a sociální péče</c:v>
                      </c:pt>
                      <c:pt idx="12">
                        <c:v>H – Doprava a skladování</c:v>
                      </c:pt>
                      <c:pt idx="13">
                        <c:v>P – Vzdělávání</c:v>
                      </c:pt>
                      <c:pt idx="14">
                        <c:v>G – Velkoobchod a maloobchod; opravy a údržba  motorových vozidel</c:v>
                      </c:pt>
                      <c:pt idx="15">
                        <c:v>CELKEM</c:v>
                      </c:pt>
                      <c:pt idx="16">
                        <c:v>E – Zásobování vodou; činnosti související s odpadními vodami, 
odpady a sanacemi</c:v>
                      </c:pt>
                      <c:pt idx="17">
                        <c:v>B – Těžba a dobývání</c:v>
                      </c:pt>
                      <c:pt idx="18">
                        <c:v>N – Administrativní a podpůrné činnosti</c:v>
                      </c:pt>
                      <c:pt idx="19">
                        <c:v>C – Zpracovatelský průmysl</c:v>
                      </c:pt>
                    </c:strCache>
                  </c:strRef>
                </c:cat>
                <c:val>
                  <c:numRef>
                    <c:extLst xmlns:c15="http://schemas.microsoft.com/office/drawing/2012/chart">
                      <c:ext xmlns:c15="http://schemas.microsoft.com/office/drawing/2012/chart" uri="{02D57815-91ED-43cb-92C2-25804820EDAC}">
                        <c15:formulaRef>
                          <c15:sqref>'2.3'!$D$35:$D$55</c15:sqref>
                        </c15:formulaRef>
                      </c:ext>
                    </c:extLst>
                    <c:numCache>
                      <c:formatCode>General</c:formatCode>
                      <c:ptCount val="20"/>
                    </c:numCache>
                  </c:numRef>
                </c:val>
                <c:extLst xmlns:c15="http://schemas.microsoft.com/office/drawing/2012/chart">
                  <c:ext xmlns:c16="http://schemas.microsoft.com/office/drawing/2014/chart" uri="{C3380CC4-5D6E-409C-BE32-E72D297353CC}">
                    <c16:uniqueId val="{00000009-3417-4103-BABB-041216D28F62}"/>
                  </c:ext>
                </c:extLst>
              </c15:ser>
            </c15:filteredBarSeries>
            <c15:filteredBarSeries>
              <c15:ser>
                <c:idx val="7"/>
                <c:order val="7"/>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'2.3'!$A$35:$A$55</c15:sqref>
                        </c15:formulaRef>
                      </c:ext>
                    </c:extLst>
                    <c:strCache>
                      <c:ptCount val="20"/>
                      <c:pt idx="0">
                        <c:v>L – Činnosti v oblasti nemovitostí</c:v>
                      </c:pt>
                      <c:pt idx="1">
                        <c:v>M – Profesní, vědecké a technické činnosti</c:v>
                      </c:pt>
                      <c:pt idx="2">
                        <c:v>J – Informační a komunikační činnosti</c:v>
                      </c:pt>
                      <c:pt idx="3">
                        <c:v>R – Kulturní, zábavní a rekreační činnosti</c:v>
                      </c:pt>
                      <c:pt idx="4">
                        <c:v>K – Peněžnictví a pojišťovnictví</c:v>
                      </c:pt>
                      <c:pt idx="5">
                        <c:v>D – Výroba a rozvod elektřiny, plynu, tepla a klimatizovaného vzduchu</c:v>
                      </c:pt>
                      <c:pt idx="6">
                        <c:v>I – Ubytování, stravování a pohostinství</c:v>
                      </c:pt>
                      <c:pt idx="7">
                        <c:v>S – Ostatní činnosti</c:v>
                      </c:pt>
                      <c:pt idx="8">
                        <c:v>F – Stavebnictví</c:v>
                      </c:pt>
                      <c:pt idx="9">
                        <c:v>O – Veřejná správa a obrana; povinné sociální zabezpečení</c:v>
                      </c:pt>
                      <c:pt idx="10">
                        <c:v>A – Zemědělství, lesnictví a rybářství</c:v>
                      </c:pt>
                      <c:pt idx="11">
                        <c:v>Q – Zdravotní a sociální péče</c:v>
                      </c:pt>
                      <c:pt idx="12">
                        <c:v>H – Doprava a skladování</c:v>
                      </c:pt>
                      <c:pt idx="13">
                        <c:v>P – Vzdělávání</c:v>
                      </c:pt>
                      <c:pt idx="14">
                        <c:v>G – Velkoobchod a maloobchod; opravy a údržba  motorových vozidel</c:v>
                      </c:pt>
                      <c:pt idx="15">
                        <c:v>CELKEM</c:v>
                      </c:pt>
                      <c:pt idx="16">
                        <c:v>E – Zásobování vodou; činnosti související s odpadními vodami, 
odpady a sanacemi</c:v>
                      </c:pt>
                      <c:pt idx="17">
                        <c:v>B – Těžba a dobývání</c:v>
                      </c:pt>
                      <c:pt idx="18">
                        <c:v>N – Administrativní a podpůrné činnosti</c:v>
                      </c:pt>
                      <c:pt idx="19">
                        <c:v>C – Zpracovatelský průmysl</c:v>
                      </c:pt>
                    </c:strCache>
                  </c:strRef>
                </c:cat>
                <c:val>
                  <c:numRef>
                    <c:extLst xmlns:c15="http://schemas.microsoft.com/office/drawing/2012/chart">
                      <c:ext xmlns:c15="http://schemas.microsoft.com/office/drawing/2012/chart" uri="{02D57815-91ED-43cb-92C2-25804820EDAC}">
                        <c15:formulaRef>
                          <c15:sqref>'2.3'!$I$35:$I$55</c15:sqref>
                        </c15:formulaRef>
                      </c:ext>
                    </c:extLst>
                    <c:numCache>
                      <c:formatCode>General</c:formatCode>
                      <c:ptCount val="20"/>
                    </c:numCache>
                  </c:numRef>
                </c:val>
                <c:extLst xmlns:c15="http://schemas.microsoft.com/office/drawing/2012/chart">
                  <c:ext xmlns:c16="http://schemas.microsoft.com/office/drawing/2014/chart" uri="{C3380CC4-5D6E-409C-BE32-E72D297353CC}">
                    <c16:uniqueId val="{0000000A-3417-4103-BABB-041216D28F62}"/>
                  </c:ext>
                </c:extLst>
              </c15:ser>
            </c15:filteredBarSeries>
          </c:ext>
        </c:extLst>
      </c:barChart>
      <c:catAx>
        <c:axId val="836964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t"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74188576"/>
        <c:crosses val="autoZero"/>
        <c:auto val="1"/>
        <c:lblAlgn val="ctr"/>
        <c:lblOffset val="100"/>
        <c:noMultiLvlLbl val="0"/>
      </c:catAx>
      <c:valAx>
        <c:axId val="8741885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800"/>
                  <a:t>počet</a:t>
                </a:r>
                <a:r>
                  <a:rPr lang="cs-CZ" sz="800" baseline="0"/>
                  <a:t> případů</a:t>
                </a:r>
                <a:endParaRPr lang="cs-CZ" sz="800"/>
              </a:p>
            </c:rich>
          </c:tx>
          <c:layout>
            <c:manualLayout>
              <c:xMode val="edge"/>
              <c:yMode val="edge"/>
              <c:x val="0.70300727038577826"/>
              <c:y val="0.9537894832111500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369648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nchor="t" anchorCtr="0"/>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021125408104475"/>
          <c:y val="3.1473533619456366E-2"/>
          <c:w val="0.7464014559155715"/>
          <c:h val="0.86159713837066254"/>
        </c:manualLayout>
      </c:layout>
      <c:barChart>
        <c:barDir val="bar"/>
        <c:grouping val="clustered"/>
        <c:varyColors val="0"/>
        <c:ser>
          <c:idx val="0"/>
          <c:order val="0"/>
          <c:spPr>
            <a:solidFill>
              <a:srgbClr val="DA9896"/>
            </a:solidFill>
          </c:spPr>
          <c:invertIfNegative val="0"/>
          <c:dPt>
            <c:idx val="3"/>
            <c:invertIfNegative val="0"/>
            <c:bubble3D val="0"/>
            <c:spPr>
              <a:solidFill>
                <a:srgbClr val="DA9896"/>
              </a:solidFill>
              <a:ln w="31750" cmpd="sng">
                <a:solidFill>
                  <a:srgbClr val="A50021"/>
                </a:solidFill>
              </a:ln>
            </c:spPr>
            <c:extLst>
              <c:ext xmlns:c16="http://schemas.microsoft.com/office/drawing/2014/chart" uri="{C3380CC4-5D6E-409C-BE32-E72D297353CC}">
                <c16:uniqueId val="{00000001-0020-4C0E-9AA4-16A30D84B44C}"/>
              </c:ext>
            </c:extLst>
          </c:dPt>
          <c:cat>
            <c:strRef>
              <c:f>'2.4'!$A$26:$A$40</c:f>
              <c:strCache>
                <c:ptCount val="15"/>
                <c:pt idx="0">
                  <c:v>Hl. m. Praha</c:v>
                </c:pt>
                <c:pt idx="1">
                  <c:v>Jihomoravský kraj</c:v>
                </c:pt>
                <c:pt idx="2">
                  <c:v>Olomoucký kraj</c:v>
                </c:pt>
                <c:pt idx="3">
                  <c:v>ČR CELKEM</c:v>
                </c:pt>
                <c:pt idx="4">
                  <c:v>Zlínský kraj</c:v>
                </c:pt>
                <c:pt idx="5">
                  <c:v>Moravskoslezský kraj</c:v>
                </c:pt>
                <c:pt idx="6">
                  <c:v>Pardubický kraj</c:v>
                </c:pt>
                <c:pt idx="7">
                  <c:v>Středočeský kraj</c:v>
                </c:pt>
                <c:pt idx="8">
                  <c:v>Vysočina</c:v>
                </c:pt>
                <c:pt idx="9">
                  <c:v>Ústecký kraj</c:v>
                </c:pt>
                <c:pt idx="10">
                  <c:v>Jihočeský kraj</c:v>
                </c:pt>
                <c:pt idx="11">
                  <c:v>Karlovarský kraj</c:v>
                </c:pt>
                <c:pt idx="12">
                  <c:v>Královéhradecký kraj</c:v>
                </c:pt>
                <c:pt idx="13">
                  <c:v>Plzeňský kraj</c:v>
                </c:pt>
                <c:pt idx="14">
                  <c:v>Liberecký kraj</c:v>
                </c:pt>
              </c:strCache>
            </c:strRef>
          </c:cat>
          <c:val>
            <c:numRef>
              <c:f>'2.4'!$B$26:$B$40</c:f>
              <c:numCache>
                <c:formatCode>#,##0.00</c:formatCode>
                <c:ptCount val="15"/>
                <c:pt idx="0">
                  <c:v>16.6203329143</c:v>
                </c:pt>
                <c:pt idx="1">
                  <c:v>19.719659031999999</c:v>
                </c:pt>
                <c:pt idx="2">
                  <c:v>20.263627657800001</c:v>
                </c:pt>
                <c:pt idx="3">
                  <c:v>20.582557242099998</c:v>
                </c:pt>
                <c:pt idx="4">
                  <c:v>21.3421812944</c:v>
                </c:pt>
                <c:pt idx="5">
                  <c:v>22.041629765300002</c:v>
                </c:pt>
                <c:pt idx="6">
                  <c:v>22.080192067399999</c:v>
                </c:pt>
                <c:pt idx="7">
                  <c:v>22.088831174999999</c:v>
                </c:pt>
                <c:pt idx="8">
                  <c:v>22.503696683400001</c:v>
                </c:pt>
                <c:pt idx="9">
                  <c:v>22.540256962800001</c:v>
                </c:pt>
                <c:pt idx="10">
                  <c:v>22.6211835808</c:v>
                </c:pt>
                <c:pt idx="11">
                  <c:v>23.340594642100001</c:v>
                </c:pt>
                <c:pt idx="12">
                  <c:v>23.583670675600001</c:v>
                </c:pt>
                <c:pt idx="13">
                  <c:v>24.087065974000001</c:v>
                </c:pt>
                <c:pt idx="14">
                  <c:v>25.143577818899999</c:v>
                </c:pt>
              </c:numCache>
            </c:numRef>
          </c:val>
          <c:extLst>
            <c:ext xmlns:c16="http://schemas.microsoft.com/office/drawing/2014/chart" uri="{C3380CC4-5D6E-409C-BE32-E72D297353CC}">
              <c16:uniqueId val="{00000002-0020-4C0E-9AA4-16A30D84B44C}"/>
            </c:ext>
          </c:extLst>
        </c:ser>
        <c:dLbls>
          <c:showLegendKey val="0"/>
          <c:showVal val="0"/>
          <c:showCatName val="0"/>
          <c:showSerName val="0"/>
          <c:showPercent val="0"/>
          <c:showBubbleSize val="0"/>
        </c:dLbls>
        <c:gapWidth val="150"/>
        <c:axId val="80210560"/>
        <c:axId val="80216448"/>
      </c:barChart>
      <c:catAx>
        <c:axId val="80210560"/>
        <c:scaling>
          <c:orientation val="minMax"/>
        </c:scaling>
        <c:delete val="0"/>
        <c:axPos val="l"/>
        <c:numFmt formatCode="General" sourceLinked="0"/>
        <c:majorTickMark val="none"/>
        <c:minorTickMark val="none"/>
        <c:tickLblPos val="nextTo"/>
        <c:txPr>
          <a:bodyPr/>
          <a:lstStyle/>
          <a:p>
            <a:pPr>
              <a:defRPr>
                <a:solidFill>
                  <a:schemeClr val="tx1">
                    <a:lumMod val="65000"/>
                    <a:lumOff val="35000"/>
                  </a:schemeClr>
                </a:solidFill>
              </a:defRPr>
            </a:pPr>
            <a:endParaRPr lang="cs-CZ"/>
          </a:p>
        </c:txPr>
        <c:crossAx val="80216448"/>
        <c:crosses val="autoZero"/>
        <c:auto val="1"/>
        <c:lblAlgn val="ctr"/>
        <c:lblOffset val="100"/>
        <c:noMultiLvlLbl val="0"/>
      </c:catAx>
      <c:valAx>
        <c:axId val="80216448"/>
        <c:scaling>
          <c:orientation val="minMax"/>
          <c:max val="26"/>
        </c:scaling>
        <c:delete val="0"/>
        <c:axPos val="b"/>
        <c:majorGridlines/>
        <c:title>
          <c:tx>
            <c:rich>
              <a:bodyPr/>
              <a:lstStyle/>
              <a:p>
                <a:pPr>
                  <a:defRPr>
                    <a:solidFill>
                      <a:schemeClr val="tx1">
                        <a:lumMod val="65000"/>
                        <a:lumOff val="35000"/>
                      </a:schemeClr>
                    </a:solidFill>
                  </a:defRPr>
                </a:pPr>
                <a:r>
                  <a:rPr lang="cs-CZ" b="0">
                    <a:solidFill>
                      <a:schemeClr val="tx1">
                        <a:lumMod val="65000"/>
                        <a:lumOff val="35000"/>
                      </a:schemeClr>
                    </a:solidFill>
                  </a:rPr>
                  <a:t>počet případů</a:t>
                </a:r>
              </a:p>
            </c:rich>
          </c:tx>
          <c:layout>
            <c:manualLayout>
              <c:xMode val="edge"/>
              <c:yMode val="edge"/>
              <c:x val="0.52960245822930674"/>
              <c:y val="0.9456601078212955"/>
            </c:manualLayout>
          </c:layout>
          <c:overlay val="0"/>
        </c:title>
        <c:numFmt formatCode="0" sourceLinked="0"/>
        <c:majorTickMark val="none"/>
        <c:minorTickMark val="none"/>
        <c:tickLblPos val="nextTo"/>
        <c:spPr>
          <a:ln>
            <a:noFill/>
          </a:ln>
        </c:spPr>
        <c:txPr>
          <a:bodyPr/>
          <a:lstStyle/>
          <a:p>
            <a:pPr>
              <a:defRPr>
                <a:solidFill>
                  <a:schemeClr val="tx1">
                    <a:lumMod val="65000"/>
                    <a:lumOff val="35000"/>
                  </a:schemeClr>
                </a:solidFill>
              </a:defRPr>
            </a:pPr>
            <a:endParaRPr lang="cs-CZ"/>
          </a:p>
        </c:txPr>
        <c:crossAx val="80210560"/>
        <c:crosses val="autoZero"/>
        <c:crossBetween val="between"/>
        <c:majorUnit val="2"/>
      </c:valAx>
    </c:plotArea>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'2.5'!$P$5</c:f>
              <c:strCache>
                <c:ptCount val="1"/>
                <c:pt idx="0">
                  <c:v> muži</c:v>
                </c:pt>
              </c:strCache>
            </c:strRef>
          </c:tx>
          <c:spPr>
            <a:solidFill>
              <a:srgbClr val="6F2D2B"/>
            </a:solidFill>
            <a:ln>
              <a:noFill/>
            </a:ln>
            <a:effectLst/>
          </c:spPr>
          <c:invertIfNegative val="0"/>
          <c:cat>
            <c:strRef>
              <c:f>'2.5'!$N$6:$N$17</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'2.5'!$P$6:$P$17</c:f>
              <c:numCache>
                <c:formatCode>0.00</c:formatCode>
                <c:ptCount val="12"/>
                <c:pt idx="0">
                  <c:v>36.368904903879574</c:v>
                </c:pt>
                <c:pt idx="1">
                  <c:v>43.395023967506134</c:v>
                </c:pt>
                <c:pt idx="2">
                  <c:v>44.651743318004065</c:v>
                </c:pt>
                <c:pt idx="3">
                  <c:v>42.916446369227529</c:v>
                </c:pt>
                <c:pt idx="4">
                  <c:v>46.309226338471746</c:v>
                </c:pt>
                <c:pt idx="5">
                  <c:v>41.648443843031124</c:v>
                </c:pt>
                <c:pt idx="6">
                  <c:v>44.369332844223997</c:v>
                </c:pt>
                <c:pt idx="7">
                  <c:v>38.512040612976669</c:v>
                </c:pt>
                <c:pt idx="8">
                  <c:v>40.213732148761729</c:v>
                </c:pt>
                <c:pt idx="9">
                  <c:v>39.560644848976111</c:v>
                </c:pt>
                <c:pt idx="10">
                  <c:v>38.078554728484917</c:v>
                </c:pt>
                <c:pt idx="11">
                  <c:v>41.476622667113126</c:v>
                </c:pt>
              </c:numCache>
            </c:numRef>
          </c:val>
          <c:extLst>
            <c:ext xmlns:c16="http://schemas.microsoft.com/office/drawing/2014/chart" uri="{C3380CC4-5D6E-409C-BE32-E72D297353CC}">
              <c16:uniqueId val="{00000000-C32E-42F4-B4E9-03B52593A61C}"/>
            </c:ext>
          </c:extLst>
        </c:ser>
        <c:ser>
          <c:idx val="1"/>
          <c:order val="1"/>
          <c:tx>
            <c:strRef>
              <c:f>'2.5'!$Q$5</c:f>
              <c:strCache>
                <c:ptCount val="1"/>
                <c:pt idx="0">
                  <c:v> ženy</c:v>
                </c:pt>
              </c:strCache>
            </c:strRef>
          </c:tx>
          <c:spPr>
            <a:solidFill>
              <a:srgbClr val="DA9896"/>
            </a:solidFill>
            <a:ln>
              <a:noFill/>
            </a:ln>
            <a:effectLst/>
          </c:spPr>
          <c:invertIfNegative val="0"/>
          <c:cat>
            <c:strRef>
              <c:f>'2.5'!$N$6:$N$17</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'2.5'!$Q$6:$Q$17</c:f>
              <c:numCache>
                <c:formatCode>0.00</c:formatCode>
                <c:ptCount val="12"/>
                <c:pt idx="0">
                  <c:v>39.809212697041673</c:v>
                </c:pt>
                <c:pt idx="1">
                  <c:v>45.597013813903267</c:v>
                </c:pt>
                <c:pt idx="2">
                  <c:v>44.489404882707575</c:v>
                </c:pt>
                <c:pt idx="3">
                  <c:v>42.642603910363256</c:v>
                </c:pt>
                <c:pt idx="4">
                  <c:v>48.972225980949027</c:v>
                </c:pt>
                <c:pt idx="5">
                  <c:v>42.769681888661033</c:v>
                </c:pt>
                <c:pt idx="6">
                  <c:v>47.351635940494653</c:v>
                </c:pt>
                <c:pt idx="7">
                  <c:v>41.541888555829374</c:v>
                </c:pt>
                <c:pt idx="8">
                  <c:v>43.54792270740468</c:v>
                </c:pt>
                <c:pt idx="9">
                  <c:v>42.227270729621964</c:v>
                </c:pt>
                <c:pt idx="10">
                  <c:v>39.901001334393172</c:v>
                </c:pt>
                <c:pt idx="11">
                  <c:v>43.663270828934991</c:v>
                </c:pt>
              </c:numCache>
            </c:numRef>
          </c:val>
          <c:extLst>
            <c:ext xmlns:c16="http://schemas.microsoft.com/office/drawing/2014/chart" uri="{C3380CC4-5D6E-409C-BE32-E72D297353CC}">
              <c16:uniqueId val="{00000001-C32E-42F4-B4E9-03B52593A61C}"/>
            </c:ext>
          </c:extLst>
        </c:ser>
        <c:dLbls>
          <c:showLegendKey val="0"/>
          <c:showVal val="0"/>
          <c:showCatName val="0"/>
          <c:showSerName val="0"/>
          <c:showPercent val="0"/>
          <c:showBubbleSize val="0"/>
        </c:dLbls>
        <c:gapWidth val="73"/>
        <c:axId val="965705648"/>
        <c:axId val="965704816"/>
      </c:barChart>
      <c:catAx>
        <c:axId val="96570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65704816"/>
        <c:crosses val="autoZero"/>
        <c:auto val="1"/>
        <c:lblAlgn val="ctr"/>
        <c:lblOffset val="100"/>
        <c:noMultiLvlLbl val="0"/>
      </c:catAx>
      <c:valAx>
        <c:axId val="965704816"/>
        <c:scaling>
          <c:orientation val="minMax"/>
          <c:max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počet dnů</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65705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'2.6'!$B$3</c:f>
              <c:strCache>
                <c:ptCount val="1"/>
                <c:pt idx="0">
                  <c:v> nově hlášené případy DPN na 100 pojištěnců</c:v>
                </c:pt>
              </c:strCache>
            </c:strRef>
          </c:tx>
          <c:spPr>
            <a:solidFill>
              <a:srgbClr val="6F2D2B"/>
            </a:solidFill>
            <a:ln>
              <a:noFill/>
            </a:ln>
            <a:effectLst/>
          </c:spPr>
          <c:invertIfNegative val="0"/>
          <c:cat>
            <c:strRef>
              <c:f>'2.6'!$C$2:$O$2</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'2.6'!$C$3:$O$3</c:f>
              <c:numCache>
                <c:formatCode>0.00</c:formatCode>
                <c:ptCount val="12"/>
                <c:pt idx="0">
                  <c:v>24.61</c:v>
                </c:pt>
                <c:pt idx="1">
                  <c:v>17.739999999999998</c:v>
                </c:pt>
                <c:pt idx="2">
                  <c:v>16.600000000000001</c:v>
                </c:pt>
                <c:pt idx="3">
                  <c:v>16.989999999999998</c:v>
                </c:pt>
                <c:pt idx="4">
                  <c:v>13.62</c:v>
                </c:pt>
                <c:pt idx="5">
                  <c:v>17.09</c:v>
                </c:pt>
                <c:pt idx="6">
                  <c:v>15.05</c:v>
                </c:pt>
                <c:pt idx="7">
                  <c:v>19.54</c:v>
                </c:pt>
                <c:pt idx="8">
                  <c:v>19.307438193100001</c:v>
                </c:pt>
                <c:pt idx="9">
                  <c:v>20.395097851999999</c:v>
                </c:pt>
                <c:pt idx="10" formatCode="#,##0.00">
                  <c:v>22.081869253499999</c:v>
                </c:pt>
                <c:pt idx="11" formatCode="#,##0.00">
                  <c:v>20.582557242099998</c:v>
                </c:pt>
              </c:numCache>
            </c:numRef>
          </c:val>
          <c:extLst>
            <c:ext xmlns:c16="http://schemas.microsoft.com/office/drawing/2014/chart" uri="{C3380CC4-5D6E-409C-BE32-E72D297353CC}">
              <c16:uniqueId val="{00000000-3368-4561-B1A1-DC4B57D35E3E}"/>
            </c:ext>
          </c:extLst>
        </c:ser>
        <c:dLbls>
          <c:showLegendKey val="0"/>
          <c:showVal val="0"/>
          <c:showCatName val="0"/>
          <c:showSerName val="0"/>
          <c:showPercent val="0"/>
          <c:showBubbleSize val="0"/>
        </c:dLbls>
        <c:gapWidth val="105"/>
        <c:overlap val="-27"/>
        <c:axId val="988871248"/>
        <c:axId val="965701488"/>
      </c:barChart>
      <c:lineChart>
        <c:grouping val="standard"/>
        <c:varyColors val="0"/>
        <c:ser>
          <c:idx val="1"/>
          <c:order val="1"/>
          <c:tx>
            <c:strRef>
              <c:f>'2.6'!$B$4</c:f>
              <c:strCache>
                <c:ptCount val="1"/>
                <c:pt idx="0">
                  <c:v> průměrná délka trvání případu DPN </c:v>
                </c:pt>
              </c:strCache>
            </c:strRef>
          </c:tx>
          <c:spPr>
            <a:ln w="28575" cap="rnd">
              <a:solidFill>
                <a:srgbClr val="DA9896"/>
              </a:solidFill>
              <a:round/>
            </a:ln>
            <a:effectLst/>
          </c:spPr>
          <c:marker>
            <c:symbol val="circle"/>
            <c:size val="5"/>
            <c:spPr>
              <a:solidFill>
                <a:srgbClr val="DA9896"/>
              </a:solidFill>
              <a:ln w="9525">
                <a:noFill/>
              </a:ln>
              <a:effectLst/>
            </c:spPr>
          </c:marker>
          <c:cat>
            <c:strRef>
              <c:f>'2.6'!$C$2:$O$2</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'2.6'!$C$4:$O$4</c:f>
              <c:numCache>
                <c:formatCode>0.00</c:formatCode>
                <c:ptCount val="12"/>
                <c:pt idx="0">
                  <c:v>38.14</c:v>
                </c:pt>
                <c:pt idx="1">
                  <c:v>44.55</c:v>
                </c:pt>
                <c:pt idx="2">
                  <c:v>44.57</c:v>
                </c:pt>
                <c:pt idx="3">
                  <c:v>42.77</c:v>
                </c:pt>
                <c:pt idx="4">
                  <c:v>47.7</c:v>
                </c:pt>
                <c:pt idx="5">
                  <c:v>42.2</c:v>
                </c:pt>
                <c:pt idx="6">
                  <c:v>45.94</c:v>
                </c:pt>
                <c:pt idx="7">
                  <c:v>40.11</c:v>
                </c:pt>
                <c:pt idx="8">
                  <c:v>41.9717707569</c:v>
                </c:pt>
                <c:pt idx="9">
                  <c:v>40.973631424200001</c:v>
                </c:pt>
                <c:pt idx="10">
                  <c:v>39.049999999999997</c:v>
                </c:pt>
                <c:pt idx="11">
                  <c:v>42.645176179057081</c:v>
                </c:pt>
              </c:numCache>
            </c:numRef>
          </c:val>
          <c:smooth val="0"/>
          <c:extLst>
            <c:ext xmlns:c16="http://schemas.microsoft.com/office/drawing/2014/chart" uri="{C3380CC4-5D6E-409C-BE32-E72D297353CC}">
              <c16:uniqueId val="{00000001-3368-4561-B1A1-DC4B57D35E3E}"/>
            </c:ext>
          </c:extLst>
        </c:ser>
        <c:dLbls>
          <c:showLegendKey val="0"/>
          <c:showVal val="0"/>
          <c:showCatName val="0"/>
          <c:showSerName val="0"/>
          <c:showPercent val="0"/>
          <c:showBubbleSize val="0"/>
        </c:dLbls>
        <c:marker val="1"/>
        <c:smooth val="0"/>
        <c:axId val="983070112"/>
        <c:axId val="983069696"/>
      </c:lineChart>
      <c:catAx>
        <c:axId val="98887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65701488"/>
        <c:crosses val="autoZero"/>
        <c:auto val="1"/>
        <c:lblAlgn val="ctr"/>
        <c:lblOffset val="100"/>
        <c:noMultiLvlLbl val="0"/>
      </c:catAx>
      <c:valAx>
        <c:axId val="965701488"/>
        <c:scaling>
          <c:orientation val="minMax"/>
          <c:max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počet případů</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88871248"/>
        <c:crosses val="autoZero"/>
        <c:crossBetween val="between"/>
        <c:majorUnit val="5"/>
      </c:valAx>
      <c:valAx>
        <c:axId val="983069696"/>
        <c:scaling>
          <c:orientation val="minMax"/>
          <c:max val="50"/>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počet dnů</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83070112"/>
        <c:crosses val="max"/>
        <c:crossBetween val="between"/>
        <c:majorUnit val="5"/>
      </c:valAx>
      <c:catAx>
        <c:axId val="983070112"/>
        <c:scaling>
          <c:orientation val="minMax"/>
        </c:scaling>
        <c:delete val="1"/>
        <c:axPos val="b"/>
        <c:numFmt formatCode="General" sourceLinked="1"/>
        <c:majorTickMark val="out"/>
        <c:minorTickMark val="none"/>
        <c:tickLblPos val="nextTo"/>
        <c:crossAx val="98306969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381026497835074"/>
          <c:y val="2.9100529100529099E-2"/>
          <c:w val="0.53850135011791211"/>
          <c:h val="0.88257905293006345"/>
        </c:manualLayout>
      </c:layout>
      <c:barChart>
        <c:barDir val="bar"/>
        <c:grouping val="clustered"/>
        <c:varyColors val="0"/>
        <c:ser>
          <c:idx val="0"/>
          <c:order val="0"/>
          <c:spPr>
            <a:solidFill>
              <a:srgbClr val="DA9896"/>
            </a:solidFill>
            <a:ln>
              <a:noFill/>
            </a:ln>
            <a:effectLst/>
          </c:spPr>
          <c:invertIfNegative val="0"/>
          <c:dPt>
            <c:idx val="8"/>
            <c:invertIfNegative val="0"/>
            <c:bubble3D val="0"/>
            <c:spPr>
              <a:solidFill>
                <a:srgbClr val="DA9896"/>
              </a:solidFill>
              <a:ln w="31750">
                <a:solidFill>
                  <a:srgbClr val="A50021"/>
                </a:solidFill>
              </a:ln>
              <a:effectLst/>
            </c:spPr>
            <c:extLst>
              <c:ext xmlns:c16="http://schemas.microsoft.com/office/drawing/2014/chart" uri="{C3380CC4-5D6E-409C-BE32-E72D297353CC}">
                <c16:uniqueId val="{00000001-7BA5-4319-B696-ED4C6620558D}"/>
              </c:ext>
            </c:extLst>
          </c:dPt>
          <c:cat>
            <c:strRef>
              <c:f>'2.7'!$A$58:$A$78</c:f>
              <c:strCache>
                <c:ptCount val="20"/>
                <c:pt idx="0">
                  <c:v>J – Informační a komunikační činnosti</c:v>
                </c:pt>
                <c:pt idx="1">
                  <c:v>P – Vzdělávání</c:v>
                </c:pt>
                <c:pt idx="2">
                  <c:v>K – Peněžnictví a pojišťovnictví</c:v>
                </c:pt>
                <c:pt idx="3">
                  <c:v>O – Veřejná správa a obrana; povinné sociální zabezpečení</c:v>
                </c:pt>
                <c:pt idx="4">
                  <c:v>D – Výroba a rozvod elektřiny, plynu, tepla 
a klimatizovaného vzduchu</c:v>
                </c:pt>
                <c:pt idx="5">
                  <c:v>M – Profesní, vědecké a technické činnosti</c:v>
                </c:pt>
                <c:pt idx="6">
                  <c:v>R – Kulturní, zábavní a rekreační činnosti</c:v>
                </c:pt>
                <c:pt idx="7">
                  <c:v>C – Zpracovatelský průmysl</c:v>
                </c:pt>
                <c:pt idx="8">
                  <c:v>CELKEM</c:v>
                </c:pt>
                <c:pt idx="9">
                  <c:v>N – Administrativní a podpůrné činnosti</c:v>
                </c:pt>
                <c:pt idx="10">
                  <c:v>G – Velkoobchod a maloobchod; 
opravy a údržba motorových vozidel</c:v>
                </c:pt>
                <c:pt idx="11">
                  <c:v>H – Doprava a skladování</c:v>
                </c:pt>
                <c:pt idx="12">
                  <c:v>Q – Zdravotní a sociální péče</c:v>
                </c:pt>
                <c:pt idx="13">
                  <c:v>E – Zásobování vodou; činnosti související 
s odpadními vodami, odpady a sanacemi</c:v>
                </c:pt>
                <c:pt idx="14">
                  <c:v>S – Ostatní činnosti</c:v>
                </c:pt>
                <c:pt idx="15">
                  <c:v>B – Těžba a dobývání</c:v>
                </c:pt>
                <c:pt idx="16">
                  <c:v>L – Činnosti v oblasti nemovitostí</c:v>
                </c:pt>
                <c:pt idx="17">
                  <c:v>I – Ubytování, stravování a pohostinství</c:v>
                </c:pt>
                <c:pt idx="18">
                  <c:v>F – Stavebnictví</c:v>
                </c:pt>
                <c:pt idx="19">
                  <c:v>A – Zemědělství, lesnictví a rybářství</c:v>
                </c:pt>
              </c:strCache>
            </c:strRef>
          </c:cat>
          <c:val>
            <c:numRef>
              <c:f>'2.7'!$B$58:$B$78</c:f>
              <c:numCache>
                <c:formatCode>0.00</c:formatCode>
                <c:ptCount val="20"/>
                <c:pt idx="0">
                  <c:v>26.3960375391</c:v>
                </c:pt>
                <c:pt idx="1">
                  <c:v>30.423681837499998</c:v>
                </c:pt>
                <c:pt idx="2">
                  <c:v>33.111437565599999</c:v>
                </c:pt>
                <c:pt idx="3">
                  <c:v>35.557451439399998</c:v>
                </c:pt>
                <c:pt idx="4">
                  <c:v>37.776493892399998</c:v>
                </c:pt>
                <c:pt idx="5">
                  <c:v>40.130267910900002</c:v>
                </c:pt>
                <c:pt idx="6">
                  <c:v>40.402498193500001</c:v>
                </c:pt>
                <c:pt idx="7">
                  <c:v>41.985872325700001</c:v>
                </c:pt>
                <c:pt idx="8">
                  <c:v>42.645176179099998</c:v>
                </c:pt>
                <c:pt idx="9">
                  <c:v>43.660092680699996</c:v>
                </c:pt>
                <c:pt idx="10">
                  <c:v>44.963151007999997</c:v>
                </c:pt>
                <c:pt idx="11">
                  <c:v>45.874758675300001</c:v>
                </c:pt>
                <c:pt idx="12">
                  <c:v>45.9469106616</c:v>
                </c:pt>
                <c:pt idx="13">
                  <c:v>46.028587625500002</c:v>
                </c:pt>
                <c:pt idx="14">
                  <c:v>46.087641039099999</c:v>
                </c:pt>
                <c:pt idx="15">
                  <c:v>50.301077337400002</c:v>
                </c:pt>
                <c:pt idx="16">
                  <c:v>52.0257081281</c:v>
                </c:pt>
                <c:pt idx="17">
                  <c:v>54.591711757100001</c:v>
                </c:pt>
                <c:pt idx="18">
                  <c:v>54.981010292299999</c:v>
                </c:pt>
                <c:pt idx="19">
                  <c:v>58.344440493699999</c:v>
                </c:pt>
              </c:numCache>
            </c:numRef>
          </c:val>
          <c:extLst>
            <c:ext xmlns:c16="http://schemas.microsoft.com/office/drawing/2014/chart" uri="{C3380CC4-5D6E-409C-BE32-E72D297353CC}">
              <c16:uniqueId val="{00000002-7BA5-4319-B696-ED4C6620558D}"/>
            </c:ext>
          </c:extLst>
        </c:ser>
        <c:dLbls>
          <c:showLegendKey val="0"/>
          <c:showVal val="0"/>
          <c:showCatName val="0"/>
          <c:showSerName val="0"/>
          <c:showPercent val="0"/>
          <c:showBubbleSize val="0"/>
        </c:dLbls>
        <c:gapWidth val="182"/>
        <c:axId val="976691072"/>
        <c:axId val="976691488"/>
      </c:barChart>
      <c:catAx>
        <c:axId val="976691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76691488"/>
        <c:crosses val="autoZero"/>
        <c:auto val="1"/>
        <c:lblAlgn val="ctr"/>
        <c:lblOffset val="100"/>
        <c:noMultiLvlLbl val="0"/>
      </c:catAx>
      <c:valAx>
        <c:axId val="976691488"/>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počet dnů</a:t>
                </a:r>
              </a:p>
            </c:rich>
          </c:tx>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766910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'2.8'!$B$23</c:f>
              <c:strCache>
                <c:ptCount val="1"/>
                <c:pt idx="0">
                  <c:v>1. pol. 2019</c:v>
                </c:pt>
              </c:strCache>
            </c:strRef>
          </c:tx>
          <c:spPr>
            <a:solidFill>
              <a:srgbClr val="DA9896"/>
            </a:solidFill>
            <a:ln>
              <a:noFill/>
            </a:ln>
            <a:effectLst/>
          </c:spPr>
          <c:invertIfNegative val="0"/>
          <c:dPt>
            <c:idx val="8"/>
            <c:invertIfNegative val="0"/>
            <c:bubble3D val="0"/>
            <c:spPr>
              <a:solidFill>
                <a:srgbClr val="DA9896"/>
              </a:solidFill>
              <a:ln w="31750">
                <a:solidFill>
                  <a:srgbClr val="A50021"/>
                </a:solidFill>
              </a:ln>
              <a:effectLst/>
            </c:spPr>
            <c:extLst>
              <c:ext xmlns:c16="http://schemas.microsoft.com/office/drawing/2014/chart" uri="{C3380CC4-5D6E-409C-BE32-E72D297353CC}">
                <c16:uniqueId val="{00000001-E6E6-4833-85AA-40B864B59E60}"/>
              </c:ext>
            </c:extLst>
          </c:dPt>
          <c:cat>
            <c:strRef>
              <c:f>'2.8'!$A$24:$A$38</c:f>
              <c:strCache>
                <c:ptCount val="15"/>
                <c:pt idx="0">
                  <c:v>Liberecký kraj</c:v>
                </c:pt>
                <c:pt idx="1">
                  <c:v>Královéhradecký kraj</c:v>
                </c:pt>
                <c:pt idx="2">
                  <c:v>Plzeňský kraj</c:v>
                </c:pt>
                <c:pt idx="3">
                  <c:v>Hl. m. Praha</c:v>
                </c:pt>
                <c:pt idx="4">
                  <c:v>Karlovarský kraj</c:v>
                </c:pt>
                <c:pt idx="5">
                  <c:v>Středočeský kraj</c:v>
                </c:pt>
                <c:pt idx="6">
                  <c:v>Pardubický kraj</c:v>
                </c:pt>
                <c:pt idx="7">
                  <c:v>Ústecký kraj</c:v>
                </c:pt>
                <c:pt idx="8">
                  <c:v>ČR CELKEM</c:v>
                </c:pt>
                <c:pt idx="9">
                  <c:v>Jihomoravský kraj</c:v>
                </c:pt>
                <c:pt idx="10">
                  <c:v>Jihočeský kraj</c:v>
                </c:pt>
                <c:pt idx="11">
                  <c:v>Vysočina</c:v>
                </c:pt>
                <c:pt idx="12">
                  <c:v>Olomoucký kraj</c:v>
                </c:pt>
                <c:pt idx="13">
                  <c:v>Moravskoslezský kraj</c:v>
                </c:pt>
                <c:pt idx="14">
                  <c:v>Zlínský kraj</c:v>
                </c:pt>
              </c:strCache>
            </c:strRef>
          </c:cat>
          <c:val>
            <c:numRef>
              <c:f>'2.8'!$B$24:$B$38</c:f>
              <c:numCache>
                <c:formatCode>#,##0.00</c:formatCode>
                <c:ptCount val="15"/>
                <c:pt idx="0">
                  <c:v>38.556967234200002</c:v>
                </c:pt>
                <c:pt idx="1">
                  <c:v>38.719804721300001</c:v>
                </c:pt>
                <c:pt idx="2">
                  <c:v>39.247807658600003</c:v>
                </c:pt>
                <c:pt idx="3">
                  <c:v>39.468143992000002</c:v>
                </c:pt>
                <c:pt idx="4">
                  <c:v>40.346099789199997</c:v>
                </c:pt>
                <c:pt idx="5">
                  <c:v>40.629772793400001</c:v>
                </c:pt>
                <c:pt idx="6">
                  <c:v>41.872768899100002</c:v>
                </c:pt>
                <c:pt idx="7">
                  <c:v>42.215175127899997</c:v>
                </c:pt>
                <c:pt idx="8">
                  <c:v>42.645176179099998</c:v>
                </c:pt>
                <c:pt idx="9">
                  <c:v>43.984949430100002</c:v>
                </c:pt>
                <c:pt idx="10">
                  <c:v>44.670645706999998</c:v>
                </c:pt>
                <c:pt idx="11">
                  <c:v>45.244468201499998</c:v>
                </c:pt>
                <c:pt idx="12">
                  <c:v>46.328880262600002</c:v>
                </c:pt>
                <c:pt idx="13">
                  <c:v>48.9816142516</c:v>
                </c:pt>
                <c:pt idx="14">
                  <c:v>49.338880264899998</c:v>
                </c:pt>
              </c:numCache>
            </c:numRef>
          </c:val>
          <c:extLst>
            <c:ext xmlns:c16="http://schemas.microsoft.com/office/drawing/2014/chart" uri="{C3380CC4-5D6E-409C-BE32-E72D297353CC}">
              <c16:uniqueId val="{00000002-E6E6-4833-85AA-40B864B59E60}"/>
            </c:ext>
          </c:extLst>
        </c:ser>
        <c:dLbls>
          <c:showLegendKey val="0"/>
          <c:showVal val="0"/>
          <c:showCatName val="0"/>
          <c:showSerName val="0"/>
          <c:showPercent val="0"/>
          <c:showBubbleSize val="0"/>
        </c:dLbls>
        <c:gapWidth val="182"/>
        <c:axId val="972383344"/>
        <c:axId val="1073928400"/>
      </c:barChart>
      <c:catAx>
        <c:axId val="972383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73928400"/>
        <c:crosses val="autoZero"/>
        <c:auto val="1"/>
        <c:lblAlgn val="ctr"/>
        <c:lblOffset val="100"/>
        <c:noMultiLvlLbl val="0"/>
      </c:catAx>
      <c:valAx>
        <c:axId val="1073928400"/>
        <c:scaling>
          <c:orientation val="minMax"/>
          <c:max val="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počet dnů</a:t>
                </a:r>
              </a:p>
            </c:rich>
          </c:tx>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723833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A5E44-B982-4746-9052-70D33669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17</Pages>
  <Words>6239</Words>
  <Characters>36816</Characters>
  <Application>Microsoft Office Word</Application>
  <DocSecurity>0</DocSecurity>
  <Lines>306</Lines>
  <Paragraphs>85</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42970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Alena Hykyšová</dc:creator>
  <cp:lastModifiedBy>Alena Kotrbatá</cp:lastModifiedBy>
  <cp:revision>2</cp:revision>
  <cp:lastPrinted>2019-10-23T11:36:00Z</cp:lastPrinted>
  <dcterms:created xsi:type="dcterms:W3CDTF">2019-10-30T08:29:00Z</dcterms:created>
  <dcterms:modified xsi:type="dcterms:W3CDTF">2019-10-30T08:29:00Z</dcterms:modified>
</cp:coreProperties>
</file>