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Default="00A70E2D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1</w:t>
      </w:r>
      <w:r w:rsidR="005A34A7">
        <w:rPr>
          <w:sz w:val="30"/>
          <w:szCs w:val="30"/>
        </w:rPr>
        <w:t>0</w:t>
      </w:r>
      <w:r w:rsidR="00B112AC" w:rsidRPr="00B112AC">
        <w:rPr>
          <w:sz w:val="30"/>
          <w:szCs w:val="30"/>
        </w:rPr>
        <w:t>.</w:t>
      </w:r>
      <w:r w:rsidR="00B112AC" w:rsidRPr="00B112AC">
        <w:rPr>
          <w:sz w:val="30"/>
          <w:szCs w:val="30"/>
        </w:rPr>
        <w:tab/>
        <w:t xml:space="preserve">Zaměstnanci </w:t>
      </w:r>
      <w:r w:rsidR="00B83ED0">
        <w:rPr>
          <w:sz w:val="30"/>
          <w:szCs w:val="30"/>
        </w:rPr>
        <w:t xml:space="preserve">používající </w:t>
      </w:r>
      <w:r w:rsidR="005A34A7">
        <w:rPr>
          <w:sz w:val="30"/>
          <w:szCs w:val="30"/>
        </w:rPr>
        <w:t xml:space="preserve">v práci počítač a jiné </w:t>
      </w:r>
      <w:r w:rsidR="00B83ED0">
        <w:rPr>
          <w:sz w:val="30"/>
          <w:szCs w:val="30"/>
        </w:rPr>
        <w:t>ICT</w:t>
      </w:r>
    </w:p>
    <w:p w:rsidR="00D87787" w:rsidRPr="00D87787" w:rsidRDefault="00D87787" w:rsidP="00D87787">
      <w:pPr>
        <w:pStyle w:val="Zkladntext"/>
        <w:spacing w:before="0" w:after="80" w:line="264" w:lineRule="auto"/>
        <w:ind w:right="0"/>
        <w:rPr>
          <w:rFonts w:ascii="Arial" w:hAnsi="Arial"/>
          <w:bCs/>
          <w:i/>
          <w:sz w:val="20"/>
        </w:rPr>
      </w:pPr>
      <w:r w:rsidRPr="00D87787">
        <w:rPr>
          <w:rFonts w:ascii="Arial" w:hAnsi="Arial"/>
          <w:bCs/>
          <w:i/>
          <w:sz w:val="20"/>
        </w:rPr>
        <w:t xml:space="preserve">I když v Česku používají počítač již téměř všechny firmy s deseti a více zaměstnanci (98 %) a prakticky stejný podíl firem má i připojení k internetu, </w:t>
      </w:r>
      <w:r w:rsidR="005C6378">
        <w:rPr>
          <w:rFonts w:ascii="Arial" w:hAnsi="Arial"/>
          <w:bCs/>
          <w:i/>
          <w:sz w:val="20"/>
        </w:rPr>
        <w:t xml:space="preserve">počítač v práci používá </w:t>
      </w:r>
      <w:r w:rsidR="00576CD1">
        <w:rPr>
          <w:rFonts w:ascii="Arial" w:hAnsi="Arial"/>
          <w:bCs/>
          <w:i/>
          <w:sz w:val="20"/>
        </w:rPr>
        <w:t xml:space="preserve">jen </w:t>
      </w:r>
      <w:r w:rsidR="005C6378">
        <w:rPr>
          <w:rFonts w:ascii="Arial" w:hAnsi="Arial"/>
          <w:bCs/>
          <w:i/>
          <w:sz w:val="20"/>
        </w:rPr>
        <w:t>každý druhý</w:t>
      </w:r>
      <w:r w:rsidR="00576CD1">
        <w:rPr>
          <w:rFonts w:ascii="Arial" w:hAnsi="Arial"/>
          <w:bCs/>
          <w:i/>
          <w:sz w:val="20"/>
        </w:rPr>
        <w:t xml:space="preserve"> zaměstnanec a zařízení s internetem jen necelá polovina zaměstnanců.</w:t>
      </w:r>
      <w:r w:rsidRPr="00D87787">
        <w:rPr>
          <w:rFonts w:ascii="Arial" w:hAnsi="Arial"/>
          <w:bCs/>
          <w:i/>
          <w:sz w:val="20"/>
        </w:rPr>
        <w:t xml:space="preserve"> </w:t>
      </w:r>
      <w:r w:rsidR="00576CD1">
        <w:rPr>
          <w:rFonts w:ascii="Arial" w:hAnsi="Arial"/>
          <w:bCs/>
          <w:i/>
          <w:sz w:val="20"/>
        </w:rPr>
        <w:t>N</w:t>
      </w:r>
      <w:r w:rsidRPr="00D87787">
        <w:rPr>
          <w:rFonts w:ascii="Arial" w:hAnsi="Arial"/>
          <w:bCs/>
          <w:i/>
          <w:sz w:val="20"/>
        </w:rPr>
        <w:t xml:space="preserve">ižší podíl zaměstnanců používajících v práci počítače oproti </w:t>
      </w:r>
      <w:r w:rsidR="00576CD1">
        <w:rPr>
          <w:rFonts w:ascii="Arial" w:hAnsi="Arial"/>
          <w:bCs/>
          <w:i/>
          <w:sz w:val="20"/>
        </w:rPr>
        <w:t>některým jiným zemím EU je dán mimo jiné</w:t>
      </w:r>
      <w:r w:rsidRPr="00D87787">
        <w:rPr>
          <w:rFonts w:ascii="Arial" w:hAnsi="Arial"/>
          <w:bCs/>
          <w:i/>
          <w:sz w:val="20"/>
        </w:rPr>
        <w:t xml:space="preserve"> strukturou našeho hospodářství se silným zastoupením odvětví, kde pro velkou část zaměstnanců není používání počítačů a dalších IT nezbytné.</w:t>
      </w:r>
    </w:p>
    <w:p w:rsidR="00B112AC" w:rsidRPr="00B112AC" w:rsidRDefault="00B112AC" w:rsidP="00852D8B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BA77C1" w:rsidRPr="00CE1800" w:rsidRDefault="0074613B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CE1800">
        <w:rPr>
          <w:rFonts w:ascii="Arial" w:hAnsi="Arial" w:cs="Arial"/>
          <w:sz w:val="20"/>
        </w:rPr>
        <w:t>V </w:t>
      </w:r>
      <w:r w:rsidR="00852D8B">
        <w:rPr>
          <w:rFonts w:ascii="Arial" w:hAnsi="Arial" w:cs="Arial"/>
          <w:sz w:val="20"/>
        </w:rPr>
        <w:t>roce</w:t>
      </w:r>
      <w:r w:rsidRPr="00CE1800">
        <w:rPr>
          <w:rFonts w:ascii="Arial" w:hAnsi="Arial" w:cs="Arial"/>
          <w:sz w:val="20"/>
        </w:rPr>
        <w:t xml:space="preserve"> 201</w:t>
      </w:r>
      <w:r w:rsidR="00576CD1">
        <w:rPr>
          <w:rFonts w:ascii="Arial" w:hAnsi="Arial" w:cs="Arial"/>
          <w:sz w:val="20"/>
        </w:rPr>
        <w:t>9</w:t>
      </w:r>
      <w:r w:rsidRPr="00CE1800">
        <w:rPr>
          <w:rFonts w:ascii="Arial" w:hAnsi="Arial" w:cs="Arial"/>
          <w:sz w:val="20"/>
        </w:rPr>
        <w:t xml:space="preserve"> využíval</w:t>
      </w:r>
      <w:r w:rsidR="00576CD1">
        <w:rPr>
          <w:rFonts w:ascii="Arial" w:hAnsi="Arial" w:cs="Arial"/>
          <w:sz w:val="20"/>
        </w:rPr>
        <w:t>o</w:t>
      </w:r>
      <w:r w:rsidRPr="00CE1800">
        <w:rPr>
          <w:rFonts w:ascii="Arial" w:hAnsi="Arial" w:cs="Arial"/>
          <w:sz w:val="20"/>
        </w:rPr>
        <w:t xml:space="preserve"> </w:t>
      </w:r>
      <w:r w:rsidRPr="00CE1800">
        <w:rPr>
          <w:rFonts w:ascii="Arial" w:hAnsi="Arial" w:cs="Arial"/>
          <w:b/>
          <w:sz w:val="20"/>
        </w:rPr>
        <w:t xml:space="preserve">počítač </w:t>
      </w:r>
      <w:r w:rsidR="004E5F7B" w:rsidRPr="00CE1800">
        <w:rPr>
          <w:rFonts w:ascii="Arial" w:hAnsi="Arial" w:cs="Arial"/>
          <w:b/>
          <w:sz w:val="20"/>
        </w:rPr>
        <w:t>k pracovním účelům</w:t>
      </w:r>
      <w:r w:rsidRPr="00CE1800">
        <w:rPr>
          <w:rFonts w:ascii="Arial" w:hAnsi="Arial" w:cs="Arial"/>
          <w:sz w:val="20"/>
        </w:rPr>
        <w:t xml:space="preserve"> </w:t>
      </w:r>
      <w:r w:rsidR="00576CD1">
        <w:rPr>
          <w:rFonts w:ascii="Arial" w:hAnsi="Arial" w:cs="Arial"/>
          <w:sz w:val="20"/>
        </w:rPr>
        <w:t>54</w:t>
      </w:r>
      <w:r w:rsidR="008F10A7">
        <w:rPr>
          <w:rFonts w:ascii="Arial" w:hAnsi="Arial" w:cs="Arial"/>
          <w:sz w:val="20"/>
        </w:rPr>
        <w:t> </w:t>
      </w:r>
      <w:r w:rsidR="00576CD1">
        <w:rPr>
          <w:rFonts w:ascii="Arial" w:hAnsi="Arial" w:cs="Arial"/>
          <w:sz w:val="20"/>
        </w:rPr>
        <w:t>%</w:t>
      </w:r>
      <w:r w:rsidR="003D7BEA" w:rsidRPr="00CE1800">
        <w:rPr>
          <w:rFonts w:ascii="Arial" w:hAnsi="Arial" w:cs="Arial"/>
          <w:sz w:val="20"/>
        </w:rPr>
        <w:t xml:space="preserve"> </w:t>
      </w:r>
      <w:r w:rsidR="000A2528">
        <w:rPr>
          <w:rFonts w:ascii="Arial" w:hAnsi="Arial" w:cs="Arial"/>
          <w:sz w:val="20"/>
        </w:rPr>
        <w:t>zaměstnanců</w:t>
      </w:r>
      <w:r w:rsidRPr="00CE1800">
        <w:rPr>
          <w:rFonts w:ascii="Arial" w:hAnsi="Arial" w:cs="Arial"/>
          <w:sz w:val="20"/>
        </w:rPr>
        <w:t xml:space="preserve"> v podnikatelském sektoru</w:t>
      </w:r>
      <w:r w:rsidR="007D2B39" w:rsidRPr="00CE1800">
        <w:rPr>
          <w:rFonts w:ascii="Arial" w:hAnsi="Arial" w:cs="Arial"/>
          <w:sz w:val="20"/>
        </w:rPr>
        <w:t xml:space="preserve"> ČR</w:t>
      </w:r>
      <w:r w:rsidRPr="00CE1800">
        <w:rPr>
          <w:rFonts w:ascii="Arial" w:hAnsi="Arial" w:cs="Arial"/>
          <w:sz w:val="20"/>
        </w:rPr>
        <w:t xml:space="preserve">. </w:t>
      </w:r>
      <w:r w:rsidR="00B112AC" w:rsidRPr="00CE1800">
        <w:rPr>
          <w:rFonts w:ascii="Arial" w:hAnsi="Arial" w:cs="Arial"/>
          <w:sz w:val="20"/>
        </w:rPr>
        <w:t xml:space="preserve">Tento podíl se </w:t>
      </w:r>
      <w:r w:rsidR="00CE1800">
        <w:rPr>
          <w:rFonts w:ascii="Arial" w:hAnsi="Arial" w:cs="Arial"/>
          <w:sz w:val="20"/>
        </w:rPr>
        <w:t>posledních let</w:t>
      </w:r>
      <w:r w:rsidR="00576CD1">
        <w:rPr>
          <w:rFonts w:ascii="Arial" w:hAnsi="Arial" w:cs="Arial"/>
          <w:sz w:val="20"/>
        </w:rPr>
        <w:t>ech</w:t>
      </w:r>
      <w:r w:rsidR="00CE1800">
        <w:rPr>
          <w:rFonts w:ascii="Arial" w:hAnsi="Arial" w:cs="Arial"/>
          <w:sz w:val="20"/>
        </w:rPr>
        <w:t xml:space="preserve"> stabilně drž</w:t>
      </w:r>
      <w:r w:rsidR="00576CD1">
        <w:rPr>
          <w:rFonts w:ascii="Arial" w:hAnsi="Arial" w:cs="Arial"/>
          <w:sz w:val="20"/>
        </w:rPr>
        <w:t>el</w:t>
      </w:r>
      <w:r w:rsidR="00CE1800">
        <w:rPr>
          <w:rFonts w:ascii="Arial" w:hAnsi="Arial" w:cs="Arial"/>
          <w:sz w:val="20"/>
        </w:rPr>
        <w:t xml:space="preserve"> </w:t>
      </w:r>
      <w:r w:rsidR="00576CD1">
        <w:rPr>
          <w:rFonts w:ascii="Arial" w:hAnsi="Arial" w:cs="Arial"/>
          <w:sz w:val="20"/>
        </w:rPr>
        <w:t>těsně pod 50% hranicí</w:t>
      </w:r>
      <w:r w:rsidR="007D2B39" w:rsidRPr="00CE1800">
        <w:rPr>
          <w:rFonts w:ascii="Arial" w:hAnsi="Arial" w:cs="Arial"/>
          <w:sz w:val="20"/>
        </w:rPr>
        <w:t xml:space="preserve"> a </w:t>
      </w:r>
      <w:r w:rsidR="007D2B39" w:rsidRPr="00CE1800">
        <w:rPr>
          <w:rFonts w:ascii="Arial" w:hAnsi="Arial" w:cs="Arial"/>
          <w:b/>
          <w:sz w:val="20"/>
        </w:rPr>
        <w:t>v</w:t>
      </w:r>
      <w:r w:rsidR="007D2B39" w:rsidRPr="00CE1800">
        <w:rPr>
          <w:rFonts w:ascii="Arial" w:hAnsi="Arial" w:cs="Arial"/>
          <w:sz w:val="20"/>
        </w:rPr>
        <w:t> </w:t>
      </w:r>
      <w:r w:rsidR="007D2B39" w:rsidRPr="00CE1800">
        <w:rPr>
          <w:rFonts w:ascii="Arial" w:hAnsi="Arial" w:cs="Arial"/>
          <w:b/>
          <w:sz w:val="20"/>
        </w:rPr>
        <w:t xml:space="preserve">roce 2018 </w:t>
      </w:r>
      <w:r w:rsidR="00576CD1">
        <w:rPr>
          <w:rFonts w:ascii="Arial" w:hAnsi="Arial" w:cs="Arial"/>
          <w:b/>
          <w:sz w:val="20"/>
        </w:rPr>
        <w:t xml:space="preserve">ji </w:t>
      </w:r>
      <w:r w:rsidR="007D2B39" w:rsidRPr="00CE1800">
        <w:rPr>
          <w:rFonts w:ascii="Arial" w:hAnsi="Arial" w:cs="Arial"/>
          <w:b/>
          <w:sz w:val="20"/>
        </w:rPr>
        <w:t>poprvé přesáhl</w:t>
      </w:r>
      <w:r w:rsidR="00576CD1">
        <w:rPr>
          <w:rFonts w:ascii="Arial" w:hAnsi="Arial" w:cs="Arial"/>
          <w:b/>
          <w:sz w:val="20"/>
        </w:rPr>
        <w:t>.</w:t>
      </w:r>
      <w:r w:rsidR="007D2B39" w:rsidRPr="00CE1800">
        <w:rPr>
          <w:rFonts w:ascii="Arial" w:hAnsi="Arial" w:cs="Arial"/>
          <w:b/>
          <w:sz w:val="20"/>
        </w:rPr>
        <w:t xml:space="preserve"> </w:t>
      </w:r>
      <w:r w:rsidR="00C649AF" w:rsidRPr="00CE1800">
        <w:rPr>
          <w:rFonts w:ascii="Arial" w:hAnsi="Arial" w:cs="Arial"/>
          <w:sz w:val="20"/>
        </w:rPr>
        <w:t>Zatímco před 15 lety</w:t>
      </w:r>
      <w:r w:rsidR="00B112AC" w:rsidRPr="00CE1800">
        <w:rPr>
          <w:rFonts w:ascii="Arial" w:hAnsi="Arial" w:cs="Arial"/>
          <w:sz w:val="20"/>
        </w:rPr>
        <w:t xml:space="preserve"> pracoval</w:t>
      </w:r>
      <w:r w:rsidR="000A2528">
        <w:rPr>
          <w:rFonts w:ascii="Arial" w:hAnsi="Arial" w:cs="Arial"/>
          <w:sz w:val="20"/>
        </w:rPr>
        <w:t>o</w:t>
      </w:r>
      <w:r w:rsidR="00B112AC" w:rsidRPr="00CE1800">
        <w:rPr>
          <w:rFonts w:ascii="Arial" w:hAnsi="Arial" w:cs="Arial"/>
          <w:sz w:val="20"/>
        </w:rPr>
        <w:t xml:space="preserve"> </w:t>
      </w:r>
      <w:r w:rsidR="003D7BEA" w:rsidRPr="00CE1800">
        <w:rPr>
          <w:rFonts w:ascii="Arial" w:hAnsi="Arial" w:cs="Arial"/>
          <w:sz w:val="20"/>
        </w:rPr>
        <w:t>v </w:t>
      </w:r>
      <w:r w:rsidR="000A2528">
        <w:rPr>
          <w:rFonts w:ascii="Arial" w:hAnsi="Arial" w:cs="Arial"/>
          <w:sz w:val="20"/>
        </w:rPr>
        <w:t>ČR</w:t>
      </w:r>
      <w:r w:rsidR="003D7BEA" w:rsidRPr="00CE1800">
        <w:rPr>
          <w:rFonts w:ascii="Arial" w:hAnsi="Arial" w:cs="Arial"/>
          <w:sz w:val="20"/>
        </w:rPr>
        <w:t xml:space="preserve"> </w:t>
      </w:r>
      <w:r w:rsidR="00B112AC" w:rsidRPr="00CE1800">
        <w:rPr>
          <w:rFonts w:ascii="Arial" w:hAnsi="Arial" w:cs="Arial"/>
          <w:sz w:val="20"/>
        </w:rPr>
        <w:t>s</w:t>
      </w:r>
      <w:r w:rsidR="00BA77C1" w:rsidRPr="00CE1800">
        <w:rPr>
          <w:rFonts w:ascii="Arial" w:hAnsi="Arial" w:cs="Arial"/>
          <w:sz w:val="20"/>
        </w:rPr>
        <w:t> </w:t>
      </w:r>
      <w:r w:rsidR="00B112AC" w:rsidRPr="00CE1800">
        <w:rPr>
          <w:rFonts w:ascii="Arial" w:hAnsi="Arial" w:cs="Arial"/>
          <w:sz w:val="20"/>
        </w:rPr>
        <w:t>počítačem</w:t>
      </w:r>
      <w:r w:rsidR="00BA77C1" w:rsidRPr="00CE1800">
        <w:rPr>
          <w:rFonts w:ascii="Arial" w:hAnsi="Arial" w:cs="Arial"/>
          <w:sz w:val="20"/>
        </w:rPr>
        <w:t xml:space="preserve"> </w:t>
      </w:r>
      <w:r w:rsidR="00584DCD">
        <w:rPr>
          <w:rFonts w:ascii="Arial" w:hAnsi="Arial" w:cs="Arial"/>
          <w:sz w:val="20"/>
        </w:rPr>
        <w:t>38</w:t>
      </w:r>
      <w:r w:rsidR="008F10A7">
        <w:rPr>
          <w:rFonts w:ascii="Arial" w:hAnsi="Arial" w:cs="Arial"/>
          <w:sz w:val="20"/>
        </w:rPr>
        <w:t> </w:t>
      </w:r>
      <w:r w:rsidR="00584DCD">
        <w:rPr>
          <w:rFonts w:ascii="Arial" w:hAnsi="Arial" w:cs="Arial"/>
          <w:sz w:val="20"/>
        </w:rPr>
        <w:t xml:space="preserve">% </w:t>
      </w:r>
      <w:r w:rsidR="004E5F7B" w:rsidRPr="00CE1800">
        <w:rPr>
          <w:rFonts w:ascii="Arial" w:hAnsi="Arial" w:cs="Arial"/>
          <w:sz w:val="20"/>
        </w:rPr>
        <w:t>zaměstnanců</w:t>
      </w:r>
      <w:r w:rsidR="000A2528">
        <w:rPr>
          <w:rFonts w:ascii="Arial" w:hAnsi="Arial" w:cs="Arial"/>
          <w:sz w:val="20"/>
        </w:rPr>
        <w:t>,</w:t>
      </w:r>
      <w:r w:rsidR="003D7BEA" w:rsidRPr="00CE1800">
        <w:rPr>
          <w:rFonts w:ascii="Arial" w:hAnsi="Arial" w:cs="Arial"/>
          <w:sz w:val="20"/>
        </w:rPr>
        <w:t xml:space="preserve"> </w:t>
      </w:r>
      <w:r w:rsidR="002D6C0F" w:rsidRPr="00CE1800">
        <w:rPr>
          <w:rFonts w:ascii="Arial" w:hAnsi="Arial" w:cs="Arial"/>
          <w:sz w:val="20"/>
        </w:rPr>
        <w:t xml:space="preserve">dnes </w:t>
      </w:r>
      <w:r w:rsidR="00C649AF" w:rsidRPr="00CE1800">
        <w:rPr>
          <w:rFonts w:ascii="Arial" w:hAnsi="Arial" w:cs="Arial"/>
          <w:sz w:val="20"/>
        </w:rPr>
        <w:t xml:space="preserve">je </w:t>
      </w:r>
      <w:r w:rsidR="00584DCD">
        <w:rPr>
          <w:rFonts w:ascii="Arial" w:hAnsi="Arial" w:cs="Arial"/>
          <w:sz w:val="20"/>
        </w:rPr>
        <w:t xml:space="preserve">jejich podíl </w:t>
      </w:r>
      <w:r w:rsidR="000A2528">
        <w:rPr>
          <w:rFonts w:ascii="Arial" w:hAnsi="Arial" w:cs="Arial"/>
          <w:sz w:val="20"/>
        </w:rPr>
        <w:t>1,5krát</w:t>
      </w:r>
      <w:r w:rsidR="00584DCD">
        <w:rPr>
          <w:rFonts w:ascii="Arial" w:hAnsi="Arial" w:cs="Arial"/>
          <w:sz w:val="20"/>
        </w:rPr>
        <w:t xml:space="preserve"> vyšší</w:t>
      </w:r>
      <w:r w:rsidR="00B112AC" w:rsidRPr="00CE1800">
        <w:rPr>
          <w:rFonts w:ascii="Arial" w:hAnsi="Arial" w:cs="Arial"/>
          <w:sz w:val="20"/>
        </w:rPr>
        <w:t>.</w:t>
      </w:r>
    </w:p>
    <w:p w:rsidR="00B112AC" w:rsidRPr="00CE1800" w:rsidRDefault="0074613B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CE1800">
        <w:rPr>
          <w:rFonts w:ascii="Arial" w:hAnsi="Arial" w:cs="Arial"/>
          <w:sz w:val="20"/>
        </w:rPr>
        <w:t xml:space="preserve">Podíly zaměstnanců využívajících </w:t>
      </w:r>
      <w:r w:rsidR="004E5F7B" w:rsidRPr="00CE1800">
        <w:rPr>
          <w:rFonts w:ascii="Arial" w:hAnsi="Arial" w:cs="Arial"/>
          <w:sz w:val="20"/>
        </w:rPr>
        <w:t>v práci p</w:t>
      </w:r>
      <w:r w:rsidRPr="00CE1800">
        <w:rPr>
          <w:rFonts w:ascii="Arial" w:hAnsi="Arial" w:cs="Arial"/>
          <w:sz w:val="20"/>
        </w:rPr>
        <w:t xml:space="preserve">očítač se mezi velikostními skupinami </w:t>
      </w:r>
      <w:r w:rsidR="004E5F7B" w:rsidRPr="00CE1800">
        <w:rPr>
          <w:rFonts w:ascii="Arial" w:hAnsi="Arial" w:cs="Arial"/>
          <w:sz w:val="20"/>
        </w:rPr>
        <w:t>firem</w:t>
      </w:r>
      <w:r w:rsidRPr="00CE1800">
        <w:rPr>
          <w:rFonts w:ascii="Arial" w:hAnsi="Arial" w:cs="Arial"/>
          <w:sz w:val="20"/>
        </w:rPr>
        <w:t xml:space="preserve"> příliš neliší</w:t>
      </w:r>
      <w:r w:rsidR="00C649AF" w:rsidRPr="00CE1800">
        <w:rPr>
          <w:rFonts w:ascii="Arial" w:hAnsi="Arial" w:cs="Arial"/>
          <w:sz w:val="20"/>
        </w:rPr>
        <w:t xml:space="preserve">, </w:t>
      </w:r>
      <w:r w:rsidR="00C649AF" w:rsidRPr="006E113B">
        <w:rPr>
          <w:rFonts w:ascii="Arial" w:hAnsi="Arial" w:cs="Arial"/>
          <w:b/>
          <w:sz w:val="20"/>
        </w:rPr>
        <w:t>r</w:t>
      </w:r>
      <w:r w:rsidRPr="006E113B">
        <w:rPr>
          <w:rFonts w:ascii="Arial" w:hAnsi="Arial" w:cs="Arial"/>
          <w:b/>
          <w:sz w:val="20"/>
        </w:rPr>
        <w:t>ozdíly nacházíme spíše mezi jednotlivými odvětvími</w:t>
      </w:r>
      <w:r w:rsidRPr="00CE1800">
        <w:rPr>
          <w:rFonts w:ascii="Arial" w:hAnsi="Arial" w:cs="Arial"/>
          <w:sz w:val="20"/>
        </w:rPr>
        <w:t xml:space="preserve">. </w:t>
      </w:r>
      <w:r w:rsidR="00B112AC" w:rsidRPr="00CE1800">
        <w:rPr>
          <w:rFonts w:ascii="Arial" w:hAnsi="Arial" w:cs="Arial"/>
          <w:sz w:val="20"/>
        </w:rPr>
        <w:t>Nejvíce</w:t>
      </w:r>
      <w:r w:rsidR="004E5F7B" w:rsidRPr="00CE1800">
        <w:rPr>
          <w:rFonts w:ascii="Arial" w:hAnsi="Arial" w:cs="Arial"/>
          <w:sz w:val="20"/>
        </w:rPr>
        <w:t xml:space="preserve"> zaměstnanců pracujících s počítači</w:t>
      </w:r>
      <w:r w:rsidR="00B112AC" w:rsidRPr="00CE1800">
        <w:rPr>
          <w:rFonts w:ascii="Arial" w:hAnsi="Arial" w:cs="Arial"/>
          <w:sz w:val="20"/>
        </w:rPr>
        <w:t xml:space="preserve"> </w:t>
      </w:r>
      <w:r w:rsidR="00D90543" w:rsidRPr="00CE1800">
        <w:rPr>
          <w:rFonts w:ascii="Arial" w:hAnsi="Arial" w:cs="Arial"/>
          <w:sz w:val="20"/>
        </w:rPr>
        <w:t xml:space="preserve">byl </w:t>
      </w:r>
      <w:r w:rsidR="00852D8B">
        <w:rPr>
          <w:rFonts w:ascii="Arial" w:hAnsi="Arial" w:cs="Arial"/>
          <w:sz w:val="20"/>
        </w:rPr>
        <w:t>v roce</w:t>
      </w:r>
      <w:r w:rsidR="00D90543" w:rsidRPr="00CE1800">
        <w:rPr>
          <w:rFonts w:ascii="Arial" w:hAnsi="Arial" w:cs="Arial"/>
          <w:sz w:val="20"/>
        </w:rPr>
        <w:t xml:space="preserve"> 201</w:t>
      </w:r>
      <w:r w:rsidR="00584DCD">
        <w:rPr>
          <w:rFonts w:ascii="Arial" w:hAnsi="Arial" w:cs="Arial"/>
          <w:sz w:val="20"/>
        </w:rPr>
        <w:t>9</w:t>
      </w:r>
      <w:r w:rsidR="00D90543" w:rsidRPr="00CE1800">
        <w:rPr>
          <w:rFonts w:ascii="Arial" w:hAnsi="Arial" w:cs="Arial"/>
          <w:sz w:val="20"/>
        </w:rPr>
        <w:t xml:space="preserve"> </w:t>
      </w:r>
      <w:r w:rsidR="00B112AC" w:rsidRPr="00CE1800">
        <w:rPr>
          <w:rFonts w:ascii="Arial" w:hAnsi="Arial" w:cs="Arial"/>
          <w:sz w:val="20"/>
        </w:rPr>
        <w:t>v</w:t>
      </w:r>
      <w:r w:rsidR="00D90543" w:rsidRPr="00CE1800">
        <w:rPr>
          <w:rFonts w:ascii="Arial" w:hAnsi="Arial" w:cs="Arial"/>
          <w:sz w:val="20"/>
        </w:rPr>
        <w:t> telekomunikacích a činnostech v oblasti IT (shodně 95</w:t>
      </w:r>
      <w:r w:rsidR="008F10A7">
        <w:rPr>
          <w:rFonts w:ascii="Arial" w:hAnsi="Arial" w:cs="Arial"/>
          <w:sz w:val="20"/>
        </w:rPr>
        <w:t> </w:t>
      </w:r>
      <w:r w:rsidR="00D90543" w:rsidRPr="00CE1800">
        <w:rPr>
          <w:rFonts w:ascii="Arial" w:hAnsi="Arial" w:cs="Arial"/>
          <w:sz w:val="20"/>
        </w:rPr>
        <w:t>%)</w:t>
      </w:r>
      <w:r w:rsidR="002D6C0F" w:rsidRPr="00CE1800">
        <w:rPr>
          <w:rFonts w:ascii="Arial" w:hAnsi="Arial" w:cs="Arial"/>
          <w:sz w:val="20"/>
        </w:rPr>
        <w:t>.</w:t>
      </w:r>
      <w:r w:rsidR="00B112AC" w:rsidRPr="00CE1800">
        <w:rPr>
          <w:rFonts w:ascii="Arial" w:hAnsi="Arial" w:cs="Arial"/>
          <w:sz w:val="20"/>
        </w:rPr>
        <w:t xml:space="preserve"> </w:t>
      </w:r>
      <w:r w:rsidR="00184B9E" w:rsidRPr="00CE1800">
        <w:rPr>
          <w:rFonts w:ascii="Arial" w:hAnsi="Arial" w:cs="Arial"/>
          <w:sz w:val="20"/>
        </w:rPr>
        <w:t xml:space="preserve">Nejmenší </w:t>
      </w:r>
      <w:r w:rsidRPr="00CE1800">
        <w:rPr>
          <w:rFonts w:ascii="Arial" w:hAnsi="Arial" w:cs="Arial"/>
          <w:sz w:val="20"/>
        </w:rPr>
        <w:t>byl</w:t>
      </w:r>
      <w:r w:rsidR="008801A7" w:rsidRPr="00CE1800">
        <w:rPr>
          <w:rFonts w:ascii="Arial" w:hAnsi="Arial" w:cs="Arial"/>
          <w:sz w:val="20"/>
        </w:rPr>
        <w:t xml:space="preserve"> naproti tomu</w:t>
      </w:r>
      <w:r w:rsidR="00D90543" w:rsidRPr="00CE1800">
        <w:rPr>
          <w:rFonts w:ascii="Arial" w:hAnsi="Arial" w:cs="Arial"/>
          <w:sz w:val="20"/>
        </w:rPr>
        <w:t xml:space="preserve"> </w:t>
      </w:r>
      <w:r w:rsidR="00184B9E" w:rsidRPr="00CE1800">
        <w:rPr>
          <w:rFonts w:ascii="Arial" w:hAnsi="Arial" w:cs="Arial"/>
          <w:sz w:val="20"/>
        </w:rPr>
        <w:t>v</w:t>
      </w:r>
      <w:r w:rsidR="00A22C4D" w:rsidRPr="00CE1800">
        <w:rPr>
          <w:rFonts w:ascii="Arial" w:hAnsi="Arial" w:cs="Arial"/>
          <w:sz w:val="20"/>
        </w:rPr>
        <w:t> </w:t>
      </w:r>
      <w:r w:rsidR="00184B9E" w:rsidRPr="00CE1800">
        <w:rPr>
          <w:rFonts w:ascii="Arial" w:hAnsi="Arial" w:cs="Arial"/>
          <w:sz w:val="20"/>
        </w:rPr>
        <w:t>odvětví</w:t>
      </w:r>
      <w:r w:rsidR="00A22C4D" w:rsidRPr="00CE1800">
        <w:rPr>
          <w:rFonts w:ascii="Arial" w:hAnsi="Arial" w:cs="Arial"/>
          <w:sz w:val="20"/>
        </w:rPr>
        <w:t xml:space="preserve"> nazvaném</w:t>
      </w:r>
      <w:r w:rsidR="00184B9E" w:rsidRPr="00CE1800">
        <w:rPr>
          <w:rFonts w:ascii="Arial" w:hAnsi="Arial" w:cs="Arial"/>
          <w:sz w:val="20"/>
        </w:rPr>
        <w:t xml:space="preserve"> </w:t>
      </w:r>
      <w:r w:rsidR="00D90543" w:rsidRPr="00CE1800">
        <w:rPr>
          <w:rFonts w:ascii="Arial" w:hAnsi="Arial" w:cs="Arial"/>
          <w:sz w:val="20"/>
        </w:rPr>
        <w:t>ostatní a</w:t>
      </w:r>
      <w:r w:rsidR="00184B9E" w:rsidRPr="00CE1800">
        <w:rPr>
          <w:rFonts w:ascii="Arial" w:hAnsi="Arial" w:cs="Arial"/>
          <w:sz w:val="20"/>
        </w:rPr>
        <w:t>dministrativní a podpůrné činnosti</w:t>
      </w:r>
      <w:r w:rsidR="00A22C4D" w:rsidRPr="00CE1800">
        <w:rPr>
          <w:rFonts w:ascii="Arial" w:hAnsi="Arial" w:cs="Arial"/>
          <w:sz w:val="20"/>
        </w:rPr>
        <w:t xml:space="preserve"> (patří sem bezpečnostní agentury, zprostředk</w:t>
      </w:r>
      <w:r w:rsidR="00D90543" w:rsidRPr="00CE1800">
        <w:rPr>
          <w:rFonts w:ascii="Arial" w:hAnsi="Arial" w:cs="Arial"/>
          <w:sz w:val="20"/>
        </w:rPr>
        <w:t>ování</w:t>
      </w:r>
      <w:r w:rsidR="00A22C4D" w:rsidRPr="00CE1800">
        <w:rPr>
          <w:rFonts w:ascii="Arial" w:hAnsi="Arial" w:cs="Arial"/>
          <w:sz w:val="20"/>
        </w:rPr>
        <w:t xml:space="preserve"> prác</w:t>
      </w:r>
      <w:r w:rsidR="00D90543" w:rsidRPr="00CE1800">
        <w:rPr>
          <w:rFonts w:ascii="Arial" w:hAnsi="Arial" w:cs="Arial"/>
          <w:sz w:val="20"/>
        </w:rPr>
        <w:t>e</w:t>
      </w:r>
      <w:r w:rsidR="00A22C4D" w:rsidRPr="00CE1800">
        <w:rPr>
          <w:rFonts w:ascii="Arial" w:hAnsi="Arial" w:cs="Arial"/>
          <w:sz w:val="20"/>
        </w:rPr>
        <w:t>, činnosti v oblasti pronájmu apod.)</w:t>
      </w:r>
      <w:r w:rsidR="00184B9E" w:rsidRPr="00CE1800">
        <w:rPr>
          <w:rFonts w:ascii="Arial" w:hAnsi="Arial" w:cs="Arial"/>
          <w:sz w:val="20"/>
        </w:rPr>
        <w:t>, kde</w:t>
      </w:r>
      <w:r w:rsidR="009F5F81">
        <w:rPr>
          <w:rFonts w:ascii="Arial" w:hAnsi="Arial" w:cs="Arial"/>
          <w:sz w:val="20"/>
        </w:rPr>
        <w:t xml:space="preserve"> v roce</w:t>
      </w:r>
      <w:r w:rsidR="002E575D" w:rsidRPr="00CE1800">
        <w:rPr>
          <w:rFonts w:ascii="Arial" w:hAnsi="Arial" w:cs="Arial"/>
          <w:sz w:val="20"/>
        </w:rPr>
        <w:t xml:space="preserve"> 201</w:t>
      </w:r>
      <w:r w:rsidR="009F5F81">
        <w:rPr>
          <w:rFonts w:ascii="Arial" w:hAnsi="Arial" w:cs="Arial"/>
          <w:sz w:val="20"/>
        </w:rPr>
        <w:t>9</w:t>
      </w:r>
      <w:r w:rsidR="00184B9E" w:rsidRPr="00CE1800">
        <w:rPr>
          <w:rFonts w:ascii="Arial" w:hAnsi="Arial" w:cs="Arial"/>
          <w:sz w:val="20"/>
        </w:rPr>
        <w:t xml:space="preserve"> </w:t>
      </w:r>
      <w:r w:rsidR="00CE1800" w:rsidRPr="00CE1800">
        <w:rPr>
          <w:rFonts w:ascii="Arial" w:hAnsi="Arial" w:cs="Arial"/>
          <w:sz w:val="20"/>
        </w:rPr>
        <w:t xml:space="preserve">používala </w:t>
      </w:r>
      <w:r w:rsidR="002E575D" w:rsidRPr="00CE1800">
        <w:rPr>
          <w:rFonts w:ascii="Arial" w:hAnsi="Arial" w:cs="Arial"/>
          <w:sz w:val="20"/>
        </w:rPr>
        <w:t xml:space="preserve">počítače </w:t>
      </w:r>
      <w:r w:rsidR="00CE1800" w:rsidRPr="00CE1800">
        <w:rPr>
          <w:rFonts w:ascii="Arial" w:hAnsi="Arial" w:cs="Arial"/>
          <w:sz w:val="20"/>
        </w:rPr>
        <w:t xml:space="preserve">čtvrtina </w:t>
      </w:r>
      <w:r w:rsidR="00C649AF" w:rsidRPr="00CE1800">
        <w:rPr>
          <w:rFonts w:ascii="Arial" w:hAnsi="Arial" w:cs="Arial"/>
          <w:sz w:val="20"/>
        </w:rPr>
        <w:t>za</w:t>
      </w:r>
      <w:r w:rsidR="00B112AC" w:rsidRPr="00CE1800">
        <w:rPr>
          <w:rFonts w:ascii="Arial" w:hAnsi="Arial" w:cs="Arial"/>
          <w:sz w:val="20"/>
        </w:rPr>
        <w:t>městnanců.</w:t>
      </w:r>
      <w:r w:rsidR="00184B9E" w:rsidRPr="00CE1800">
        <w:rPr>
          <w:rFonts w:ascii="Arial" w:hAnsi="Arial" w:cs="Arial"/>
          <w:sz w:val="20"/>
        </w:rPr>
        <w:t xml:space="preserve"> </w:t>
      </w:r>
    </w:p>
    <w:p w:rsidR="00D87787" w:rsidRPr="00193E5B" w:rsidRDefault="00D87787" w:rsidP="004D77B7">
      <w:pPr>
        <w:pStyle w:val="Odstavecseseznamem"/>
        <w:numPr>
          <w:ilvl w:val="0"/>
          <w:numId w:val="2"/>
        </w:numPr>
        <w:tabs>
          <w:tab w:val="clear" w:pos="360"/>
          <w:tab w:val="left" w:pos="284"/>
        </w:tabs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93E5B">
        <w:rPr>
          <w:rFonts w:ascii="Arial" w:hAnsi="Arial" w:cs="Arial"/>
          <w:sz w:val="20"/>
        </w:rPr>
        <w:t xml:space="preserve">Podíl zaměstnanců majících v Česku </w:t>
      </w:r>
      <w:r w:rsidRPr="00193E5B">
        <w:rPr>
          <w:rFonts w:ascii="Arial" w:hAnsi="Arial" w:cs="Arial"/>
          <w:b/>
          <w:sz w:val="20"/>
        </w:rPr>
        <w:t xml:space="preserve">přístup </w:t>
      </w:r>
      <w:r w:rsidR="004D77B7" w:rsidRPr="00193E5B">
        <w:rPr>
          <w:rFonts w:ascii="Arial" w:hAnsi="Arial" w:cs="Arial"/>
          <w:b/>
          <w:sz w:val="20"/>
        </w:rPr>
        <w:t xml:space="preserve">z pracovního počítače </w:t>
      </w:r>
      <w:r w:rsidRPr="00193E5B">
        <w:rPr>
          <w:rFonts w:ascii="Arial" w:hAnsi="Arial" w:cs="Arial"/>
          <w:b/>
          <w:sz w:val="20"/>
        </w:rPr>
        <w:t xml:space="preserve">k internetu </w:t>
      </w:r>
      <w:r w:rsidR="004D77B7">
        <w:rPr>
          <w:rFonts w:ascii="Arial" w:hAnsi="Arial" w:cs="Arial"/>
          <w:sz w:val="20"/>
        </w:rPr>
        <w:t>každým rokem</w:t>
      </w:r>
      <w:r w:rsidRPr="00193E5B">
        <w:rPr>
          <w:rFonts w:ascii="Arial" w:hAnsi="Arial" w:cs="Arial"/>
          <w:sz w:val="20"/>
        </w:rPr>
        <w:t xml:space="preserve"> mírně narůstá, v </w:t>
      </w:r>
      <w:r w:rsidR="00852D8B">
        <w:rPr>
          <w:rFonts w:ascii="Arial" w:hAnsi="Arial" w:cs="Arial"/>
          <w:sz w:val="20"/>
        </w:rPr>
        <w:t>roce</w:t>
      </w:r>
      <w:r w:rsidRPr="00193E5B">
        <w:rPr>
          <w:rFonts w:ascii="Arial" w:hAnsi="Arial" w:cs="Arial"/>
          <w:sz w:val="20"/>
        </w:rPr>
        <w:t xml:space="preserve"> 201</w:t>
      </w:r>
      <w:r w:rsidR="007F7D8B">
        <w:rPr>
          <w:rFonts w:ascii="Arial" w:hAnsi="Arial" w:cs="Arial"/>
          <w:sz w:val="20"/>
        </w:rPr>
        <w:t>9</w:t>
      </w:r>
      <w:r w:rsidRPr="00193E5B">
        <w:rPr>
          <w:rFonts w:ascii="Arial" w:hAnsi="Arial" w:cs="Arial"/>
          <w:sz w:val="20"/>
        </w:rPr>
        <w:t xml:space="preserve"> </w:t>
      </w:r>
      <w:r w:rsidR="00CE1800" w:rsidRPr="00193E5B">
        <w:rPr>
          <w:rFonts w:ascii="Arial" w:hAnsi="Arial" w:cs="Arial"/>
          <w:sz w:val="20"/>
        </w:rPr>
        <w:t xml:space="preserve">tvořil </w:t>
      </w:r>
      <w:r w:rsidRPr="00193E5B">
        <w:rPr>
          <w:rFonts w:ascii="Arial" w:hAnsi="Arial" w:cs="Arial"/>
          <w:sz w:val="20"/>
        </w:rPr>
        <w:t xml:space="preserve">jejich podíl </w:t>
      </w:r>
      <w:r w:rsidR="00CE1800" w:rsidRPr="00193E5B">
        <w:rPr>
          <w:rFonts w:ascii="Arial" w:hAnsi="Arial" w:cs="Arial"/>
          <w:sz w:val="20"/>
        </w:rPr>
        <w:t>4</w:t>
      </w:r>
      <w:r w:rsidR="007F7D8B">
        <w:rPr>
          <w:rFonts w:ascii="Arial" w:hAnsi="Arial" w:cs="Arial"/>
          <w:sz w:val="20"/>
        </w:rPr>
        <w:t>6</w:t>
      </w:r>
      <w:r w:rsidR="008F10A7">
        <w:rPr>
          <w:rFonts w:ascii="Arial" w:hAnsi="Arial" w:cs="Arial"/>
          <w:sz w:val="20"/>
        </w:rPr>
        <w:t> </w:t>
      </w:r>
      <w:r w:rsidR="00CE1800" w:rsidRPr="00193E5B">
        <w:rPr>
          <w:rFonts w:ascii="Arial" w:hAnsi="Arial" w:cs="Arial"/>
          <w:sz w:val="20"/>
        </w:rPr>
        <w:t>%</w:t>
      </w:r>
      <w:r w:rsidR="004D77B7">
        <w:rPr>
          <w:rFonts w:ascii="Arial" w:hAnsi="Arial" w:cs="Arial"/>
          <w:sz w:val="20"/>
        </w:rPr>
        <w:t xml:space="preserve"> a</w:t>
      </w:r>
      <w:r w:rsidR="00CE1800" w:rsidRPr="00193E5B">
        <w:rPr>
          <w:rFonts w:ascii="Arial" w:hAnsi="Arial" w:cs="Arial"/>
          <w:sz w:val="20"/>
        </w:rPr>
        <w:t xml:space="preserve"> </w:t>
      </w:r>
      <w:r w:rsidR="004D77B7">
        <w:rPr>
          <w:rFonts w:ascii="Arial" w:hAnsi="Arial" w:cs="Arial"/>
          <w:sz w:val="20"/>
        </w:rPr>
        <w:t>z</w:t>
      </w:r>
      <w:r w:rsidR="00193E5B" w:rsidRPr="00193E5B">
        <w:rPr>
          <w:rFonts w:ascii="Arial" w:hAnsi="Arial" w:cs="Arial"/>
          <w:sz w:val="20"/>
        </w:rPr>
        <w:t>a posledních 15 let se téměř zdvojnásobil.</w:t>
      </w:r>
      <w:r w:rsidRPr="00193E5B">
        <w:rPr>
          <w:rFonts w:ascii="Arial" w:hAnsi="Arial" w:cs="Arial"/>
          <w:sz w:val="20"/>
        </w:rPr>
        <w:t xml:space="preserve"> </w:t>
      </w:r>
      <w:r w:rsidR="004D77B7">
        <w:rPr>
          <w:rFonts w:ascii="Arial" w:hAnsi="Arial" w:cs="Arial"/>
          <w:sz w:val="20"/>
        </w:rPr>
        <w:t>Tento ukazatel</w:t>
      </w:r>
      <w:r w:rsidRPr="00193E5B">
        <w:rPr>
          <w:rFonts w:ascii="Arial" w:hAnsi="Arial" w:cs="Arial"/>
          <w:sz w:val="20"/>
        </w:rPr>
        <w:t xml:space="preserve"> – na rozdíl od počtu zaměstnanců používajících počítač – </w:t>
      </w:r>
      <w:r w:rsidR="007F7D8B">
        <w:rPr>
          <w:rFonts w:ascii="Arial" w:hAnsi="Arial" w:cs="Arial"/>
          <w:sz w:val="20"/>
        </w:rPr>
        <w:t xml:space="preserve">drobně </w:t>
      </w:r>
      <w:r w:rsidR="004D77B7" w:rsidRPr="00193E5B">
        <w:rPr>
          <w:rFonts w:ascii="Arial" w:hAnsi="Arial" w:cs="Arial"/>
          <w:sz w:val="20"/>
        </w:rPr>
        <w:t xml:space="preserve">klesá </w:t>
      </w:r>
      <w:r w:rsidRPr="00193E5B">
        <w:rPr>
          <w:rFonts w:ascii="Arial" w:hAnsi="Arial" w:cs="Arial"/>
          <w:sz w:val="20"/>
        </w:rPr>
        <w:t>s velikostí firmy. Důvodem mohou být omezení přístupu zaměstnanců na internet z</w:t>
      </w:r>
      <w:r w:rsidR="00852D8B">
        <w:rPr>
          <w:rFonts w:ascii="Arial" w:hAnsi="Arial" w:cs="Arial"/>
          <w:sz w:val="20"/>
        </w:rPr>
        <w:t>e</w:t>
      </w:r>
      <w:r w:rsidRPr="00193E5B">
        <w:rPr>
          <w:rFonts w:ascii="Arial" w:hAnsi="Arial" w:cs="Arial"/>
          <w:sz w:val="20"/>
        </w:rPr>
        <w:t xml:space="preserve"> </w:t>
      </w:r>
      <w:r w:rsidR="00852D8B">
        <w:rPr>
          <w:rFonts w:ascii="Arial" w:hAnsi="Arial" w:cs="Arial"/>
          <w:sz w:val="20"/>
        </w:rPr>
        <w:t>svých</w:t>
      </w:r>
      <w:r w:rsidRPr="00193E5B">
        <w:rPr>
          <w:rFonts w:ascii="Arial" w:hAnsi="Arial" w:cs="Arial"/>
          <w:sz w:val="20"/>
        </w:rPr>
        <w:t xml:space="preserve"> pracovních počítačů ze strany zaměstnavatele, která jsou zřejmě praktikována </w:t>
      </w:r>
      <w:r w:rsidR="007F7D8B">
        <w:rPr>
          <w:rFonts w:ascii="Arial" w:hAnsi="Arial" w:cs="Arial"/>
          <w:sz w:val="20"/>
        </w:rPr>
        <w:t xml:space="preserve">o něco </w:t>
      </w:r>
      <w:r w:rsidRPr="00193E5B">
        <w:rPr>
          <w:rFonts w:ascii="Arial" w:hAnsi="Arial" w:cs="Arial"/>
          <w:sz w:val="20"/>
        </w:rPr>
        <w:t xml:space="preserve">častěji ve </w:t>
      </w:r>
      <w:r w:rsidR="007F7D8B">
        <w:rPr>
          <w:rFonts w:ascii="Arial" w:hAnsi="Arial" w:cs="Arial"/>
          <w:sz w:val="20"/>
        </w:rPr>
        <w:t>větších</w:t>
      </w:r>
      <w:r w:rsidRPr="00193E5B">
        <w:rPr>
          <w:rFonts w:ascii="Arial" w:hAnsi="Arial" w:cs="Arial"/>
          <w:sz w:val="20"/>
        </w:rPr>
        <w:t xml:space="preserve"> firmách. </w:t>
      </w:r>
    </w:p>
    <w:p w:rsidR="00B112AC" w:rsidRPr="00467F6A" w:rsidRDefault="00AE511A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467F6A">
        <w:rPr>
          <w:rFonts w:ascii="Arial" w:hAnsi="Arial" w:cs="Arial"/>
          <w:sz w:val="20"/>
        </w:rPr>
        <w:t>Počítače s p</w:t>
      </w:r>
      <w:r w:rsidR="00BA77C1" w:rsidRPr="00467F6A">
        <w:rPr>
          <w:rFonts w:ascii="Arial" w:hAnsi="Arial" w:cs="Arial"/>
          <w:sz w:val="20"/>
        </w:rPr>
        <w:t>řístup</w:t>
      </w:r>
      <w:r w:rsidRPr="00467F6A">
        <w:rPr>
          <w:rFonts w:ascii="Arial" w:hAnsi="Arial" w:cs="Arial"/>
          <w:sz w:val="20"/>
        </w:rPr>
        <w:t>em</w:t>
      </w:r>
      <w:r w:rsidR="00BA77C1" w:rsidRPr="00467F6A">
        <w:rPr>
          <w:rFonts w:ascii="Arial" w:hAnsi="Arial" w:cs="Arial"/>
          <w:sz w:val="20"/>
        </w:rPr>
        <w:t xml:space="preserve"> </w:t>
      </w:r>
      <w:r w:rsidRPr="00467F6A">
        <w:rPr>
          <w:rFonts w:ascii="Arial" w:hAnsi="Arial" w:cs="Arial"/>
          <w:sz w:val="20"/>
        </w:rPr>
        <w:t>na</w:t>
      </w:r>
      <w:r w:rsidR="00BA77C1" w:rsidRPr="00467F6A">
        <w:rPr>
          <w:rFonts w:ascii="Arial" w:hAnsi="Arial" w:cs="Arial"/>
          <w:sz w:val="20"/>
        </w:rPr>
        <w:t> internet mají</w:t>
      </w:r>
      <w:r w:rsidR="00C649AF" w:rsidRPr="00467F6A">
        <w:rPr>
          <w:rFonts w:ascii="Arial" w:hAnsi="Arial" w:cs="Arial"/>
          <w:sz w:val="20"/>
        </w:rPr>
        <w:t xml:space="preserve"> </w:t>
      </w:r>
      <w:r w:rsidR="008F10A7">
        <w:rPr>
          <w:rFonts w:ascii="Arial" w:hAnsi="Arial" w:cs="Arial"/>
          <w:sz w:val="20"/>
        </w:rPr>
        <w:t>nejčastěji</w:t>
      </w:r>
      <w:r w:rsidRPr="00467F6A">
        <w:rPr>
          <w:rFonts w:ascii="Arial" w:hAnsi="Arial" w:cs="Arial"/>
          <w:sz w:val="20"/>
        </w:rPr>
        <w:t xml:space="preserve"> </w:t>
      </w:r>
      <w:r w:rsidR="00F9587D" w:rsidRPr="00467F6A">
        <w:rPr>
          <w:rFonts w:ascii="Arial" w:hAnsi="Arial" w:cs="Arial"/>
          <w:sz w:val="20"/>
        </w:rPr>
        <w:t>zaměstnan</w:t>
      </w:r>
      <w:r w:rsidRPr="00467F6A">
        <w:rPr>
          <w:rFonts w:ascii="Arial" w:hAnsi="Arial" w:cs="Arial"/>
          <w:sz w:val="20"/>
        </w:rPr>
        <w:t>ci</w:t>
      </w:r>
      <w:r w:rsidR="00F9587D" w:rsidRPr="00467F6A">
        <w:rPr>
          <w:rFonts w:ascii="Arial" w:hAnsi="Arial" w:cs="Arial"/>
          <w:sz w:val="20"/>
        </w:rPr>
        <w:t xml:space="preserve"> </w:t>
      </w:r>
      <w:r w:rsidR="00B60BB7" w:rsidRPr="00467F6A">
        <w:rPr>
          <w:rFonts w:ascii="Arial" w:hAnsi="Arial" w:cs="Arial"/>
          <w:sz w:val="20"/>
        </w:rPr>
        <w:t xml:space="preserve">v mediálním sektoru, </w:t>
      </w:r>
      <w:r w:rsidR="00F9587D" w:rsidRPr="00467F6A">
        <w:rPr>
          <w:rFonts w:ascii="Arial" w:hAnsi="Arial" w:cs="Arial"/>
          <w:sz w:val="20"/>
        </w:rPr>
        <w:t>v</w:t>
      </w:r>
      <w:r w:rsidR="00B60BB7" w:rsidRPr="00467F6A">
        <w:rPr>
          <w:rFonts w:ascii="Arial" w:hAnsi="Arial" w:cs="Arial"/>
          <w:sz w:val="20"/>
        </w:rPr>
        <w:t> </w:t>
      </w:r>
      <w:r w:rsidR="00F9587D" w:rsidRPr="00467F6A">
        <w:rPr>
          <w:rFonts w:ascii="Arial" w:hAnsi="Arial" w:cs="Arial"/>
          <w:sz w:val="20"/>
        </w:rPr>
        <w:t>telekomunikacích</w:t>
      </w:r>
      <w:r w:rsidR="00B60BB7" w:rsidRPr="00467F6A">
        <w:rPr>
          <w:rFonts w:ascii="Arial" w:hAnsi="Arial" w:cs="Arial"/>
          <w:sz w:val="20"/>
        </w:rPr>
        <w:t xml:space="preserve"> či v IT (</w:t>
      </w:r>
      <w:r w:rsidR="008F10A7">
        <w:rPr>
          <w:rFonts w:ascii="Arial" w:hAnsi="Arial" w:cs="Arial"/>
          <w:sz w:val="20"/>
        </w:rPr>
        <w:t>v každém z těchto odvětví více než</w:t>
      </w:r>
      <w:r w:rsidR="00B60BB7" w:rsidRPr="00467F6A">
        <w:rPr>
          <w:rFonts w:ascii="Arial" w:hAnsi="Arial" w:cs="Arial"/>
          <w:sz w:val="20"/>
        </w:rPr>
        <w:t xml:space="preserve"> 9</w:t>
      </w:r>
      <w:r w:rsidR="007F7D8B">
        <w:rPr>
          <w:rFonts w:ascii="Arial" w:hAnsi="Arial" w:cs="Arial"/>
          <w:sz w:val="20"/>
        </w:rPr>
        <w:t>1</w:t>
      </w:r>
      <w:r w:rsidR="008F10A7">
        <w:rPr>
          <w:rFonts w:ascii="Arial" w:hAnsi="Arial" w:cs="Arial"/>
          <w:sz w:val="20"/>
        </w:rPr>
        <w:t> </w:t>
      </w:r>
      <w:r w:rsidR="00B60BB7" w:rsidRPr="00467F6A">
        <w:rPr>
          <w:rFonts w:ascii="Arial" w:hAnsi="Arial" w:cs="Arial"/>
          <w:sz w:val="20"/>
        </w:rPr>
        <w:t>%)</w:t>
      </w:r>
      <w:r w:rsidR="00BA77C1" w:rsidRPr="00467F6A">
        <w:rPr>
          <w:rFonts w:ascii="Arial" w:hAnsi="Arial" w:cs="Arial"/>
          <w:sz w:val="20"/>
        </w:rPr>
        <w:t>.</w:t>
      </w:r>
      <w:r w:rsidR="00326DC3" w:rsidRPr="00467F6A">
        <w:rPr>
          <w:rFonts w:ascii="Arial" w:hAnsi="Arial" w:cs="Arial"/>
          <w:sz w:val="20"/>
        </w:rPr>
        <w:t xml:space="preserve"> Nejméně často (podobně jako v případě přístupu k počítačům) </w:t>
      </w:r>
      <w:r w:rsidRPr="00467F6A">
        <w:rPr>
          <w:rFonts w:ascii="Arial" w:hAnsi="Arial" w:cs="Arial"/>
          <w:sz w:val="20"/>
        </w:rPr>
        <w:t xml:space="preserve">pak </w:t>
      </w:r>
      <w:r w:rsidR="00326DC3" w:rsidRPr="00467F6A">
        <w:rPr>
          <w:rFonts w:ascii="Arial" w:hAnsi="Arial" w:cs="Arial"/>
          <w:sz w:val="20"/>
        </w:rPr>
        <w:t>zaměstnanci v</w:t>
      </w:r>
      <w:r w:rsidR="00B82EB5">
        <w:rPr>
          <w:rFonts w:ascii="Arial" w:hAnsi="Arial" w:cs="Arial"/>
          <w:sz w:val="20"/>
        </w:rPr>
        <w:t> </w:t>
      </w:r>
      <w:r w:rsidR="00326DC3" w:rsidRPr="00467F6A">
        <w:rPr>
          <w:rFonts w:ascii="Arial" w:hAnsi="Arial" w:cs="Arial"/>
          <w:sz w:val="20"/>
        </w:rPr>
        <w:t>ostatních administrativních a podpůrných činnostech (</w:t>
      </w:r>
      <w:r w:rsidR="00467F6A" w:rsidRPr="00467F6A">
        <w:rPr>
          <w:rFonts w:ascii="Arial" w:hAnsi="Arial" w:cs="Arial"/>
          <w:sz w:val="20"/>
        </w:rPr>
        <w:t>přibližně 2</w:t>
      </w:r>
      <w:r w:rsidR="00B82EB5">
        <w:rPr>
          <w:rFonts w:ascii="Arial" w:hAnsi="Arial" w:cs="Arial"/>
          <w:sz w:val="20"/>
        </w:rPr>
        <w:t>3</w:t>
      </w:r>
      <w:r w:rsidR="008F10A7">
        <w:rPr>
          <w:rFonts w:ascii="Arial" w:hAnsi="Arial" w:cs="Arial"/>
          <w:sz w:val="20"/>
        </w:rPr>
        <w:t> </w:t>
      </w:r>
      <w:r w:rsidR="00326DC3" w:rsidRPr="00467F6A">
        <w:rPr>
          <w:rFonts w:ascii="Arial" w:hAnsi="Arial" w:cs="Arial"/>
          <w:sz w:val="20"/>
        </w:rPr>
        <w:t>%).</w:t>
      </w:r>
      <w:r w:rsidR="00405AE5" w:rsidRPr="00467F6A">
        <w:rPr>
          <w:rFonts w:ascii="Arial" w:hAnsi="Arial" w:cs="Arial"/>
          <w:sz w:val="20"/>
        </w:rPr>
        <w:t xml:space="preserve"> </w:t>
      </w:r>
    </w:p>
    <w:p w:rsidR="00D87787" w:rsidRPr="00467F6A" w:rsidRDefault="003D7BEA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467F6A">
        <w:rPr>
          <w:rFonts w:ascii="Arial" w:hAnsi="Arial" w:cs="Arial"/>
          <w:sz w:val="20"/>
        </w:rPr>
        <w:t>Ve srovnání s ostatními zeměmi EU</w:t>
      </w:r>
      <w:r w:rsidR="004D77B7" w:rsidRPr="00467F6A">
        <w:rPr>
          <w:rStyle w:val="Znakapoznpodarou"/>
          <w:rFonts w:ascii="Arial" w:hAnsi="Arial" w:cs="Arial"/>
          <w:sz w:val="20"/>
        </w:rPr>
        <w:footnoteReference w:id="1"/>
      </w:r>
      <w:r w:rsidR="004D77B7" w:rsidRPr="00467F6A">
        <w:rPr>
          <w:rFonts w:ascii="Arial" w:hAnsi="Arial" w:cs="Arial"/>
          <w:sz w:val="20"/>
        </w:rPr>
        <w:t xml:space="preserve"> </w:t>
      </w:r>
      <w:r w:rsidRPr="00467F6A">
        <w:rPr>
          <w:rFonts w:ascii="Arial" w:hAnsi="Arial" w:cs="Arial"/>
          <w:sz w:val="20"/>
        </w:rPr>
        <w:t>vykaz</w:t>
      </w:r>
      <w:r w:rsidR="00B82EB5">
        <w:rPr>
          <w:rFonts w:ascii="Arial" w:hAnsi="Arial" w:cs="Arial"/>
          <w:sz w:val="20"/>
        </w:rPr>
        <w:t>ovaly</w:t>
      </w:r>
      <w:r w:rsidRPr="00467F6A">
        <w:rPr>
          <w:rFonts w:ascii="Arial" w:hAnsi="Arial" w:cs="Arial"/>
          <w:sz w:val="20"/>
        </w:rPr>
        <w:t xml:space="preserve"> české </w:t>
      </w:r>
      <w:r w:rsidR="00326DC3" w:rsidRPr="00467F6A">
        <w:rPr>
          <w:rFonts w:ascii="Arial" w:hAnsi="Arial" w:cs="Arial"/>
          <w:sz w:val="20"/>
        </w:rPr>
        <w:t>firmy</w:t>
      </w:r>
      <w:r w:rsidR="00B82EB5">
        <w:rPr>
          <w:rFonts w:ascii="Arial" w:hAnsi="Arial" w:cs="Arial"/>
          <w:sz w:val="20"/>
        </w:rPr>
        <w:t xml:space="preserve"> v roce 2018</w:t>
      </w:r>
      <w:r w:rsidRPr="00467F6A">
        <w:rPr>
          <w:rFonts w:ascii="Arial" w:hAnsi="Arial" w:cs="Arial"/>
          <w:sz w:val="20"/>
        </w:rPr>
        <w:t xml:space="preserve"> </w:t>
      </w:r>
      <w:r w:rsidRPr="006E113B">
        <w:rPr>
          <w:rFonts w:ascii="Arial" w:hAnsi="Arial" w:cs="Arial"/>
          <w:b/>
          <w:sz w:val="20"/>
        </w:rPr>
        <w:t>jeden z nejnižších podílů zaměstnanců</w:t>
      </w:r>
      <w:r w:rsidRPr="00467F6A">
        <w:rPr>
          <w:rFonts w:ascii="Arial" w:hAnsi="Arial" w:cs="Arial"/>
          <w:sz w:val="20"/>
        </w:rPr>
        <w:t>, kteří v</w:t>
      </w:r>
      <w:r w:rsidR="00326DC3" w:rsidRPr="00467F6A">
        <w:rPr>
          <w:rFonts w:ascii="Arial" w:hAnsi="Arial" w:cs="Arial"/>
          <w:sz w:val="20"/>
        </w:rPr>
        <w:t> </w:t>
      </w:r>
      <w:r w:rsidRPr="00467F6A">
        <w:rPr>
          <w:rFonts w:ascii="Arial" w:hAnsi="Arial" w:cs="Arial"/>
          <w:sz w:val="20"/>
        </w:rPr>
        <w:t xml:space="preserve">práci používají internet. Tato skutečnost </w:t>
      </w:r>
      <w:r w:rsidR="00F71554">
        <w:rPr>
          <w:rFonts w:ascii="Arial" w:hAnsi="Arial" w:cs="Arial"/>
          <w:sz w:val="20"/>
        </w:rPr>
        <w:t>je mimo jiné</w:t>
      </w:r>
      <w:r w:rsidRPr="00467F6A">
        <w:rPr>
          <w:rFonts w:ascii="Arial" w:hAnsi="Arial" w:cs="Arial"/>
          <w:sz w:val="20"/>
        </w:rPr>
        <w:t xml:space="preserve"> podmíněna strukturou českého hospodářství s vysokým zastoupením zpracovatelského průmyslu na celkové zaměstnanosti. Zaměstnanců používajících v práci internet je </w:t>
      </w:r>
      <w:r w:rsidRPr="006E113B">
        <w:rPr>
          <w:rFonts w:ascii="Arial" w:hAnsi="Arial" w:cs="Arial"/>
          <w:b/>
          <w:sz w:val="20"/>
        </w:rPr>
        <w:t xml:space="preserve">nejvíce </w:t>
      </w:r>
      <w:r w:rsidR="00D90543" w:rsidRPr="006E113B">
        <w:rPr>
          <w:rFonts w:ascii="Arial" w:hAnsi="Arial" w:cs="Arial"/>
          <w:b/>
          <w:sz w:val="20"/>
        </w:rPr>
        <w:t>v</w:t>
      </w:r>
      <w:r w:rsidRPr="006E113B">
        <w:rPr>
          <w:rFonts w:ascii="Arial" w:hAnsi="Arial" w:cs="Arial"/>
          <w:b/>
          <w:sz w:val="20"/>
        </w:rPr>
        <w:t xml:space="preserve"> severských </w:t>
      </w:r>
      <w:r w:rsidR="006E113B">
        <w:rPr>
          <w:rFonts w:ascii="Arial" w:hAnsi="Arial" w:cs="Arial"/>
          <w:b/>
          <w:sz w:val="20"/>
        </w:rPr>
        <w:t>zemích</w:t>
      </w:r>
      <w:r w:rsidRPr="00467F6A">
        <w:rPr>
          <w:rFonts w:ascii="Arial" w:hAnsi="Arial" w:cs="Arial"/>
          <w:sz w:val="20"/>
        </w:rPr>
        <w:t>, v </w:t>
      </w:r>
      <w:r w:rsidR="006E113B">
        <w:rPr>
          <w:rFonts w:ascii="Arial" w:hAnsi="Arial" w:cs="Arial"/>
          <w:sz w:val="20"/>
        </w:rPr>
        <w:t>roce</w:t>
      </w:r>
      <w:r w:rsidRPr="00467F6A">
        <w:rPr>
          <w:rFonts w:ascii="Arial" w:hAnsi="Arial" w:cs="Arial"/>
          <w:sz w:val="20"/>
        </w:rPr>
        <w:t xml:space="preserve"> 201</w:t>
      </w:r>
      <w:r w:rsidR="00467F6A" w:rsidRPr="00467F6A">
        <w:rPr>
          <w:rFonts w:ascii="Arial" w:hAnsi="Arial" w:cs="Arial"/>
          <w:sz w:val="20"/>
        </w:rPr>
        <w:t>8</w:t>
      </w:r>
      <w:r w:rsidR="004D77B7">
        <w:rPr>
          <w:rFonts w:ascii="Arial" w:hAnsi="Arial" w:cs="Arial"/>
          <w:sz w:val="20"/>
        </w:rPr>
        <w:t xml:space="preserve"> </w:t>
      </w:r>
      <w:r w:rsidR="00091EB4" w:rsidRPr="00467F6A">
        <w:rPr>
          <w:rFonts w:ascii="Arial" w:hAnsi="Arial" w:cs="Arial"/>
          <w:sz w:val="20"/>
        </w:rPr>
        <w:t xml:space="preserve">jich zde bylo </w:t>
      </w:r>
      <w:r w:rsidR="00467F6A" w:rsidRPr="00467F6A">
        <w:rPr>
          <w:rFonts w:ascii="Arial" w:hAnsi="Arial" w:cs="Arial"/>
          <w:sz w:val="20"/>
        </w:rPr>
        <w:t>víc než</w:t>
      </w:r>
      <w:r w:rsidR="00326DC3" w:rsidRPr="00467F6A">
        <w:rPr>
          <w:rFonts w:ascii="Arial" w:hAnsi="Arial" w:cs="Arial"/>
          <w:sz w:val="20"/>
        </w:rPr>
        <w:t xml:space="preserve"> </w:t>
      </w:r>
      <w:r w:rsidR="00091EB4" w:rsidRPr="00467F6A">
        <w:rPr>
          <w:rFonts w:ascii="Arial" w:hAnsi="Arial" w:cs="Arial"/>
          <w:sz w:val="20"/>
        </w:rPr>
        <w:t>70 %</w:t>
      </w:r>
      <w:r w:rsidRPr="00467F6A">
        <w:rPr>
          <w:rFonts w:ascii="Arial" w:hAnsi="Arial" w:cs="Arial"/>
          <w:sz w:val="20"/>
        </w:rPr>
        <w:t>.</w:t>
      </w:r>
    </w:p>
    <w:p w:rsidR="00467F6A" w:rsidRPr="009D5896" w:rsidRDefault="00405AE5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9D5896">
        <w:rPr>
          <w:rFonts w:ascii="Arial" w:hAnsi="Arial" w:cs="Arial"/>
          <w:sz w:val="20"/>
        </w:rPr>
        <w:t xml:space="preserve">Firmy </w:t>
      </w:r>
      <w:r w:rsidR="00326DC3" w:rsidRPr="009D5896">
        <w:rPr>
          <w:rFonts w:ascii="Arial" w:hAnsi="Arial" w:cs="Arial"/>
          <w:sz w:val="20"/>
        </w:rPr>
        <w:t xml:space="preserve">v posledních letech poskytují </w:t>
      </w:r>
      <w:r w:rsidRPr="009D5896">
        <w:rPr>
          <w:rFonts w:ascii="Arial" w:hAnsi="Arial" w:cs="Arial"/>
          <w:sz w:val="20"/>
        </w:rPr>
        <w:t xml:space="preserve">svým zaměstnancům </w:t>
      </w:r>
      <w:r w:rsidR="00852D8B">
        <w:rPr>
          <w:rFonts w:ascii="Arial" w:hAnsi="Arial" w:cs="Arial"/>
          <w:sz w:val="20"/>
        </w:rPr>
        <w:t>pro</w:t>
      </w:r>
      <w:r w:rsidR="00326DC3" w:rsidRPr="009D5896">
        <w:rPr>
          <w:rFonts w:ascii="Arial" w:hAnsi="Arial" w:cs="Arial"/>
          <w:sz w:val="20"/>
        </w:rPr>
        <w:t xml:space="preserve"> pracovní účel</w:t>
      </w:r>
      <w:r w:rsidR="00852D8B">
        <w:rPr>
          <w:rFonts w:ascii="Arial" w:hAnsi="Arial" w:cs="Arial"/>
          <w:sz w:val="20"/>
        </w:rPr>
        <w:t xml:space="preserve">y </w:t>
      </w:r>
      <w:r w:rsidR="00852D8B" w:rsidRPr="009D5896">
        <w:rPr>
          <w:rFonts w:ascii="Arial" w:hAnsi="Arial" w:cs="Arial"/>
          <w:sz w:val="20"/>
        </w:rPr>
        <w:t xml:space="preserve">čím dál častěji </w:t>
      </w:r>
      <w:r w:rsidRPr="009D5896">
        <w:rPr>
          <w:rFonts w:ascii="Arial" w:hAnsi="Arial" w:cs="Arial"/>
          <w:b/>
          <w:sz w:val="20"/>
        </w:rPr>
        <w:t>přenosná zařízení s přístupem na internet</w:t>
      </w:r>
      <w:r w:rsidRPr="009D5896">
        <w:rPr>
          <w:rFonts w:ascii="Arial" w:hAnsi="Arial" w:cs="Arial"/>
          <w:sz w:val="20"/>
        </w:rPr>
        <w:t xml:space="preserve">. Přenosný počítač, tablet či </w:t>
      </w:r>
      <w:proofErr w:type="spellStart"/>
      <w:r w:rsidRPr="009D5896">
        <w:rPr>
          <w:rFonts w:ascii="Arial" w:hAnsi="Arial" w:cs="Arial"/>
          <w:sz w:val="20"/>
        </w:rPr>
        <w:t>smartphone</w:t>
      </w:r>
      <w:proofErr w:type="spellEnd"/>
      <w:r w:rsidRPr="009D5896">
        <w:rPr>
          <w:rFonts w:ascii="Arial" w:hAnsi="Arial" w:cs="Arial"/>
          <w:sz w:val="20"/>
        </w:rPr>
        <w:t xml:space="preserve"> </w:t>
      </w:r>
      <w:r w:rsidR="00326DC3" w:rsidRPr="009D5896">
        <w:rPr>
          <w:rFonts w:ascii="Arial" w:hAnsi="Arial" w:cs="Arial"/>
          <w:sz w:val="20"/>
        </w:rPr>
        <w:t>měla v</w:t>
      </w:r>
      <w:r w:rsidRPr="009D5896">
        <w:rPr>
          <w:rFonts w:ascii="Arial" w:hAnsi="Arial" w:cs="Arial"/>
          <w:sz w:val="20"/>
        </w:rPr>
        <w:t xml:space="preserve"> </w:t>
      </w:r>
      <w:r w:rsidR="00852D8B">
        <w:rPr>
          <w:rFonts w:ascii="Arial" w:hAnsi="Arial" w:cs="Arial"/>
          <w:sz w:val="20"/>
        </w:rPr>
        <w:t>roce</w:t>
      </w:r>
      <w:r w:rsidRPr="009D5896">
        <w:rPr>
          <w:rFonts w:ascii="Arial" w:hAnsi="Arial" w:cs="Arial"/>
          <w:sz w:val="20"/>
        </w:rPr>
        <w:t xml:space="preserve"> 201</w:t>
      </w:r>
      <w:r w:rsidR="00B82EB5">
        <w:rPr>
          <w:rFonts w:ascii="Arial" w:hAnsi="Arial" w:cs="Arial"/>
          <w:sz w:val="20"/>
        </w:rPr>
        <w:t>9</w:t>
      </w:r>
      <w:r w:rsidRPr="009D5896">
        <w:rPr>
          <w:rFonts w:ascii="Arial" w:hAnsi="Arial" w:cs="Arial"/>
          <w:sz w:val="20"/>
        </w:rPr>
        <w:t xml:space="preserve"> v</w:t>
      </w:r>
      <w:r w:rsidR="009708C4" w:rsidRPr="009D5896">
        <w:rPr>
          <w:rFonts w:ascii="Arial" w:hAnsi="Arial" w:cs="Arial"/>
          <w:sz w:val="20"/>
        </w:rPr>
        <w:t> </w:t>
      </w:r>
      <w:r w:rsidRPr="009D5896">
        <w:rPr>
          <w:rFonts w:ascii="Arial" w:hAnsi="Arial" w:cs="Arial"/>
          <w:sz w:val="20"/>
        </w:rPr>
        <w:t xml:space="preserve">práci </w:t>
      </w:r>
      <w:r w:rsidR="00326DC3" w:rsidRPr="009D5896">
        <w:rPr>
          <w:rFonts w:ascii="Arial" w:hAnsi="Arial" w:cs="Arial"/>
          <w:sz w:val="20"/>
        </w:rPr>
        <w:t>k</w:t>
      </w:r>
      <w:r w:rsidR="00467F6A" w:rsidRPr="009D5896">
        <w:rPr>
          <w:rFonts w:ascii="Arial" w:hAnsi="Arial" w:cs="Arial"/>
          <w:sz w:val="20"/>
        </w:rPr>
        <w:t> </w:t>
      </w:r>
      <w:r w:rsidR="00326DC3" w:rsidRPr="009D5896">
        <w:rPr>
          <w:rFonts w:ascii="Arial" w:hAnsi="Arial" w:cs="Arial"/>
          <w:sz w:val="20"/>
        </w:rPr>
        <w:t>dispozici</w:t>
      </w:r>
      <w:r w:rsidR="00467F6A" w:rsidRPr="009D5896">
        <w:rPr>
          <w:rFonts w:ascii="Arial" w:hAnsi="Arial" w:cs="Arial"/>
          <w:sz w:val="20"/>
        </w:rPr>
        <w:t xml:space="preserve"> více než</w:t>
      </w:r>
      <w:r w:rsidR="009708C4" w:rsidRPr="009D5896">
        <w:rPr>
          <w:rFonts w:ascii="Arial" w:hAnsi="Arial" w:cs="Arial"/>
          <w:sz w:val="20"/>
        </w:rPr>
        <w:t xml:space="preserve"> čtvrtina </w:t>
      </w:r>
      <w:r w:rsidR="00B82EB5">
        <w:rPr>
          <w:rFonts w:ascii="Arial" w:hAnsi="Arial" w:cs="Arial"/>
          <w:sz w:val="20"/>
        </w:rPr>
        <w:t>(28</w:t>
      </w:r>
      <w:r w:rsidR="008F10A7">
        <w:rPr>
          <w:rFonts w:ascii="Arial" w:hAnsi="Arial" w:cs="Arial"/>
          <w:sz w:val="20"/>
        </w:rPr>
        <w:t> </w:t>
      </w:r>
      <w:r w:rsidR="00B82EB5">
        <w:rPr>
          <w:rFonts w:ascii="Arial" w:hAnsi="Arial" w:cs="Arial"/>
          <w:sz w:val="20"/>
        </w:rPr>
        <w:t xml:space="preserve">%) </w:t>
      </w:r>
      <w:r w:rsidR="009708C4" w:rsidRPr="009D5896">
        <w:rPr>
          <w:rFonts w:ascii="Arial" w:hAnsi="Arial" w:cs="Arial"/>
          <w:sz w:val="20"/>
        </w:rPr>
        <w:t>zaměstnanců firem</w:t>
      </w:r>
      <w:r w:rsidRPr="009D5896">
        <w:rPr>
          <w:rFonts w:ascii="Arial" w:hAnsi="Arial" w:cs="Arial"/>
          <w:sz w:val="20"/>
        </w:rPr>
        <w:t xml:space="preserve"> s deseti a více zaměstnanci</w:t>
      </w:r>
      <w:r w:rsidR="009708C4" w:rsidRPr="009D5896">
        <w:rPr>
          <w:rFonts w:ascii="Arial" w:hAnsi="Arial" w:cs="Arial"/>
          <w:sz w:val="20"/>
        </w:rPr>
        <w:t xml:space="preserve">. Tento ukazatel </w:t>
      </w:r>
      <w:r w:rsidR="006E113B">
        <w:rPr>
          <w:rFonts w:ascii="Arial" w:hAnsi="Arial" w:cs="Arial"/>
          <w:sz w:val="20"/>
        </w:rPr>
        <w:t>každým rokem narůstá, o</w:t>
      </w:r>
      <w:r w:rsidR="00467F6A" w:rsidRPr="009D5896">
        <w:rPr>
          <w:rFonts w:ascii="Arial" w:hAnsi="Arial" w:cs="Arial"/>
          <w:sz w:val="20"/>
        </w:rPr>
        <w:t>d</w:t>
      </w:r>
      <w:r w:rsidR="009D5896" w:rsidRPr="009D5896">
        <w:rPr>
          <w:rFonts w:ascii="Arial" w:hAnsi="Arial" w:cs="Arial"/>
          <w:sz w:val="20"/>
        </w:rPr>
        <w:t> </w:t>
      </w:r>
      <w:r w:rsidR="00467F6A" w:rsidRPr="009D5896">
        <w:rPr>
          <w:rFonts w:ascii="Arial" w:hAnsi="Arial" w:cs="Arial"/>
          <w:sz w:val="20"/>
        </w:rPr>
        <w:t xml:space="preserve">roku 2012 </w:t>
      </w:r>
      <w:r w:rsidR="006E113B" w:rsidRPr="00B82EB5">
        <w:rPr>
          <w:rFonts w:ascii="Arial" w:hAnsi="Arial" w:cs="Arial"/>
          <w:b/>
          <w:sz w:val="20"/>
        </w:rPr>
        <w:t xml:space="preserve">vzrostl </w:t>
      </w:r>
      <w:r w:rsidR="00B82EB5" w:rsidRPr="00B82EB5">
        <w:rPr>
          <w:rFonts w:ascii="Arial" w:hAnsi="Arial" w:cs="Arial"/>
          <w:b/>
          <w:sz w:val="20"/>
        </w:rPr>
        <w:t xml:space="preserve">více než </w:t>
      </w:r>
      <w:r w:rsidR="00467F6A" w:rsidRPr="00B82EB5">
        <w:rPr>
          <w:rFonts w:ascii="Arial" w:hAnsi="Arial" w:cs="Arial"/>
          <w:b/>
          <w:sz w:val="20"/>
        </w:rPr>
        <w:t>dvojnásobně</w:t>
      </w:r>
      <w:r w:rsidR="00467F6A" w:rsidRPr="009D5896">
        <w:rPr>
          <w:rFonts w:ascii="Arial" w:hAnsi="Arial" w:cs="Arial"/>
          <w:sz w:val="20"/>
        </w:rPr>
        <w:t xml:space="preserve">. </w:t>
      </w:r>
    </w:p>
    <w:p w:rsidR="00BA77C1" w:rsidRDefault="00631B6B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6E113B">
        <w:rPr>
          <w:rFonts w:ascii="Arial" w:hAnsi="Arial" w:cs="Arial"/>
          <w:sz w:val="20"/>
        </w:rPr>
        <w:t xml:space="preserve">Stejně jako v případě </w:t>
      </w:r>
      <w:r w:rsidR="00B82EB5">
        <w:rPr>
          <w:rFonts w:ascii="Arial" w:hAnsi="Arial" w:cs="Arial"/>
          <w:sz w:val="20"/>
        </w:rPr>
        <w:t xml:space="preserve">počtu </w:t>
      </w:r>
      <w:r w:rsidR="009708C4" w:rsidRPr="006E113B">
        <w:rPr>
          <w:rFonts w:ascii="Arial" w:hAnsi="Arial" w:cs="Arial"/>
          <w:sz w:val="20"/>
        </w:rPr>
        <w:t>zaměstnanců</w:t>
      </w:r>
      <w:r w:rsidRPr="006E113B">
        <w:rPr>
          <w:rFonts w:ascii="Arial" w:hAnsi="Arial" w:cs="Arial"/>
          <w:sz w:val="20"/>
        </w:rPr>
        <w:t xml:space="preserve"> </w:t>
      </w:r>
      <w:r w:rsidR="00B82EB5">
        <w:rPr>
          <w:rFonts w:ascii="Arial" w:hAnsi="Arial" w:cs="Arial"/>
          <w:sz w:val="20"/>
        </w:rPr>
        <w:t xml:space="preserve">používajících </w:t>
      </w:r>
      <w:r w:rsidR="009708C4" w:rsidRPr="006E113B">
        <w:rPr>
          <w:rFonts w:ascii="Arial" w:hAnsi="Arial" w:cs="Arial"/>
          <w:sz w:val="20"/>
        </w:rPr>
        <w:t>počítač</w:t>
      </w:r>
      <w:r w:rsidR="00B82EB5">
        <w:rPr>
          <w:rFonts w:ascii="Arial" w:hAnsi="Arial" w:cs="Arial"/>
          <w:sz w:val="20"/>
        </w:rPr>
        <w:t>e</w:t>
      </w:r>
      <w:r w:rsidR="009708C4" w:rsidRPr="006E113B">
        <w:rPr>
          <w:rFonts w:ascii="Arial" w:hAnsi="Arial" w:cs="Arial"/>
          <w:sz w:val="20"/>
        </w:rPr>
        <w:t xml:space="preserve"> </w:t>
      </w:r>
      <w:r w:rsidR="00852D8B">
        <w:rPr>
          <w:rFonts w:ascii="Arial" w:hAnsi="Arial" w:cs="Arial"/>
          <w:sz w:val="20"/>
        </w:rPr>
        <w:t>pro pracovní účely</w:t>
      </w:r>
      <w:r w:rsidRPr="006E113B">
        <w:rPr>
          <w:rFonts w:ascii="Arial" w:hAnsi="Arial" w:cs="Arial"/>
          <w:sz w:val="20"/>
        </w:rPr>
        <w:t>, nalézáme i</w:t>
      </w:r>
      <w:r w:rsidR="00AE511A" w:rsidRPr="006E113B">
        <w:rPr>
          <w:rFonts w:ascii="Arial" w:hAnsi="Arial" w:cs="Arial"/>
          <w:sz w:val="20"/>
        </w:rPr>
        <w:t> </w:t>
      </w:r>
      <w:r w:rsidRPr="006E113B">
        <w:rPr>
          <w:rFonts w:ascii="Arial" w:hAnsi="Arial" w:cs="Arial"/>
          <w:sz w:val="20"/>
        </w:rPr>
        <w:t>v případě</w:t>
      </w:r>
      <w:r w:rsidR="009708C4" w:rsidRPr="006E113B">
        <w:rPr>
          <w:rFonts w:ascii="Arial" w:hAnsi="Arial" w:cs="Arial"/>
          <w:sz w:val="20"/>
        </w:rPr>
        <w:t xml:space="preserve"> </w:t>
      </w:r>
      <w:r w:rsidRPr="006E113B">
        <w:rPr>
          <w:rFonts w:ascii="Arial" w:hAnsi="Arial" w:cs="Arial"/>
          <w:sz w:val="20"/>
        </w:rPr>
        <w:t>přenosných zařízení</w:t>
      </w:r>
      <w:r w:rsidR="00B82EB5">
        <w:rPr>
          <w:rFonts w:ascii="Arial" w:hAnsi="Arial" w:cs="Arial"/>
          <w:sz w:val="20"/>
        </w:rPr>
        <w:t xml:space="preserve"> </w:t>
      </w:r>
      <w:r w:rsidRPr="006E113B">
        <w:rPr>
          <w:rFonts w:ascii="Arial" w:hAnsi="Arial" w:cs="Arial"/>
          <w:sz w:val="20"/>
        </w:rPr>
        <w:t xml:space="preserve">určité </w:t>
      </w:r>
      <w:r w:rsidRPr="008F10A7">
        <w:rPr>
          <w:rFonts w:ascii="Arial" w:hAnsi="Arial" w:cs="Arial"/>
          <w:b/>
          <w:sz w:val="20"/>
        </w:rPr>
        <w:t xml:space="preserve">rozdíly </w:t>
      </w:r>
      <w:r w:rsidR="00A70E2D" w:rsidRPr="008F10A7">
        <w:rPr>
          <w:rFonts w:ascii="Arial" w:hAnsi="Arial" w:cs="Arial"/>
          <w:b/>
          <w:sz w:val="20"/>
        </w:rPr>
        <w:t>v závislosti na</w:t>
      </w:r>
      <w:r w:rsidRPr="008F10A7">
        <w:rPr>
          <w:rFonts w:ascii="Arial" w:hAnsi="Arial" w:cs="Arial"/>
          <w:b/>
          <w:sz w:val="20"/>
        </w:rPr>
        <w:t xml:space="preserve"> velikosti firem</w:t>
      </w:r>
      <w:r w:rsidR="00F841B2" w:rsidRPr="006E113B">
        <w:rPr>
          <w:rFonts w:ascii="Arial" w:hAnsi="Arial" w:cs="Arial"/>
          <w:sz w:val="20"/>
        </w:rPr>
        <w:t xml:space="preserve"> a podle převažující ekonomické činnosti</w:t>
      </w:r>
      <w:r w:rsidRPr="006E113B">
        <w:rPr>
          <w:rFonts w:ascii="Arial" w:hAnsi="Arial" w:cs="Arial"/>
          <w:sz w:val="20"/>
        </w:rPr>
        <w:t>. Mobilní zařízení s přístupem na internet m</w:t>
      </w:r>
      <w:r w:rsidR="00B82EB5">
        <w:rPr>
          <w:rFonts w:ascii="Arial" w:hAnsi="Arial" w:cs="Arial"/>
          <w:sz w:val="20"/>
        </w:rPr>
        <w:t>ěli v roce 2019</w:t>
      </w:r>
      <w:r w:rsidRPr="006E113B">
        <w:rPr>
          <w:rFonts w:ascii="Arial" w:hAnsi="Arial" w:cs="Arial"/>
          <w:sz w:val="20"/>
        </w:rPr>
        <w:t xml:space="preserve"> možnost využívat o něco častěji zaměstnanci malých firem (</w:t>
      </w:r>
      <w:r w:rsidR="00C649AF" w:rsidRPr="006E113B">
        <w:rPr>
          <w:rFonts w:ascii="Arial" w:hAnsi="Arial" w:cs="Arial"/>
          <w:sz w:val="20"/>
        </w:rPr>
        <w:t>3</w:t>
      </w:r>
      <w:r w:rsidR="00B82EB5">
        <w:rPr>
          <w:rFonts w:ascii="Arial" w:hAnsi="Arial" w:cs="Arial"/>
          <w:sz w:val="20"/>
        </w:rPr>
        <w:t>1</w:t>
      </w:r>
      <w:r w:rsidR="008F10A7">
        <w:rPr>
          <w:rFonts w:ascii="Arial" w:hAnsi="Arial" w:cs="Arial"/>
          <w:sz w:val="20"/>
        </w:rPr>
        <w:t> </w:t>
      </w:r>
      <w:r w:rsidRPr="006E113B">
        <w:rPr>
          <w:rFonts w:ascii="Arial" w:hAnsi="Arial" w:cs="Arial"/>
          <w:sz w:val="20"/>
        </w:rPr>
        <w:t>%) než středně velkých nebo velkých subjektů</w:t>
      </w:r>
      <w:r w:rsidR="00A5521E" w:rsidRPr="006E113B">
        <w:rPr>
          <w:rFonts w:ascii="Arial" w:hAnsi="Arial" w:cs="Arial"/>
          <w:sz w:val="20"/>
        </w:rPr>
        <w:t xml:space="preserve"> </w:t>
      </w:r>
      <w:r w:rsidRPr="006E113B">
        <w:rPr>
          <w:rFonts w:ascii="Arial" w:hAnsi="Arial" w:cs="Arial"/>
          <w:sz w:val="20"/>
        </w:rPr>
        <w:t>(</w:t>
      </w:r>
      <w:r w:rsidR="00C649AF" w:rsidRPr="006E113B">
        <w:rPr>
          <w:rFonts w:ascii="Arial" w:hAnsi="Arial" w:cs="Arial"/>
          <w:sz w:val="20"/>
        </w:rPr>
        <w:t>2</w:t>
      </w:r>
      <w:r w:rsidR="00B82EB5">
        <w:rPr>
          <w:rFonts w:ascii="Arial" w:hAnsi="Arial" w:cs="Arial"/>
          <w:sz w:val="20"/>
        </w:rPr>
        <w:t>8</w:t>
      </w:r>
      <w:r w:rsidR="00A5521E" w:rsidRPr="006E113B">
        <w:rPr>
          <w:rFonts w:ascii="Arial" w:hAnsi="Arial" w:cs="Arial"/>
          <w:sz w:val="20"/>
        </w:rPr>
        <w:t> </w:t>
      </w:r>
      <w:r w:rsidRPr="006E113B">
        <w:rPr>
          <w:rFonts w:ascii="Arial" w:hAnsi="Arial" w:cs="Arial"/>
          <w:sz w:val="20"/>
        </w:rPr>
        <w:t xml:space="preserve">resp. </w:t>
      </w:r>
      <w:r w:rsidR="00C649AF" w:rsidRPr="006E113B">
        <w:rPr>
          <w:rFonts w:ascii="Arial" w:hAnsi="Arial" w:cs="Arial"/>
          <w:sz w:val="20"/>
        </w:rPr>
        <w:t>2</w:t>
      </w:r>
      <w:r w:rsidR="00B82EB5">
        <w:rPr>
          <w:rFonts w:ascii="Arial" w:hAnsi="Arial" w:cs="Arial"/>
          <w:sz w:val="20"/>
        </w:rPr>
        <w:t>6</w:t>
      </w:r>
      <w:r w:rsidR="008F10A7">
        <w:rPr>
          <w:rFonts w:ascii="Arial" w:hAnsi="Arial" w:cs="Arial"/>
          <w:sz w:val="20"/>
        </w:rPr>
        <w:t> </w:t>
      </w:r>
      <w:r w:rsidRPr="006E113B">
        <w:rPr>
          <w:rFonts w:ascii="Arial" w:hAnsi="Arial" w:cs="Arial"/>
          <w:sz w:val="20"/>
        </w:rPr>
        <w:t xml:space="preserve">%). Nejvíce zaměstnanců používajících přenosná zařízení </w:t>
      </w:r>
      <w:r w:rsidR="009708C4" w:rsidRPr="006E113B">
        <w:rPr>
          <w:rFonts w:ascii="Arial" w:hAnsi="Arial" w:cs="Arial"/>
          <w:sz w:val="20"/>
        </w:rPr>
        <w:t xml:space="preserve">v práci </w:t>
      </w:r>
      <w:r w:rsidRPr="006E113B">
        <w:rPr>
          <w:rFonts w:ascii="Arial" w:hAnsi="Arial" w:cs="Arial"/>
          <w:sz w:val="20"/>
        </w:rPr>
        <w:t>je v</w:t>
      </w:r>
      <w:r w:rsidR="006E113B" w:rsidRPr="006E113B">
        <w:rPr>
          <w:rFonts w:ascii="Arial" w:hAnsi="Arial" w:cs="Arial"/>
          <w:sz w:val="20"/>
        </w:rPr>
        <w:t> sekci CZ-NACE J</w:t>
      </w:r>
      <w:r w:rsidRPr="006E113B">
        <w:rPr>
          <w:rFonts w:ascii="Arial" w:hAnsi="Arial" w:cs="Arial"/>
          <w:sz w:val="20"/>
        </w:rPr>
        <w:t xml:space="preserve"> </w:t>
      </w:r>
      <w:r w:rsidRPr="006E113B">
        <w:rPr>
          <w:rFonts w:ascii="Arial" w:hAnsi="Arial" w:cs="Arial"/>
          <w:i/>
          <w:sz w:val="20"/>
        </w:rPr>
        <w:t>Informační a</w:t>
      </w:r>
      <w:r w:rsidR="008F10A7">
        <w:rPr>
          <w:rFonts w:ascii="Arial" w:hAnsi="Arial" w:cs="Arial"/>
          <w:i/>
          <w:sz w:val="20"/>
        </w:rPr>
        <w:t> </w:t>
      </w:r>
      <w:r w:rsidRPr="006E113B">
        <w:rPr>
          <w:rFonts w:ascii="Arial" w:hAnsi="Arial" w:cs="Arial"/>
          <w:i/>
          <w:sz w:val="20"/>
        </w:rPr>
        <w:t>komunikační</w:t>
      </w:r>
      <w:r w:rsidR="006E113B">
        <w:rPr>
          <w:rFonts w:ascii="Arial" w:hAnsi="Arial" w:cs="Arial"/>
          <w:i/>
          <w:sz w:val="20"/>
        </w:rPr>
        <w:t xml:space="preserve"> </w:t>
      </w:r>
      <w:r w:rsidR="006E113B" w:rsidRPr="006E113B">
        <w:rPr>
          <w:rFonts w:ascii="Arial" w:hAnsi="Arial" w:cs="Arial"/>
          <w:i/>
          <w:sz w:val="20"/>
        </w:rPr>
        <w:t>činnosti</w:t>
      </w:r>
      <w:r w:rsidRPr="006E113B">
        <w:rPr>
          <w:rFonts w:ascii="Arial" w:hAnsi="Arial" w:cs="Arial"/>
          <w:sz w:val="20"/>
        </w:rPr>
        <w:t xml:space="preserve"> (</w:t>
      </w:r>
      <w:r w:rsidR="000A40E1" w:rsidRPr="006E113B">
        <w:rPr>
          <w:rFonts w:ascii="Arial" w:hAnsi="Arial" w:cs="Arial"/>
          <w:sz w:val="20"/>
        </w:rPr>
        <w:t>7</w:t>
      </w:r>
      <w:r w:rsidR="006E113B" w:rsidRPr="006E113B">
        <w:rPr>
          <w:rFonts w:ascii="Arial" w:hAnsi="Arial" w:cs="Arial"/>
          <w:sz w:val="20"/>
        </w:rPr>
        <w:t>7</w:t>
      </w:r>
      <w:r w:rsidR="000A40E1" w:rsidRPr="006E113B">
        <w:rPr>
          <w:rFonts w:ascii="Arial" w:hAnsi="Arial" w:cs="Arial"/>
          <w:sz w:val="20"/>
        </w:rPr>
        <w:t> </w:t>
      </w:r>
      <w:r w:rsidRPr="006E113B">
        <w:rPr>
          <w:rFonts w:ascii="Arial" w:hAnsi="Arial" w:cs="Arial"/>
          <w:sz w:val="20"/>
        </w:rPr>
        <w:t>%)</w:t>
      </w:r>
      <w:r w:rsidR="001376DA" w:rsidRPr="006E113B">
        <w:rPr>
          <w:rFonts w:ascii="Arial" w:hAnsi="Arial" w:cs="Arial"/>
          <w:sz w:val="20"/>
        </w:rPr>
        <w:t xml:space="preserve">, </w:t>
      </w:r>
      <w:r w:rsidR="00F9587D" w:rsidRPr="006E113B">
        <w:rPr>
          <w:rFonts w:ascii="Arial" w:hAnsi="Arial" w:cs="Arial"/>
          <w:sz w:val="20"/>
        </w:rPr>
        <w:t xml:space="preserve">podle předpokladů </w:t>
      </w:r>
      <w:r w:rsidR="001376DA" w:rsidRPr="006E113B">
        <w:rPr>
          <w:rFonts w:ascii="Arial" w:hAnsi="Arial" w:cs="Arial"/>
          <w:sz w:val="20"/>
        </w:rPr>
        <w:t>především v telekomunika</w:t>
      </w:r>
      <w:r w:rsidR="00F841B2" w:rsidRPr="006E113B">
        <w:rPr>
          <w:rFonts w:ascii="Arial" w:hAnsi="Arial" w:cs="Arial"/>
          <w:sz w:val="20"/>
        </w:rPr>
        <w:t>cích</w:t>
      </w:r>
      <w:r w:rsidR="001376DA" w:rsidRPr="006E113B">
        <w:rPr>
          <w:rFonts w:ascii="Arial" w:hAnsi="Arial" w:cs="Arial"/>
          <w:sz w:val="20"/>
        </w:rPr>
        <w:t xml:space="preserve"> (</w:t>
      </w:r>
      <w:r w:rsidR="00D517A7" w:rsidRPr="006E113B">
        <w:rPr>
          <w:rFonts w:ascii="Arial" w:hAnsi="Arial" w:cs="Arial"/>
          <w:sz w:val="20"/>
        </w:rPr>
        <w:t>8</w:t>
      </w:r>
      <w:r w:rsidR="00B82EB5">
        <w:rPr>
          <w:rFonts w:ascii="Arial" w:hAnsi="Arial" w:cs="Arial"/>
          <w:sz w:val="20"/>
        </w:rPr>
        <w:t>7</w:t>
      </w:r>
      <w:r w:rsidR="008F10A7">
        <w:rPr>
          <w:rFonts w:ascii="Arial" w:hAnsi="Arial" w:cs="Arial"/>
          <w:sz w:val="20"/>
        </w:rPr>
        <w:t> </w:t>
      </w:r>
      <w:r w:rsidR="001376DA" w:rsidRPr="006E113B">
        <w:rPr>
          <w:rFonts w:ascii="Arial" w:hAnsi="Arial" w:cs="Arial"/>
          <w:sz w:val="20"/>
        </w:rPr>
        <w:t>%)</w:t>
      </w:r>
      <w:r w:rsidRPr="006E113B">
        <w:rPr>
          <w:rFonts w:ascii="Arial" w:hAnsi="Arial" w:cs="Arial"/>
          <w:sz w:val="20"/>
        </w:rPr>
        <w:t xml:space="preserve">. Nejmenší podíl zaměstnanců pracujících </w:t>
      </w:r>
      <w:r w:rsidR="001376DA" w:rsidRPr="006E113B">
        <w:rPr>
          <w:rFonts w:ascii="Arial" w:hAnsi="Arial" w:cs="Arial"/>
          <w:sz w:val="20"/>
        </w:rPr>
        <w:t>s </w:t>
      </w:r>
      <w:r w:rsidR="000A2528">
        <w:rPr>
          <w:rFonts w:ascii="Arial" w:hAnsi="Arial" w:cs="Arial"/>
          <w:sz w:val="20"/>
        </w:rPr>
        <w:t>přenosnými</w:t>
      </w:r>
      <w:r w:rsidR="001376DA" w:rsidRPr="006E113B">
        <w:rPr>
          <w:rFonts w:ascii="Arial" w:hAnsi="Arial" w:cs="Arial"/>
          <w:sz w:val="20"/>
        </w:rPr>
        <w:t xml:space="preserve"> zařízeními</w:t>
      </w:r>
      <w:r w:rsidRPr="006E113B">
        <w:rPr>
          <w:rFonts w:ascii="Arial" w:hAnsi="Arial" w:cs="Arial"/>
          <w:sz w:val="20"/>
        </w:rPr>
        <w:t xml:space="preserve"> byl </w:t>
      </w:r>
      <w:r w:rsidR="00852D8B">
        <w:rPr>
          <w:rFonts w:ascii="Arial" w:hAnsi="Arial" w:cs="Arial"/>
          <w:sz w:val="20"/>
        </w:rPr>
        <w:t>v posledním šetření</w:t>
      </w:r>
      <w:r w:rsidR="00F841B2" w:rsidRPr="006E113B">
        <w:rPr>
          <w:rFonts w:ascii="Arial" w:hAnsi="Arial" w:cs="Arial"/>
          <w:sz w:val="20"/>
        </w:rPr>
        <w:t xml:space="preserve"> </w:t>
      </w:r>
      <w:r w:rsidR="001376DA" w:rsidRPr="006E113B">
        <w:rPr>
          <w:rFonts w:ascii="Arial" w:hAnsi="Arial" w:cs="Arial"/>
          <w:sz w:val="20"/>
        </w:rPr>
        <w:t>v </w:t>
      </w:r>
      <w:r w:rsidRPr="006E113B">
        <w:rPr>
          <w:rFonts w:ascii="Arial" w:hAnsi="Arial" w:cs="Arial"/>
          <w:sz w:val="20"/>
        </w:rPr>
        <w:t>textilní</w:t>
      </w:r>
      <w:r w:rsidR="001376DA" w:rsidRPr="006E113B">
        <w:rPr>
          <w:rFonts w:ascii="Arial" w:hAnsi="Arial" w:cs="Arial"/>
          <w:sz w:val="20"/>
        </w:rPr>
        <w:t>m</w:t>
      </w:r>
      <w:r w:rsidRPr="006E113B">
        <w:rPr>
          <w:rFonts w:ascii="Arial" w:hAnsi="Arial" w:cs="Arial"/>
          <w:sz w:val="20"/>
        </w:rPr>
        <w:t xml:space="preserve"> průmysl</w:t>
      </w:r>
      <w:r w:rsidR="001376DA" w:rsidRPr="006E113B">
        <w:rPr>
          <w:rFonts w:ascii="Arial" w:hAnsi="Arial" w:cs="Arial"/>
          <w:sz w:val="20"/>
        </w:rPr>
        <w:t>u</w:t>
      </w:r>
      <w:r w:rsidR="00D517A7" w:rsidRPr="006E113B">
        <w:rPr>
          <w:rFonts w:ascii="Arial" w:hAnsi="Arial" w:cs="Arial"/>
          <w:sz w:val="20"/>
        </w:rPr>
        <w:t xml:space="preserve"> (1</w:t>
      </w:r>
      <w:r w:rsidR="000A2528">
        <w:rPr>
          <w:rFonts w:ascii="Arial" w:hAnsi="Arial" w:cs="Arial"/>
          <w:sz w:val="20"/>
        </w:rPr>
        <w:t>2</w:t>
      </w:r>
      <w:r w:rsidR="008F10A7">
        <w:rPr>
          <w:rFonts w:ascii="Arial" w:hAnsi="Arial" w:cs="Arial"/>
          <w:sz w:val="20"/>
        </w:rPr>
        <w:t> </w:t>
      </w:r>
      <w:r w:rsidR="00D517A7" w:rsidRPr="006E113B">
        <w:rPr>
          <w:rFonts w:ascii="Arial" w:hAnsi="Arial" w:cs="Arial"/>
          <w:sz w:val="20"/>
        </w:rPr>
        <w:t>%)</w:t>
      </w:r>
      <w:r w:rsidR="000A2528">
        <w:rPr>
          <w:rFonts w:ascii="Arial" w:hAnsi="Arial" w:cs="Arial"/>
          <w:sz w:val="20"/>
        </w:rPr>
        <w:t xml:space="preserve">, </w:t>
      </w:r>
      <w:r w:rsidR="00F841B2" w:rsidRPr="006E113B">
        <w:rPr>
          <w:rFonts w:ascii="Arial" w:hAnsi="Arial" w:cs="Arial"/>
          <w:sz w:val="20"/>
        </w:rPr>
        <w:t>v ostatních administrativních</w:t>
      </w:r>
      <w:r w:rsidR="006E113B" w:rsidRPr="006E113B">
        <w:rPr>
          <w:rFonts w:ascii="Arial" w:hAnsi="Arial" w:cs="Arial"/>
          <w:sz w:val="20"/>
        </w:rPr>
        <w:t xml:space="preserve"> a podpůrných</w:t>
      </w:r>
      <w:r w:rsidR="00F841B2" w:rsidRPr="006E113B">
        <w:rPr>
          <w:rFonts w:ascii="Arial" w:hAnsi="Arial" w:cs="Arial"/>
          <w:sz w:val="20"/>
        </w:rPr>
        <w:t xml:space="preserve"> činnostech (1</w:t>
      </w:r>
      <w:r w:rsidR="000A2528">
        <w:rPr>
          <w:rFonts w:ascii="Arial" w:hAnsi="Arial" w:cs="Arial"/>
          <w:sz w:val="20"/>
        </w:rPr>
        <w:t>4</w:t>
      </w:r>
      <w:r w:rsidR="008F10A7">
        <w:rPr>
          <w:rFonts w:ascii="Arial" w:hAnsi="Arial" w:cs="Arial"/>
          <w:sz w:val="20"/>
        </w:rPr>
        <w:t> </w:t>
      </w:r>
      <w:r w:rsidR="00F841B2" w:rsidRPr="006E113B">
        <w:rPr>
          <w:rFonts w:ascii="Arial" w:hAnsi="Arial" w:cs="Arial"/>
          <w:sz w:val="20"/>
        </w:rPr>
        <w:t>%)</w:t>
      </w:r>
      <w:r w:rsidR="000A2528">
        <w:rPr>
          <w:rFonts w:ascii="Arial" w:hAnsi="Arial" w:cs="Arial"/>
          <w:sz w:val="20"/>
        </w:rPr>
        <w:t xml:space="preserve"> a ve stravování a pohostinství (15</w:t>
      </w:r>
      <w:r w:rsidR="008F10A7">
        <w:rPr>
          <w:rFonts w:ascii="Arial" w:hAnsi="Arial" w:cs="Arial"/>
          <w:sz w:val="20"/>
        </w:rPr>
        <w:t> </w:t>
      </w:r>
      <w:r w:rsidR="000A2528">
        <w:rPr>
          <w:rFonts w:ascii="Arial" w:hAnsi="Arial" w:cs="Arial"/>
          <w:sz w:val="20"/>
        </w:rPr>
        <w:t>%)</w:t>
      </w:r>
      <w:r w:rsidRPr="006E113B">
        <w:rPr>
          <w:rFonts w:ascii="Arial" w:hAnsi="Arial" w:cs="Arial"/>
          <w:sz w:val="20"/>
        </w:rPr>
        <w:t>.</w:t>
      </w:r>
    </w:p>
    <w:p w:rsidR="008F10A7" w:rsidRPr="006E113B" w:rsidRDefault="008F10A7" w:rsidP="008F10A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6E113B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mezinárodním srovnání počtu zaměstnanců používajících v práci př</w:t>
      </w:r>
      <w:r w:rsidRPr="006E113B">
        <w:rPr>
          <w:rFonts w:ascii="Arial" w:hAnsi="Arial" w:cs="Arial"/>
          <w:sz w:val="20"/>
        </w:rPr>
        <w:t>enosn</w:t>
      </w:r>
      <w:r>
        <w:rPr>
          <w:rFonts w:ascii="Arial" w:hAnsi="Arial" w:cs="Arial"/>
          <w:sz w:val="20"/>
        </w:rPr>
        <w:t>á</w:t>
      </w:r>
      <w:r w:rsidRPr="006E113B">
        <w:rPr>
          <w:rFonts w:ascii="Arial" w:hAnsi="Arial" w:cs="Arial"/>
          <w:sz w:val="20"/>
        </w:rPr>
        <w:t xml:space="preserve"> zařízení s přístupem na internet byly české podniky za rok 2018 </w:t>
      </w:r>
      <w:r w:rsidRPr="006E113B">
        <w:rPr>
          <w:rFonts w:ascii="Arial" w:hAnsi="Arial" w:cs="Arial"/>
          <w:b/>
          <w:sz w:val="20"/>
        </w:rPr>
        <w:t>na</w:t>
      </w:r>
      <w:r>
        <w:rPr>
          <w:rFonts w:ascii="Arial" w:hAnsi="Arial" w:cs="Arial"/>
          <w:b/>
          <w:sz w:val="20"/>
        </w:rPr>
        <w:t> </w:t>
      </w:r>
      <w:r w:rsidRPr="006E113B">
        <w:rPr>
          <w:rFonts w:ascii="Arial" w:hAnsi="Arial" w:cs="Arial"/>
          <w:b/>
          <w:sz w:val="20"/>
        </w:rPr>
        <w:t>jedenácté příčce nad průměrem EU28</w:t>
      </w:r>
      <w:r w:rsidRPr="006E113B">
        <w:rPr>
          <w:rFonts w:ascii="Arial" w:hAnsi="Arial" w:cs="Arial"/>
          <w:sz w:val="20"/>
        </w:rPr>
        <w:t>, podobně jako např. Velká Británie, Španělsko nebo sousední Rakousko. I</w:t>
      </w:r>
      <w:r>
        <w:rPr>
          <w:rFonts w:ascii="Arial" w:hAnsi="Arial" w:cs="Arial"/>
          <w:sz w:val="20"/>
        </w:rPr>
        <w:t> </w:t>
      </w:r>
      <w:r w:rsidRPr="006E113B">
        <w:rPr>
          <w:rFonts w:ascii="Arial" w:hAnsi="Arial" w:cs="Arial"/>
          <w:sz w:val="20"/>
        </w:rPr>
        <w:t>v tomto případě jsou rozdíly mezi státy Unie ovlivněny nejen celkovou vyspělostí jednotlivých ekonomik a pokroku v digitalizaci či automatizaci v podnikové sféře, ale z významné části také velikostní a</w:t>
      </w:r>
      <w:r>
        <w:rPr>
          <w:rFonts w:ascii="Arial" w:hAnsi="Arial" w:cs="Arial"/>
          <w:sz w:val="20"/>
        </w:rPr>
        <w:t> </w:t>
      </w:r>
      <w:r w:rsidRPr="006E113B">
        <w:rPr>
          <w:rFonts w:ascii="Arial" w:hAnsi="Arial" w:cs="Arial"/>
          <w:sz w:val="20"/>
        </w:rPr>
        <w:t>odvětvovou skladbou podniků v ekonomice.</w:t>
      </w:r>
    </w:p>
    <w:p w:rsidR="00C44604" w:rsidRDefault="004532A0" w:rsidP="00C50853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lastRenderedPageBreak/>
        <w:t xml:space="preserve">Graf </w:t>
      </w:r>
      <w:r w:rsidR="00A70E2D">
        <w:rPr>
          <w:rFonts w:ascii="Arial" w:hAnsi="Arial" w:cs="Arial"/>
          <w:b/>
          <w:sz w:val="20"/>
        </w:rPr>
        <w:t>1</w:t>
      </w:r>
      <w:r w:rsidR="000A2528">
        <w:rPr>
          <w:rFonts w:ascii="Arial" w:hAnsi="Arial" w:cs="Arial"/>
          <w:b/>
          <w:sz w:val="20"/>
        </w:rPr>
        <w:t>0.1: Zaměstnanci fir</w:t>
      </w:r>
      <w:r w:rsidR="00A83C13">
        <w:rPr>
          <w:rFonts w:ascii="Arial" w:hAnsi="Arial" w:cs="Arial"/>
          <w:b/>
          <w:sz w:val="20"/>
        </w:rPr>
        <w:t>e</w:t>
      </w:r>
      <w:r w:rsidR="000A2528">
        <w:rPr>
          <w:rFonts w:ascii="Arial" w:hAnsi="Arial" w:cs="Arial"/>
          <w:b/>
          <w:sz w:val="20"/>
        </w:rPr>
        <w:t>m v ČR používající v práci vybrané ICT v roce 2019</w:t>
      </w:r>
    </w:p>
    <w:p w:rsidR="000A2528" w:rsidRDefault="000A2528" w:rsidP="00C50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B71ABF1">
            <wp:extent cx="6331863" cy="215660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23" cy="2160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2A0" w:rsidRDefault="000A2528" w:rsidP="004532A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0A2528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FC534B">
        <w:rPr>
          <w:rFonts w:ascii="Arial" w:hAnsi="Arial" w:cs="Arial"/>
          <w:i/>
          <w:sz w:val="18"/>
          <w:szCs w:val="18"/>
        </w:rPr>
        <w:t xml:space="preserve">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 dané velikostní skupině</w:t>
      </w:r>
    </w:p>
    <w:p w:rsidR="00232211" w:rsidRDefault="00232211" w:rsidP="004532A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</w:rPr>
      </w:pPr>
    </w:p>
    <w:p w:rsidR="00281EFD" w:rsidRDefault="0075349D" w:rsidP="0075349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C3040A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</w:t>
      </w:r>
      <w:r w:rsidR="000A2528">
        <w:rPr>
          <w:rFonts w:ascii="Arial" w:hAnsi="Arial" w:cs="Arial"/>
          <w:b/>
          <w:sz w:val="20"/>
        </w:rPr>
        <w:t>0</w:t>
      </w:r>
      <w:r w:rsidRPr="00C3040A">
        <w:rPr>
          <w:rFonts w:ascii="Arial" w:hAnsi="Arial" w:cs="Arial"/>
          <w:b/>
          <w:sz w:val="20"/>
        </w:rPr>
        <w:t xml:space="preserve">.2: Zaměstnanci firem v ČR používající </w:t>
      </w:r>
      <w:r w:rsidR="00A83C13">
        <w:rPr>
          <w:rFonts w:ascii="Arial" w:hAnsi="Arial" w:cs="Arial"/>
          <w:b/>
          <w:sz w:val="20"/>
        </w:rPr>
        <w:t xml:space="preserve">v práci </w:t>
      </w:r>
      <w:r w:rsidRPr="00C3040A">
        <w:rPr>
          <w:rFonts w:ascii="Arial" w:hAnsi="Arial" w:cs="Arial"/>
          <w:b/>
          <w:sz w:val="20"/>
        </w:rPr>
        <w:t>vybran</w:t>
      </w:r>
      <w:r w:rsidR="00A83C13">
        <w:rPr>
          <w:rFonts w:ascii="Arial" w:hAnsi="Arial" w:cs="Arial"/>
          <w:b/>
          <w:sz w:val="20"/>
        </w:rPr>
        <w:t>é</w:t>
      </w:r>
      <w:r w:rsidRPr="00C3040A">
        <w:rPr>
          <w:rFonts w:ascii="Arial" w:hAnsi="Arial" w:cs="Arial"/>
          <w:b/>
          <w:sz w:val="20"/>
        </w:rPr>
        <w:t xml:space="preserve"> ICT </w:t>
      </w:r>
    </w:p>
    <w:p w:rsidR="00232211" w:rsidRDefault="00232211" w:rsidP="00C50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3A3ADB64">
            <wp:extent cx="6298009" cy="200132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726" cy="200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49D" w:rsidRDefault="0075349D" w:rsidP="0075349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A83C13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FC534B">
        <w:rPr>
          <w:rFonts w:ascii="Arial" w:hAnsi="Arial" w:cs="Arial"/>
          <w:i/>
          <w:sz w:val="18"/>
          <w:szCs w:val="18"/>
        </w:rPr>
        <w:t xml:space="preserve">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</w:t>
      </w:r>
      <w:r w:rsidR="0038778D">
        <w:rPr>
          <w:rFonts w:ascii="Arial" w:hAnsi="Arial" w:cs="Arial"/>
          <w:i/>
          <w:sz w:val="18"/>
          <w:szCs w:val="18"/>
        </w:rPr>
        <w:t> </w:t>
      </w:r>
      <w:r w:rsidRPr="00B411F6">
        <w:rPr>
          <w:rFonts w:ascii="Arial" w:hAnsi="Arial" w:cs="Arial"/>
          <w:i/>
          <w:sz w:val="18"/>
          <w:szCs w:val="18"/>
        </w:rPr>
        <w:t>dan</w:t>
      </w:r>
      <w:r w:rsidR="0038778D">
        <w:rPr>
          <w:rFonts w:ascii="Arial" w:hAnsi="Arial" w:cs="Arial"/>
          <w:i/>
          <w:sz w:val="18"/>
          <w:szCs w:val="18"/>
        </w:rPr>
        <w:t>ých letech</w:t>
      </w:r>
      <w:r w:rsidRPr="00B411F6">
        <w:rPr>
          <w:rFonts w:ascii="Arial" w:hAnsi="Arial" w:cs="Arial"/>
          <w:i/>
          <w:sz w:val="18"/>
          <w:szCs w:val="18"/>
        </w:rPr>
        <w:t xml:space="preserve"> </w:t>
      </w:r>
    </w:p>
    <w:p w:rsidR="00C50853" w:rsidRPr="008F10A7" w:rsidRDefault="00C50853" w:rsidP="00C5085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10A7">
        <w:rPr>
          <w:rFonts w:ascii="Arial" w:hAnsi="Arial" w:cs="Arial"/>
          <w:sz w:val="18"/>
          <w:szCs w:val="18"/>
        </w:rPr>
        <w:t>Zdroj: Český statistický úřad, 2019</w:t>
      </w:r>
    </w:p>
    <w:p w:rsidR="00E67293" w:rsidRDefault="00E67293" w:rsidP="00E67293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10</w:t>
      </w:r>
      <w:r w:rsidRPr="00D518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Zaměstnanci firem v zemích EU</w:t>
      </w:r>
      <w:r w:rsidRPr="00D5184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používající v roce 2018 počítač s přístupem na internet</w:t>
      </w:r>
    </w:p>
    <w:p w:rsidR="00E67293" w:rsidRDefault="00E67293" w:rsidP="00E6729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14A7C63B" wp14:editId="2CBB869E">
            <wp:extent cx="6120130" cy="322389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7293" w:rsidRDefault="00E67293" w:rsidP="00E6729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DB697D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na celkovém</w:t>
      </w:r>
      <w:r w:rsidRPr="00DB697D">
        <w:rPr>
          <w:rFonts w:ascii="Arial" w:hAnsi="Arial" w:cs="Arial"/>
          <w:i/>
          <w:sz w:val="18"/>
          <w:szCs w:val="18"/>
        </w:rPr>
        <w:t xml:space="preserve"> počtu </w:t>
      </w:r>
      <w:r w:rsidRPr="00A83C13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firem</w:t>
      </w:r>
      <w:r w:rsidRPr="00DB697D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Pr="00DB697D">
        <w:rPr>
          <w:rFonts w:ascii="Arial" w:hAnsi="Arial" w:cs="Arial"/>
          <w:i/>
          <w:sz w:val="18"/>
          <w:szCs w:val="18"/>
        </w:rPr>
        <w:t>zem</w:t>
      </w:r>
      <w:r>
        <w:rPr>
          <w:rFonts w:ascii="Arial" w:hAnsi="Arial" w:cs="Arial"/>
          <w:i/>
          <w:sz w:val="18"/>
          <w:szCs w:val="18"/>
        </w:rPr>
        <w:t>i       z</w:t>
      </w:r>
      <w:r w:rsidRPr="00DB697D">
        <w:rPr>
          <w:rFonts w:ascii="Arial" w:hAnsi="Arial" w:cs="Arial"/>
          <w:sz w:val="18"/>
          <w:szCs w:val="18"/>
        </w:rPr>
        <w:t>droj</w:t>
      </w:r>
      <w:proofErr w:type="gramEnd"/>
      <w:r>
        <w:rPr>
          <w:rFonts w:ascii="Arial" w:hAnsi="Arial" w:cs="Arial"/>
          <w:sz w:val="18"/>
          <w:szCs w:val="18"/>
        </w:rPr>
        <w:t xml:space="preserve"> dat</w:t>
      </w:r>
      <w:r w:rsidRPr="00DB697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B697D">
        <w:rPr>
          <w:rFonts w:ascii="Arial" w:hAnsi="Arial" w:cs="Arial"/>
          <w:sz w:val="18"/>
          <w:szCs w:val="18"/>
        </w:rPr>
        <w:t>Eurostat</w:t>
      </w:r>
      <w:proofErr w:type="spellEnd"/>
      <w:r w:rsidRPr="00DB697D">
        <w:rPr>
          <w:rFonts w:ascii="Arial" w:hAnsi="Arial" w:cs="Arial"/>
          <w:sz w:val="18"/>
          <w:szCs w:val="18"/>
        </w:rPr>
        <w:t>, prosinec 201</w:t>
      </w:r>
      <w:r>
        <w:rPr>
          <w:rFonts w:ascii="Arial" w:hAnsi="Arial" w:cs="Arial"/>
          <w:sz w:val="18"/>
          <w:szCs w:val="18"/>
        </w:rPr>
        <w:t>8</w:t>
      </w:r>
    </w:p>
    <w:p w:rsidR="00B83ED0" w:rsidRDefault="00B83ED0" w:rsidP="00B83ED0">
      <w:pPr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</w:rPr>
      </w:pPr>
      <w:r w:rsidRPr="002C471F">
        <w:rPr>
          <w:rFonts w:ascii="Arial" w:hAnsi="Arial" w:cs="Arial"/>
          <w:b/>
          <w:sz w:val="20"/>
        </w:rPr>
        <w:lastRenderedPageBreak/>
        <w:t xml:space="preserve">Tab. </w:t>
      </w:r>
      <w:r w:rsidR="00A70E2D">
        <w:rPr>
          <w:rFonts w:ascii="Arial" w:hAnsi="Arial" w:cs="Arial"/>
          <w:b/>
          <w:sz w:val="20"/>
        </w:rPr>
        <w:t>1</w:t>
      </w:r>
      <w:r w:rsidR="00232211">
        <w:rPr>
          <w:rFonts w:ascii="Arial" w:hAnsi="Arial" w:cs="Arial"/>
          <w:b/>
          <w:sz w:val="20"/>
        </w:rPr>
        <w:t>0</w:t>
      </w:r>
      <w:r w:rsidR="00A83C13">
        <w:rPr>
          <w:rFonts w:ascii="Arial" w:hAnsi="Arial" w:cs="Arial"/>
          <w:b/>
          <w:sz w:val="20"/>
        </w:rPr>
        <w:t xml:space="preserve">.1: Zaměstnanci </w:t>
      </w:r>
      <w:r w:rsidR="00A83C13" w:rsidRPr="002C471F">
        <w:rPr>
          <w:rFonts w:ascii="Arial" w:hAnsi="Arial" w:cs="Arial"/>
          <w:b/>
          <w:sz w:val="20"/>
        </w:rPr>
        <w:t>fir</w:t>
      </w:r>
      <w:r w:rsidR="00A83C13">
        <w:rPr>
          <w:rFonts w:ascii="Arial" w:hAnsi="Arial" w:cs="Arial"/>
          <w:b/>
          <w:sz w:val="20"/>
        </w:rPr>
        <w:t>e</w:t>
      </w:r>
      <w:r w:rsidR="00A83C13" w:rsidRPr="002C471F">
        <w:rPr>
          <w:rFonts w:ascii="Arial" w:hAnsi="Arial" w:cs="Arial"/>
          <w:b/>
          <w:sz w:val="20"/>
        </w:rPr>
        <w:t>m</w:t>
      </w:r>
      <w:r w:rsidR="00A83C13">
        <w:rPr>
          <w:rFonts w:ascii="Arial" w:hAnsi="Arial" w:cs="Arial"/>
          <w:b/>
          <w:sz w:val="20"/>
        </w:rPr>
        <w:t xml:space="preserve"> </w:t>
      </w:r>
      <w:r w:rsidR="00A83C13" w:rsidRPr="002C471F">
        <w:rPr>
          <w:rFonts w:ascii="Arial" w:hAnsi="Arial" w:cs="Arial"/>
          <w:b/>
          <w:sz w:val="20"/>
        </w:rPr>
        <w:t>v</w:t>
      </w:r>
      <w:r w:rsidR="00A83C13">
        <w:rPr>
          <w:rFonts w:ascii="Arial" w:hAnsi="Arial" w:cs="Arial"/>
          <w:b/>
          <w:sz w:val="20"/>
        </w:rPr>
        <w:t> </w:t>
      </w:r>
      <w:r w:rsidR="00A83C13" w:rsidRPr="002C471F">
        <w:rPr>
          <w:rFonts w:ascii="Arial" w:hAnsi="Arial" w:cs="Arial"/>
          <w:b/>
          <w:sz w:val="20"/>
        </w:rPr>
        <w:t>ČR</w:t>
      </w:r>
      <w:r w:rsidR="00A83C13">
        <w:rPr>
          <w:rFonts w:ascii="Arial" w:hAnsi="Arial" w:cs="Arial"/>
          <w:b/>
          <w:sz w:val="20"/>
        </w:rPr>
        <w:t xml:space="preserve"> používající v práci počítač</w:t>
      </w:r>
      <w:r w:rsidRPr="002C471F">
        <w:rPr>
          <w:rFonts w:ascii="Arial" w:hAnsi="Arial" w:cs="Arial"/>
          <w:b/>
          <w:sz w:val="20"/>
        </w:rPr>
        <w:t xml:space="preserve"> </w:t>
      </w:r>
      <w:r w:rsidR="00A83C13">
        <w:rPr>
          <w:rFonts w:ascii="Arial" w:hAnsi="Arial" w:cs="Arial"/>
          <w:b/>
          <w:sz w:val="20"/>
        </w:rPr>
        <w:t xml:space="preserve">a jiná </w:t>
      </w:r>
      <w:r w:rsidR="00B60BB7">
        <w:rPr>
          <w:rFonts w:ascii="Arial" w:hAnsi="Arial" w:cs="Arial"/>
          <w:b/>
          <w:sz w:val="20"/>
        </w:rPr>
        <w:t>ICT</w:t>
      </w:r>
      <w:r w:rsidRPr="002C471F">
        <w:rPr>
          <w:rFonts w:ascii="Arial" w:hAnsi="Arial" w:cs="Arial"/>
          <w:b/>
          <w:sz w:val="20"/>
        </w:rPr>
        <w:t xml:space="preserve"> </w:t>
      </w:r>
      <w:r w:rsidR="00852D8B">
        <w:rPr>
          <w:rFonts w:ascii="Arial" w:hAnsi="Arial" w:cs="Arial"/>
          <w:b/>
          <w:sz w:val="20"/>
        </w:rPr>
        <w:t>v roce</w:t>
      </w:r>
      <w:r w:rsidRPr="002C471F">
        <w:rPr>
          <w:rFonts w:ascii="Arial" w:hAnsi="Arial" w:cs="Arial"/>
          <w:b/>
          <w:sz w:val="20"/>
        </w:rPr>
        <w:t xml:space="preserve"> 201</w:t>
      </w:r>
      <w:r w:rsidR="00232211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 </w:t>
      </w: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90"/>
        <w:gridCol w:w="1499"/>
        <w:gridCol w:w="1831"/>
      </w:tblGrid>
      <w:tr w:rsidR="00232211" w:rsidRPr="00232211" w:rsidTr="00C50853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32211" w:rsidRPr="00232211" w:rsidRDefault="00232211" w:rsidP="0023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zaměstnanci používající v práci</w:t>
            </w:r>
          </w:p>
        </w:tc>
      </w:tr>
      <w:tr w:rsidR="00232211" w:rsidRPr="00232211" w:rsidTr="00C50853">
        <w:trPr>
          <w:trHeight w:val="27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jakýkoli počítač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32211" w:rsidRDefault="00232211" w:rsidP="00232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počítač </w:t>
            </w:r>
          </w:p>
          <w:p w:rsidR="00232211" w:rsidRDefault="00232211" w:rsidP="00232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 přístupem </w:t>
            </w:r>
          </w:p>
          <w:p w:rsidR="00232211" w:rsidRPr="00C50853" w:rsidRDefault="00232211" w:rsidP="0023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C508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na internet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přenosná zařízení </w:t>
            </w: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s přístupem </w:t>
            </w: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C508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na internet</w:t>
            </w: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08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přes mobilní sítě</w:t>
            </w:r>
          </w:p>
        </w:tc>
      </w:tr>
      <w:tr w:rsidR="00232211" w:rsidRPr="00232211" w:rsidTr="00C50853">
        <w:trPr>
          <w:trHeight w:val="588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53,6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45,6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52,2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50,8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56,0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47,0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63,4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50,7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34,1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72,4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74,5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46,5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45,5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91,9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60,8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95,4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86,5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65,2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38,5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53,7 </w:t>
            </w:r>
          </w:p>
        </w:tc>
      </w:tr>
      <w:tr w:rsidR="00232211" w:rsidRPr="00232211" w:rsidTr="00C50853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2211" w:rsidRPr="00232211" w:rsidRDefault="00232211" w:rsidP="00232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32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</w:tr>
    </w:tbl>
    <w:p w:rsidR="00232211" w:rsidRDefault="00232211" w:rsidP="00232211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0A2528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FC534B">
        <w:rPr>
          <w:rFonts w:ascii="Arial" w:hAnsi="Arial" w:cs="Arial"/>
          <w:i/>
          <w:sz w:val="18"/>
          <w:szCs w:val="18"/>
        </w:rPr>
        <w:t xml:space="preserve">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 dané velikostní a odvětvové skupině</w:t>
      </w:r>
    </w:p>
    <w:p w:rsidR="00E67293" w:rsidRDefault="00E67293" w:rsidP="00E672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0"/>
        </w:rPr>
      </w:pPr>
    </w:p>
    <w:p w:rsidR="00E67293" w:rsidRDefault="00E67293" w:rsidP="00E672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10.4: Zaměstnanci firem v ČR používající v práci počítač – top 5 odvětví v roce 2019</w:t>
      </w: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4B17B3A3" wp14:editId="67535B04">
            <wp:extent cx="6120765" cy="22313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293" w:rsidRDefault="00E67293" w:rsidP="00E67293">
      <w:pPr>
        <w:spacing w:after="0" w:line="240" w:lineRule="auto"/>
        <w:rPr>
          <w:rFonts w:ascii="Arial" w:hAnsi="Arial" w:cs="Arial"/>
          <w:b/>
          <w:sz w:val="20"/>
        </w:rPr>
      </w:pPr>
    </w:p>
    <w:p w:rsidR="00E67293" w:rsidRDefault="00E67293" w:rsidP="00E67293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0A2528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FC534B">
        <w:rPr>
          <w:rFonts w:ascii="Arial" w:hAnsi="Arial" w:cs="Arial"/>
          <w:i/>
          <w:sz w:val="18"/>
          <w:szCs w:val="18"/>
        </w:rPr>
        <w:t xml:space="preserve">pracujících </w:t>
      </w:r>
      <w:bookmarkStart w:id="0" w:name="_GoBack"/>
      <w:bookmarkEnd w:id="0"/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 dané odvětvové skupině</w:t>
      </w:r>
    </w:p>
    <w:p w:rsidR="00E67293" w:rsidRDefault="00E67293" w:rsidP="00020E08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</w:p>
    <w:p w:rsidR="00232211" w:rsidRDefault="00232211" w:rsidP="00232211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2C471F" w:rsidRPr="008F10A7" w:rsidRDefault="00B83ED0" w:rsidP="00232211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10A7">
        <w:rPr>
          <w:rFonts w:ascii="Arial" w:hAnsi="Arial" w:cs="Arial"/>
          <w:sz w:val="18"/>
          <w:szCs w:val="18"/>
        </w:rPr>
        <w:t>Zdroj: Český statistický úřad</w:t>
      </w:r>
      <w:r w:rsidR="00852D8B" w:rsidRPr="008F10A7">
        <w:rPr>
          <w:rFonts w:ascii="Arial" w:hAnsi="Arial" w:cs="Arial"/>
          <w:sz w:val="18"/>
          <w:szCs w:val="18"/>
        </w:rPr>
        <w:t>,</w:t>
      </w:r>
      <w:r w:rsidRPr="008F10A7">
        <w:rPr>
          <w:rFonts w:ascii="Arial" w:hAnsi="Arial" w:cs="Arial"/>
          <w:sz w:val="18"/>
          <w:szCs w:val="18"/>
        </w:rPr>
        <w:t xml:space="preserve"> 201</w:t>
      </w:r>
      <w:r w:rsidR="00232211" w:rsidRPr="008F10A7">
        <w:rPr>
          <w:rFonts w:ascii="Arial" w:hAnsi="Arial" w:cs="Arial"/>
          <w:sz w:val="18"/>
          <w:szCs w:val="18"/>
        </w:rPr>
        <w:t>9</w:t>
      </w:r>
    </w:p>
    <w:sectPr w:rsidR="002C471F" w:rsidRPr="008F10A7" w:rsidSect="002873E7">
      <w:footerReference w:type="default" r:id="rId12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86" w:rsidRDefault="00C26F86" w:rsidP="00E71A58">
      <w:r>
        <w:separator/>
      </w:r>
    </w:p>
  </w:endnote>
  <w:endnote w:type="continuationSeparator" w:id="0">
    <w:p w:rsidR="00C26F86" w:rsidRDefault="00C26F8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E3" w:rsidRDefault="002F6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86" w:rsidRDefault="00C26F86" w:rsidP="00E71A58">
      <w:r>
        <w:separator/>
      </w:r>
    </w:p>
  </w:footnote>
  <w:footnote w:type="continuationSeparator" w:id="0">
    <w:p w:rsidR="00C26F86" w:rsidRDefault="00C26F86" w:rsidP="00E71A58">
      <w:r>
        <w:continuationSeparator/>
      </w:r>
    </w:p>
  </w:footnote>
  <w:footnote w:id="1">
    <w:p w:rsidR="004D77B7" w:rsidRPr="00326DC3" w:rsidRDefault="004D77B7" w:rsidP="004D77B7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326DC3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="00B82EB5">
        <w:rPr>
          <w:rFonts w:ascii="Arial" w:hAnsi="Arial" w:cs="Arial"/>
          <w:sz w:val="16"/>
          <w:szCs w:val="16"/>
        </w:rPr>
        <w:t>Z</w:t>
      </w:r>
      <w:r w:rsidR="00B82EB5" w:rsidRPr="0022756F">
        <w:rPr>
          <w:rFonts w:ascii="Arial" w:hAnsi="Arial" w:cs="Arial"/>
          <w:sz w:val="16"/>
          <w:szCs w:val="16"/>
        </w:rPr>
        <w:t xml:space="preserve">drojem </w:t>
      </w:r>
      <w:r w:rsidR="00B82EB5">
        <w:rPr>
          <w:rFonts w:ascii="Arial" w:hAnsi="Arial" w:cs="Arial"/>
          <w:sz w:val="16"/>
          <w:szCs w:val="16"/>
        </w:rPr>
        <w:t xml:space="preserve">dat pro mezinárodní srovnání </w:t>
      </w:r>
      <w:r w:rsidR="00B82EB5" w:rsidRPr="0022756F">
        <w:rPr>
          <w:rFonts w:ascii="Arial" w:hAnsi="Arial" w:cs="Arial"/>
          <w:sz w:val="16"/>
          <w:szCs w:val="16"/>
        </w:rPr>
        <w:t>je</w:t>
      </w:r>
      <w:r w:rsidR="00B82EB5">
        <w:rPr>
          <w:rFonts w:ascii="Arial" w:hAnsi="Arial" w:cs="Arial"/>
          <w:sz w:val="16"/>
          <w:szCs w:val="16"/>
        </w:rPr>
        <w:t xml:space="preserve"> databáze </w:t>
      </w:r>
      <w:proofErr w:type="spellStart"/>
      <w:r w:rsidR="00B82EB5" w:rsidRPr="0022756F">
        <w:rPr>
          <w:rFonts w:ascii="Arial" w:hAnsi="Arial" w:cs="Arial"/>
          <w:sz w:val="16"/>
          <w:szCs w:val="16"/>
        </w:rPr>
        <w:t>Eurostat</w:t>
      </w:r>
      <w:r w:rsidR="00B82EB5">
        <w:rPr>
          <w:rFonts w:ascii="Arial" w:hAnsi="Arial" w:cs="Arial"/>
          <w:sz w:val="16"/>
          <w:szCs w:val="16"/>
        </w:rPr>
        <w:t>u</w:t>
      </w:r>
      <w:proofErr w:type="spellEnd"/>
      <w:r w:rsidR="00B82EB5">
        <w:rPr>
          <w:rFonts w:ascii="Arial" w:hAnsi="Arial" w:cs="Arial"/>
          <w:sz w:val="16"/>
          <w:szCs w:val="16"/>
        </w:rPr>
        <w:t xml:space="preserve">, která byla aktualizována v polovině prosince 2018 a údaje v ní se vztahují k roku 2018: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3538"/>
    <w:rsid w:val="00020E08"/>
    <w:rsid w:val="00024661"/>
    <w:rsid w:val="0004396D"/>
    <w:rsid w:val="0004694F"/>
    <w:rsid w:val="00062EC5"/>
    <w:rsid w:val="00065010"/>
    <w:rsid w:val="000677D8"/>
    <w:rsid w:val="00087634"/>
    <w:rsid w:val="00091EB4"/>
    <w:rsid w:val="00092869"/>
    <w:rsid w:val="000A1183"/>
    <w:rsid w:val="000A2528"/>
    <w:rsid w:val="000A40E1"/>
    <w:rsid w:val="000A627B"/>
    <w:rsid w:val="000B664C"/>
    <w:rsid w:val="000C3408"/>
    <w:rsid w:val="001041FC"/>
    <w:rsid w:val="001073C1"/>
    <w:rsid w:val="001376DA"/>
    <w:rsid w:val="001405FA"/>
    <w:rsid w:val="001425C3"/>
    <w:rsid w:val="00143453"/>
    <w:rsid w:val="0015109B"/>
    <w:rsid w:val="001573CF"/>
    <w:rsid w:val="00161F96"/>
    <w:rsid w:val="00163793"/>
    <w:rsid w:val="0016380A"/>
    <w:rsid w:val="001714F2"/>
    <w:rsid w:val="00181DD6"/>
    <w:rsid w:val="00184B9E"/>
    <w:rsid w:val="00185010"/>
    <w:rsid w:val="00192B8E"/>
    <w:rsid w:val="00193E5B"/>
    <w:rsid w:val="00194F66"/>
    <w:rsid w:val="001A552F"/>
    <w:rsid w:val="001A60C9"/>
    <w:rsid w:val="001A641B"/>
    <w:rsid w:val="001B3110"/>
    <w:rsid w:val="001D2798"/>
    <w:rsid w:val="001F3765"/>
    <w:rsid w:val="001F4597"/>
    <w:rsid w:val="001F6759"/>
    <w:rsid w:val="001F74F8"/>
    <w:rsid w:val="00213D70"/>
    <w:rsid w:val="0022139E"/>
    <w:rsid w:val="00221910"/>
    <w:rsid w:val="002252E0"/>
    <w:rsid w:val="002255F6"/>
    <w:rsid w:val="00232211"/>
    <w:rsid w:val="00236443"/>
    <w:rsid w:val="002436BA"/>
    <w:rsid w:val="00244A15"/>
    <w:rsid w:val="0024799E"/>
    <w:rsid w:val="00281EFD"/>
    <w:rsid w:val="0028698F"/>
    <w:rsid w:val="002873E7"/>
    <w:rsid w:val="00294CD1"/>
    <w:rsid w:val="002C31D3"/>
    <w:rsid w:val="002C43BD"/>
    <w:rsid w:val="002C471F"/>
    <w:rsid w:val="002D4CBE"/>
    <w:rsid w:val="002D59B1"/>
    <w:rsid w:val="002D6C0F"/>
    <w:rsid w:val="002E02A1"/>
    <w:rsid w:val="002E575D"/>
    <w:rsid w:val="002F6FE3"/>
    <w:rsid w:val="00302A3A"/>
    <w:rsid w:val="00304771"/>
    <w:rsid w:val="00304CAD"/>
    <w:rsid w:val="00306C5B"/>
    <w:rsid w:val="00310FDC"/>
    <w:rsid w:val="003209D6"/>
    <w:rsid w:val="00322E99"/>
    <w:rsid w:val="00326DC3"/>
    <w:rsid w:val="00340698"/>
    <w:rsid w:val="00343195"/>
    <w:rsid w:val="00343E00"/>
    <w:rsid w:val="00364A6C"/>
    <w:rsid w:val="003657F3"/>
    <w:rsid w:val="00365D1E"/>
    <w:rsid w:val="00385D98"/>
    <w:rsid w:val="0038778D"/>
    <w:rsid w:val="00394553"/>
    <w:rsid w:val="003A2B4D"/>
    <w:rsid w:val="003A327C"/>
    <w:rsid w:val="003A478C"/>
    <w:rsid w:val="003A5525"/>
    <w:rsid w:val="003A6B38"/>
    <w:rsid w:val="003B5A32"/>
    <w:rsid w:val="003D7BEA"/>
    <w:rsid w:val="003F313C"/>
    <w:rsid w:val="003F7CA1"/>
    <w:rsid w:val="00405AE5"/>
    <w:rsid w:val="00413550"/>
    <w:rsid w:val="00414240"/>
    <w:rsid w:val="0043194A"/>
    <w:rsid w:val="004532A0"/>
    <w:rsid w:val="00467F6A"/>
    <w:rsid w:val="00471948"/>
    <w:rsid w:val="0048139F"/>
    <w:rsid w:val="004821EF"/>
    <w:rsid w:val="0049232C"/>
    <w:rsid w:val="0049799E"/>
    <w:rsid w:val="004A77DF"/>
    <w:rsid w:val="004B55B7"/>
    <w:rsid w:val="004B62B6"/>
    <w:rsid w:val="004C3867"/>
    <w:rsid w:val="004C4CD0"/>
    <w:rsid w:val="004C5D83"/>
    <w:rsid w:val="004C70DC"/>
    <w:rsid w:val="004D0211"/>
    <w:rsid w:val="004D4E05"/>
    <w:rsid w:val="004D77B7"/>
    <w:rsid w:val="004E5F7B"/>
    <w:rsid w:val="004F06F5"/>
    <w:rsid w:val="004F0DF9"/>
    <w:rsid w:val="004F33A0"/>
    <w:rsid w:val="004F4666"/>
    <w:rsid w:val="005068F4"/>
    <w:rsid w:val="005108C0"/>
    <w:rsid w:val="00511873"/>
    <w:rsid w:val="00513B7E"/>
    <w:rsid w:val="0052251C"/>
    <w:rsid w:val="00525135"/>
    <w:rsid w:val="00525137"/>
    <w:rsid w:val="005251DD"/>
    <w:rsid w:val="00553139"/>
    <w:rsid w:val="0055707E"/>
    <w:rsid w:val="00576CD1"/>
    <w:rsid w:val="00583FFD"/>
    <w:rsid w:val="00584DCD"/>
    <w:rsid w:val="00585475"/>
    <w:rsid w:val="00593152"/>
    <w:rsid w:val="005A21E0"/>
    <w:rsid w:val="005A34A7"/>
    <w:rsid w:val="005B4204"/>
    <w:rsid w:val="005C6378"/>
    <w:rsid w:val="005D5802"/>
    <w:rsid w:val="005E7241"/>
    <w:rsid w:val="005F419A"/>
    <w:rsid w:val="005F7FA5"/>
    <w:rsid w:val="00604307"/>
    <w:rsid w:val="0060487F"/>
    <w:rsid w:val="006123F0"/>
    <w:rsid w:val="00624093"/>
    <w:rsid w:val="00631B6B"/>
    <w:rsid w:val="0064036A"/>
    <w:rsid w:val="006404A7"/>
    <w:rsid w:val="00641710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1307"/>
    <w:rsid w:val="006D50BD"/>
    <w:rsid w:val="006D61F6"/>
    <w:rsid w:val="006D7127"/>
    <w:rsid w:val="006E113B"/>
    <w:rsid w:val="006E279A"/>
    <w:rsid w:val="006E313B"/>
    <w:rsid w:val="006E7DE3"/>
    <w:rsid w:val="007108D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4770B"/>
    <w:rsid w:val="00752180"/>
    <w:rsid w:val="0075349D"/>
    <w:rsid w:val="00755D3A"/>
    <w:rsid w:val="007609C6"/>
    <w:rsid w:val="00761B3D"/>
    <w:rsid w:val="00772929"/>
    <w:rsid w:val="00774742"/>
    <w:rsid w:val="00776527"/>
    <w:rsid w:val="00785B2D"/>
    <w:rsid w:val="007949B4"/>
    <w:rsid w:val="007A5C36"/>
    <w:rsid w:val="007C3F6A"/>
    <w:rsid w:val="007D2B39"/>
    <w:rsid w:val="007D7174"/>
    <w:rsid w:val="007E3D24"/>
    <w:rsid w:val="007E7E61"/>
    <w:rsid w:val="007F0845"/>
    <w:rsid w:val="007F7D8B"/>
    <w:rsid w:val="00807732"/>
    <w:rsid w:val="00814B24"/>
    <w:rsid w:val="00821FF6"/>
    <w:rsid w:val="0083143E"/>
    <w:rsid w:val="00831CCF"/>
    <w:rsid w:val="00834FAA"/>
    <w:rsid w:val="00836086"/>
    <w:rsid w:val="00852D8B"/>
    <w:rsid w:val="00867019"/>
    <w:rsid w:val="00876086"/>
    <w:rsid w:val="008801A7"/>
    <w:rsid w:val="008B7C02"/>
    <w:rsid w:val="008C0E88"/>
    <w:rsid w:val="008D2A16"/>
    <w:rsid w:val="008E31FF"/>
    <w:rsid w:val="008F10A7"/>
    <w:rsid w:val="008F41A9"/>
    <w:rsid w:val="009003A8"/>
    <w:rsid w:val="00902EFF"/>
    <w:rsid w:val="00911712"/>
    <w:rsid w:val="00921F14"/>
    <w:rsid w:val="009349CD"/>
    <w:rsid w:val="0094427A"/>
    <w:rsid w:val="00957F6D"/>
    <w:rsid w:val="00967F43"/>
    <w:rsid w:val="009708C4"/>
    <w:rsid w:val="00974923"/>
    <w:rsid w:val="0098620F"/>
    <w:rsid w:val="00987E97"/>
    <w:rsid w:val="00994473"/>
    <w:rsid w:val="009B6FD3"/>
    <w:rsid w:val="009C3EFA"/>
    <w:rsid w:val="009D5896"/>
    <w:rsid w:val="009F303B"/>
    <w:rsid w:val="009F5F81"/>
    <w:rsid w:val="00A061F3"/>
    <w:rsid w:val="00A10D66"/>
    <w:rsid w:val="00A22C4D"/>
    <w:rsid w:val="00A23E43"/>
    <w:rsid w:val="00A42547"/>
    <w:rsid w:val="00A46DE0"/>
    <w:rsid w:val="00A5521E"/>
    <w:rsid w:val="00A62CE1"/>
    <w:rsid w:val="00A70E2D"/>
    <w:rsid w:val="00A732A5"/>
    <w:rsid w:val="00A75E40"/>
    <w:rsid w:val="00A83C13"/>
    <w:rsid w:val="00A857C0"/>
    <w:rsid w:val="00A9264C"/>
    <w:rsid w:val="00AA0243"/>
    <w:rsid w:val="00AA559A"/>
    <w:rsid w:val="00AB2AF1"/>
    <w:rsid w:val="00AB76F3"/>
    <w:rsid w:val="00AC2293"/>
    <w:rsid w:val="00AC77ED"/>
    <w:rsid w:val="00AD306C"/>
    <w:rsid w:val="00AE511A"/>
    <w:rsid w:val="00AF2A1B"/>
    <w:rsid w:val="00B07008"/>
    <w:rsid w:val="00B112AC"/>
    <w:rsid w:val="00B14740"/>
    <w:rsid w:val="00B17E71"/>
    <w:rsid w:val="00B17FDE"/>
    <w:rsid w:val="00B21D75"/>
    <w:rsid w:val="00B320D0"/>
    <w:rsid w:val="00B32DDB"/>
    <w:rsid w:val="00B445A6"/>
    <w:rsid w:val="00B5042E"/>
    <w:rsid w:val="00B526E3"/>
    <w:rsid w:val="00B60BB7"/>
    <w:rsid w:val="00B6608F"/>
    <w:rsid w:val="00B70B2B"/>
    <w:rsid w:val="00B76D1E"/>
    <w:rsid w:val="00B82EB5"/>
    <w:rsid w:val="00B83ED0"/>
    <w:rsid w:val="00B93AF0"/>
    <w:rsid w:val="00B95940"/>
    <w:rsid w:val="00BA77C1"/>
    <w:rsid w:val="00BD258B"/>
    <w:rsid w:val="00BD366B"/>
    <w:rsid w:val="00BD6D50"/>
    <w:rsid w:val="00BE0C8D"/>
    <w:rsid w:val="00C0475C"/>
    <w:rsid w:val="00C21F94"/>
    <w:rsid w:val="00C26F86"/>
    <w:rsid w:val="00C3040A"/>
    <w:rsid w:val="00C35A1C"/>
    <w:rsid w:val="00C44604"/>
    <w:rsid w:val="00C46A08"/>
    <w:rsid w:val="00C50853"/>
    <w:rsid w:val="00C53740"/>
    <w:rsid w:val="00C649AF"/>
    <w:rsid w:val="00C847A8"/>
    <w:rsid w:val="00C90CF4"/>
    <w:rsid w:val="00C93389"/>
    <w:rsid w:val="00CA0C7F"/>
    <w:rsid w:val="00CA5AC0"/>
    <w:rsid w:val="00CB2C32"/>
    <w:rsid w:val="00CB35AC"/>
    <w:rsid w:val="00CB4690"/>
    <w:rsid w:val="00CC0868"/>
    <w:rsid w:val="00CC61F7"/>
    <w:rsid w:val="00CD57C7"/>
    <w:rsid w:val="00CD5C77"/>
    <w:rsid w:val="00CE1800"/>
    <w:rsid w:val="00CF51EC"/>
    <w:rsid w:val="00CF797C"/>
    <w:rsid w:val="00D03154"/>
    <w:rsid w:val="00D040DD"/>
    <w:rsid w:val="00D1416F"/>
    <w:rsid w:val="00D16CC5"/>
    <w:rsid w:val="00D517A7"/>
    <w:rsid w:val="00D57B0B"/>
    <w:rsid w:val="00D72D54"/>
    <w:rsid w:val="00D87787"/>
    <w:rsid w:val="00D90543"/>
    <w:rsid w:val="00DB4D42"/>
    <w:rsid w:val="00DB6B38"/>
    <w:rsid w:val="00DC5B3B"/>
    <w:rsid w:val="00E01C0E"/>
    <w:rsid w:val="00E04694"/>
    <w:rsid w:val="00E15CA9"/>
    <w:rsid w:val="00E20E07"/>
    <w:rsid w:val="00E43BA4"/>
    <w:rsid w:val="00E454AB"/>
    <w:rsid w:val="00E50EAE"/>
    <w:rsid w:val="00E602B5"/>
    <w:rsid w:val="00E67293"/>
    <w:rsid w:val="00E71A58"/>
    <w:rsid w:val="00E979B8"/>
    <w:rsid w:val="00EA0C68"/>
    <w:rsid w:val="00EA27C4"/>
    <w:rsid w:val="00EC7132"/>
    <w:rsid w:val="00ED0817"/>
    <w:rsid w:val="00EE01F9"/>
    <w:rsid w:val="00EE3E78"/>
    <w:rsid w:val="00EF1F5A"/>
    <w:rsid w:val="00F04811"/>
    <w:rsid w:val="00F0488C"/>
    <w:rsid w:val="00F0701B"/>
    <w:rsid w:val="00F1253E"/>
    <w:rsid w:val="00F15987"/>
    <w:rsid w:val="00F15BEF"/>
    <w:rsid w:val="00F22277"/>
    <w:rsid w:val="00F226D7"/>
    <w:rsid w:val="00F24FAA"/>
    <w:rsid w:val="00F31BBF"/>
    <w:rsid w:val="00F3364D"/>
    <w:rsid w:val="00F4274E"/>
    <w:rsid w:val="00F42C99"/>
    <w:rsid w:val="00F63DDE"/>
    <w:rsid w:val="00F63FB7"/>
    <w:rsid w:val="00F66522"/>
    <w:rsid w:val="00F675A9"/>
    <w:rsid w:val="00F71554"/>
    <w:rsid w:val="00F73064"/>
    <w:rsid w:val="00F73A0C"/>
    <w:rsid w:val="00F75B7B"/>
    <w:rsid w:val="00F841B2"/>
    <w:rsid w:val="00F9587D"/>
    <w:rsid w:val="00FA7BB2"/>
    <w:rsid w:val="00FB2FFE"/>
    <w:rsid w:val="00FC0E5F"/>
    <w:rsid w:val="00FC2525"/>
    <w:rsid w:val="00FC534B"/>
    <w:rsid w:val="00FC56DE"/>
    <w:rsid w:val="00FD0C48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C584E58"/>
  <w15:docId w15:val="{1678E85D-C037-4ECA-9059-9FE3567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B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BE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BE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6D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6DC3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26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resova4073\Documents\publikace\062005-19\pomocny_analyza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407866824866071E-2"/>
          <c:y val="1.9887849006467243E-2"/>
          <c:w val="0.93969010382124896"/>
          <c:h val="0.743607979523651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'zaměstnanci a ICT'!$B$98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C499-4B0F-B5BA-CC2750842204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499-4B0F-B5BA-CC2750842204}"/>
              </c:ext>
            </c:extLst>
          </c:dPt>
          <c:dPt>
            <c:idx val="1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C499-4B0F-B5BA-CC2750842204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C499-4B0F-B5BA-CC2750842204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C499-4B0F-B5BA-CC2750842204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C499-4B0F-B5BA-CC2750842204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C499-4B0F-B5BA-CC2750842204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C499-4B0F-B5BA-CC2750842204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C499-4B0F-B5BA-CC2750842204}"/>
              </c:ext>
            </c:extLst>
          </c:dPt>
          <c:dPt>
            <c:idx val="2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C499-4B0F-B5BA-CC27508422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'zaměstnanci a ICT'!$A$99:$A$127</c:f>
              <c:strCache>
                <c:ptCount val="29"/>
                <c:pt idx="0">
                  <c:v>Švédsko</c:v>
                </c:pt>
                <c:pt idx="1">
                  <c:v>Dánsko</c:v>
                </c:pt>
                <c:pt idx="2">
                  <c:v>Finsko</c:v>
                </c:pt>
                <c:pt idx="3">
                  <c:v>Nizozemsko</c:v>
                </c:pt>
                <c:pt idx="4">
                  <c:v>Francie</c:v>
                </c:pt>
                <c:pt idx="5">
                  <c:v>Velká Británie</c:v>
                </c:pt>
                <c:pt idx="6">
                  <c:v>Belgie</c:v>
                </c:pt>
                <c:pt idx="7">
                  <c:v>Německo</c:v>
                </c:pt>
                <c:pt idx="8">
                  <c:v>Rakousko</c:v>
                </c:pt>
                <c:pt idx="9">
                  <c:v>EU28</c:v>
                </c:pt>
                <c:pt idx="10">
                  <c:v>Irsko</c:v>
                </c:pt>
                <c:pt idx="11">
                  <c:v>Slovinsko</c:v>
                </c:pt>
                <c:pt idx="12">
                  <c:v>Španělsko</c:v>
                </c:pt>
                <c:pt idx="13">
                  <c:v>Estonsko</c:v>
                </c:pt>
                <c:pt idx="14">
                  <c:v>Itálie</c:v>
                </c:pt>
                <c:pt idx="15">
                  <c:v>Lucembursko</c:v>
                </c:pt>
                <c:pt idx="16">
                  <c:v>Chorvatsko</c:v>
                </c:pt>
                <c:pt idx="17">
                  <c:v>Malta</c:v>
                </c:pt>
                <c:pt idx="18">
                  <c:v>Lotyšsko</c:v>
                </c:pt>
                <c:pt idx="19">
                  <c:v>Litva</c:v>
                </c:pt>
                <c:pt idx="20">
                  <c:v>Kypr</c:v>
                </c:pt>
                <c:pt idx="21">
                  <c:v>Česká republika</c:v>
                </c:pt>
                <c:pt idx="22">
                  <c:v>Slovensko</c:v>
                </c:pt>
                <c:pt idx="23">
                  <c:v>Maďarsko</c:v>
                </c:pt>
                <c:pt idx="24">
                  <c:v>Polsko</c:v>
                </c:pt>
                <c:pt idx="25">
                  <c:v>Řecko</c:v>
                </c:pt>
                <c:pt idx="26">
                  <c:v>Portugalsko</c:v>
                </c:pt>
                <c:pt idx="27">
                  <c:v>Rumunsko</c:v>
                </c:pt>
                <c:pt idx="28">
                  <c:v>Bulharsko</c:v>
                </c:pt>
              </c:strCache>
            </c:strRef>
          </c:cat>
          <c:val>
            <c:numRef>
              <c:f>'zaměstnanci a ICT'!$B$99:$B$127</c:f>
              <c:numCache>
                <c:formatCode>0%</c:formatCode>
                <c:ptCount val="29"/>
                <c:pt idx="0">
                  <c:v>0.755996</c:v>
                </c:pt>
                <c:pt idx="1">
                  <c:v>0.75169900000000001</c:v>
                </c:pt>
                <c:pt idx="2">
                  <c:v>0.71609999999999996</c:v>
                </c:pt>
                <c:pt idx="3">
                  <c:v>0.69256600000000001</c:v>
                </c:pt>
                <c:pt idx="4">
                  <c:v>0.60941299999999998</c:v>
                </c:pt>
                <c:pt idx="5">
                  <c:v>0.59872300000000001</c:v>
                </c:pt>
                <c:pt idx="6">
                  <c:v>0.58564499999999997</c:v>
                </c:pt>
                <c:pt idx="7">
                  <c:v>0.58140000000000003</c:v>
                </c:pt>
                <c:pt idx="8">
                  <c:v>0.54723500000000003</c:v>
                </c:pt>
                <c:pt idx="9">
                  <c:v>0.53805199999999997</c:v>
                </c:pt>
                <c:pt idx="10">
                  <c:v>0.53658899999999998</c:v>
                </c:pt>
                <c:pt idx="11">
                  <c:v>0.53104099999999999</c:v>
                </c:pt>
                <c:pt idx="12">
                  <c:v>0.51248800000000005</c:v>
                </c:pt>
                <c:pt idx="13">
                  <c:v>0.47713299999999997</c:v>
                </c:pt>
                <c:pt idx="14">
                  <c:v>0.47613800000000001</c:v>
                </c:pt>
                <c:pt idx="15">
                  <c:v>0.45850000000000002</c:v>
                </c:pt>
                <c:pt idx="16">
                  <c:v>0.45111400000000001</c:v>
                </c:pt>
                <c:pt idx="17">
                  <c:v>0.451067</c:v>
                </c:pt>
                <c:pt idx="18">
                  <c:v>0.44125199999999998</c:v>
                </c:pt>
                <c:pt idx="19">
                  <c:v>0.43710500000000002</c:v>
                </c:pt>
                <c:pt idx="20">
                  <c:v>0.43416199999999999</c:v>
                </c:pt>
                <c:pt idx="21">
                  <c:v>0.42918200000000001</c:v>
                </c:pt>
                <c:pt idx="22">
                  <c:v>0.42694700000000002</c:v>
                </c:pt>
                <c:pt idx="23">
                  <c:v>0.41009600000000002</c:v>
                </c:pt>
                <c:pt idx="24">
                  <c:v>0.40477999999999997</c:v>
                </c:pt>
                <c:pt idx="25">
                  <c:v>0.37653500000000001</c:v>
                </c:pt>
                <c:pt idx="26">
                  <c:v>0.37434699999999999</c:v>
                </c:pt>
                <c:pt idx="27">
                  <c:v>0.33829100000000001</c:v>
                </c:pt>
                <c:pt idx="28">
                  <c:v>0.280945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499-4B0F-B5BA-CC27508422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79745920"/>
        <c:axId val="179747456"/>
      </c:barChart>
      <c:barChart>
        <c:barDir val="col"/>
        <c:grouping val="clustered"/>
        <c:varyColors val="0"/>
        <c:ser>
          <c:idx val="1"/>
          <c:order val="1"/>
          <c:tx>
            <c:strRef>
              <c:f>'zaměstnanci a ICT'!$C$98</c:f>
              <c:strCache>
                <c:ptCount val="1"/>
                <c:pt idx="0">
                  <c:v> na přenosných zařízeních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cat>
            <c:strRef>
              <c:f>'zaměstnanci a ICT'!$A$99:$A$127</c:f>
              <c:strCache>
                <c:ptCount val="29"/>
                <c:pt idx="0">
                  <c:v>Švédsko</c:v>
                </c:pt>
                <c:pt idx="1">
                  <c:v>Dánsko</c:v>
                </c:pt>
                <c:pt idx="2">
                  <c:v>Finsko</c:v>
                </c:pt>
                <c:pt idx="3">
                  <c:v>Nizozemsko</c:v>
                </c:pt>
                <c:pt idx="4">
                  <c:v>Francie</c:v>
                </c:pt>
                <c:pt idx="5">
                  <c:v>Velká Británie</c:v>
                </c:pt>
                <c:pt idx="6">
                  <c:v>Belgie</c:v>
                </c:pt>
                <c:pt idx="7">
                  <c:v>Německo</c:v>
                </c:pt>
                <c:pt idx="8">
                  <c:v>Rakousko</c:v>
                </c:pt>
                <c:pt idx="9">
                  <c:v>EU28</c:v>
                </c:pt>
                <c:pt idx="10">
                  <c:v>Irsko</c:v>
                </c:pt>
                <c:pt idx="11">
                  <c:v>Slovinsko</c:v>
                </c:pt>
                <c:pt idx="12">
                  <c:v>Španělsko</c:v>
                </c:pt>
                <c:pt idx="13">
                  <c:v>Estonsko</c:v>
                </c:pt>
                <c:pt idx="14">
                  <c:v>Itálie</c:v>
                </c:pt>
                <c:pt idx="15">
                  <c:v>Lucembursko</c:v>
                </c:pt>
                <c:pt idx="16">
                  <c:v>Chorvatsko</c:v>
                </c:pt>
                <c:pt idx="17">
                  <c:v>Malta</c:v>
                </c:pt>
                <c:pt idx="18">
                  <c:v>Lotyšsko</c:v>
                </c:pt>
                <c:pt idx="19">
                  <c:v>Litva</c:v>
                </c:pt>
                <c:pt idx="20">
                  <c:v>Kypr</c:v>
                </c:pt>
                <c:pt idx="21">
                  <c:v>Česká republika</c:v>
                </c:pt>
                <c:pt idx="22">
                  <c:v>Slovensko</c:v>
                </c:pt>
                <c:pt idx="23">
                  <c:v>Maďarsko</c:v>
                </c:pt>
                <c:pt idx="24">
                  <c:v>Polsko</c:v>
                </c:pt>
                <c:pt idx="25">
                  <c:v>Řecko</c:v>
                </c:pt>
                <c:pt idx="26">
                  <c:v>Portugalsko</c:v>
                </c:pt>
                <c:pt idx="27">
                  <c:v>Rumunsko</c:v>
                </c:pt>
                <c:pt idx="28">
                  <c:v>Bulharsko</c:v>
                </c:pt>
              </c:strCache>
            </c:strRef>
          </c:cat>
          <c:val>
            <c:numRef>
              <c:f>'zaměstnanci a ICT'!$C$99:$C$127</c:f>
              <c:numCache>
                <c:formatCode>0%</c:formatCode>
                <c:ptCount val="29"/>
                <c:pt idx="0">
                  <c:v>0.51066900000000004</c:v>
                </c:pt>
                <c:pt idx="1">
                  <c:v>0.51275499999999996</c:v>
                </c:pt>
                <c:pt idx="2">
                  <c:v>0.49271399999999999</c:v>
                </c:pt>
                <c:pt idx="3">
                  <c:v>0.34355799999999997</c:v>
                </c:pt>
                <c:pt idx="4">
                  <c:v>0.28791899999999998</c:v>
                </c:pt>
                <c:pt idx="5">
                  <c:v>0.26260099999999997</c:v>
                </c:pt>
                <c:pt idx="6">
                  <c:v>0.31569900000000001</c:v>
                </c:pt>
                <c:pt idx="7">
                  <c:v>0.22259699999999999</c:v>
                </c:pt>
                <c:pt idx="8">
                  <c:v>0.27959000000000001</c:v>
                </c:pt>
                <c:pt idx="9">
                  <c:v>0.259162</c:v>
                </c:pt>
                <c:pt idx="10">
                  <c:v>0.53658899999999998</c:v>
                </c:pt>
                <c:pt idx="11">
                  <c:v>0.234483</c:v>
                </c:pt>
                <c:pt idx="12">
                  <c:v>0.27944200000000002</c:v>
                </c:pt>
                <c:pt idx="13">
                  <c:v>0.222579</c:v>
                </c:pt>
                <c:pt idx="14">
                  <c:v>0.22772600000000001</c:v>
                </c:pt>
                <c:pt idx="15">
                  <c:v>0.24721000000000001</c:v>
                </c:pt>
                <c:pt idx="16">
                  <c:v>0.299124</c:v>
                </c:pt>
                <c:pt idx="17">
                  <c:v>0.20902100000000001</c:v>
                </c:pt>
                <c:pt idx="18">
                  <c:v>0.19234000000000001</c:v>
                </c:pt>
                <c:pt idx="19">
                  <c:v>0.232846</c:v>
                </c:pt>
                <c:pt idx="20">
                  <c:v>0.145702</c:v>
                </c:pt>
                <c:pt idx="21">
                  <c:v>0.26756200000000002</c:v>
                </c:pt>
                <c:pt idx="22">
                  <c:v>0.19302900000000001</c:v>
                </c:pt>
                <c:pt idx="23">
                  <c:v>0.21877099999999999</c:v>
                </c:pt>
                <c:pt idx="24">
                  <c:v>0.23203799999999999</c:v>
                </c:pt>
                <c:pt idx="25">
                  <c:v>0.147096</c:v>
                </c:pt>
                <c:pt idx="26">
                  <c:v>0.16068099999999999</c:v>
                </c:pt>
                <c:pt idx="28">
                  <c:v>0.107394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499-4B0F-B5BA-CC27508422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758976"/>
        <c:axId val="179757440"/>
      </c:barChart>
      <c:catAx>
        <c:axId val="17974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9747456"/>
        <c:crosses val="autoZero"/>
        <c:auto val="1"/>
        <c:lblAlgn val="ctr"/>
        <c:lblOffset val="100"/>
        <c:tickLblSkip val="1"/>
        <c:noMultiLvlLbl val="0"/>
      </c:catAx>
      <c:valAx>
        <c:axId val="179747456"/>
        <c:scaling>
          <c:orientation val="minMax"/>
          <c:max val="0.85000000000000009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9745920"/>
        <c:crosses val="autoZero"/>
        <c:crossBetween val="between"/>
        <c:majorUnit val="0.15000000000000002"/>
        <c:minorUnit val="5.0000000000000024E-2"/>
      </c:valAx>
      <c:valAx>
        <c:axId val="179757440"/>
        <c:scaling>
          <c:orientation val="minMax"/>
          <c:max val="0.8"/>
          <c:min val="0"/>
        </c:scaling>
        <c:delete val="1"/>
        <c:axPos val="r"/>
        <c:numFmt formatCode="0%" sourceLinked="1"/>
        <c:majorTickMark val="out"/>
        <c:minorTickMark val="none"/>
        <c:tickLblPos val="nextTo"/>
        <c:crossAx val="179758976"/>
        <c:crosses val="max"/>
        <c:crossBetween val="between"/>
        <c:majorUnit val="0.1"/>
      </c:valAx>
      <c:catAx>
        <c:axId val="179758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757440"/>
        <c:crosses val="autoZero"/>
        <c:auto val="1"/>
        <c:lblAlgn val="ctr"/>
        <c:lblOffset val="100"/>
        <c:noMultiLvlLbl val="0"/>
      </c:catAx>
      <c:spPr>
        <a:noFill/>
        <a:ln w="12700">
          <a:noFill/>
          <a:prstDash val="solid"/>
        </a:ln>
      </c:spPr>
    </c:plotArea>
    <c:legend>
      <c:legendPos val="t"/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4048-2970-4F7A-8A04-E04A9B88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636</TotalTime>
  <Pages>3</Pages>
  <Words>927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21</cp:revision>
  <cp:lastPrinted>2019-01-18T09:53:00Z</cp:lastPrinted>
  <dcterms:created xsi:type="dcterms:W3CDTF">2017-11-14T10:30:00Z</dcterms:created>
  <dcterms:modified xsi:type="dcterms:W3CDTF">2020-01-03T10:18:00Z</dcterms:modified>
</cp:coreProperties>
</file>