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16" w:rsidRPr="004018E4" w:rsidRDefault="00317116" w:rsidP="00317116">
      <w:pPr>
        <w:pStyle w:val="Nadpis1"/>
        <w:numPr>
          <w:ilvl w:val="0"/>
          <w:numId w:val="14"/>
        </w:numPr>
        <w:tabs>
          <w:tab w:val="left" w:pos="567"/>
          <w:tab w:val="left" w:pos="5787"/>
        </w:tabs>
        <w:spacing w:after="200"/>
        <w:ind w:left="0" w:firstLine="0"/>
        <w:contextualSpacing w:val="0"/>
      </w:pPr>
      <w:r>
        <w:t>Základní údaje o šetření</w:t>
      </w:r>
      <w:r w:rsidRPr="004018E4">
        <w:t xml:space="preserve"> </w:t>
      </w:r>
    </w:p>
    <w:tbl>
      <w:tblPr>
        <w:tblW w:w="9889" w:type="dxa"/>
        <w:tblLook w:val="04A0" w:firstRow="1" w:lastRow="0" w:firstColumn="1" w:lastColumn="0" w:noHBand="0" w:noVBand="1"/>
      </w:tblPr>
      <w:tblGrid>
        <w:gridCol w:w="2376"/>
        <w:gridCol w:w="7513"/>
      </w:tblGrid>
      <w:tr w:rsidR="00317116" w:rsidRPr="00240717" w:rsidTr="00446BD4">
        <w:trPr>
          <w:trHeight w:val="290"/>
        </w:trPr>
        <w:tc>
          <w:tcPr>
            <w:tcW w:w="2376" w:type="dxa"/>
            <w:shd w:val="pct10" w:color="auto" w:fill="auto"/>
            <w:vAlign w:val="center"/>
          </w:tcPr>
          <w:p w:rsidR="00317116" w:rsidRPr="006A2632" w:rsidRDefault="00317116" w:rsidP="00AB72DF">
            <w:pPr>
              <w:tabs>
                <w:tab w:val="left" w:pos="567"/>
              </w:tabs>
              <w:spacing w:before="120" w:after="120"/>
              <w:rPr>
                <w:rFonts w:cs="Arial"/>
                <w:szCs w:val="20"/>
              </w:rPr>
            </w:pPr>
            <w:r w:rsidRPr="006A2632">
              <w:rPr>
                <w:rFonts w:cs="Arial"/>
                <w:szCs w:val="20"/>
              </w:rPr>
              <w:t>Název šetření:</w:t>
            </w:r>
          </w:p>
        </w:tc>
        <w:tc>
          <w:tcPr>
            <w:tcW w:w="7513" w:type="dxa"/>
            <w:vAlign w:val="center"/>
          </w:tcPr>
          <w:p w:rsidR="00317116" w:rsidRPr="006A2632" w:rsidRDefault="00317116" w:rsidP="00AB72DF">
            <w:pPr>
              <w:tabs>
                <w:tab w:val="left" w:pos="567"/>
              </w:tabs>
              <w:spacing w:before="120" w:after="120"/>
              <w:rPr>
                <w:rFonts w:cs="Arial"/>
                <w:szCs w:val="20"/>
              </w:rPr>
            </w:pPr>
            <w:r w:rsidRPr="006A2632">
              <w:rPr>
                <w:rFonts w:cs="Arial"/>
                <w:szCs w:val="20"/>
              </w:rPr>
              <w:t>Roční šetření o licencích</w:t>
            </w:r>
          </w:p>
        </w:tc>
      </w:tr>
      <w:tr w:rsidR="00317116" w:rsidRPr="00240717" w:rsidTr="00446BD4">
        <w:tc>
          <w:tcPr>
            <w:tcW w:w="2376" w:type="dxa"/>
            <w:shd w:val="pct10" w:color="auto" w:fill="auto"/>
          </w:tcPr>
          <w:p w:rsidR="00317116" w:rsidRPr="005475F7" w:rsidRDefault="00317116" w:rsidP="00AB72DF">
            <w:pPr>
              <w:tabs>
                <w:tab w:val="left" w:pos="567"/>
              </w:tabs>
              <w:rPr>
                <w:rFonts w:cs="Arial"/>
                <w:szCs w:val="20"/>
              </w:rPr>
            </w:pPr>
            <w:r w:rsidRPr="005475F7">
              <w:rPr>
                <w:rFonts w:cs="Arial"/>
                <w:szCs w:val="20"/>
              </w:rPr>
              <w:t>Technika šetření:</w:t>
            </w:r>
          </w:p>
        </w:tc>
        <w:tc>
          <w:tcPr>
            <w:tcW w:w="7513" w:type="dxa"/>
          </w:tcPr>
          <w:p w:rsidR="00317116" w:rsidRPr="005475F7" w:rsidRDefault="00317116" w:rsidP="00AB72DF">
            <w:pPr>
              <w:tabs>
                <w:tab w:val="left" w:pos="567"/>
              </w:tabs>
              <w:rPr>
                <w:rFonts w:cs="Arial"/>
                <w:szCs w:val="20"/>
              </w:rPr>
            </w:pPr>
            <w:r w:rsidRPr="005475F7">
              <w:rPr>
                <w:rFonts w:cs="Arial"/>
                <w:szCs w:val="20"/>
              </w:rPr>
              <w:t>Výkaz rozeslaný zpravodajským jednotkám na elektronickou nebo poštovní adresu. Možnost vyplnění editovatelného pdf, klasického tištěného dotazníku</w:t>
            </w:r>
            <w:r w:rsidR="00A87010">
              <w:rPr>
                <w:rFonts w:cs="Arial"/>
                <w:szCs w:val="20"/>
              </w:rPr>
              <w:t xml:space="preserve"> nebo elektronické verze výkazu</w:t>
            </w:r>
            <w:r w:rsidR="00664C18">
              <w:rPr>
                <w:rFonts w:cs="Arial"/>
                <w:szCs w:val="20"/>
              </w:rPr>
              <w:t>.</w:t>
            </w:r>
          </w:p>
        </w:tc>
      </w:tr>
      <w:tr w:rsidR="00317116" w:rsidRPr="005F58A2" w:rsidTr="00446BD4">
        <w:tc>
          <w:tcPr>
            <w:tcW w:w="2376" w:type="dxa"/>
            <w:shd w:val="pct10" w:color="auto" w:fill="auto"/>
          </w:tcPr>
          <w:p w:rsidR="00317116" w:rsidRPr="005475F7" w:rsidRDefault="00317116" w:rsidP="00AB72DF">
            <w:pPr>
              <w:tabs>
                <w:tab w:val="left" w:pos="567"/>
              </w:tabs>
              <w:rPr>
                <w:rFonts w:cs="Arial"/>
                <w:szCs w:val="20"/>
              </w:rPr>
            </w:pPr>
            <w:r w:rsidRPr="005475F7">
              <w:rPr>
                <w:rFonts w:cs="Arial"/>
                <w:szCs w:val="20"/>
              </w:rPr>
              <w:t>Periodicita šetření:</w:t>
            </w:r>
          </w:p>
        </w:tc>
        <w:tc>
          <w:tcPr>
            <w:tcW w:w="7513" w:type="dxa"/>
          </w:tcPr>
          <w:p w:rsidR="00317116" w:rsidRPr="005475F7" w:rsidRDefault="00317116" w:rsidP="00AB72DF">
            <w:pPr>
              <w:tabs>
                <w:tab w:val="left" w:pos="567"/>
              </w:tabs>
              <w:rPr>
                <w:rFonts w:cs="Arial"/>
                <w:szCs w:val="20"/>
              </w:rPr>
            </w:pPr>
            <w:r w:rsidRPr="005475F7">
              <w:rPr>
                <w:rFonts w:cs="Arial"/>
                <w:szCs w:val="20"/>
              </w:rPr>
              <w:t>Roční šetření od roku 2002</w:t>
            </w:r>
          </w:p>
        </w:tc>
      </w:tr>
      <w:tr w:rsidR="00317116" w:rsidRPr="005F58A2" w:rsidTr="00446BD4">
        <w:tc>
          <w:tcPr>
            <w:tcW w:w="2376" w:type="dxa"/>
            <w:shd w:val="pct10" w:color="auto" w:fill="auto"/>
          </w:tcPr>
          <w:p w:rsidR="00317116" w:rsidRPr="005F58A2" w:rsidRDefault="00317116" w:rsidP="00AB72DF">
            <w:pPr>
              <w:tabs>
                <w:tab w:val="left" w:pos="567"/>
              </w:tabs>
              <w:rPr>
                <w:rFonts w:cs="Arial"/>
                <w:szCs w:val="20"/>
              </w:rPr>
            </w:pPr>
            <w:r>
              <w:rPr>
                <w:rFonts w:cs="Arial"/>
                <w:szCs w:val="20"/>
              </w:rPr>
              <w:t>Druh šetření:</w:t>
            </w:r>
          </w:p>
        </w:tc>
        <w:tc>
          <w:tcPr>
            <w:tcW w:w="7513" w:type="dxa"/>
          </w:tcPr>
          <w:p w:rsidR="00317116" w:rsidRPr="006B2852" w:rsidRDefault="00317116" w:rsidP="00AB72DF">
            <w:pPr>
              <w:pStyle w:val="Odstavecseseznamem"/>
              <w:tabs>
                <w:tab w:val="left" w:pos="567"/>
              </w:tabs>
              <w:spacing w:before="0"/>
              <w:ind w:left="0"/>
              <w:contextualSpacing/>
              <w:rPr>
                <w:rFonts w:cs="Arial"/>
                <w:szCs w:val="20"/>
              </w:rPr>
            </w:pPr>
            <w:r w:rsidRPr="006B2852">
              <w:rPr>
                <w:rFonts w:cs="Arial"/>
                <w:szCs w:val="20"/>
              </w:rPr>
              <w:t>Vyčerpávající šetření</w:t>
            </w:r>
          </w:p>
        </w:tc>
      </w:tr>
      <w:tr w:rsidR="00317116" w:rsidRPr="005F58A2" w:rsidTr="00446BD4">
        <w:tc>
          <w:tcPr>
            <w:tcW w:w="2376" w:type="dxa"/>
            <w:shd w:val="pct10" w:color="auto" w:fill="auto"/>
          </w:tcPr>
          <w:p w:rsidR="00317116" w:rsidRPr="00DF186C" w:rsidRDefault="00317116" w:rsidP="00AB72DF">
            <w:pPr>
              <w:tabs>
                <w:tab w:val="left" w:pos="567"/>
              </w:tabs>
              <w:rPr>
                <w:rFonts w:cs="Arial"/>
                <w:szCs w:val="20"/>
              </w:rPr>
            </w:pPr>
            <w:r>
              <w:rPr>
                <w:rFonts w:cs="Arial"/>
                <w:szCs w:val="20"/>
              </w:rPr>
              <w:t>Výběrový soubor:</w:t>
            </w:r>
          </w:p>
        </w:tc>
        <w:tc>
          <w:tcPr>
            <w:tcW w:w="7513" w:type="dxa"/>
          </w:tcPr>
          <w:p w:rsidR="00F768E1" w:rsidRPr="001E75E2" w:rsidRDefault="0005314E" w:rsidP="00706831">
            <w:pPr>
              <w:tabs>
                <w:tab w:val="left" w:pos="567"/>
              </w:tabs>
              <w:rPr>
                <w:rFonts w:cs="Arial"/>
                <w:szCs w:val="20"/>
              </w:rPr>
            </w:pPr>
            <w:r>
              <w:rPr>
                <w:rFonts w:cs="Arial"/>
                <w:szCs w:val="20"/>
              </w:rPr>
              <w:t>7</w:t>
            </w:r>
            <w:r w:rsidR="00706831">
              <w:rPr>
                <w:rFonts w:cs="Arial"/>
                <w:szCs w:val="20"/>
              </w:rPr>
              <w:t>1</w:t>
            </w:r>
            <w:r w:rsidR="009D2056">
              <w:rPr>
                <w:rFonts w:cs="Arial"/>
                <w:szCs w:val="20"/>
              </w:rPr>
              <w:t>0</w:t>
            </w:r>
            <w:r w:rsidR="00317116">
              <w:rPr>
                <w:rFonts w:cs="Arial"/>
                <w:szCs w:val="20"/>
              </w:rPr>
              <w:t xml:space="preserve"> zpravodajských jednotek</w:t>
            </w:r>
            <w:r w:rsidR="00F768E1">
              <w:rPr>
                <w:rFonts w:cs="Arial"/>
                <w:szCs w:val="20"/>
              </w:rPr>
              <w:t>. Plošný výběr je prováděn na základě údajů z </w:t>
            </w:r>
            <w:r w:rsidR="00F768E1" w:rsidRPr="00F768E1">
              <w:rPr>
                <w:rFonts w:cs="Arial"/>
                <w:szCs w:val="20"/>
              </w:rPr>
              <w:t xml:space="preserve">Ročního výkazu o výzkumu a vývoj </w:t>
            </w:r>
            <w:r w:rsidR="00F768E1">
              <w:rPr>
                <w:rFonts w:cs="Arial"/>
                <w:szCs w:val="20"/>
              </w:rPr>
              <w:t>(</w:t>
            </w:r>
            <w:r w:rsidR="00F768E1" w:rsidRPr="00F768E1">
              <w:rPr>
                <w:rFonts w:cs="Arial"/>
                <w:szCs w:val="20"/>
              </w:rPr>
              <w:t>VTR 5-01</w:t>
            </w:r>
            <w:r w:rsidR="00F768E1">
              <w:rPr>
                <w:rFonts w:cs="Arial"/>
                <w:szCs w:val="20"/>
              </w:rPr>
              <w:t xml:space="preserve">), Čtvrtletního výkazu o dovozu a vývozu služeb (ZO 1-04), </w:t>
            </w:r>
            <w:r w:rsidR="00F768E1" w:rsidRPr="00F768E1">
              <w:rPr>
                <w:rFonts w:cs="Arial"/>
                <w:szCs w:val="20"/>
              </w:rPr>
              <w:t>Roční</w:t>
            </w:r>
            <w:r w:rsidR="00F768E1">
              <w:rPr>
                <w:rFonts w:cs="Arial"/>
                <w:szCs w:val="20"/>
              </w:rPr>
              <w:t>ho</w:t>
            </w:r>
            <w:r w:rsidR="00F768E1" w:rsidRPr="00F768E1">
              <w:rPr>
                <w:rFonts w:cs="Arial"/>
                <w:szCs w:val="20"/>
              </w:rPr>
              <w:t xml:space="preserve"> výkaz ekonomických subjekt</w:t>
            </w:r>
            <w:r w:rsidR="00F768E1">
              <w:rPr>
                <w:rFonts w:cs="Arial"/>
                <w:szCs w:val="20"/>
              </w:rPr>
              <w:t>ů vybraných produkčních odvětví</w:t>
            </w:r>
            <w:r w:rsidR="00F768E1" w:rsidRPr="00F768E1">
              <w:rPr>
                <w:rFonts w:cs="Arial"/>
                <w:szCs w:val="20"/>
              </w:rPr>
              <w:t xml:space="preserve"> (P5-01)</w:t>
            </w:r>
            <w:r w:rsidR="00F768E1">
              <w:rPr>
                <w:rFonts w:cs="Arial"/>
                <w:szCs w:val="20"/>
              </w:rPr>
              <w:t xml:space="preserve"> a Úřadu průmyslového vlastnictví.</w:t>
            </w:r>
          </w:p>
        </w:tc>
      </w:tr>
      <w:tr w:rsidR="00317116" w:rsidRPr="00DF186C" w:rsidTr="00446BD4">
        <w:tc>
          <w:tcPr>
            <w:tcW w:w="2376" w:type="dxa"/>
            <w:shd w:val="pct10" w:color="auto" w:fill="auto"/>
          </w:tcPr>
          <w:p w:rsidR="00317116" w:rsidRPr="00DF186C" w:rsidRDefault="00317116" w:rsidP="00AB72DF">
            <w:pPr>
              <w:tabs>
                <w:tab w:val="left" w:pos="567"/>
              </w:tabs>
              <w:rPr>
                <w:rFonts w:cs="Arial"/>
                <w:szCs w:val="20"/>
              </w:rPr>
            </w:pPr>
            <w:r w:rsidRPr="00DF186C">
              <w:rPr>
                <w:rFonts w:cs="Arial"/>
                <w:szCs w:val="20"/>
              </w:rPr>
              <w:t>Návratnost výkazu</w:t>
            </w:r>
            <w:r>
              <w:rPr>
                <w:rFonts w:cs="Arial"/>
                <w:szCs w:val="20"/>
              </w:rPr>
              <w:t>:</w:t>
            </w:r>
          </w:p>
        </w:tc>
        <w:tc>
          <w:tcPr>
            <w:tcW w:w="7513" w:type="dxa"/>
          </w:tcPr>
          <w:p w:rsidR="00317116" w:rsidRPr="001E75E2" w:rsidRDefault="00706831" w:rsidP="00446BD4">
            <w:pPr>
              <w:tabs>
                <w:tab w:val="left" w:pos="567"/>
              </w:tabs>
              <w:ind w:right="-811"/>
              <w:rPr>
                <w:rFonts w:cs="Arial"/>
                <w:szCs w:val="20"/>
              </w:rPr>
            </w:pPr>
            <w:r>
              <w:rPr>
                <w:rFonts w:cs="Arial"/>
                <w:szCs w:val="20"/>
              </w:rPr>
              <w:t>90</w:t>
            </w:r>
            <w:r w:rsidR="00317116" w:rsidRPr="001E75E2">
              <w:rPr>
                <w:rFonts w:cs="Arial"/>
                <w:szCs w:val="20"/>
              </w:rPr>
              <w:t xml:space="preserve"> % celkem v roce 201</w:t>
            </w:r>
            <w:r>
              <w:rPr>
                <w:rFonts w:cs="Arial"/>
                <w:szCs w:val="20"/>
              </w:rPr>
              <w:t>8</w:t>
            </w:r>
          </w:p>
        </w:tc>
      </w:tr>
      <w:tr w:rsidR="00317116" w:rsidRPr="00240717" w:rsidTr="00446BD4">
        <w:tc>
          <w:tcPr>
            <w:tcW w:w="2376" w:type="dxa"/>
            <w:shd w:val="pct10" w:color="auto" w:fill="auto"/>
          </w:tcPr>
          <w:p w:rsidR="00317116" w:rsidRPr="00240717" w:rsidRDefault="00317116" w:rsidP="00AB72DF">
            <w:pPr>
              <w:tabs>
                <w:tab w:val="left" w:pos="567"/>
              </w:tabs>
              <w:rPr>
                <w:rFonts w:cs="Arial"/>
                <w:szCs w:val="20"/>
              </w:rPr>
            </w:pPr>
            <w:r w:rsidRPr="00240717">
              <w:rPr>
                <w:rFonts w:cs="Arial"/>
                <w:szCs w:val="20"/>
              </w:rPr>
              <w:t>Zpravodajské jednotky:</w:t>
            </w:r>
          </w:p>
        </w:tc>
        <w:tc>
          <w:tcPr>
            <w:tcW w:w="7513" w:type="dxa"/>
          </w:tcPr>
          <w:p w:rsidR="00317116" w:rsidRPr="00E311C4" w:rsidRDefault="00317116" w:rsidP="00AB72DF">
            <w:pPr>
              <w:tabs>
                <w:tab w:val="left" w:pos="567"/>
              </w:tabs>
              <w:rPr>
                <w:rFonts w:cs="Arial"/>
                <w:szCs w:val="20"/>
              </w:rPr>
            </w:pPr>
            <w:r w:rsidRPr="00E311C4">
              <w:rPr>
                <w:rFonts w:cs="Arial"/>
                <w:szCs w:val="20"/>
              </w:rPr>
              <w:t>Šetření LIC 5-01 tvoří ekonomické subjekty bez ohledu na jejich převažující ekonomickou činnost (CZ-NACE) nebo institucionální sektor, ma</w:t>
            </w:r>
            <w:r>
              <w:rPr>
                <w:rFonts w:cs="Arial"/>
                <w:szCs w:val="20"/>
              </w:rPr>
              <w:t xml:space="preserve">jící licenční smlouvu uzavřenou na poskytnutí nebo nabytí práva používat některou z </w:t>
            </w:r>
            <w:r w:rsidRPr="00E311C4">
              <w:rPr>
                <w:rFonts w:cs="Arial"/>
                <w:szCs w:val="20"/>
              </w:rPr>
              <w:t>oc</w:t>
            </w:r>
            <w:r>
              <w:rPr>
                <w:rFonts w:cs="Arial"/>
                <w:szCs w:val="20"/>
              </w:rPr>
              <w:t xml:space="preserve">hran </w:t>
            </w:r>
            <w:r w:rsidRPr="00E311C4">
              <w:rPr>
                <w:rFonts w:cs="Arial"/>
                <w:szCs w:val="20"/>
              </w:rPr>
              <w:t>průmyslového vlastnictví, jejíž platnost ještě neskončila. Mezi lety 2008 až 2010 by</w:t>
            </w:r>
            <w:r w:rsidR="00664C18">
              <w:rPr>
                <w:rFonts w:cs="Arial"/>
                <w:szCs w:val="20"/>
              </w:rPr>
              <w:t>l</w:t>
            </w:r>
            <w:r w:rsidRPr="00E311C4">
              <w:rPr>
                <w:rFonts w:cs="Arial"/>
                <w:szCs w:val="20"/>
              </w:rPr>
              <w:t xml:space="preserve"> základní soubor tvořen pouze právnickými osobami</w:t>
            </w:r>
            <w:r w:rsidR="00664C18">
              <w:rPr>
                <w:rFonts w:cs="Arial"/>
                <w:szCs w:val="20"/>
              </w:rPr>
              <w:t>.</w:t>
            </w:r>
          </w:p>
        </w:tc>
      </w:tr>
      <w:tr w:rsidR="00317116" w:rsidRPr="0028197D" w:rsidTr="00446BD4">
        <w:tc>
          <w:tcPr>
            <w:tcW w:w="2376" w:type="dxa"/>
            <w:shd w:val="pct10" w:color="auto" w:fill="auto"/>
          </w:tcPr>
          <w:p w:rsidR="00317116" w:rsidRPr="00240717" w:rsidRDefault="00317116" w:rsidP="00AB72DF">
            <w:pPr>
              <w:tabs>
                <w:tab w:val="left" w:pos="567"/>
              </w:tabs>
              <w:rPr>
                <w:rFonts w:cs="Arial"/>
                <w:szCs w:val="20"/>
              </w:rPr>
            </w:pPr>
            <w:r w:rsidRPr="00240717">
              <w:rPr>
                <w:rFonts w:cs="Arial"/>
                <w:szCs w:val="20"/>
              </w:rPr>
              <w:t>Předmět šetření:</w:t>
            </w:r>
          </w:p>
        </w:tc>
        <w:tc>
          <w:tcPr>
            <w:tcW w:w="7513" w:type="dxa"/>
          </w:tcPr>
          <w:p w:rsidR="00317116" w:rsidRPr="0028197D" w:rsidRDefault="00317116" w:rsidP="00AB72DF">
            <w:pPr>
              <w:tabs>
                <w:tab w:val="left" w:pos="567"/>
              </w:tabs>
              <w:rPr>
                <w:rFonts w:cs="Arial"/>
                <w:szCs w:val="20"/>
              </w:rPr>
            </w:pPr>
            <w:r w:rsidRPr="0034109A">
              <w:rPr>
                <w:rFonts w:cs="Arial"/>
                <w:szCs w:val="20"/>
              </w:rPr>
              <w:t>Získání údajů o licencích na některou z ochran průmyslového vlastnictví (patenty, užitné vzory, know-how, průmyslové vzory, topografie polovodičových výrobků, nové odrůdy rostlin a pl</w:t>
            </w:r>
            <w:r w:rsidR="00A87010">
              <w:rPr>
                <w:rFonts w:cs="Arial"/>
                <w:szCs w:val="20"/>
              </w:rPr>
              <w:t>emena zvířat a ochranné známky)</w:t>
            </w:r>
          </w:p>
        </w:tc>
      </w:tr>
      <w:tr w:rsidR="00317116" w:rsidRPr="00240717" w:rsidTr="00446BD4">
        <w:tc>
          <w:tcPr>
            <w:tcW w:w="2376" w:type="dxa"/>
            <w:shd w:val="pct10" w:color="auto" w:fill="auto"/>
          </w:tcPr>
          <w:p w:rsidR="00317116" w:rsidRPr="00240717" w:rsidRDefault="00317116" w:rsidP="00317116">
            <w:pPr>
              <w:tabs>
                <w:tab w:val="left" w:pos="567"/>
              </w:tabs>
              <w:jc w:val="left"/>
              <w:rPr>
                <w:rFonts w:cs="Arial"/>
                <w:szCs w:val="20"/>
              </w:rPr>
            </w:pPr>
            <w:r w:rsidRPr="0028197D">
              <w:rPr>
                <w:rFonts w:cs="Arial"/>
                <w:szCs w:val="20"/>
              </w:rPr>
              <w:t>Hlavní zjišťované ukazatele</w:t>
            </w:r>
            <w:r w:rsidRPr="00240717">
              <w:rPr>
                <w:rFonts w:cs="Arial"/>
                <w:szCs w:val="20"/>
              </w:rPr>
              <w:t>:</w:t>
            </w:r>
          </w:p>
        </w:tc>
        <w:tc>
          <w:tcPr>
            <w:tcW w:w="7513" w:type="dxa"/>
          </w:tcPr>
          <w:p w:rsidR="00317116" w:rsidRPr="008D2795" w:rsidRDefault="00317116" w:rsidP="00317116">
            <w:pPr>
              <w:tabs>
                <w:tab w:val="left" w:pos="567"/>
              </w:tabs>
              <w:spacing w:after="60"/>
              <w:rPr>
                <w:rFonts w:cs="Arial"/>
                <w:szCs w:val="20"/>
              </w:rPr>
            </w:pPr>
            <w:r w:rsidRPr="008D2795">
              <w:rPr>
                <w:rFonts w:cs="Arial"/>
                <w:szCs w:val="20"/>
              </w:rPr>
              <w:t>Počet subjektů s platnou lice</w:t>
            </w:r>
            <w:r w:rsidR="00A87010">
              <w:rPr>
                <w:rFonts w:cs="Arial"/>
                <w:szCs w:val="20"/>
              </w:rPr>
              <w:t>ncí poskytnutou jinému subjektu</w:t>
            </w:r>
          </w:p>
          <w:p w:rsidR="00317116" w:rsidRPr="008D2795" w:rsidRDefault="00317116" w:rsidP="00317116">
            <w:pPr>
              <w:tabs>
                <w:tab w:val="left" w:pos="567"/>
              </w:tabs>
              <w:spacing w:after="60"/>
              <w:rPr>
                <w:rFonts w:cs="Arial"/>
                <w:szCs w:val="20"/>
              </w:rPr>
            </w:pPr>
            <w:r w:rsidRPr="008D2795">
              <w:rPr>
                <w:rFonts w:cs="Arial"/>
                <w:szCs w:val="20"/>
              </w:rPr>
              <w:t xml:space="preserve">Počet subjektů s novou licencí poskytnutou ve </w:t>
            </w:r>
            <w:r w:rsidR="00A87010">
              <w:rPr>
                <w:rFonts w:cs="Arial"/>
                <w:szCs w:val="20"/>
              </w:rPr>
              <w:t>sledovaném roce jinému subjektu</w:t>
            </w:r>
          </w:p>
          <w:p w:rsidR="00317116" w:rsidRPr="008D2795" w:rsidRDefault="00317116" w:rsidP="00317116">
            <w:pPr>
              <w:tabs>
                <w:tab w:val="left" w:pos="567"/>
              </w:tabs>
              <w:spacing w:after="60"/>
              <w:rPr>
                <w:rFonts w:cs="Arial"/>
                <w:szCs w:val="20"/>
              </w:rPr>
            </w:pPr>
            <w:r w:rsidRPr="008D2795">
              <w:rPr>
                <w:rFonts w:cs="Arial"/>
                <w:szCs w:val="20"/>
              </w:rPr>
              <w:t>Celkové příjmy z poskytnutých patentových licencí platných v sledovaném roce</w:t>
            </w:r>
          </w:p>
          <w:p w:rsidR="00317116" w:rsidRPr="008D2795" w:rsidRDefault="00317116" w:rsidP="00317116">
            <w:pPr>
              <w:tabs>
                <w:tab w:val="left" w:pos="567"/>
              </w:tabs>
              <w:spacing w:after="60"/>
              <w:rPr>
                <w:rFonts w:cs="Arial"/>
                <w:szCs w:val="20"/>
              </w:rPr>
            </w:pPr>
            <w:r w:rsidRPr="008D2795">
              <w:rPr>
                <w:rFonts w:cs="Arial"/>
                <w:szCs w:val="20"/>
              </w:rPr>
              <w:t>Příjmy z patentových licencí poskytnutých poprvé (nově) v sle</w:t>
            </w:r>
            <w:r w:rsidR="00A87010">
              <w:rPr>
                <w:rFonts w:cs="Arial"/>
                <w:szCs w:val="20"/>
              </w:rPr>
              <w:t>dovaném roce</w:t>
            </w:r>
          </w:p>
        </w:tc>
      </w:tr>
      <w:tr w:rsidR="00317116" w:rsidRPr="00240717" w:rsidTr="00446BD4">
        <w:tc>
          <w:tcPr>
            <w:tcW w:w="2376" w:type="dxa"/>
            <w:shd w:val="pct10" w:color="auto" w:fill="auto"/>
          </w:tcPr>
          <w:p w:rsidR="00317116" w:rsidRPr="00240717" w:rsidRDefault="00317116" w:rsidP="00AB72DF">
            <w:pPr>
              <w:tabs>
                <w:tab w:val="left" w:pos="567"/>
              </w:tabs>
              <w:rPr>
                <w:rFonts w:cs="Arial"/>
                <w:szCs w:val="20"/>
              </w:rPr>
            </w:pPr>
            <w:r>
              <w:rPr>
                <w:rFonts w:cs="Arial"/>
                <w:szCs w:val="20"/>
              </w:rPr>
              <w:t>Používan</w:t>
            </w:r>
            <w:r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7513" w:type="dxa"/>
          </w:tcPr>
          <w:p w:rsidR="00317116" w:rsidRPr="00B90F49" w:rsidRDefault="00317116" w:rsidP="00317116">
            <w:pPr>
              <w:tabs>
                <w:tab w:val="left" w:pos="567"/>
              </w:tabs>
              <w:spacing w:after="60"/>
              <w:rPr>
                <w:rFonts w:cs="Arial"/>
                <w:szCs w:val="20"/>
              </w:rPr>
            </w:pPr>
            <w:r w:rsidRPr="00B90F49">
              <w:rPr>
                <w:rFonts w:cs="Arial"/>
                <w:szCs w:val="20"/>
              </w:rPr>
              <w:t>Předmět licenční smlouvy (patenty, užitné vzory, know-how, průmyslové vzory, nové odrůdy rostlin a plemen zvířat)</w:t>
            </w:r>
          </w:p>
          <w:p w:rsidR="00317116" w:rsidRPr="00B90F49" w:rsidRDefault="00317116" w:rsidP="00317116">
            <w:pPr>
              <w:tabs>
                <w:tab w:val="left" w:pos="567"/>
              </w:tabs>
              <w:spacing w:after="60"/>
              <w:rPr>
                <w:rFonts w:cs="Arial"/>
                <w:szCs w:val="20"/>
              </w:rPr>
            </w:pPr>
            <w:r w:rsidRPr="00B90F49">
              <w:rPr>
                <w:rFonts w:cs="Arial"/>
                <w:szCs w:val="20"/>
              </w:rPr>
              <w:t>Země smluvního partnera licenční smlouvy uzavřené se subjektem působícím na území ČR nebo s partnerem ze zah</w:t>
            </w:r>
            <w:r w:rsidR="00A87010">
              <w:rPr>
                <w:rFonts w:cs="Arial"/>
                <w:szCs w:val="20"/>
              </w:rPr>
              <w:t>raničí</w:t>
            </w:r>
          </w:p>
          <w:p w:rsidR="00317116" w:rsidRDefault="00317116" w:rsidP="00317116">
            <w:pPr>
              <w:tabs>
                <w:tab w:val="left" w:pos="567"/>
              </w:tabs>
              <w:spacing w:after="60"/>
              <w:rPr>
                <w:rFonts w:cs="Arial"/>
                <w:szCs w:val="20"/>
              </w:rPr>
            </w:pPr>
            <w:r w:rsidRPr="00B90F49">
              <w:rPr>
                <w:rFonts w:cs="Arial"/>
                <w:szCs w:val="20"/>
              </w:rPr>
              <w:t xml:space="preserve">Produkce, jež je předmětem licenční </w:t>
            </w:r>
            <w:r w:rsidR="003C0034">
              <w:rPr>
                <w:rFonts w:cs="Arial"/>
                <w:szCs w:val="20"/>
              </w:rPr>
              <w:t>smlouvy</w:t>
            </w:r>
          </w:p>
          <w:p w:rsidR="00317116" w:rsidRDefault="00317116" w:rsidP="00AB72DF">
            <w:pPr>
              <w:tabs>
                <w:tab w:val="left" w:pos="567"/>
              </w:tabs>
              <w:spacing w:after="120"/>
              <w:rPr>
                <w:rFonts w:cs="Arial"/>
                <w:szCs w:val="20"/>
              </w:rPr>
            </w:pPr>
            <w:r w:rsidRPr="00B90F49">
              <w:rPr>
                <w:rFonts w:cs="Arial"/>
                <w:szCs w:val="20"/>
              </w:rPr>
              <w:t>Při třídění zpravodajských jednotek s uzavřenou licenční smlouvou bylo využito da</w:t>
            </w:r>
            <w:r>
              <w:rPr>
                <w:rFonts w:cs="Arial"/>
                <w:szCs w:val="20"/>
              </w:rPr>
              <w:t>lších ukazatelů</w:t>
            </w:r>
            <w:r w:rsidRPr="00B90F49">
              <w:rPr>
                <w:rFonts w:cs="Arial"/>
                <w:szCs w:val="20"/>
              </w:rPr>
              <w:t>:</w:t>
            </w:r>
          </w:p>
          <w:p w:rsidR="00317116" w:rsidRDefault="00317116" w:rsidP="00317116">
            <w:pPr>
              <w:tabs>
                <w:tab w:val="left" w:pos="567"/>
              </w:tabs>
              <w:spacing w:after="60"/>
              <w:rPr>
                <w:rFonts w:cs="Arial"/>
                <w:szCs w:val="20"/>
              </w:rPr>
            </w:pPr>
            <w:r>
              <w:rPr>
                <w:rFonts w:cs="Arial"/>
                <w:szCs w:val="20"/>
              </w:rPr>
              <w:t>- typu poskytovatele, definovaný na základě číselníků uvedených v Registru ekonomických subjektů (RES)</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sídla subjektů s uzavřenou licenční smlouvou (CZ-NUTS)</w:t>
            </w:r>
          </w:p>
          <w:p w:rsidR="00317116" w:rsidRDefault="00317116" w:rsidP="00317116">
            <w:pPr>
              <w:tabs>
                <w:tab w:val="left" w:pos="567"/>
              </w:tabs>
              <w:spacing w:after="60"/>
              <w:rPr>
                <w:rFonts w:cs="Arial"/>
                <w:szCs w:val="20"/>
              </w:rPr>
            </w:pPr>
            <w:r>
              <w:rPr>
                <w:rFonts w:cs="Arial"/>
                <w:szCs w:val="20"/>
              </w:rPr>
              <w:t>- velikostní skupiny na základě počtu zaměstnanců</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klasifikace ekonomických činností</w:t>
            </w:r>
            <w:r>
              <w:rPr>
                <w:rFonts w:cs="Arial"/>
                <w:szCs w:val="20"/>
              </w:rPr>
              <w:t xml:space="preserve"> (CZ-NACE)</w:t>
            </w:r>
          </w:p>
        </w:tc>
      </w:tr>
    </w:tbl>
    <w:p w:rsidR="00317116" w:rsidRDefault="00317116" w:rsidP="00317116">
      <w:pPr>
        <w:pStyle w:val="Nadpis1"/>
        <w:tabs>
          <w:tab w:val="left" w:pos="567"/>
        </w:tabs>
      </w:pPr>
      <w:r w:rsidRPr="00237539">
        <w:rPr>
          <w:bCs w:val="0"/>
        </w:rPr>
        <w:lastRenderedPageBreak/>
        <w:t>2.</w:t>
      </w:r>
      <w:r>
        <w:tab/>
      </w:r>
      <w:r w:rsidRPr="00EE17B2">
        <w:t>Metodika</w:t>
      </w:r>
      <w:r>
        <w:t xml:space="preserve"> šetření</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Cílem tét</w:t>
      </w:r>
      <w:r w:rsidR="00B02587">
        <w:rPr>
          <w:rFonts w:cs="Arial"/>
          <w:color w:val="000000"/>
          <w:szCs w:val="20"/>
        </w:rPr>
        <w:t>o publikace je prezentace souhrnných výstup</w:t>
      </w:r>
      <w:r w:rsidR="0053725B">
        <w:rPr>
          <w:rFonts w:cs="Arial"/>
          <w:color w:val="000000"/>
          <w:szCs w:val="20"/>
        </w:rPr>
        <w:t>ů</w:t>
      </w:r>
      <w:r>
        <w:rPr>
          <w:rFonts w:cs="Arial"/>
          <w:color w:val="000000"/>
          <w:szCs w:val="20"/>
        </w:rPr>
        <w:t xml:space="preserve"> pravidelného Ročního šetření o licencích (Lic 5-01)</w:t>
      </w:r>
      <w:r>
        <w:rPr>
          <w:rStyle w:val="Znakapoznpodarou"/>
          <w:rFonts w:cs="Arial"/>
          <w:color w:val="000000"/>
          <w:szCs w:val="20"/>
        </w:rPr>
        <w:footnoteReference w:id="1"/>
      </w:r>
      <w:r>
        <w:rPr>
          <w:rFonts w:cs="Arial"/>
          <w:color w:val="000000"/>
          <w:szCs w:val="20"/>
        </w:rPr>
        <w:t>. Šetření o licencích Českého statistického úřadu poskytuje pravidelný přehled o licenčních smlouvách o poskytování a nabývání</w:t>
      </w:r>
      <w:r>
        <w:rPr>
          <w:rStyle w:val="Znakapoznpodarou"/>
          <w:rFonts w:cs="Arial"/>
          <w:color w:val="000000"/>
          <w:szCs w:val="20"/>
        </w:rPr>
        <w:footnoteReference w:id="2"/>
      </w:r>
      <w:r>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nebo nabytí práv užívat některé z ochran průmyslového vlastnictví.</w:t>
      </w:r>
    </w:p>
    <w:p w:rsidR="003B516B" w:rsidRDefault="00317116" w:rsidP="003B516B">
      <w:pPr>
        <w:tabs>
          <w:tab w:val="left" w:pos="567"/>
        </w:tabs>
        <w:autoSpaceDE w:val="0"/>
        <w:autoSpaceDN w:val="0"/>
        <w:adjustRightInd w:val="0"/>
        <w:spacing w:after="60"/>
        <w:rPr>
          <w:rFonts w:cs="Arial"/>
          <w:color w:val="000000"/>
          <w:szCs w:val="20"/>
        </w:rPr>
      </w:pPr>
      <w:r>
        <w:rPr>
          <w:rFonts w:cs="Arial"/>
          <w:color w:val="000000"/>
          <w:szCs w:val="20"/>
        </w:rPr>
        <w:t xml:space="preserve">Za účelem zjišťování struktury uzavřených licenčních smluv z hlediska povahy ochrany průmyslového vlastnictví jsou v rámci šetření rozlišeny následující formy: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patenty,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užitné vzory,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nepatentované vynálezy (know-how),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průmyslové vzory</w:t>
      </w:r>
      <w:r w:rsidR="0012546F">
        <w:rPr>
          <w:rFonts w:cs="Arial"/>
          <w:color w:val="000000"/>
          <w:szCs w:val="20"/>
        </w:rPr>
        <w:t>,</w:t>
      </w:r>
      <w:r w:rsidRPr="001C2955">
        <w:rPr>
          <w:rFonts w:cs="Arial"/>
          <w:color w:val="000000"/>
          <w:szCs w:val="20"/>
        </w:rPr>
        <w:t xml:space="preserve">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nové odrůdy rostlin a plemen zvířat. </w:t>
      </w:r>
    </w:p>
    <w:p w:rsidR="00317116" w:rsidRDefault="00317116" w:rsidP="003B516B">
      <w:pPr>
        <w:tabs>
          <w:tab w:val="left" w:pos="567"/>
        </w:tabs>
        <w:autoSpaceDE w:val="0"/>
        <w:autoSpaceDN w:val="0"/>
        <w:adjustRightInd w:val="0"/>
        <w:spacing w:before="120" w:after="160"/>
        <w:rPr>
          <w:rFonts w:cs="Arial"/>
          <w:color w:val="000000"/>
          <w:szCs w:val="20"/>
        </w:rPr>
      </w:pPr>
      <w:r>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výše vydaných či přijatých licenčních poplatků ekonomickými subjekty sídlícími na území České republiky.</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Licenční smlouva </w:t>
      </w:r>
      <w:r>
        <w:rPr>
          <w:rFonts w:cs="Arial"/>
          <w:color w:val="000000"/>
          <w:szCs w:val="20"/>
        </w:rPr>
        <w:t xml:space="preserve">je definována jako poskytnutí práva k nabytí či poskytnutí licence na některou z ochran průmyslového vlastnictví. Licenční smlouvy se uzavírají k patentovaným vynálezům, resp. zapsaným užitným vzorům, průmyslovým vzorům či novým odrůdám rostlin a plemenům zvířat písemnou smlouvou.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 jednorázově při uzavření licenční smlouvy. Vyskytují se také případy, kdy je licence poskytnuta bezplatně. Licenční smlouva nabývá v České republice účinnosti vůči třetím osobám zápisem do registru u </w:t>
      </w:r>
      <w:hyperlink r:id="rId8" w:history="1">
        <w:r>
          <w:rPr>
            <w:rStyle w:val="Hypertextovodkaz"/>
            <w:rFonts w:cs="Arial"/>
            <w:szCs w:val="20"/>
          </w:rPr>
          <w:t>Úřadu průmyslového vlastnictví České republiky</w:t>
        </w:r>
      </w:hyperlink>
      <w:r>
        <w:rPr>
          <w:rFonts w:cs="Arial"/>
          <w:color w:val="000000"/>
          <w:szCs w:val="20"/>
        </w:rPr>
        <w:t xml:space="preserve"> (dále jako ÚPV ČR) se sídlem v hl. městě Praze.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Licence lze dále členit dle rozsahu poskytovaných práv, kde rozlišujeme výlučné a nevýlučné licence</w:t>
      </w:r>
      <w:r>
        <w:rPr>
          <w:rStyle w:val="Znakapoznpodarou"/>
          <w:rFonts w:cs="Arial"/>
          <w:color w:val="000000"/>
          <w:szCs w:val="20"/>
        </w:rPr>
        <w:footnoteReference w:id="3"/>
      </w:r>
      <w:r>
        <w:rPr>
          <w:rFonts w:cs="Arial"/>
          <w:color w:val="000000"/>
          <w:szCs w:val="20"/>
        </w:rPr>
        <w:t xml:space="preserve">. Získáním </w:t>
      </w:r>
      <w:r>
        <w:rPr>
          <w:rFonts w:cs="Arial"/>
          <w:b/>
          <w:color w:val="000000"/>
          <w:szCs w:val="20"/>
        </w:rPr>
        <w:t>v</w:t>
      </w:r>
      <w:r>
        <w:rPr>
          <w:rFonts w:cs="Arial"/>
          <w:b/>
          <w:bCs/>
          <w:color w:val="000000"/>
          <w:szCs w:val="20"/>
        </w:rPr>
        <w:t xml:space="preserve">ýlučné </w:t>
      </w:r>
      <w:r>
        <w:rPr>
          <w:rFonts w:cs="Arial"/>
          <w:bCs/>
          <w:color w:val="000000"/>
          <w:szCs w:val="20"/>
        </w:rPr>
        <w:t xml:space="preserve">licence se nabyvatel stává jediným </w:t>
      </w:r>
      <w:r>
        <w:rPr>
          <w:rFonts w:cs="Arial"/>
          <w:color w:val="000000"/>
          <w:szCs w:val="20"/>
        </w:rPr>
        <w:t xml:space="preserve">uživatelem poskytnutých práv </w:t>
      </w:r>
      <w:r>
        <w:rPr>
          <w:rFonts w:cs="Arial"/>
          <w:bCs/>
          <w:color w:val="000000"/>
          <w:szCs w:val="20"/>
        </w:rPr>
        <w:t>na stanoveném smluvním území</w:t>
      </w:r>
      <w:r>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výhradní licence, jedná se nevýhradní licenci. U </w:t>
      </w:r>
      <w:r>
        <w:rPr>
          <w:rFonts w:cs="Arial"/>
          <w:b/>
          <w:color w:val="000000"/>
          <w:szCs w:val="20"/>
        </w:rPr>
        <w:t>n</w:t>
      </w:r>
      <w:r>
        <w:rPr>
          <w:rFonts w:cs="Arial"/>
          <w:b/>
          <w:bCs/>
          <w:color w:val="000000"/>
          <w:szCs w:val="20"/>
        </w:rPr>
        <w:t xml:space="preserve">evýlučných </w:t>
      </w:r>
      <w:r>
        <w:rPr>
          <w:rFonts w:cs="Arial"/>
          <w:bCs/>
          <w:color w:val="000000"/>
          <w:szCs w:val="20"/>
        </w:rPr>
        <w:t xml:space="preserve">licencí je poskytovatel </w:t>
      </w:r>
      <w:r>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Jak bylo uvedeno v předcházejícím textu, na základě povahy licenční smlouvy rozlišujeme několik skupin licencí: </w:t>
      </w:r>
      <w:r>
        <w:rPr>
          <w:rFonts w:cs="Arial"/>
          <w:b/>
          <w:bCs/>
          <w:color w:val="000000"/>
          <w:szCs w:val="20"/>
        </w:rPr>
        <w:t>patentové licence</w:t>
      </w:r>
      <w:r>
        <w:rPr>
          <w:rFonts w:cs="Arial"/>
          <w:bCs/>
          <w:color w:val="000000"/>
          <w:szCs w:val="20"/>
        </w:rPr>
        <w:t>, jejichž p</w:t>
      </w:r>
      <w:r>
        <w:rPr>
          <w:rFonts w:cs="Arial"/>
          <w:color w:val="000000"/>
          <w:szCs w:val="20"/>
        </w:rPr>
        <w:t xml:space="preserve">ředmětem jsou vynálezy chráněné patentem; </w:t>
      </w:r>
      <w:r>
        <w:rPr>
          <w:rFonts w:cs="Arial"/>
          <w:b/>
          <w:bCs/>
          <w:color w:val="000000"/>
          <w:szCs w:val="20"/>
        </w:rPr>
        <w:t>licence vzorové</w:t>
      </w:r>
      <w:r>
        <w:rPr>
          <w:rFonts w:cs="Arial"/>
          <w:bCs/>
          <w:color w:val="000000"/>
          <w:szCs w:val="20"/>
        </w:rPr>
        <w:t xml:space="preserve">, vztahující se na </w:t>
      </w:r>
      <w:r>
        <w:rPr>
          <w:rFonts w:cs="Arial"/>
          <w:color w:val="000000"/>
          <w:szCs w:val="20"/>
        </w:rPr>
        <w:t xml:space="preserve">průmyslové nebo užitné vzory; </w:t>
      </w:r>
      <w:r>
        <w:rPr>
          <w:rFonts w:cs="Arial"/>
          <w:b/>
          <w:bCs/>
          <w:color w:val="000000"/>
          <w:szCs w:val="20"/>
        </w:rPr>
        <w:t>licence na know-how</w:t>
      </w:r>
      <w:r>
        <w:rPr>
          <w:rFonts w:cs="Arial"/>
          <w:bCs/>
          <w:color w:val="000000"/>
          <w:szCs w:val="20"/>
        </w:rPr>
        <w:t xml:space="preserve">, jejichž předmětem </w:t>
      </w:r>
      <w:r>
        <w:rPr>
          <w:rFonts w:cs="Arial"/>
          <w:color w:val="000000"/>
          <w:szCs w:val="20"/>
        </w:rPr>
        <w:t xml:space="preserve">jsou různá technická a technologická zlepšení a výrobní zkušenosti, jež nemohou být předmětem patentové ochrany a </w:t>
      </w:r>
      <w:r>
        <w:rPr>
          <w:rFonts w:cs="Arial"/>
          <w:b/>
          <w:bCs/>
          <w:color w:val="000000"/>
          <w:szCs w:val="20"/>
        </w:rPr>
        <w:lastRenderedPageBreak/>
        <w:t>smíšené licence</w:t>
      </w:r>
      <w:r>
        <w:rPr>
          <w:rFonts w:cs="Arial"/>
          <w:color w:val="000000"/>
          <w:szCs w:val="20"/>
        </w:rPr>
        <w:t>. Předmětem smíšených licencí jsou patentová práva a výrobně technické poznatky (know-how), bez jejichž znalosti by nabyvatel v mnoha případech ani nemohl patent využívat. Předmětem může být např. i právo na výrobu určitého výrobku s tím, že nabyvatel bude moci tyto výrobky označovat ochrannou známkou poskytovatele.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Patent </w:t>
      </w:r>
      <w:r>
        <w:rPr>
          <w:rFonts w:cs="Arial"/>
          <w:color w:val="000000"/>
          <w:szCs w:val="20"/>
        </w:rPr>
        <w:t>je veřejnou listinou vydanou UPV ČR</w:t>
      </w:r>
      <w:r>
        <w:rPr>
          <w:rStyle w:val="Znakapoznpodarou"/>
          <w:rFonts w:cs="Arial"/>
          <w:color w:val="000000"/>
          <w:szCs w:val="20"/>
        </w:rPr>
        <w:footnoteReference w:id="4"/>
      </w:r>
      <w:r>
        <w:rPr>
          <w:rFonts w:cs="Arial"/>
          <w:color w:val="000000"/>
          <w:szCs w:val="20"/>
        </w:rPr>
        <w:t xml:space="preserve"> sídlícím v hl. městě Praze</w:t>
      </w:r>
      <w:r>
        <w:rPr>
          <w:rStyle w:val="Znakapoznpodarou"/>
          <w:rFonts w:cs="Arial"/>
          <w:color w:val="000000"/>
          <w:szCs w:val="20"/>
        </w:rPr>
        <w:footnoteReference w:id="5"/>
      </w:r>
      <w:r>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nabízet či uvádět na trh. Délka platnosti patentu může trvat až 20 let od podání přihlášky, jsou-li hrazeny poplatky za udržování jeho platnosti. Platí na teritoriu, pro něž byl úřadem vydán. Patenty chrání nové vynálezy, jež jsou výsledky vynálezecké činnosti a jsou průmyslově využitelné. </w:t>
      </w:r>
      <w:r w:rsidR="00993995" w:rsidRPr="00993995">
        <w:rPr>
          <w:rFonts w:cs="Arial"/>
          <w:color w:val="000000"/>
          <w:szCs w:val="20"/>
        </w:rPr>
        <w:t>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r w:rsidR="00993995">
        <w:rPr>
          <w:rFonts w:cs="Arial"/>
          <w:color w:val="000000"/>
          <w:szCs w:val="20"/>
        </w:rPr>
        <w:t xml:space="preserve"> </w:t>
      </w:r>
      <w:r>
        <w:rPr>
          <w:rFonts w:cs="Arial"/>
          <w:color w:val="000000"/>
          <w:szCs w:val="20"/>
        </w:rPr>
        <w:t>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Pr>
          <w:rStyle w:val="Znakapoznpodarou"/>
          <w:rFonts w:cs="Arial"/>
          <w:color w:val="000000"/>
          <w:szCs w:val="20"/>
        </w:rPr>
        <w:footnoteReference w:id="6"/>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Patentová </w:t>
      </w:r>
      <w:r w:rsidR="001367B2">
        <w:rPr>
          <w:rFonts w:cs="Arial"/>
          <w:color w:val="000000"/>
          <w:szCs w:val="20"/>
        </w:rPr>
        <w:t xml:space="preserve">ochrana </w:t>
      </w:r>
      <w:r>
        <w:rPr>
          <w:rFonts w:cs="Arial"/>
          <w:color w:val="000000"/>
          <w:szCs w:val="20"/>
        </w:rPr>
        <w:t>nemusí být vždy nejvhodnější formou ochrany jedinečných technických řešení. K ochraně vynálezu lze zvolit jednodušší, rychlejší a levnější ochranu užitným vzorem.</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Užitný vzor</w:t>
      </w:r>
      <w:r>
        <w:rPr>
          <w:rStyle w:val="Znakapoznpodarou"/>
          <w:rFonts w:cs="Arial"/>
          <w:b/>
          <w:bCs/>
          <w:color w:val="000000"/>
          <w:szCs w:val="20"/>
        </w:rPr>
        <w:footnoteReference w:id="7"/>
      </w:r>
      <w:r>
        <w:rPr>
          <w:rFonts w:cs="Arial"/>
          <w:b/>
          <w:bCs/>
          <w:color w:val="000000"/>
          <w:szCs w:val="20"/>
        </w:rPr>
        <w:t xml:space="preserve"> </w:t>
      </w:r>
      <w:r>
        <w:rPr>
          <w:rFonts w:cs="Arial"/>
          <w:bCs/>
          <w:color w:val="000000"/>
          <w:szCs w:val="20"/>
        </w:rPr>
        <w:t xml:space="preserve">je jakýmsi </w:t>
      </w:r>
      <w:r>
        <w:rPr>
          <w:rFonts w:cs="Arial"/>
          <w:color w:val="000000"/>
          <w:szCs w:val="20"/>
        </w:rPr>
        <w:t>„malým patentem“, jež má ke standardnímu patentu velmi blízko. Užitnými vzory lze chránit průmyslově využitelná technická řešení</w:t>
      </w:r>
      <w:r>
        <w:rPr>
          <w:rStyle w:val="Znakapoznpodarou"/>
          <w:rFonts w:cs="Arial"/>
          <w:color w:val="000000"/>
          <w:szCs w:val="20"/>
        </w:rPr>
        <w:footnoteReference w:id="8"/>
      </w:r>
      <w:r>
        <w:rPr>
          <w:rFonts w:cs="Arial"/>
          <w:color w:val="000000"/>
          <w:szCs w:val="20"/>
        </w:rPr>
        <w:t>,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asi 40 států.</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Know-how </w:t>
      </w:r>
      <w:r>
        <w:rPr>
          <w:rFonts w:cs="Arial"/>
          <w:b/>
          <w:color w:val="000000"/>
          <w:szCs w:val="20"/>
        </w:rPr>
        <w:t>(nepatentovaný vynález)</w:t>
      </w:r>
      <w:r>
        <w:rPr>
          <w:rFonts w:cs="Arial"/>
          <w:color w:val="000000"/>
          <w:szCs w:val="20"/>
        </w:rPr>
        <w:t xml:space="preserve"> jsou znalosti, zkušenosti či poznatky z oblasti výroby, obchodu, služeb či ekonomiky, jež nejsou chráněny některou z ochran průmyslového vlastnictví. Za know-how lze dále považovat informace, které byly získány za účelem usnadnění určité podnikatelské činnosti. Jedním ze </w:t>
      </w:r>
      <w:r>
        <w:rPr>
          <w:rFonts w:cs="Arial"/>
          <w:color w:val="000000"/>
          <w:szCs w:val="20"/>
        </w:rPr>
        <w:lastRenderedPageBreak/>
        <w:t>znaků know-how je jeho užitečnost pro uživatele, který jeho užíváním dosahuje pozitivních výsledků, kterých by bez znalosti know-how nedosahoval. Majitel know-how ho utajuje, aby nevešlo ve všeobecnou známost a nestalo se dostupným, což by se negativně odrazilo v jeho hodnotě (ceně). Podstatným znakem know-how je jeho využitelnost třetími osobami.</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Průmyslový vzor</w:t>
      </w:r>
      <w:r>
        <w:rPr>
          <w:rStyle w:val="Znakapoznpodarou"/>
          <w:rFonts w:cs="Arial"/>
          <w:b/>
          <w:bCs/>
          <w:color w:val="000000"/>
          <w:szCs w:val="20"/>
        </w:rPr>
        <w:footnoteReference w:id="9"/>
      </w:r>
      <w:r>
        <w:rPr>
          <w:rFonts w:cs="Arial"/>
          <w:b/>
          <w:bCs/>
          <w:color w:val="000000"/>
          <w:szCs w:val="20"/>
        </w:rPr>
        <w:t xml:space="preserve"> </w:t>
      </w:r>
      <w:r>
        <w:rPr>
          <w:rFonts w:cs="Arial"/>
          <w:bCs/>
          <w:color w:val="000000"/>
          <w:szCs w:val="20"/>
        </w:rPr>
        <w:t>řeší</w:t>
      </w:r>
      <w:r>
        <w:rPr>
          <w:rFonts w:cs="Arial"/>
          <w:color w:val="000000"/>
          <w:szCs w:val="20"/>
        </w:rPr>
        <w:t xml:space="preserve"> vyřešení vnější úpravy (vzhledu)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Pr>
          <w:rStyle w:val="Znakapoznpodarou"/>
          <w:rFonts w:cs="Arial"/>
          <w:color w:val="000000"/>
          <w:szCs w:val="20"/>
        </w:rPr>
        <w:footnoteReference w:id="10"/>
      </w:r>
      <w:r>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rsidR="00F704D2" w:rsidRDefault="00317116" w:rsidP="00F704D2">
      <w:pPr>
        <w:tabs>
          <w:tab w:val="left" w:pos="567"/>
        </w:tabs>
        <w:autoSpaceDE w:val="0"/>
        <w:autoSpaceDN w:val="0"/>
        <w:adjustRightInd w:val="0"/>
        <w:spacing w:after="60"/>
        <w:rPr>
          <w:rFonts w:cs="Arial"/>
          <w:color w:val="000000"/>
          <w:szCs w:val="20"/>
        </w:rPr>
      </w:pPr>
      <w:r>
        <w:rPr>
          <w:rFonts w:cs="Arial"/>
          <w:b/>
          <w:bCs/>
          <w:color w:val="000000"/>
          <w:szCs w:val="20"/>
        </w:rPr>
        <w:t>Ochrana práv k novým odrůdám rostlin a plemenům zvířat</w:t>
      </w:r>
      <w:r>
        <w:rPr>
          <w:rStyle w:val="Znakapoznpodarou"/>
          <w:rFonts w:cs="Arial"/>
          <w:b/>
          <w:bCs/>
          <w:color w:val="000000"/>
          <w:szCs w:val="20"/>
        </w:rPr>
        <w:footnoteReference w:id="11"/>
      </w:r>
      <w:r>
        <w:rPr>
          <w:rFonts w:cs="Arial"/>
          <w:b/>
          <w:bCs/>
          <w:color w:val="000000"/>
          <w:szCs w:val="20"/>
        </w:rPr>
        <w:t xml:space="preserve"> </w:t>
      </w:r>
      <w:r>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w:t>
      </w:r>
      <w:r w:rsidR="00F704D2">
        <w:rPr>
          <w:rFonts w:cs="Arial"/>
          <w:color w:val="000000"/>
          <w:szCs w:val="20"/>
        </w:rPr>
        <w:t>:</w:t>
      </w:r>
      <w:r>
        <w:rPr>
          <w:rFonts w:cs="Arial"/>
          <w:color w:val="000000"/>
          <w:szCs w:val="20"/>
        </w:rPr>
        <w:t xml:space="preserve">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odlišnost alespoň jednoho podstatného znaku od každé jiné odrůdy/plemene obecně známé ke dni podání přihlášky,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je vyrovnaná přiměřeně biologickým vlastnostem daného materiálu, </w:t>
      </w:r>
    </w:p>
    <w:p w:rsidR="00317116"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stálá v podstatných znacích při respektování zvláštností, které vyžaduje při množení.</w:t>
      </w:r>
    </w:p>
    <w:p w:rsidR="00317116" w:rsidRDefault="00317116" w:rsidP="00317116">
      <w:pPr>
        <w:pStyle w:val="Nadpis2"/>
        <w:tabs>
          <w:tab w:val="left" w:pos="567"/>
        </w:tabs>
      </w:pPr>
      <w:r>
        <w:br w:type="page"/>
      </w:r>
      <w:r>
        <w:lastRenderedPageBreak/>
        <w:t>Základní členění zpravodajských jednotek s uzavřenou licenční smlouvou</w:t>
      </w:r>
    </w:p>
    <w:p w:rsidR="00317116" w:rsidRDefault="00317116" w:rsidP="00317116">
      <w:pPr>
        <w:tabs>
          <w:tab w:val="left" w:pos="567"/>
        </w:tabs>
        <w:autoSpaceDE w:val="0"/>
        <w:autoSpaceDN w:val="0"/>
        <w:adjustRightInd w:val="0"/>
        <w:rPr>
          <w:rFonts w:cs="Arial"/>
          <w:color w:val="000000"/>
          <w:szCs w:val="20"/>
        </w:rPr>
      </w:pPr>
      <w:r>
        <w:rPr>
          <w:rFonts w:cs="Arial"/>
          <w:color w:val="000000"/>
          <w:szCs w:val="20"/>
        </w:rPr>
        <w:t>Jak bylo uvedeno, statistické šetření o licencích zjišťuje povahu a strukturu uzavřených licenčních smluv a výše zaplacených či přijatých poplatků. Vedle toho jsou měřeny další charakteristiky umožňující třídění uzavřených licenčních smluv, kterými jsou zejména:</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Země smluvního partnera </w:t>
      </w:r>
      <w:r>
        <w:rPr>
          <w:rFonts w:cs="Arial"/>
          <w:color w:val="000000"/>
          <w:szCs w:val="20"/>
        </w:rPr>
        <w:t>licenční smlouvy uzavřené se subjektem působícím na území ČR nebo s partnerem ze zahraničí.</w:t>
      </w:r>
      <w:r>
        <w:rPr>
          <w:rStyle w:val="Znakapoznpodarou"/>
          <w:rFonts w:cs="Arial"/>
          <w:color w:val="000000"/>
          <w:szCs w:val="20"/>
        </w:rPr>
        <w:footnoteReference w:id="12"/>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Produkce</w:t>
      </w:r>
      <w:r>
        <w:rPr>
          <w:rFonts w:cs="Arial"/>
          <w:bCs/>
          <w:color w:val="000000"/>
          <w:szCs w:val="20"/>
        </w:rPr>
        <w:t xml:space="preserve">, jež </w:t>
      </w:r>
      <w:r>
        <w:rPr>
          <w:rFonts w:cs="Arial"/>
          <w:color w:val="000000"/>
          <w:szCs w:val="20"/>
        </w:rPr>
        <w:t>je předmětem licenční smlouvy. Za produkci lze považovat nejen hmotné výrobky, odpady a ostatní druhotné suroviny, díly průmyslových výrobků, kompletační výrobky a příslušenství průmyslových výrobku, ale také průmyslové a neprůmyslové práce, služby a činnosti, které neprobíhají za účelem vytváření nových hmotných výrobků.</w:t>
      </w:r>
    </w:p>
    <w:p w:rsidR="00317116" w:rsidRDefault="00317116" w:rsidP="00317116">
      <w:pPr>
        <w:tabs>
          <w:tab w:val="left" w:pos="567"/>
        </w:tabs>
        <w:autoSpaceDE w:val="0"/>
        <w:autoSpaceDN w:val="0"/>
        <w:adjustRightInd w:val="0"/>
        <w:spacing w:after="160"/>
        <w:rPr>
          <w:rFonts w:cs="Arial"/>
          <w:color w:val="000000"/>
          <w:szCs w:val="20"/>
          <w:u w:val="single"/>
        </w:rPr>
      </w:pPr>
      <w:r>
        <w:rPr>
          <w:rFonts w:cs="Arial"/>
          <w:color w:val="000000"/>
          <w:szCs w:val="20"/>
          <w:u w:val="single"/>
        </w:rPr>
        <w:t>Při třídění zpravodajských jednotek s uzavřenou licenční smlouvou bylo využito dalších ukazatelů a to:</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typu poskytovatele</w:t>
      </w:r>
      <w:r>
        <w:rPr>
          <w:rFonts w:cs="Arial"/>
          <w:bCs/>
          <w:color w:val="000000"/>
          <w:szCs w:val="20"/>
        </w:rPr>
        <w:t>, jenž byl definován</w:t>
      </w:r>
      <w:r>
        <w:rPr>
          <w:rFonts w:cs="Arial"/>
          <w:b/>
          <w:bCs/>
          <w:color w:val="000000"/>
          <w:szCs w:val="20"/>
        </w:rPr>
        <w:t xml:space="preserve"> </w:t>
      </w:r>
      <w:r>
        <w:rPr>
          <w:rFonts w:cs="Arial"/>
          <w:color w:val="000000"/>
          <w:szCs w:val="20"/>
        </w:rPr>
        <w:t>na základě číselníků uvedených v Registru ekonomických subjektů (RES). Jmenovitě lze uvést právní formu organizace, institucionální sektor (ISEKTOR)</w:t>
      </w:r>
      <w:r>
        <w:rPr>
          <w:rStyle w:val="Znakapoznpodarou"/>
          <w:rFonts w:cs="Arial"/>
          <w:color w:val="000000"/>
          <w:szCs w:val="20"/>
        </w:rPr>
        <w:footnoteReference w:id="13"/>
      </w:r>
      <w:r>
        <w:rPr>
          <w:rFonts w:cs="Arial"/>
          <w:color w:val="000000"/>
          <w:szCs w:val="20"/>
        </w:rPr>
        <w:t xml:space="preserve"> a převažující ekonomickou činnost dle Klasifikace ekonomických činností (CZ-NACE)</w:t>
      </w:r>
      <w:r>
        <w:rPr>
          <w:rStyle w:val="Znakapoznpodarou"/>
          <w:rFonts w:cs="Arial"/>
          <w:color w:val="000000"/>
          <w:szCs w:val="20"/>
        </w:rPr>
        <w:footnoteReference w:id="14"/>
      </w:r>
      <w:r>
        <w:rPr>
          <w:rFonts w:cs="Arial"/>
          <w:color w:val="000000"/>
          <w:szCs w:val="20"/>
        </w:rPr>
        <w:t>. Z hlediska uvedených klasifikací rozlišujeme následující typy přihlašovatelů: veřejné vysoké školy, veřejné výzkumné instituce, podniky, fyzické osoby, ostatní vládní a veřejná organizace, nemocnice, sdružení a neziskové organizace.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sídla </w:t>
      </w:r>
      <w:r>
        <w:rPr>
          <w:rFonts w:cs="Arial"/>
          <w:b/>
          <w:color w:val="000000"/>
          <w:szCs w:val="20"/>
        </w:rPr>
        <w:t>subjektů s uzavřenou licenční smlouvou</w:t>
      </w:r>
      <w:r>
        <w:rPr>
          <w:rFonts w:cs="Arial"/>
          <w:color w:val="000000"/>
          <w:szCs w:val="20"/>
        </w:rPr>
        <w:t xml:space="preserve"> vymezeného dle Klasifikace územních statistických jednotek (CZ-NUTS)</w:t>
      </w:r>
      <w:r>
        <w:rPr>
          <w:rStyle w:val="Znakapoznpodarou"/>
          <w:rFonts w:cs="Arial"/>
          <w:color w:val="000000"/>
          <w:szCs w:val="20"/>
        </w:rPr>
        <w:footnoteReference w:id="15"/>
      </w:r>
      <w:r>
        <w:rPr>
          <w:rFonts w:cs="Arial"/>
          <w:color w:val="000000"/>
          <w:szCs w:val="20"/>
        </w:rPr>
        <w:t>. Na třetím stupni klasifikaci bylo v rámci České republiky rozlišeno 14 krajů.</w:t>
      </w:r>
    </w:p>
    <w:p w:rsidR="00317116" w:rsidRDefault="00317116" w:rsidP="00C404E2">
      <w:pPr>
        <w:tabs>
          <w:tab w:val="left" w:pos="567"/>
        </w:tabs>
        <w:autoSpaceDE w:val="0"/>
        <w:autoSpaceDN w:val="0"/>
        <w:adjustRightInd w:val="0"/>
        <w:spacing w:after="120"/>
        <w:rPr>
          <w:rFonts w:cs="Arial"/>
          <w:color w:val="000000"/>
          <w:szCs w:val="20"/>
        </w:rPr>
      </w:pPr>
      <w:r>
        <w:rPr>
          <w:rFonts w:cs="Arial"/>
          <w:b/>
          <w:bCs/>
          <w:color w:val="000000"/>
          <w:szCs w:val="20"/>
        </w:rPr>
        <w:t xml:space="preserve">velikostní skupiny </w:t>
      </w:r>
      <w:r>
        <w:rPr>
          <w:rFonts w:cs="Arial"/>
          <w:bCs/>
          <w:color w:val="000000"/>
          <w:szCs w:val="20"/>
        </w:rPr>
        <w:t xml:space="preserve">rozlišující </w:t>
      </w:r>
      <w:r w:rsidR="002B47DE">
        <w:rPr>
          <w:rFonts w:cs="Arial"/>
          <w:bCs/>
          <w:color w:val="000000"/>
          <w:szCs w:val="20"/>
        </w:rPr>
        <w:t>čtyři</w:t>
      </w:r>
      <w:r>
        <w:rPr>
          <w:rFonts w:cs="Arial"/>
          <w:bCs/>
          <w:color w:val="000000"/>
          <w:szCs w:val="20"/>
        </w:rPr>
        <w:t xml:space="preserve"> kategorie na základě </w:t>
      </w:r>
      <w:r>
        <w:rPr>
          <w:rFonts w:cs="Arial"/>
          <w:color w:val="000000"/>
          <w:szCs w:val="20"/>
        </w:rPr>
        <w:t xml:space="preserve">počtu zaměstnanců: </w:t>
      </w:r>
    </w:p>
    <w:p w:rsidR="00317116" w:rsidRDefault="00317116" w:rsidP="00C404E2">
      <w:pPr>
        <w:numPr>
          <w:ilvl w:val="0"/>
          <w:numId w:val="15"/>
        </w:numPr>
        <w:tabs>
          <w:tab w:val="left" w:pos="567"/>
        </w:tabs>
        <w:autoSpaceDE w:val="0"/>
        <w:autoSpaceDN w:val="0"/>
        <w:adjustRightInd w:val="0"/>
        <w:spacing w:after="60" w:line="276" w:lineRule="auto"/>
        <w:ind w:left="714" w:hanging="357"/>
        <w:rPr>
          <w:rFonts w:cs="Arial"/>
          <w:color w:val="000000"/>
          <w:szCs w:val="20"/>
        </w:rPr>
      </w:pPr>
      <w:r>
        <w:rPr>
          <w:rFonts w:cs="Arial"/>
          <w:color w:val="000000"/>
          <w:szCs w:val="20"/>
        </w:rPr>
        <w:t>0–9 zaměstnanců (mikro),</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10–49 zaměstnanců (malé),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50–249 zaměstnanců (střední),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250 a více zaměstnanců (velké).</w:t>
      </w:r>
    </w:p>
    <w:p w:rsidR="00317116" w:rsidRPr="00EE17B2" w:rsidRDefault="00317116" w:rsidP="00E36444">
      <w:pPr>
        <w:tabs>
          <w:tab w:val="left" w:pos="567"/>
        </w:tabs>
        <w:spacing w:before="120"/>
        <w:rPr>
          <w:rFonts w:cs="Arial"/>
        </w:rPr>
      </w:pPr>
      <w:r>
        <w:rPr>
          <w:rFonts w:cs="Arial"/>
          <w:b/>
          <w:color w:val="000000"/>
          <w:szCs w:val="20"/>
        </w:rPr>
        <w:t>k</w:t>
      </w:r>
      <w:r>
        <w:rPr>
          <w:rFonts w:cs="Arial"/>
          <w:b/>
          <w:bCs/>
          <w:color w:val="000000"/>
          <w:szCs w:val="20"/>
        </w:rPr>
        <w:t xml:space="preserve">lasifikace ekonomických činností </w:t>
      </w:r>
      <w:r>
        <w:rPr>
          <w:rFonts w:cs="Arial"/>
          <w:bCs/>
          <w:color w:val="000000"/>
          <w:szCs w:val="20"/>
        </w:rPr>
        <w:t>(</w:t>
      </w:r>
      <w:r>
        <w:rPr>
          <w:rFonts w:cs="Arial"/>
          <w:color w:val="000000"/>
          <w:szCs w:val="20"/>
        </w:rPr>
        <w:t>CZ-NACE)</w:t>
      </w:r>
      <w:r w:rsidR="003F0157">
        <w:rPr>
          <w:rFonts w:cs="Arial"/>
          <w:color w:val="000000"/>
          <w:szCs w:val="20"/>
        </w:rPr>
        <w:t>.</w:t>
      </w:r>
    </w:p>
    <w:p w:rsidR="00346AF5" w:rsidRDefault="00664C18" w:rsidP="00317116">
      <w:pPr>
        <w:tabs>
          <w:tab w:val="left" w:pos="567"/>
        </w:tabs>
      </w:pPr>
      <w:r w:rsidRPr="00664C18">
        <w:rPr>
          <w:b/>
        </w:rPr>
        <w:t>značky použité v tabulkách publikace</w:t>
      </w:r>
      <w:r>
        <w:t>:</w:t>
      </w:r>
    </w:p>
    <w:p w:rsidR="00664C18" w:rsidRDefault="00664C18" w:rsidP="004755D8">
      <w:pPr>
        <w:tabs>
          <w:tab w:val="left" w:pos="567"/>
        </w:tabs>
        <w:spacing w:after="0"/>
      </w:pPr>
      <w:r>
        <w:t>-</w:t>
      </w:r>
      <w:r>
        <w:tab/>
        <w:t>ležatá čárka na místě čísla značí, že se jev nevyskytoval</w:t>
      </w:r>
    </w:p>
    <w:sectPr w:rsidR="00664C18" w:rsidSect="006F5416">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F2" w:rsidRDefault="004E5DF2" w:rsidP="00E71A58">
      <w:r>
        <w:separator/>
      </w:r>
    </w:p>
  </w:endnote>
  <w:endnote w:type="continuationSeparator" w:id="0">
    <w:p w:rsidR="004E5DF2" w:rsidRDefault="004E5DF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3D7360" w:rsidP="00A418BC">
    <w:pPr>
      <w:pStyle w:val="Zpat"/>
      <w:rPr>
        <w:szCs w:val="16"/>
      </w:rPr>
    </w:pPr>
    <w:r>
      <w:rPr>
        <w:szCs w:val="16"/>
        <w:lang w:eastAsia="cs-CZ"/>
      </w:rPr>
      <w:drawing>
        <wp:anchor distT="0" distB="0" distL="114300" distR="114300" simplePos="0" relativeHeight="251658240" behindDoc="0" locked="0" layoutInCell="1" allowOverlap="1" wp14:anchorId="2E3B78EA" wp14:editId="3A9A798E">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993995">
      <w:rPr>
        <w:szCs w:val="16"/>
      </w:rPr>
      <w:t>2</w:t>
    </w:r>
    <w:r w:rsidR="005647BF" w:rsidRPr="00932443">
      <w:rPr>
        <w:szCs w:val="16"/>
      </w:rPr>
      <w:fldChar w:fldCharType="end"/>
    </w:r>
    <w:r w:rsidR="005647BF" w:rsidRPr="00932443">
      <w:rPr>
        <w:szCs w:val="16"/>
      </w:rPr>
      <w:tab/>
    </w:r>
    <w:r w:rsidR="00BB7E11">
      <w:rPr>
        <w:szCs w:val="16"/>
      </w:rPr>
      <w:t>201</w:t>
    </w:r>
    <w:r w:rsidR="00706831">
      <w:rPr>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3D7360" w:rsidP="00A418BC">
    <w:pPr>
      <w:pStyle w:val="Zpat"/>
      <w:rPr>
        <w:szCs w:val="16"/>
      </w:rPr>
    </w:pPr>
    <w:r>
      <w:rPr>
        <w:szCs w:val="16"/>
        <w:lang w:eastAsia="cs-CZ"/>
      </w:rPr>
      <w:drawing>
        <wp:anchor distT="0" distB="0" distL="114300" distR="114300" simplePos="0" relativeHeight="251657216" behindDoc="0" locked="0" layoutInCell="1" allowOverlap="1" wp14:anchorId="5336208A" wp14:editId="5E8B33C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95151A">
      <w:rPr>
        <w:rStyle w:val="ZpatChar"/>
        <w:szCs w:val="16"/>
      </w:rPr>
      <w:t>201</w:t>
    </w:r>
    <w:r w:rsidR="00706831">
      <w:rPr>
        <w:rStyle w:val="ZpatChar"/>
        <w:szCs w:val="16"/>
      </w:rPr>
      <w:t>8</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993995">
      <w:rPr>
        <w:rStyle w:val="ZpatChar"/>
        <w:szCs w:val="16"/>
      </w:rPr>
      <w:t>3</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F2" w:rsidRDefault="004E5DF2" w:rsidP="00E71A58">
      <w:r>
        <w:separator/>
      </w:r>
    </w:p>
  </w:footnote>
  <w:footnote w:type="continuationSeparator" w:id="0">
    <w:p w:rsidR="004E5DF2" w:rsidRDefault="004E5DF2" w:rsidP="00E71A58">
      <w:r>
        <w:continuationSeparator/>
      </w:r>
    </w:p>
  </w:footnote>
  <w:footnote w:id="1">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6A2632">
        <w:rPr>
          <w:rFonts w:cs="Arial"/>
          <w:color w:val="000000"/>
          <w:sz w:val="18"/>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3C0034">
        <w:rPr>
          <w:rFonts w:cs="Arial"/>
          <w:sz w:val="18"/>
          <w:szCs w:val="16"/>
        </w:rPr>
        <w:t>Nabytí práv pro některou z ochran pr</w:t>
      </w:r>
      <w:r w:rsidR="003C0034" w:rsidRPr="003C0034">
        <w:rPr>
          <w:rFonts w:cs="Arial"/>
          <w:sz w:val="18"/>
          <w:szCs w:val="16"/>
        </w:rPr>
        <w:t>ůmyslového vlastnictví se zjišťovalo</w:t>
      </w:r>
      <w:r w:rsidRPr="003C0034">
        <w:rPr>
          <w:rFonts w:cs="Arial"/>
          <w:sz w:val="18"/>
          <w:szCs w:val="16"/>
        </w:rPr>
        <w:t xml:space="preserve"> </w:t>
      </w:r>
      <w:r w:rsidR="003C0034" w:rsidRPr="003C0034">
        <w:rPr>
          <w:rFonts w:cs="Arial"/>
          <w:sz w:val="18"/>
          <w:szCs w:val="16"/>
        </w:rPr>
        <w:t>do</w:t>
      </w:r>
      <w:r w:rsidRPr="003C0034">
        <w:rPr>
          <w:rFonts w:cs="Arial"/>
          <w:sz w:val="18"/>
          <w:szCs w:val="16"/>
        </w:rPr>
        <w:t xml:space="preserve"> r. 2010.</w:t>
      </w:r>
    </w:p>
  </w:footnote>
  <w:footnote w:id="3">
    <w:p w:rsidR="00317116" w:rsidRDefault="00317116" w:rsidP="00317116">
      <w:pPr>
        <w:pStyle w:val="Textpoznpodarou"/>
        <w:spacing w:after="120"/>
        <w:rPr>
          <w:rFonts w:cs="Arial"/>
          <w:sz w:val="16"/>
          <w:szCs w:val="16"/>
        </w:rPr>
      </w:pPr>
      <w:r w:rsidRPr="006A2632">
        <w:rPr>
          <w:rStyle w:val="Znakapoznpodarou"/>
          <w:rFonts w:cs="Arial"/>
          <w:sz w:val="18"/>
          <w:szCs w:val="16"/>
        </w:rPr>
        <w:footnoteRef/>
      </w:r>
      <w:r w:rsidRPr="006A2632">
        <w:rPr>
          <w:rFonts w:cs="Arial"/>
          <w:sz w:val="18"/>
          <w:szCs w:val="16"/>
        </w:rPr>
        <w:t xml:space="preserve"> Zákon č. 89/2012 Sb., občanský zákoník používá k rozlišení stejných konceptů odlišnou terminologii. V § 2360 užívá výrazů </w:t>
      </w:r>
      <w:r w:rsidRPr="006A2632">
        <w:rPr>
          <w:rFonts w:cs="Arial"/>
          <w:b/>
          <w:sz w:val="18"/>
          <w:szCs w:val="16"/>
        </w:rPr>
        <w:t>výhradní</w:t>
      </w:r>
      <w:r w:rsidRPr="006A2632">
        <w:rPr>
          <w:rFonts w:cs="Arial"/>
          <w:sz w:val="18"/>
          <w:szCs w:val="16"/>
        </w:rPr>
        <w:t xml:space="preserve"> a </w:t>
      </w:r>
      <w:r w:rsidRPr="006A2632">
        <w:rPr>
          <w:rFonts w:cs="Arial"/>
          <w:b/>
          <w:sz w:val="18"/>
          <w:szCs w:val="16"/>
        </w:rPr>
        <w:t>nevýhradní</w:t>
      </w:r>
      <w:r w:rsidRPr="006A2632">
        <w:rPr>
          <w:rFonts w:cs="Arial"/>
          <w:sz w:val="18"/>
          <w:szCs w:val="16"/>
        </w:rPr>
        <w:t xml:space="preserve"> licence. Jedná se o synonyma.</w:t>
      </w:r>
    </w:p>
  </w:footnote>
  <w:footnote w:id="4">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5">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Za podmínek stanovených Zákonem č. 527/1990 Sb., o vynálezech a zlepšovacích návrzích, ve znění pozdějších předpisů</w:t>
      </w:r>
      <w:r w:rsidRPr="006A2632">
        <w:rPr>
          <w:rFonts w:cs="Arial"/>
          <w:sz w:val="18"/>
          <w:szCs w:val="16"/>
          <w:lang w:val="en-US"/>
        </w:rPr>
        <w:t>.</w:t>
      </w:r>
    </w:p>
  </w:footnote>
  <w:footnote w:id="6">
    <w:p w:rsidR="00317116" w:rsidRPr="006A2632" w:rsidRDefault="00317116" w:rsidP="00317116">
      <w:pPr>
        <w:autoSpaceDE w:val="0"/>
        <w:autoSpaceDN w:val="0"/>
        <w:adjustRightInd w:val="0"/>
        <w:spacing w:after="120" w:line="240" w:lineRule="auto"/>
        <w:rPr>
          <w:rFonts w:cs="Arial"/>
          <w:color w:val="000000"/>
          <w:sz w:val="18"/>
          <w:szCs w:val="16"/>
        </w:rPr>
      </w:pPr>
      <w:r w:rsidRPr="006A2632">
        <w:rPr>
          <w:rStyle w:val="Znakapoznpodarou"/>
          <w:rFonts w:cs="Arial"/>
          <w:sz w:val="18"/>
          <w:szCs w:val="16"/>
        </w:rPr>
        <w:footnoteRef/>
      </w:r>
      <w:r w:rsidRPr="006A2632">
        <w:rPr>
          <w:rFonts w:cs="Arial"/>
          <w:sz w:val="18"/>
          <w:szCs w:val="16"/>
        </w:rPr>
        <w:t xml:space="preserve"> Dle § 3 Zákona 597/1990 Sb. nelze za patenty považovat také </w:t>
      </w:r>
      <w:r w:rsidRPr="006A2632">
        <w:rPr>
          <w:rFonts w:cs="Arial"/>
          <w:color w:val="000000"/>
          <w:sz w:val="18"/>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7">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V legislativě jsou užitné vzory vymezeny Zákonem 478/1992 Sb. o užitných vzorech.</w:t>
      </w:r>
    </w:p>
  </w:footnote>
  <w:footnote w:id="8">
    <w:p w:rsidR="00317116" w:rsidRPr="006A2632" w:rsidRDefault="00317116" w:rsidP="00317116">
      <w:pPr>
        <w:pStyle w:val="Textpoznpodarou"/>
        <w:spacing w:after="120"/>
        <w:rPr>
          <w:rFonts w:cs="Arial"/>
          <w:sz w:val="18"/>
          <w:szCs w:val="16"/>
          <w:lang w:val="en-US"/>
        </w:rPr>
      </w:pPr>
      <w:r w:rsidRPr="006A2632">
        <w:rPr>
          <w:rStyle w:val="Znakapoznpodarou"/>
          <w:rFonts w:cs="Arial"/>
          <w:sz w:val="18"/>
          <w:szCs w:val="16"/>
        </w:rPr>
        <w:footnoteRef/>
      </w:r>
      <w:r w:rsidRPr="006A2632">
        <w:rPr>
          <w:rFonts w:cs="Arial"/>
          <w:sz w:val="18"/>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w:t>
      </w:r>
      <w:bookmarkStart w:id="0" w:name="_GoBack"/>
      <w:bookmarkEnd w:id="0"/>
      <w:r w:rsidRPr="006A2632">
        <w:rPr>
          <w:rFonts w:cs="Arial"/>
          <w:sz w:val="18"/>
          <w:szCs w:val="16"/>
        </w:rPr>
        <w:t>ými vzory současně nelze (dle § 3 zákona) chránit technická řešení, která jsou v rozporu s obecními zájmy (…), odrůdy rostlin a plemena zvířat, jakož i biologické reproduktivní materiály, způsoby výroby nebo pracovní činnosti.</w:t>
      </w:r>
    </w:p>
  </w:footnote>
  <w:footnote w:id="9">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V legislativě jsou průmyslové vzory vymezeny Zákonem 207/2000 Sb. o ochraně průmyslových vzorů a o změně zákona č. 527/1990 Sb., o vynálezech, průmyslových vzorech a zlepšovacích návrzích, ve znění pozdějších předpisů.</w:t>
      </w:r>
    </w:p>
  </w:footnote>
  <w:footnote w:id="10">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1">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2">
    <w:p w:rsidR="00317116" w:rsidRDefault="00317116" w:rsidP="00317116">
      <w:pPr>
        <w:pStyle w:val="Textpoznpodarou"/>
        <w:spacing w:after="0"/>
      </w:pPr>
      <w:r w:rsidRPr="006A2632">
        <w:rPr>
          <w:rStyle w:val="Znakapoznpodarou"/>
          <w:rFonts w:cs="Arial"/>
          <w:sz w:val="18"/>
          <w:szCs w:val="18"/>
        </w:rPr>
        <w:footnoteRef/>
      </w:r>
      <w:r w:rsidRPr="006A2632">
        <w:rPr>
          <w:rFonts w:cs="Arial"/>
          <w:sz w:val="18"/>
          <w:szCs w:val="18"/>
        </w:rPr>
        <w:t xml:space="preserve"> Při zjišťování je využita alfabetická klasifikace zemí CZ-GEONOM.</w:t>
      </w:r>
      <w:r w:rsidRPr="000D5828">
        <w:t xml:space="preserve"> </w:t>
      </w:r>
    </w:p>
    <w:p w:rsidR="00317116" w:rsidRPr="006A2632" w:rsidRDefault="00B43507" w:rsidP="00317116">
      <w:pPr>
        <w:pStyle w:val="Textpoznpodarou"/>
        <w:spacing w:after="120"/>
        <w:rPr>
          <w:rFonts w:cs="Arial"/>
          <w:sz w:val="18"/>
          <w:szCs w:val="18"/>
        </w:rPr>
      </w:pPr>
      <w:r>
        <w:rPr>
          <w:rFonts w:cs="Arial"/>
          <w:sz w:val="18"/>
          <w:szCs w:val="18"/>
        </w:rPr>
        <w:t xml:space="preserve">    </w:t>
      </w:r>
      <w:hyperlink r:id="rId1" w:history="1">
        <w:r w:rsidRPr="00E451F4">
          <w:rPr>
            <w:rStyle w:val="Hypertextovodkaz"/>
            <w:rFonts w:cs="Arial"/>
            <w:sz w:val="18"/>
            <w:szCs w:val="18"/>
          </w:rPr>
          <w:t>https://www.czso.cz/csu/czso/klasifikace_zemi_-cz_geonom-</w:t>
        </w:r>
      </w:hyperlink>
      <w:r>
        <w:rPr>
          <w:rFonts w:cs="Arial"/>
          <w:sz w:val="18"/>
          <w:szCs w:val="18"/>
        </w:rPr>
        <w:t xml:space="preserve"> </w:t>
      </w:r>
    </w:p>
  </w:footnote>
  <w:footnote w:id="13">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2" w:history="1">
        <w:r w:rsidRPr="006A2632">
          <w:rPr>
            <w:rStyle w:val="Hypertextovodkaz"/>
            <w:rFonts w:cs="Arial"/>
            <w:sz w:val="18"/>
            <w:szCs w:val="18"/>
          </w:rPr>
          <w:t>http://apl.czso.cz/iSMS/cisdet.jsp?kodcis=5565</w:t>
        </w:r>
      </w:hyperlink>
    </w:p>
  </w:footnote>
  <w:footnote w:id="14">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3" w:history="1">
        <w:r w:rsidRPr="006A2632">
          <w:rPr>
            <w:rStyle w:val="Hypertextovodkaz"/>
            <w:rFonts w:cs="Arial"/>
            <w:sz w:val="18"/>
            <w:szCs w:val="18"/>
          </w:rPr>
          <w:t>https://www.czso.cz/csu/czso/klasifikace_ekonomickych_cinnosti_cz_nace</w:t>
        </w:r>
      </w:hyperlink>
    </w:p>
  </w:footnote>
  <w:footnote w:id="15">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w:t>
      </w:r>
      <w:hyperlink r:id="rId4" w:history="1">
        <w:r w:rsidRPr="006A2632">
          <w:rPr>
            <w:rStyle w:val="Hypertextovodkaz"/>
            <w:rFonts w:cs="Arial"/>
            <w:sz w:val="18"/>
            <w:szCs w:val="18"/>
          </w:rPr>
          <w:t>https://www.czso.cz/csu/czso/klasifikace_uzemnich_statistickych_jednotek_-cz_nuts-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B5752E" w:rsidRPr="006F5416" w:rsidRDefault="00B5752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C10F2E"/>
    <w:multiLevelType w:val="hybridMultilevel"/>
    <w:tmpl w:val="C9D2085A"/>
    <w:lvl w:ilvl="0" w:tplc="5328BC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BA6CDF"/>
    <w:multiLevelType w:val="hybridMultilevel"/>
    <w:tmpl w:val="612070A6"/>
    <w:lvl w:ilvl="0" w:tplc="11D6C5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1"/>
  </w:num>
  <w:num w:numId="19">
    <w:abstractNumId w:val="13"/>
  </w:num>
  <w:num w:numId="20">
    <w:abstractNumId w:val="1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FCD"/>
    <w:rsid w:val="00040A57"/>
    <w:rsid w:val="00041CEC"/>
    <w:rsid w:val="00042DC1"/>
    <w:rsid w:val="0004694F"/>
    <w:rsid w:val="000522E4"/>
    <w:rsid w:val="0005314E"/>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100F5C"/>
    <w:rsid w:val="00104C4C"/>
    <w:rsid w:val="0012192F"/>
    <w:rsid w:val="001231F6"/>
    <w:rsid w:val="0012546F"/>
    <w:rsid w:val="00125D69"/>
    <w:rsid w:val="00126D42"/>
    <w:rsid w:val="001367B2"/>
    <w:rsid w:val="00137C48"/>
    <w:rsid w:val="001405FA"/>
    <w:rsid w:val="001425C3"/>
    <w:rsid w:val="00142EC9"/>
    <w:rsid w:val="00147159"/>
    <w:rsid w:val="00150AC2"/>
    <w:rsid w:val="001515AC"/>
    <w:rsid w:val="0015640E"/>
    <w:rsid w:val="0016256B"/>
    <w:rsid w:val="00163793"/>
    <w:rsid w:val="00165022"/>
    <w:rsid w:val="001706D6"/>
    <w:rsid w:val="001714F2"/>
    <w:rsid w:val="001769BF"/>
    <w:rsid w:val="00184B08"/>
    <w:rsid w:val="00184DDC"/>
    <w:rsid w:val="00185010"/>
    <w:rsid w:val="00190F53"/>
    <w:rsid w:val="00197C2E"/>
    <w:rsid w:val="001A09BC"/>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7319"/>
    <w:rsid w:val="0024799E"/>
    <w:rsid w:val="00253C0F"/>
    <w:rsid w:val="00271465"/>
    <w:rsid w:val="00285412"/>
    <w:rsid w:val="002936A7"/>
    <w:rsid w:val="002A16D4"/>
    <w:rsid w:val="002A230C"/>
    <w:rsid w:val="002A76C0"/>
    <w:rsid w:val="002A7D3B"/>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034"/>
    <w:rsid w:val="003C0BB1"/>
    <w:rsid w:val="003C3490"/>
    <w:rsid w:val="003C4989"/>
    <w:rsid w:val="003D6920"/>
    <w:rsid w:val="003D7360"/>
    <w:rsid w:val="003E2014"/>
    <w:rsid w:val="003E2FEB"/>
    <w:rsid w:val="003E4C91"/>
    <w:rsid w:val="003E64EC"/>
    <w:rsid w:val="003F0157"/>
    <w:rsid w:val="003F07C0"/>
    <w:rsid w:val="003F313C"/>
    <w:rsid w:val="003F4B2C"/>
    <w:rsid w:val="003F551C"/>
    <w:rsid w:val="003F7D23"/>
    <w:rsid w:val="00400C42"/>
    <w:rsid w:val="00407C13"/>
    <w:rsid w:val="00407E59"/>
    <w:rsid w:val="00407EF7"/>
    <w:rsid w:val="00410638"/>
    <w:rsid w:val="004135F4"/>
    <w:rsid w:val="00432A58"/>
    <w:rsid w:val="00434617"/>
    <w:rsid w:val="004369A9"/>
    <w:rsid w:val="00440900"/>
    <w:rsid w:val="00441813"/>
    <w:rsid w:val="004441A0"/>
    <w:rsid w:val="00446BD4"/>
    <w:rsid w:val="0045006B"/>
    <w:rsid w:val="00460FB3"/>
    <w:rsid w:val="004755D8"/>
    <w:rsid w:val="00476240"/>
    <w:rsid w:val="00476439"/>
    <w:rsid w:val="004767D3"/>
    <w:rsid w:val="004770A0"/>
    <w:rsid w:val="0047735C"/>
    <w:rsid w:val="004776BC"/>
    <w:rsid w:val="0048139F"/>
    <w:rsid w:val="004816FC"/>
    <w:rsid w:val="00481E40"/>
    <w:rsid w:val="00484ECE"/>
    <w:rsid w:val="004915CB"/>
    <w:rsid w:val="004924DC"/>
    <w:rsid w:val="00492D50"/>
    <w:rsid w:val="004A14E4"/>
    <w:rsid w:val="004A3212"/>
    <w:rsid w:val="004A61C5"/>
    <w:rsid w:val="004A77DF"/>
    <w:rsid w:val="004B1417"/>
    <w:rsid w:val="004B4839"/>
    <w:rsid w:val="004B55B7"/>
    <w:rsid w:val="004B6468"/>
    <w:rsid w:val="004C17F9"/>
    <w:rsid w:val="004C2624"/>
    <w:rsid w:val="004C384C"/>
    <w:rsid w:val="004C3867"/>
    <w:rsid w:val="004C4CD0"/>
    <w:rsid w:val="004C70DC"/>
    <w:rsid w:val="004D002F"/>
    <w:rsid w:val="004D0211"/>
    <w:rsid w:val="004D0794"/>
    <w:rsid w:val="004D6F11"/>
    <w:rsid w:val="004E494F"/>
    <w:rsid w:val="004E5DF2"/>
    <w:rsid w:val="004F06F5"/>
    <w:rsid w:val="004F33A0"/>
    <w:rsid w:val="005108C0"/>
    <w:rsid w:val="00510E9A"/>
    <w:rsid w:val="00511679"/>
    <w:rsid w:val="00511873"/>
    <w:rsid w:val="00512A2F"/>
    <w:rsid w:val="00513B7E"/>
    <w:rsid w:val="005156A2"/>
    <w:rsid w:val="00515C74"/>
    <w:rsid w:val="0052007E"/>
    <w:rsid w:val="005218A2"/>
    <w:rsid w:val="0052337A"/>
    <w:rsid w:val="00523429"/>
    <w:rsid w:val="00525137"/>
    <w:rsid w:val="005251DD"/>
    <w:rsid w:val="00532592"/>
    <w:rsid w:val="00532CE7"/>
    <w:rsid w:val="0053324C"/>
    <w:rsid w:val="00534A28"/>
    <w:rsid w:val="0053725B"/>
    <w:rsid w:val="00541508"/>
    <w:rsid w:val="00543568"/>
    <w:rsid w:val="00546589"/>
    <w:rsid w:val="0055599F"/>
    <w:rsid w:val="00556D68"/>
    <w:rsid w:val="005647BF"/>
    <w:rsid w:val="0057364B"/>
    <w:rsid w:val="00574773"/>
    <w:rsid w:val="0057647A"/>
    <w:rsid w:val="00583FFD"/>
    <w:rsid w:val="005911BE"/>
    <w:rsid w:val="00593152"/>
    <w:rsid w:val="005A10F2"/>
    <w:rsid w:val="005A21E0"/>
    <w:rsid w:val="005A28FF"/>
    <w:rsid w:val="005A3DF8"/>
    <w:rsid w:val="005A5549"/>
    <w:rsid w:val="005A63AE"/>
    <w:rsid w:val="005B121D"/>
    <w:rsid w:val="005B400B"/>
    <w:rsid w:val="005C06ED"/>
    <w:rsid w:val="005C0A06"/>
    <w:rsid w:val="005C13EF"/>
    <w:rsid w:val="005C5114"/>
    <w:rsid w:val="005D5802"/>
    <w:rsid w:val="005D7890"/>
    <w:rsid w:val="005E7C78"/>
    <w:rsid w:val="005F3EB1"/>
    <w:rsid w:val="005F5469"/>
    <w:rsid w:val="005F566C"/>
    <w:rsid w:val="00604307"/>
    <w:rsid w:val="0060487F"/>
    <w:rsid w:val="00604EAD"/>
    <w:rsid w:val="006104FB"/>
    <w:rsid w:val="00612A2F"/>
    <w:rsid w:val="0061483F"/>
    <w:rsid w:val="00615DC1"/>
    <w:rsid w:val="00616E05"/>
    <w:rsid w:val="00624093"/>
    <w:rsid w:val="006404A7"/>
    <w:rsid w:val="006451E4"/>
    <w:rsid w:val="00645B33"/>
    <w:rsid w:val="006516CB"/>
    <w:rsid w:val="006532AF"/>
    <w:rsid w:val="00657E87"/>
    <w:rsid w:val="00664803"/>
    <w:rsid w:val="00664C18"/>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B344A"/>
    <w:rsid w:val="006B519D"/>
    <w:rsid w:val="006B78D8"/>
    <w:rsid w:val="006C113F"/>
    <w:rsid w:val="006C123E"/>
    <w:rsid w:val="006C28B1"/>
    <w:rsid w:val="006C56D4"/>
    <w:rsid w:val="006C6924"/>
    <w:rsid w:val="006C7CA6"/>
    <w:rsid w:val="006D3E8A"/>
    <w:rsid w:val="006D61F6"/>
    <w:rsid w:val="006E152D"/>
    <w:rsid w:val="006E279A"/>
    <w:rsid w:val="006E313B"/>
    <w:rsid w:val="006E70C5"/>
    <w:rsid w:val="006F5416"/>
    <w:rsid w:val="00703765"/>
    <w:rsid w:val="00706831"/>
    <w:rsid w:val="00706AD4"/>
    <w:rsid w:val="007140BE"/>
    <w:rsid w:val="007211F5"/>
    <w:rsid w:val="007219BE"/>
    <w:rsid w:val="00722DB9"/>
    <w:rsid w:val="00725BB5"/>
    <w:rsid w:val="00730AE8"/>
    <w:rsid w:val="007337E9"/>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1B6"/>
    <w:rsid w:val="007B4E42"/>
    <w:rsid w:val="007B6689"/>
    <w:rsid w:val="007D40DF"/>
    <w:rsid w:val="007E0012"/>
    <w:rsid w:val="007E0FFE"/>
    <w:rsid w:val="007E7E61"/>
    <w:rsid w:val="007E7F7F"/>
    <w:rsid w:val="007F0845"/>
    <w:rsid w:val="0080233E"/>
    <w:rsid w:val="00807C82"/>
    <w:rsid w:val="00816905"/>
    <w:rsid w:val="00816B0F"/>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32A"/>
    <w:rsid w:val="008B7C02"/>
    <w:rsid w:val="008B7D2B"/>
    <w:rsid w:val="008C0049"/>
    <w:rsid w:val="008C0E88"/>
    <w:rsid w:val="008D1E6A"/>
    <w:rsid w:val="008D2A16"/>
    <w:rsid w:val="008D5E01"/>
    <w:rsid w:val="008E2C57"/>
    <w:rsid w:val="008E31FF"/>
    <w:rsid w:val="008E639F"/>
    <w:rsid w:val="008E6F06"/>
    <w:rsid w:val="008F029B"/>
    <w:rsid w:val="008F3FC9"/>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6698B"/>
    <w:rsid w:val="00974923"/>
    <w:rsid w:val="00980D3D"/>
    <w:rsid w:val="0098111B"/>
    <w:rsid w:val="00984A96"/>
    <w:rsid w:val="00985107"/>
    <w:rsid w:val="00987A30"/>
    <w:rsid w:val="00992CF3"/>
    <w:rsid w:val="00993995"/>
    <w:rsid w:val="009968D6"/>
    <w:rsid w:val="009A1CAB"/>
    <w:rsid w:val="009A60D1"/>
    <w:rsid w:val="009B3643"/>
    <w:rsid w:val="009B6FD3"/>
    <w:rsid w:val="009C1750"/>
    <w:rsid w:val="009C2E29"/>
    <w:rsid w:val="009C554B"/>
    <w:rsid w:val="009C69A3"/>
    <w:rsid w:val="009C719E"/>
    <w:rsid w:val="009D2056"/>
    <w:rsid w:val="009D3ACD"/>
    <w:rsid w:val="009D4097"/>
    <w:rsid w:val="009E5273"/>
    <w:rsid w:val="009E5DDB"/>
    <w:rsid w:val="009F4CA7"/>
    <w:rsid w:val="009F61B0"/>
    <w:rsid w:val="00A10D6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8701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61BC"/>
    <w:rsid w:val="00AF1805"/>
    <w:rsid w:val="00AF5B49"/>
    <w:rsid w:val="00AF61DE"/>
    <w:rsid w:val="00B00913"/>
    <w:rsid w:val="00B01593"/>
    <w:rsid w:val="00B02366"/>
    <w:rsid w:val="00B02587"/>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0221"/>
    <w:rsid w:val="00BE18B9"/>
    <w:rsid w:val="00BE2495"/>
    <w:rsid w:val="00BF1578"/>
    <w:rsid w:val="00C17CC2"/>
    <w:rsid w:val="00C21F94"/>
    <w:rsid w:val="00C23641"/>
    <w:rsid w:val="00C27913"/>
    <w:rsid w:val="00C30901"/>
    <w:rsid w:val="00C33B68"/>
    <w:rsid w:val="00C36A79"/>
    <w:rsid w:val="00C404E2"/>
    <w:rsid w:val="00C405D4"/>
    <w:rsid w:val="00C4513B"/>
    <w:rsid w:val="00C45975"/>
    <w:rsid w:val="00C51CF3"/>
    <w:rsid w:val="00C52906"/>
    <w:rsid w:val="00C53448"/>
    <w:rsid w:val="00C54697"/>
    <w:rsid w:val="00C73885"/>
    <w:rsid w:val="00C747B1"/>
    <w:rsid w:val="00C82191"/>
    <w:rsid w:val="00C90CF4"/>
    <w:rsid w:val="00C92EB6"/>
    <w:rsid w:val="00C93389"/>
    <w:rsid w:val="00CA321C"/>
    <w:rsid w:val="00CB4930"/>
    <w:rsid w:val="00CC13A1"/>
    <w:rsid w:val="00CC2E7D"/>
    <w:rsid w:val="00CC406B"/>
    <w:rsid w:val="00CD10A5"/>
    <w:rsid w:val="00CD2076"/>
    <w:rsid w:val="00CD4688"/>
    <w:rsid w:val="00CE1569"/>
    <w:rsid w:val="00CE1976"/>
    <w:rsid w:val="00CE292A"/>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6223"/>
    <w:rsid w:val="00D8084C"/>
    <w:rsid w:val="00D91B06"/>
    <w:rsid w:val="00D97AE5"/>
    <w:rsid w:val="00DA3172"/>
    <w:rsid w:val="00DA3469"/>
    <w:rsid w:val="00DA7C0C"/>
    <w:rsid w:val="00DB2EC8"/>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6519D"/>
    <w:rsid w:val="00E67696"/>
    <w:rsid w:val="00E71A58"/>
    <w:rsid w:val="00E72A7A"/>
    <w:rsid w:val="00E75C94"/>
    <w:rsid w:val="00E87AC4"/>
    <w:rsid w:val="00E93820"/>
    <w:rsid w:val="00E95BAE"/>
    <w:rsid w:val="00EA0C68"/>
    <w:rsid w:val="00EA32BC"/>
    <w:rsid w:val="00EA4709"/>
    <w:rsid w:val="00EA632C"/>
    <w:rsid w:val="00EB4511"/>
    <w:rsid w:val="00EC03D7"/>
    <w:rsid w:val="00EC2D63"/>
    <w:rsid w:val="00EC617C"/>
    <w:rsid w:val="00ED62C6"/>
    <w:rsid w:val="00ED64C1"/>
    <w:rsid w:val="00EE3446"/>
    <w:rsid w:val="00EE3E78"/>
    <w:rsid w:val="00EE4B1B"/>
    <w:rsid w:val="00EF150D"/>
    <w:rsid w:val="00EF1F5A"/>
    <w:rsid w:val="00EF302A"/>
    <w:rsid w:val="00EF47BF"/>
    <w:rsid w:val="00EF639D"/>
    <w:rsid w:val="00F00DA2"/>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602B"/>
    <w:rsid w:val="00F704D2"/>
    <w:rsid w:val="00F73A0C"/>
    <w:rsid w:val="00F756DB"/>
    <w:rsid w:val="00F768E1"/>
    <w:rsid w:val="00F85066"/>
    <w:rsid w:val="00F8543A"/>
    <w:rsid w:val="00F867B0"/>
    <w:rsid w:val="00F93C46"/>
    <w:rsid w:val="00FA5D4D"/>
    <w:rsid w:val="00FA64FF"/>
    <w:rsid w:val="00FB0EE2"/>
    <w:rsid w:val="00FB2275"/>
    <w:rsid w:val="00FB542E"/>
    <w:rsid w:val="00FC0C1F"/>
    <w:rsid w:val="00FC0E5F"/>
    <w:rsid w:val="00FC1A95"/>
    <w:rsid w:val="00FC56DE"/>
    <w:rsid w:val="00FC684B"/>
    <w:rsid w:val="00FC783A"/>
    <w:rsid w:val="00FD3265"/>
    <w:rsid w:val="00FD61EB"/>
    <w:rsid w:val="00FE25B7"/>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A3459EA"/>
  <w15:docId w15:val="{ECC5FCD8-3EDC-497B-851C-FF0B35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v.cz/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ekonomickych_cinnosti_cz_nace" TargetMode="External"/><Relationship Id="rId2" Type="http://schemas.openxmlformats.org/officeDocument/2006/relationships/hyperlink" Target="http://apl.czso.cz/iSMS/cisdet.jsp?kodcis=5565" TargetMode="External"/><Relationship Id="rId1" Type="http://schemas.openxmlformats.org/officeDocument/2006/relationships/hyperlink" Target="https://www.czso.cz/csu/czso/klasifikace_zemi_-cz_geonom-" TargetMode="External"/><Relationship Id="rId4" Type="http://schemas.openxmlformats.org/officeDocument/2006/relationships/hyperlink" Target="https://www.czso.cz/csu/czso/klasifikace_uzemnich_statistickych_jednotek_-cz_nu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6361-5220-4F10-B659-78BCF463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151</TotalTime>
  <Pages>5</Pages>
  <Words>1827</Words>
  <Characters>10784</Characters>
  <Application>Microsoft Office Word</Application>
  <DocSecurity>0</DocSecurity>
  <Lines>89</Lines>
  <Paragraphs>25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Karel Novotný</cp:lastModifiedBy>
  <cp:revision>32</cp:revision>
  <cp:lastPrinted>2017-10-09T11:42:00Z</cp:lastPrinted>
  <dcterms:created xsi:type="dcterms:W3CDTF">2017-10-11T13:25:00Z</dcterms:created>
  <dcterms:modified xsi:type="dcterms:W3CDTF">2019-10-10T11:57:00Z</dcterms:modified>
</cp:coreProperties>
</file>