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6D" w:rsidRPr="00190C4A" w:rsidRDefault="009417B7" w:rsidP="009417B7">
      <w:pPr>
        <w:numPr>
          <w:ilvl w:val="0"/>
          <w:numId w:val="1"/>
        </w:numPr>
        <w:tabs>
          <w:tab w:val="clear" w:pos="720"/>
          <w:tab w:val="num" w:pos="284"/>
        </w:tabs>
        <w:spacing w:line="288" w:lineRule="auto"/>
        <w:ind w:left="284" w:hanging="284"/>
        <w:outlineLvl w:val="0"/>
        <w:rPr>
          <w:rFonts w:ascii="Arial" w:hAnsi="Arial" w:cs="Arial"/>
          <w:b/>
          <w:i/>
          <w:color w:val="0071BC"/>
          <w:sz w:val="32"/>
          <w:szCs w:val="32"/>
          <w:lang w:val="en-GB"/>
        </w:rPr>
      </w:pPr>
      <w:bookmarkStart w:id="0" w:name="_Toc499879039"/>
      <w:r w:rsidRPr="00190C4A">
        <w:rPr>
          <w:rFonts w:ascii="Arial" w:hAnsi="Arial" w:cs="Arial"/>
          <w:b/>
          <w:i/>
          <w:color w:val="0071BC"/>
          <w:sz w:val="32"/>
          <w:szCs w:val="32"/>
          <w:lang w:val="en-GB"/>
        </w:rPr>
        <w:t>Structure of agricultural holdings broken down by economic size classes</w:t>
      </w:r>
      <w:bookmarkEnd w:id="0"/>
    </w:p>
    <w:p w:rsidR="00182D6D" w:rsidRPr="00CA56E3" w:rsidRDefault="00182D6D" w:rsidP="009417B7">
      <w:pPr>
        <w:spacing w:before="240" w:line="288" w:lineRule="auto"/>
        <w:ind w:firstLine="539"/>
        <w:jc w:val="both"/>
        <w:rPr>
          <w:rFonts w:ascii="Arial" w:hAnsi="Arial" w:cs="Arial"/>
          <w:i/>
          <w:sz w:val="20"/>
          <w:szCs w:val="20"/>
          <w:lang w:val="en-GB"/>
        </w:rPr>
      </w:pPr>
      <w:r w:rsidRPr="00CA56E3">
        <w:rPr>
          <w:rFonts w:ascii="Arial" w:hAnsi="Arial" w:cs="Arial"/>
          <w:i/>
          <w:sz w:val="20"/>
          <w:szCs w:val="20"/>
          <w:lang w:val="en-GB"/>
        </w:rPr>
        <w:t>As stated in the previous chapter, the EU</w:t>
      </w:r>
      <w:r w:rsidRPr="00CA56E3">
        <w:rPr>
          <w:rFonts w:ascii="Arial" w:hAnsi="Arial" w:cs="Arial"/>
          <w:i/>
          <w:sz w:val="20"/>
          <w:szCs w:val="20"/>
        </w:rPr>
        <w:t xml:space="preserve"> </w:t>
      </w:r>
      <w:r w:rsidRPr="00CA56E3">
        <w:rPr>
          <w:rFonts w:ascii="Arial" w:hAnsi="Arial" w:cs="Arial"/>
          <w:i/>
          <w:sz w:val="20"/>
          <w:szCs w:val="20"/>
          <w:lang w:val="en-GB"/>
        </w:rPr>
        <w:t>agricultural holdings classification system enables a detailed breakdown of agricultural holdings into 14 economic size classes. For the purposes of this evaluation, the classes were merged into three basic groups of economic size. The analysis covers small-scale holdings (economic size class I.-V.), medium-scale holdings (economic size class VI.-IX.) and large-scale holdings (economic size class X.-XIV.). Results of the Farm Structure Survey concerning economic size structure of holdings are given in Table 3.</w:t>
      </w:r>
    </w:p>
    <w:p w:rsidR="00182D6D" w:rsidRPr="00CA56E3" w:rsidRDefault="00182D6D" w:rsidP="009417B7">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The most numerous group is represented by small holdings that make up less than two thirds (60%) of all agricultural holdings in the CR.  The second most represented is a group of medium-scale agricultural holdings (33%). The group of large agricultural holdings (7%) is the least numerous one. In detail, the economic size class III includes most of the holdings (4 347 holdings), followed by economic size class IV (4 320 holdings) and class VI (3 190 holdings). The smallest number of agricultural holdings belongs to size class XI, where belong only 266 holdings. Despite this is the least represented group, the substantial part of the agricultural production of the CR is concentrated within large-scale agricultural holdings (economic size class X.-XIV.). These holdings cover 66% of utilised agriculture area and 76% of animal production (in livestock units). The opposite situation is represented by small-scale holdings (mostly natural persons), which involve the largest number of the holdings, but utilise only 5% of the agricultural land resources and rear appr</w:t>
      </w:r>
      <w:r w:rsidR="00CA56E3">
        <w:rPr>
          <w:rFonts w:ascii="Arial" w:hAnsi="Arial" w:cs="Arial"/>
          <w:i/>
          <w:sz w:val="20"/>
          <w:szCs w:val="20"/>
          <w:lang w:val="en-GB"/>
        </w:rPr>
        <w:t xml:space="preserve">oximately 4% of the livestock. </w:t>
      </w:r>
    </w:p>
    <w:p w:rsidR="00182D6D" w:rsidRDefault="00182D6D" w:rsidP="009417B7">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The results of the structural survey show the dependency between economic size and the legal form of agricultural holdings. Approximately two thirds of natural persons (66%) were included into the small-scale economic size class (I.-V.). The share of large holdings is negligible (1%) in the natural persons’ group. A completely different size structure is formed by legal person holdings with more than half of large-scale holdings (52%). Approximately 39% of legal person holdings fall into the medium size classes. Remaining 9% represent the small size legal persons, for which in many cases the agricultural production is not their principal orientation.</w:t>
      </w:r>
    </w:p>
    <w:p w:rsidR="00CA56E3" w:rsidRDefault="00CA56E3" w:rsidP="009417B7">
      <w:pPr>
        <w:spacing w:line="288" w:lineRule="auto"/>
        <w:rPr>
          <w:rFonts w:ascii="Arial" w:hAnsi="Arial" w:cs="Arial"/>
          <w:i/>
          <w:sz w:val="20"/>
          <w:szCs w:val="20"/>
          <w:lang w:val="en-GB"/>
        </w:rPr>
      </w:pPr>
      <w:r>
        <w:rPr>
          <w:rFonts w:ascii="Arial" w:hAnsi="Arial" w:cs="Arial"/>
          <w:i/>
          <w:sz w:val="20"/>
          <w:szCs w:val="20"/>
          <w:lang w:val="en-GB"/>
        </w:rPr>
        <w:br w:type="page"/>
      </w:r>
    </w:p>
    <w:p w:rsidR="00CA56E3" w:rsidRPr="00CA56E3" w:rsidRDefault="00CA56E3" w:rsidP="009417B7">
      <w:pPr>
        <w:pStyle w:val="Normlnweb"/>
        <w:tabs>
          <w:tab w:val="left" w:pos="360"/>
        </w:tabs>
        <w:spacing w:line="288" w:lineRule="auto"/>
        <w:rPr>
          <w:rFonts w:ascii="Arial" w:hAnsi="Arial" w:cs="Arial"/>
          <w:i/>
          <w:sz w:val="20"/>
          <w:szCs w:val="20"/>
          <w:lang w:val="en-GB"/>
        </w:rPr>
      </w:pPr>
    </w:p>
    <w:p w:rsidR="00182D6D" w:rsidRPr="00CA56E3" w:rsidRDefault="00182D6D" w:rsidP="009417B7">
      <w:pPr>
        <w:spacing w:line="288" w:lineRule="auto"/>
        <w:rPr>
          <w:rFonts w:ascii="Arial" w:hAnsi="Arial" w:cs="Arial"/>
          <w:i/>
          <w:sz w:val="20"/>
          <w:szCs w:val="20"/>
          <w:lang w:val="en-GB"/>
        </w:rPr>
      </w:pPr>
      <w:r w:rsidRPr="00CA56E3">
        <w:rPr>
          <w:rFonts w:ascii="Arial" w:hAnsi="Arial" w:cs="Arial"/>
          <w:b/>
          <w:i/>
          <w:sz w:val="20"/>
          <w:szCs w:val="20"/>
          <w:lang w:val="en-GB"/>
        </w:rPr>
        <w:t>Table 3: Structure of the holdings broken down by their economic size</w:t>
      </w:r>
    </w:p>
    <w:tbl>
      <w:tblPr>
        <w:tblW w:w="910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61"/>
        <w:gridCol w:w="1191"/>
        <w:gridCol w:w="1191"/>
        <w:gridCol w:w="1191"/>
        <w:gridCol w:w="1191"/>
        <w:gridCol w:w="1191"/>
        <w:gridCol w:w="1191"/>
      </w:tblGrid>
      <w:tr w:rsidR="00182D6D" w:rsidRPr="00CA56E3" w:rsidTr="00EF483D">
        <w:trPr>
          <w:trHeight w:val="270"/>
        </w:trPr>
        <w:tc>
          <w:tcPr>
            <w:tcW w:w="1961" w:type="dxa"/>
            <w:vMerge w:val="restart"/>
            <w:tcBorders>
              <w:top w:val="double" w:sz="4" w:space="0" w:color="auto"/>
              <w:left w:val="double" w:sz="4" w:space="0" w:color="auto"/>
              <w:bottom w:val="sing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Economic size class</w:t>
            </w:r>
          </w:p>
        </w:tc>
        <w:tc>
          <w:tcPr>
            <w:tcW w:w="2382" w:type="dxa"/>
            <w:gridSpan w:val="2"/>
            <w:tcBorders>
              <w:top w:val="double" w:sz="4" w:space="0" w:color="auto"/>
              <w:bottom w:val="single" w:sz="4" w:space="0" w:color="auto"/>
            </w:tcBorders>
            <w:shd w:val="clear" w:color="auto" w:fill="auto"/>
            <w:noWrap/>
            <w:vAlign w:val="center"/>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Agricultural holdings, total</w:t>
            </w:r>
          </w:p>
        </w:tc>
        <w:tc>
          <w:tcPr>
            <w:tcW w:w="2382" w:type="dxa"/>
            <w:gridSpan w:val="2"/>
            <w:tcBorders>
              <w:top w:val="double" w:sz="4" w:space="0" w:color="auto"/>
              <w:bottom w:val="single" w:sz="4" w:space="0" w:color="auto"/>
            </w:tcBorders>
            <w:shd w:val="clear" w:color="auto" w:fill="auto"/>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Holdings of natural persons</w:t>
            </w:r>
          </w:p>
        </w:tc>
        <w:tc>
          <w:tcPr>
            <w:tcW w:w="2382" w:type="dxa"/>
            <w:gridSpan w:val="2"/>
            <w:tcBorders>
              <w:top w:val="double" w:sz="4" w:space="0" w:color="auto"/>
              <w:bottom w:val="single" w:sz="4" w:space="0" w:color="auto"/>
              <w:right w:val="double" w:sz="4" w:space="0" w:color="auto"/>
            </w:tcBorders>
            <w:shd w:val="clear" w:color="auto" w:fill="auto"/>
            <w:vAlign w:val="center"/>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Holdings of legal persons</w:t>
            </w:r>
          </w:p>
        </w:tc>
      </w:tr>
      <w:tr w:rsidR="00182D6D" w:rsidRPr="00CA56E3" w:rsidTr="00EF483D">
        <w:trPr>
          <w:trHeight w:val="270"/>
        </w:trPr>
        <w:tc>
          <w:tcPr>
            <w:tcW w:w="1961" w:type="dxa"/>
            <w:vMerge/>
            <w:tcBorders>
              <w:top w:val="single" w:sz="4" w:space="0" w:color="auto"/>
              <w:left w:val="double" w:sz="4" w:space="0" w:color="auto"/>
              <w:bottom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p>
        </w:tc>
        <w:tc>
          <w:tcPr>
            <w:tcW w:w="1191" w:type="dxa"/>
            <w:tcBorders>
              <w:top w:val="single" w:sz="4" w:space="0" w:color="auto"/>
              <w:bottom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Abs.</w:t>
            </w:r>
          </w:p>
        </w:tc>
        <w:tc>
          <w:tcPr>
            <w:tcW w:w="1191" w:type="dxa"/>
            <w:tcBorders>
              <w:top w:val="single" w:sz="4" w:space="0" w:color="auto"/>
              <w:bottom w:val="double" w:sz="4" w:space="0" w:color="auto"/>
            </w:tcBorders>
            <w:shd w:val="clear" w:color="auto" w:fill="auto"/>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w:t>
            </w:r>
          </w:p>
        </w:tc>
        <w:tc>
          <w:tcPr>
            <w:tcW w:w="1191" w:type="dxa"/>
            <w:tcBorders>
              <w:top w:val="single" w:sz="4" w:space="0" w:color="auto"/>
              <w:bottom w:val="double" w:sz="4" w:space="0" w:color="auto"/>
            </w:tcBorders>
            <w:shd w:val="clear" w:color="auto" w:fill="auto"/>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Abs.</w:t>
            </w:r>
          </w:p>
        </w:tc>
        <w:tc>
          <w:tcPr>
            <w:tcW w:w="1191" w:type="dxa"/>
            <w:tcBorders>
              <w:top w:val="single" w:sz="4" w:space="0" w:color="auto"/>
              <w:bottom w:val="double" w:sz="4" w:space="0" w:color="auto"/>
            </w:tcBorders>
            <w:shd w:val="clear" w:color="auto" w:fill="auto"/>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w:t>
            </w:r>
          </w:p>
        </w:tc>
        <w:tc>
          <w:tcPr>
            <w:tcW w:w="1191" w:type="dxa"/>
            <w:tcBorders>
              <w:top w:val="single" w:sz="4" w:space="0" w:color="auto"/>
              <w:bottom w:val="double" w:sz="4" w:space="0" w:color="auto"/>
            </w:tcBorders>
            <w:shd w:val="clear" w:color="auto" w:fill="auto"/>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Abs.</w:t>
            </w:r>
          </w:p>
        </w:tc>
        <w:tc>
          <w:tcPr>
            <w:tcW w:w="1191" w:type="dxa"/>
            <w:tcBorders>
              <w:top w:val="single" w:sz="4" w:space="0" w:color="auto"/>
              <w:bottom w:val="double" w:sz="4" w:space="0" w:color="auto"/>
              <w:right w:val="double" w:sz="4" w:space="0" w:color="auto"/>
            </w:tcBorders>
            <w:shd w:val="clear" w:color="auto" w:fill="auto"/>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w:t>
            </w:r>
          </w:p>
        </w:tc>
      </w:tr>
      <w:tr w:rsidR="00182D6D" w:rsidRPr="00CA56E3" w:rsidTr="00EF483D">
        <w:trPr>
          <w:trHeight w:val="170"/>
        </w:trPr>
        <w:tc>
          <w:tcPr>
            <w:tcW w:w="1961" w:type="dxa"/>
            <w:tcBorders>
              <w:top w:val="double" w:sz="4" w:space="0" w:color="auto"/>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lang w:val="cs-CZ"/>
              </w:rPr>
            </w:pPr>
            <w:r w:rsidRPr="00CA56E3">
              <w:rPr>
                <w:rFonts w:ascii="Arial" w:hAnsi="Arial" w:cs="Arial"/>
                <w:i/>
                <w:color w:val="000000"/>
                <w:sz w:val="20"/>
                <w:szCs w:val="20"/>
              </w:rPr>
              <w:t>1</w:t>
            </w:r>
            <w:r w:rsidR="00EF483D" w:rsidRPr="00CA56E3">
              <w:rPr>
                <w:rFonts w:ascii="Arial" w:hAnsi="Arial" w:cs="Arial"/>
                <w:i/>
                <w:color w:val="000000"/>
                <w:sz w:val="20"/>
                <w:szCs w:val="20"/>
              </w:rPr>
              <w:t> </w:t>
            </w:r>
            <w:r w:rsidRPr="00CA56E3">
              <w:rPr>
                <w:rFonts w:ascii="Arial" w:hAnsi="Arial" w:cs="Arial"/>
                <w:i/>
                <w:color w:val="000000"/>
                <w:sz w:val="20"/>
                <w:szCs w:val="20"/>
              </w:rPr>
              <w:t>160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w:t>
            </w:r>
            <w:r w:rsidR="00EF483D" w:rsidRPr="00CA56E3">
              <w:rPr>
                <w:rFonts w:ascii="Arial" w:hAnsi="Arial" w:cs="Arial"/>
                <w:i/>
                <w:color w:val="000000"/>
                <w:sz w:val="20"/>
                <w:szCs w:val="20"/>
              </w:rPr>
              <w:t> </w:t>
            </w:r>
            <w:r w:rsidRPr="00CA56E3">
              <w:rPr>
                <w:rFonts w:ascii="Arial" w:hAnsi="Arial" w:cs="Arial"/>
                <w:i/>
                <w:color w:val="000000"/>
                <w:sz w:val="20"/>
                <w:szCs w:val="20"/>
              </w:rPr>
              <w:t>159</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5,0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0,0</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II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r w:rsidR="00EF483D" w:rsidRPr="00CA56E3">
              <w:rPr>
                <w:rFonts w:ascii="Arial" w:hAnsi="Arial" w:cs="Arial"/>
                <w:i/>
                <w:color w:val="000000"/>
                <w:sz w:val="20"/>
                <w:szCs w:val="20"/>
              </w:rPr>
              <w:t> </w:t>
            </w:r>
            <w:r w:rsidRPr="00CA56E3">
              <w:rPr>
                <w:rFonts w:ascii="Arial" w:hAnsi="Arial" w:cs="Arial"/>
                <w:i/>
                <w:color w:val="000000"/>
                <w:sz w:val="20"/>
                <w:szCs w:val="20"/>
              </w:rPr>
              <w:t>841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10,7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r w:rsidR="00EF483D" w:rsidRPr="00CA56E3">
              <w:rPr>
                <w:rFonts w:ascii="Arial" w:hAnsi="Arial" w:cs="Arial"/>
                <w:i/>
                <w:color w:val="000000"/>
                <w:sz w:val="20"/>
                <w:szCs w:val="20"/>
              </w:rPr>
              <w:t> </w:t>
            </w:r>
            <w:r w:rsidRPr="00CA56E3">
              <w:rPr>
                <w:rFonts w:ascii="Arial" w:hAnsi="Arial" w:cs="Arial"/>
                <w:i/>
                <w:color w:val="000000"/>
                <w:sz w:val="20"/>
                <w:szCs w:val="20"/>
              </w:rPr>
              <w:t>827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12,1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14</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0,5</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III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w:t>
            </w:r>
            <w:r w:rsidR="00EF483D" w:rsidRPr="00CA56E3">
              <w:rPr>
                <w:rFonts w:ascii="Arial" w:hAnsi="Arial" w:cs="Arial"/>
                <w:i/>
                <w:color w:val="000000"/>
                <w:sz w:val="20"/>
                <w:szCs w:val="20"/>
              </w:rPr>
              <w:t> </w:t>
            </w:r>
            <w:r w:rsidRPr="00CA56E3">
              <w:rPr>
                <w:rFonts w:ascii="Arial" w:hAnsi="Arial" w:cs="Arial"/>
                <w:i/>
                <w:color w:val="000000"/>
                <w:sz w:val="20"/>
                <w:szCs w:val="20"/>
              </w:rPr>
              <w:t>347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16,4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w:t>
            </w:r>
            <w:r w:rsidR="00EF483D" w:rsidRPr="00CA56E3">
              <w:rPr>
                <w:rFonts w:ascii="Arial" w:hAnsi="Arial" w:cs="Arial"/>
                <w:i/>
                <w:color w:val="000000"/>
                <w:sz w:val="20"/>
                <w:szCs w:val="20"/>
              </w:rPr>
              <w:t> </w:t>
            </w:r>
            <w:r w:rsidRPr="00CA56E3">
              <w:rPr>
                <w:rFonts w:ascii="Arial" w:hAnsi="Arial" w:cs="Arial"/>
                <w:i/>
                <w:color w:val="000000"/>
                <w:sz w:val="20"/>
                <w:szCs w:val="20"/>
              </w:rPr>
              <w:t>286</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18,4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61</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2,0</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IV</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w:t>
            </w:r>
            <w:r w:rsidR="00EF483D" w:rsidRPr="00CA56E3">
              <w:rPr>
                <w:rFonts w:ascii="Arial" w:hAnsi="Arial" w:cs="Arial"/>
                <w:i/>
                <w:color w:val="000000"/>
                <w:sz w:val="20"/>
                <w:szCs w:val="20"/>
              </w:rPr>
              <w:t> </w:t>
            </w:r>
            <w:r w:rsidRPr="00CA56E3">
              <w:rPr>
                <w:rFonts w:ascii="Arial" w:hAnsi="Arial" w:cs="Arial"/>
                <w:i/>
                <w:color w:val="000000"/>
                <w:sz w:val="20"/>
                <w:szCs w:val="20"/>
              </w:rPr>
              <w:t>320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16,3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w:t>
            </w:r>
            <w:r w:rsidR="00EF483D" w:rsidRPr="00CA56E3">
              <w:rPr>
                <w:rFonts w:ascii="Arial" w:hAnsi="Arial" w:cs="Arial"/>
                <w:i/>
                <w:color w:val="000000"/>
                <w:sz w:val="20"/>
                <w:szCs w:val="20"/>
              </w:rPr>
              <w:t> </w:t>
            </w:r>
            <w:r w:rsidRPr="00CA56E3">
              <w:rPr>
                <w:rFonts w:ascii="Arial" w:hAnsi="Arial" w:cs="Arial"/>
                <w:i/>
                <w:color w:val="000000"/>
                <w:sz w:val="20"/>
                <w:szCs w:val="20"/>
              </w:rPr>
              <w:t>211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18,1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109</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3,5</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V</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w:t>
            </w:r>
            <w:r w:rsidR="00EF483D" w:rsidRPr="00CA56E3">
              <w:rPr>
                <w:rFonts w:ascii="Arial" w:hAnsi="Arial" w:cs="Arial"/>
                <w:i/>
                <w:color w:val="000000"/>
                <w:sz w:val="20"/>
                <w:szCs w:val="20"/>
              </w:rPr>
              <w:t> </w:t>
            </w:r>
            <w:r w:rsidRPr="00CA56E3">
              <w:rPr>
                <w:rFonts w:ascii="Arial" w:hAnsi="Arial" w:cs="Arial"/>
                <w:i/>
                <w:color w:val="000000"/>
                <w:sz w:val="20"/>
                <w:szCs w:val="20"/>
              </w:rPr>
              <w:t>052</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11,5</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r w:rsidR="00EF483D" w:rsidRPr="00CA56E3">
              <w:rPr>
                <w:rFonts w:ascii="Arial" w:hAnsi="Arial" w:cs="Arial"/>
                <w:i/>
                <w:color w:val="000000"/>
                <w:sz w:val="20"/>
                <w:szCs w:val="20"/>
              </w:rPr>
              <w:t> </w:t>
            </w:r>
            <w:r w:rsidRPr="00CA56E3">
              <w:rPr>
                <w:rFonts w:ascii="Arial" w:hAnsi="Arial" w:cs="Arial"/>
                <w:i/>
                <w:color w:val="000000"/>
                <w:sz w:val="20"/>
                <w:szCs w:val="20"/>
              </w:rPr>
              <w:t>951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12,7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101</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3,2</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 xml:space="preserve"> Small (I.-V.)</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15</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720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59,5</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15</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434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66,2</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286</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9,2</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VI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w:t>
            </w:r>
            <w:r w:rsidR="00EF483D" w:rsidRPr="00CA56E3">
              <w:rPr>
                <w:rFonts w:ascii="Arial" w:hAnsi="Arial" w:cs="Arial"/>
                <w:i/>
                <w:color w:val="000000"/>
                <w:sz w:val="20"/>
                <w:szCs w:val="20"/>
              </w:rPr>
              <w:t> </w:t>
            </w:r>
            <w:r w:rsidRPr="00CA56E3">
              <w:rPr>
                <w:rFonts w:ascii="Arial" w:hAnsi="Arial" w:cs="Arial"/>
                <w:i/>
                <w:color w:val="000000"/>
                <w:sz w:val="20"/>
                <w:szCs w:val="20"/>
              </w:rPr>
              <w:t>190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12,1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w:t>
            </w:r>
            <w:r w:rsidR="00EF483D" w:rsidRPr="00CA56E3">
              <w:rPr>
                <w:rFonts w:ascii="Arial" w:hAnsi="Arial" w:cs="Arial"/>
                <w:i/>
                <w:color w:val="000000"/>
                <w:sz w:val="20"/>
                <w:szCs w:val="20"/>
              </w:rPr>
              <w:t> </w:t>
            </w:r>
            <w:r w:rsidRPr="00CA56E3">
              <w:rPr>
                <w:rFonts w:ascii="Arial" w:hAnsi="Arial" w:cs="Arial"/>
                <w:i/>
                <w:color w:val="000000"/>
                <w:sz w:val="20"/>
                <w:szCs w:val="20"/>
              </w:rPr>
              <w:t>025</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13,0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166</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5,3</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VII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r w:rsidR="00EF483D" w:rsidRPr="00CA56E3">
              <w:rPr>
                <w:rFonts w:ascii="Arial" w:hAnsi="Arial" w:cs="Arial"/>
                <w:i/>
                <w:color w:val="000000"/>
                <w:sz w:val="20"/>
                <w:szCs w:val="20"/>
              </w:rPr>
              <w:t> </w:t>
            </w:r>
            <w:r w:rsidRPr="00CA56E3">
              <w:rPr>
                <w:rFonts w:ascii="Arial" w:hAnsi="Arial" w:cs="Arial"/>
                <w:i/>
                <w:color w:val="000000"/>
                <w:sz w:val="20"/>
                <w:szCs w:val="20"/>
              </w:rPr>
              <w:t>396</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9,1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r w:rsidR="00EF483D" w:rsidRPr="00CA56E3">
              <w:rPr>
                <w:rFonts w:ascii="Arial" w:hAnsi="Arial" w:cs="Arial"/>
                <w:i/>
                <w:color w:val="000000"/>
                <w:sz w:val="20"/>
                <w:szCs w:val="20"/>
              </w:rPr>
              <w:t> </w:t>
            </w:r>
            <w:r w:rsidRPr="00CA56E3">
              <w:rPr>
                <w:rFonts w:ascii="Arial" w:hAnsi="Arial" w:cs="Arial"/>
                <w:i/>
                <w:color w:val="000000"/>
                <w:sz w:val="20"/>
                <w:szCs w:val="20"/>
              </w:rPr>
              <w:t>187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9,4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208</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6,7</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VIII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r w:rsidR="00EF483D" w:rsidRPr="00CA56E3">
              <w:rPr>
                <w:rFonts w:ascii="Arial" w:hAnsi="Arial" w:cs="Arial"/>
                <w:i/>
                <w:color w:val="000000"/>
                <w:sz w:val="20"/>
                <w:szCs w:val="20"/>
              </w:rPr>
              <w:t> </w:t>
            </w:r>
            <w:r w:rsidRPr="00CA56E3">
              <w:rPr>
                <w:rFonts w:ascii="Arial" w:hAnsi="Arial" w:cs="Arial"/>
                <w:i/>
                <w:color w:val="000000"/>
                <w:sz w:val="20"/>
                <w:szCs w:val="20"/>
              </w:rPr>
              <w:t>229</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8,4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w:t>
            </w:r>
            <w:r w:rsidR="00EF483D" w:rsidRPr="00CA56E3">
              <w:rPr>
                <w:rFonts w:ascii="Arial" w:hAnsi="Arial" w:cs="Arial"/>
                <w:i/>
                <w:color w:val="000000"/>
                <w:sz w:val="20"/>
                <w:szCs w:val="20"/>
              </w:rPr>
              <w:t> </w:t>
            </w:r>
            <w:r w:rsidRPr="00CA56E3">
              <w:rPr>
                <w:rFonts w:ascii="Arial" w:hAnsi="Arial" w:cs="Arial"/>
                <w:i/>
                <w:color w:val="000000"/>
                <w:sz w:val="20"/>
                <w:szCs w:val="20"/>
              </w:rPr>
              <w:t>793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7,7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437</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14,1</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IX</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978</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570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409</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13,2</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Medium (VI.-IX.)</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8</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794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33,3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7</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575</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32,5</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219</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39,2</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X</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439</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1,7</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178</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0,8</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261</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8,4</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XI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266</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64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202</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6,5</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XII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358</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51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0,2</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307</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9,9</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XIII</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512</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1,9</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0,1</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489</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15,7</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i/>
                <w:sz w:val="20"/>
                <w:szCs w:val="20"/>
                <w:lang w:val="en-GB"/>
              </w:rPr>
            </w:pPr>
            <w:r w:rsidRPr="00CA56E3">
              <w:rPr>
                <w:rFonts w:ascii="Arial" w:hAnsi="Arial" w:cs="Arial"/>
                <w:i/>
                <w:sz w:val="20"/>
                <w:szCs w:val="20"/>
                <w:lang w:val="en-GB"/>
              </w:rPr>
              <w:t>XIV</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345</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2</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0,0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343</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i/>
                <w:color w:val="000000"/>
                <w:sz w:val="20"/>
                <w:szCs w:val="20"/>
              </w:rPr>
            </w:pPr>
            <w:r w:rsidRPr="00CA56E3">
              <w:rPr>
                <w:rFonts w:ascii="Arial" w:hAnsi="Arial" w:cs="Arial"/>
                <w:i/>
                <w:color w:val="000000"/>
                <w:sz w:val="20"/>
                <w:szCs w:val="20"/>
              </w:rPr>
              <w:t>11,0</w:t>
            </w:r>
          </w:p>
        </w:tc>
      </w:tr>
      <w:tr w:rsidR="00182D6D" w:rsidRPr="00CA56E3" w:rsidTr="00EF483D">
        <w:trPr>
          <w:trHeight w:val="170"/>
        </w:trPr>
        <w:tc>
          <w:tcPr>
            <w:tcW w:w="1961" w:type="dxa"/>
            <w:tcBorders>
              <w:left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Large (X.-XIV.)</w:t>
            </w:r>
          </w:p>
        </w:tc>
        <w:tc>
          <w:tcPr>
            <w:tcW w:w="1191" w:type="dxa"/>
            <w:tcBorders>
              <w:top w:val="nil"/>
              <w:left w:val="nil"/>
              <w:bottom w:val="single" w:sz="8"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920</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7,3</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318</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1,4</w:t>
            </w:r>
          </w:p>
        </w:tc>
        <w:tc>
          <w:tcPr>
            <w:tcW w:w="1191" w:type="dxa"/>
            <w:tcBorders>
              <w:top w:val="nil"/>
              <w:left w:val="nil"/>
              <w:bottom w:val="single" w:sz="8"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602</w:t>
            </w:r>
          </w:p>
        </w:tc>
        <w:tc>
          <w:tcPr>
            <w:tcW w:w="1191" w:type="dxa"/>
            <w:tcBorders>
              <w:top w:val="nil"/>
              <w:left w:val="nil"/>
              <w:bottom w:val="single" w:sz="8"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51,6</w:t>
            </w:r>
          </w:p>
        </w:tc>
      </w:tr>
      <w:tr w:rsidR="00182D6D" w:rsidRPr="00CA56E3" w:rsidTr="00EF483D">
        <w:trPr>
          <w:trHeight w:val="170"/>
        </w:trPr>
        <w:tc>
          <w:tcPr>
            <w:tcW w:w="1961" w:type="dxa"/>
            <w:tcBorders>
              <w:left w:val="double" w:sz="4" w:space="0" w:color="auto"/>
              <w:bottom w:val="double" w:sz="4" w:space="0" w:color="auto"/>
            </w:tcBorders>
            <w:shd w:val="clear" w:color="auto" w:fill="auto"/>
            <w:noWrap/>
            <w:vAlign w:val="bottom"/>
          </w:tcPr>
          <w:p w:rsidR="00182D6D" w:rsidRPr="00CA56E3" w:rsidRDefault="00182D6D" w:rsidP="009417B7">
            <w:pPr>
              <w:spacing w:line="288" w:lineRule="auto"/>
              <w:jc w:val="center"/>
              <w:rPr>
                <w:rFonts w:ascii="Arial" w:hAnsi="Arial" w:cs="Arial"/>
                <w:b/>
                <w:i/>
                <w:sz w:val="20"/>
                <w:szCs w:val="20"/>
                <w:lang w:val="en-GB"/>
              </w:rPr>
            </w:pPr>
            <w:r w:rsidRPr="00CA56E3">
              <w:rPr>
                <w:rFonts w:ascii="Arial" w:hAnsi="Arial" w:cs="Arial"/>
                <w:b/>
                <w:i/>
                <w:sz w:val="20"/>
                <w:szCs w:val="20"/>
                <w:lang w:val="en-GB"/>
              </w:rPr>
              <w:t>Total*</w:t>
            </w:r>
          </w:p>
        </w:tc>
        <w:tc>
          <w:tcPr>
            <w:tcW w:w="1191" w:type="dxa"/>
            <w:tcBorders>
              <w:top w:val="nil"/>
              <w:left w:val="nil"/>
              <w:bottom w:val="double" w:sz="6" w:space="0" w:color="auto"/>
              <w:right w:val="single" w:sz="8" w:space="0" w:color="auto"/>
            </w:tcBorders>
            <w:shd w:val="clear" w:color="auto" w:fill="auto"/>
            <w:noWrap/>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26</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434</w:t>
            </w:r>
          </w:p>
        </w:tc>
        <w:tc>
          <w:tcPr>
            <w:tcW w:w="1191" w:type="dxa"/>
            <w:tcBorders>
              <w:top w:val="nil"/>
              <w:left w:val="nil"/>
              <w:bottom w:val="double" w:sz="6"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100,0</w:t>
            </w:r>
          </w:p>
        </w:tc>
        <w:tc>
          <w:tcPr>
            <w:tcW w:w="1191" w:type="dxa"/>
            <w:tcBorders>
              <w:top w:val="nil"/>
              <w:left w:val="nil"/>
              <w:bottom w:val="double" w:sz="6"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23</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327</w:t>
            </w:r>
          </w:p>
        </w:tc>
        <w:tc>
          <w:tcPr>
            <w:tcW w:w="1191" w:type="dxa"/>
            <w:tcBorders>
              <w:top w:val="nil"/>
              <w:left w:val="nil"/>
              <w:bottom w:val="double" w:sz="6"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100,0</w:t>
            </w:r>
          </w:p>
        </w:tc>
        <w:tc>
          <w:tcPr>
            <w:tcW w:w="1191" w:type="dxa"/>
            <w:tcBorders>
              <w:top w:val="nil"/>
              <w:left w:val="nil"/>
              <w:bottom w:val="double" w:sz="6" w:space="0" w:color="auto"/>
              <w:right w:val="single" w:sz="8"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3</w:t>
            </w:r>
            <w:r w:rsidR="00EF483D" w:rsidRPr="00CA56E3">
              <w:rPr>
                <w:rFonts w:ascii="Arial" w:hAnsi="Arial" w:cs="Arial"/>
                <w:b/>
                <w:bCs/>
                <w:i/>
                <w:color w:val="000000"/>
                <w:sz w:val="20"/>
                <w:szCs w:val="20"/>
              </w:rPr>
              <w:t> </w:t>
            </w:r>
            <w:r w:rsidRPr="00CA56E3">
              <w:rPr>
                <w:rFonts w:ascii="Arial" w:hAnsi="Arial" w:cs="Arial"/>
                <w:b/>
                <w:bCs/>
                <w:i/>
                <w:color w:val="000000"/>
                <w:sz w:val="20"/>
                <w:szCs w:val="20"/>
              </w:rPr>
              <w:t>107</w:t>
            </w:r>
          </w:p>
        </w:tc>
        <w:tc>
          <w:tcPr>
            <w:tcW w:w="1191" w:type="dxa"/>
            <w:tcBorders>
              <w:top w:val="nil"/>
              <w:left w:val="nil"/>
              <w:bottom w:val="double" w:sz="6" w:space="0" w:color="auto"/>
              <w:right w:val="double" w:sz="6" w:space="0" w:color="auto"/>
            </w:tcBorders>
            <w:shd w:val="clear" w:color="auto" w:fill="auto"/>
            <w:vAlign w:val="center"/>
          </w:tcPr>
          <w:p w:rsidR="00182D6D" w:rsidRPr="00CA56E3" w:rsidRDefault="00182D6D" w:rsidP="009417B7">
            <w:pPr>
              <w:spacing w:line="288" w:lineRule="auto"/>
              <w:jc w:val="right"/>
              <w:rPr>
                <w:rFonts w:ascii="Arial" w:hAnsi="Arial" w:cs="Arial"/>
                <w:b/>
                <w:bCs/>
                <w:i/>
                <w:color w:val="000000"/>
                <w:sz w:val="20"/>
                <w:szCs w:val="20"/>
              </w:rPr>
            </w:pPr>
            <w:r w:rsidRPr="00CA56E3">
              <w:rPr>
                <w:rFonts w:ascii="Arial" w:hAnsi="Arial" w:cs="Arial"/>
                <w:b/>
                <w:bCs/>
                <w:i/>
                <w:color w:val="000000"/>
                <w:sz w:val="20"/>
                <w:szCs w:val="20"/>
              </w:rPr>
              <w:t>100,0</w:t>
            </w:r>
          </w:p>
        </w:tc>
      </w:tr>
    </w:tbl>
    <w:p w:rsidR="00182D6D" w:rsidRPr="00CA56E3" w:rsidRDefault="00182D6D" w:rsidP="009417B7">
      <w:pPr>
        <w:spacing w:line="288" w:lineRule="auto"/>
        <w:jc w:val="both"/>
        <w:rPr>
          <w:rFonts w:ascii="Arial" w:hAnsi="Arial" w:cs="Arial"/>
          <w:i/>
          <w:sz w:val="20"/>
          <w:szCs w:val="20"/>
          <w:lang w:val="en-GB"/>
        </w:rPr>
      </w:pPr>
      <w:r w:rsidRPr="00CA56E3">
        <w:rPr>
          <w:rFonts w:ascii="Arial" w:hAnsi="Arial" w:cs="Arial"/>
          <w:i/>
          <w:sz w:val="20"/>
          <w:szCs w:val="20"/>
          <w:lang w:val="en-GB"/>
        </w:rPr>
        <w:t xml:space="preserve">*Not including non-classified holdings </w:t>
      </w:r>
    </w:p>
    <w:p w:rsidR="00182D6D" w:rsidRPr="00CA56E3" w:rsidRDefault="00182D6D" w:rsidP="009417B7">
      <w:pPr>
        <w:pStyle w:val="Normlnweb"/>
        <w:tabs>
          <w:tab w:val="left" w:pos="360"/>
        </w:tabs>
        <w:spacing w:line="288" w:lineRule="auto"/>
        <w:rPr>
          <w:rFonts w:ascii="Arial" w:hAnsi="Arial" w:cs="Arial"/>
          <w:i/>
          <w:sz w:val="20"/>
          <w:szCs w:val="20"/>
          <w:lang w:val="en-GB"/>
        </w:rPr>
      </w:pPr>
      <w:r w:rsidRPr="00CA56E3">
        <w:rPr>
          <w:rFonts w:ascii="Arial" w:hAnsi="Arial" w:cs="Arial"/>
          <w:i/>
          <w:sz w:val="20"/>
          <w:szCs w:val="20"/>
          <w:lang w:val="en-GB"/>
        </w:rPr>
        <w:t xml:space="preserve">From a regional point of view, the size structure of agricultural holdings is similar in particular regions. The largest share of small holdings occurred in Zlín Region (77%), Liberec Region (69%) and in Moravia-Silesia Region (68%). Middle-sized holdings form the largest proportion in the Central Bohemian Region (41%), in the Ústí nad Labem Region (39%) and in Vysočina Region (39%). The highest share of large-scale holdings is typical for The Central Bohemia Region (10%), Olomouc Region (9%) and Pardubice Region (9%). In terms of absolute numbers, most of small sized holdings were situated in South Moravian Region (2 325 holdings), that covers almost 15% of all small agricultural holdings in the Czech Republic. Most of large-scale holdings occurred in Central Bohemian Region, where 329 large farms were registered. These holdings shared 17% of the total number of large holdings in the Czech Republic. </w:t>
      </w:r>
    </w:p>
    <w:p w:rsidR="00182D6D" w:rsidRPr="00CA56E3" w:rsidRDefault="00182D6D" w:rsidP="009417B7">
      <w:pPr>
        <w:spacing w:line="288" w:lineRule="auto"/>
        <w:ind w:firstLine="540"/>
        <w:jc w:val="both"/>
        <w:rPr>
          <w:rFonts w:ascii="Arial" w:hAnsi="Arial" w:cs="Arial"/>
          <w:i/>
          <w:sz w:val="20"/>
          <w:szCs w:val="20"/>
          <w:lang w:val="en-GB"/>
        </w:rPr>
      </w:pPr>
    </w:p>
    <w:p w:rsidR="00244CD1" w:rsidRPr="00A438A3" w:rsidRDefault="00244CD1" w:rsidP="009417B7">
      <w:pPr>
        <w:spacing w:line="288" w:lineRule="auto"/>
        <w:rPr>
          <w:rFonts w:ascii="Arial" w:hAnsi="Arial" w:cs="Arial"/>
          <w:b/>
          <w:i/>
          <w:szCs w:val="20"/>
          <w:lang w:val="en-GB"/>
        </w:rPr>
      </w:pPr>
    </w:p>
    <w:sectPr w:rsidR="00244CD1" w:rsidRPr="00A438A3" w:rsidSect="007E052A">
      <w:footerReference w:type="default" r:id="rId8"/>
      <w:type w:val="continuous"/>
      <w:pgSz w:w="11906" w:h="16838"/>
      <w:pgMar w:top="1134" w:right="1134" w:bottom="1418" w:left="1134"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8C9" w:rsidRDefault="00C648C9">
      <w:r>
        <w:separator/>
      </w:r>
    </w:p>
  </w:endnote>
  <w:endnote w:type="continuationSeparator" w:id="0">
    <w:p w:rsidR="00C648C9" w:rsidRDefault="00C64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0F6" w:rsidRDefault="005D10F6" w:rsidP="009F2C4F">
    <w:pPr>
      <w:pStyle w:val="Zpat"/>
      <w:ind w:right="360"/>
    </w:pPr>
    <w:r w:rsidRPr="0065480A">
      <w:tab/>
    </w:r>
    <w:r w:rsidRPr="0065480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8C9" w:rsidRDefault="00C648C9">
      <w:r>
        <w:separator/>
      </w:r>
    </w:p>
  </w:footnote>
  <w:footnote w:type="continuationSeparator" w:id="0">
    <w:p w:rsidR="00C648C9" w:rsidRDefault="00C64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4484"/>
    <w:multiLevelType w:val="hybridMultilevel"/>
    <w:tmpl w:val="A30EBF22"/>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B2C7575"/>
    <w:multiLevelType w:val="hybridMultilevel"/>
    <w:tmpl w:val="CA4A36D8"/>
    <w:lvl w:ilvl="0" w:tplc="14D0C2EE">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721B416D"/>
    <w:multiLevelType w:val="hybridMultilevel"/>
    <w:tmpl w:val="61987278"/>
    <w:lvl w:ilvl="0" w:tplc="5970B0B2">
      <w:start w:val="1"/>
      <w:numFmt w:val="bullet"/>
      <w:pStyle w:val="Sodrkami2"/>
      <w:lvlText w:val="-"/>
      <w:lvlJc w:val="left"/>
      <w:pPr>
        <w:tabs>
          <w:tab w:val="num" w:pos="1260"/>
        </w:tabs>
        <w:ind w:left="126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40145"/>
    <w:rsid w:val="00001415"/>
    <w:rsid w:val="00004453"/>
    <w:rsid w:val="00006D4A"/>
    <w:rsid w:val="000078F2"/>
    <w:rsid w:val="00011F50"/>
    <w:rsid w:val="000169A7"/>
    <w:rsid w:val="00016E26"/>
    <w:rsid w:val="00017333"/>
    <w:rsid w:val="00020530"/>
    <w:rsid w:val="00031B05"/>
    <w:rsid w:val="00036A1B"/>
    <w:rsid w:val="00037474"/>
    <w:rsid w:val="00043DD8"/>
    <w:rsid w:val="00044275"/>
    <w:rsid w:val="00044285"/>
    <w:rsid w:val="00052634"/>
    <w:rsid w:val="00057EED"/>
    <w:rsid w:val="00062416"/>
    <w:rsid w:val="00063761"/>
    <w:rsid w:val="00066DF4"/>
    <w:rsid w:val="00067E18"/>
    <w:rsid w:val="000758AF"/>
    <w:rsid w:val="000871EB"/>
    <w:rsid w:val="00097126"/>
    <w:rsid w:val="000B2549"/>
    <w:rsid w:val="000B6A87"/>
    <w:rsid w:val="000C47EA"/>
    <w:rsid w:val="000D0BDC"/>
    <w:rsid w:val="000D310D"/>
    <w:rsid w:val="000E1999"/>
    <w:rsid w:val="000E2F59"/>
    <w:rsid w:val="000E5CB2"/>
    <w:rsid w:val="000F6B59"/>
    <w:rsid w:val="001000D4"/>
    <w:rsid w:val="00124C57"/>
    <w:rsid w:val="001251C0"/>
    <w:rsid w:val="00132296"/>
    <w:rsid w:val="001325A6"/>
    <w:rsid w:val="00134C1A"/>
    <w:rsid w:val="00142920"/>
    <w:rsid w:val="00143B57"/>
    <w:rsid w:val="0014492F"/>
    <w:rsid w:val="00152C8D"/>
    <w:rsid w:val="00157197"/>
    <w:rsid w:val="0016278A"/>
    <w:rsid w:val="00172A62"/>
    <w:rsid w:val="00174563"/>
    <w:rsid w:val="00181E2F"/>
    <w:rsid w:val="00182D6D"/>
    <w:rsid w:val="00186490"/>
    <w:rsid w:val="00190C4A"/>
    <w:rsid w:val="00194AE4"/>
    <w:rsid w:val="001979DC"/>
    <w:rsid w:val="001A1D0B"/>
    <w:rsid w:val="001B3B51"/>
    <w:rsid w:val="001B70FE"/>
    <w:rsid w:val="001D43AC"/>
    <w:rsid w:val="001E2A1C"/>
    <w:rsid w:val="001E6F0E"/>
    <w:rsid w:val="001F3134"/>
    <w:rsid w:val="001F35CA"/>
    <w:rsid w:val="00204CFF"/>
    <w:rsid w:val="00212068"/>
    <w:rsid w:val="00220231"/>
    <w:rsid w:val="00222D88"/>
    <w:rsid w:val="002255DC"/>
    <w:rsid w:val="00231177"/>
    <w:rsid w:val="002316CB"/>
    <w:rsid w:val="00237D3F"/>
    <w:rsid w:val="00244CD1"/>
    <w:rsid w:val="00250179"/>
    <w:rsid w:val="00271E0C"/>
    <w:rsid w:val="00272617"/>
    <w:rsid w:val="002734B9"/>
    <w:rsid w:val="00273717"/>
    <w:rsid w:val="0028589E"/>
    <w:rsid w:val="002A0131"/>
    <w:rsid w:val="002A2840"/>
    <w:rsid w:val="002A2E95"/>
    <w:rsid w:val="002A3EF8"/>
    <w:rsid w:val="002B2926"/>
    <w:rsid w:val="002B342F"/>
    <w:rsid w:val="002B45F7"/>
    <w:rsid w:val="002B796E"/>
    <w:rsid w:val="002C6644"/>
    <w:rsid w:val="002C669F"/>
    <w:rsid w:val="002D2C8B"/>
    <w:rsid w:val="002D4551"/>
    <w:rsid w:val="002E2B1E"/>
    <w:rsid w:val="002F26EF"/>
    <w:rsid w:val="002F4D6B"/>
    <w:rsid w:val="002F6BF6"/>
    <w:rsid w:val="00301003"/>
    <w:rsid w:val="00310CAD"/>
    <w:rsid w:val="00313AA1"/>
    <w:rsid w:val="00313E66"/>
    <w:rsid w:val="0032220A"/>
    <w:rsid w:val="0032478F"/>
    <w:rsid w:val="0032574B"/>
    <w:rsid w:val="003263DA"/>
    <w:rsid w:val="0032701E"/>
    <w:rsid w:val="003275E3"/>
    <w:rsid w:val="00327A1F"/>
    <w:rsid w:val="00330FFF"/>
    <w:rsid w:val="0033463C"/>
    <w:rsid w:val="00337278"/>
    <w:rsid w:val="003437A2"/>
    <w:rsid w:val="003452EC"/>
    <w:rsid w:val="00354059"/>
    <w:rsid w:val="00354D33"/>
    <w:rsid w:val="00356FD6"/>
    <w:rsid w:val="00360FD0"/>
    <w:rsid w:val="00365E79"/>
    <w:rsid w:val="003661FA"/>
    <w:rsid w:val="00371F9A"/>
    <w:rsid w:val="00375E39"/>
    <w:rsid w:val="00377064"/>
    <w:rsid w:val="003770B5"/>
    <w:rsid w:val="00386C7A"/>
    <w:rsid w:val="00386F0E"/>
    <w:rsid w:val="0039740A"/>
    <w:rsid w:val="003A27B9"/>
    <w:rsid w:val="003A28CE"/>
    <w:rsid w:val="003A2E26"/>
    <w:rsid w:val="003C49CD"/>
    <w:rsid w:val="003D3421"/>
    <w:rsid w:val="003D5943"/>
    <w:rsid w:val="003E254A"/>
    <w:rsid w:val="003E4E25"/>
    <w:rsid w:val="003E5637"/>
    <w:rsid w:val="003F096B"/>
    <w:rsid w:val="004024B5"/>
    <w:rsid w:val="00403AE0"/>
    <w:rsid w:val="00404ED5"/>
    <w:rsid w:val="0040667A"/>
    <w:rsid w:val="00414989"/>
    <w:rsid w:val="004319C5"/>
    <w:rsid w:val="00437DBD"/>
    <w:rsid w:val="00440271"/>
    <w:rsid w:val="004469A0"/>
    <w:rsid w:val="0045321C"/>
    <w:rsid w:val="00457B9C"/>
    <w:rsid w:val="00464366"/>
    <w:rsid w:val="00466EE2"/>
    <w:rsid w:val="00470560"/>
    <w:rsid w:val="0047591B"/>
    <w:rsid w:val="004765D6"/>
    <w:rsid w:val="0048454E"/>
    <w:rsid w:val="00485EC2"/>
    <w:rsid w:val="004A0C73"/>
    <w:rsid w:val="004A6EFA"/>
    <w:rsid w:val="004B4D6A"/>
    <w:rsid w:val="004B5DEB"/>
    <w:rsid w:val="004B61C6"/>
    <w:rsid w:val="004C3D8D"/>
    <w:rsid w:val="004C4E05"/>
    <w:rsid w:val="004D3A51"/>
    <w:rsid w:val="004D4680"/>
    <w:rsid w:val="004D586D"/>
    <w:rsid w:val="004D58DA"/>
    <w:rsid w:val="004E748D"/>
    <w:rsid w:val="0050074B"/>
    <w:rsid w:val="00500EFF"/>
    <w:rsid w:val="00501CD5"/>
    <w:rsid w:val="005040A8"/>
    <w:rsid w:val="005315ED"/>
    <w:rsid w:val="0053227C"/>
    <w:rsid w:val="00541306"/>
    <w:rsid w:val="00550B7C"/>
    <w:rsid w:val="00551A9D"/>
    <w:rsid w:val="005528B5"/>
    <w:rsid w:val="00555F7A"/>
    <w:rsid w:val="005560A6"/>
    <w:rsid w:val="005632DD"/>
    <w:rsid w:val="00564295"/>
    <w:rsid w:val="005769F9"/>
    <w:rsid w:val="00580B08"/>
    <w:rsid w:val="00586874"/>
    <w:rsid w:val="00591D84"/>
    <w:rsid w:val="00593FBD"/>
    <w:rsid w:val="00597F4D"/>
    <w:rsid w:val="005A11F0"/>
    <w:rsid w:val="005B502F"/>
    <w:rsid w:val="005C53A9"/>
    <w:rsid w:val="005C65F2"/>
    <w:rsid w:val="005C6AE9"/>
    <w:rsid w:val="005C7F82"/>
    <w:rsid w:val="005D10F6"/>
    <w:rsid w:val="005E0AC8"/>
    <w:rsid w:val="005E2B86"/>
    <w:rsid w:val="005F7716"/>
    <w:rsid w:val="006047E1"/>
    <w:rsid w:val="00622829"/>
    <w:rsid w:val="006246A6"/>
    <w:rsid w:val="00661A14"/>
    <w:rsid w:val="00663E77"/>
    <w:rsid w:val="006658EC"/>
    <w:rsid w:val="00674093"/>
    <w:rsid w:val="006746DF"/>
    <w:rsid w:val="00683F54"/>
    <w:rsid w:val="00693723"/>
    <w:rsid w:val="006A191C"/>
    <w:rsid w:val="006A4CB0"/>
    <w:rsid w:val="006A69E9"/>
    <w:rsid w:val="006B3F36"/>
    <w:rsid w:val="006B49B1"/>
    <w:rsid w:val="006B70FB"/>
    <w:rsid w:val="006D3D13"/>
    <w:rsid w:val="006D3E45"/>
    <w:rsid w:val="006F1857"/>
    <w:rsid w:val="006F1BA5"/>
    <w:rsid w:val="006F4326"/>
    <w:rsid w:val="006F727A"/>
    <w:rsid w:val="00712FB1"/>
    <w:rsid w:val="00714D7B"/>
    <w:rsid w:val="00714E5A"/>
    <w:rsid w:val="00716119"/>
    <w:rsid w:val="007165C0"/>
    <w:rsid w:val="00721BA3"/>
    <w:rsid w:val="00732CC8"/>
    <w:rsid w:val="00734E0F"/>
    <w:rsid w:val="00737202"/>
    <w:rsid w:val="00740DF4"/>
    <w:rsid w:val="00746008"/>
    <w:rsid w:val="0074782C"/>
    <w:rsid w:val="007509E2"/>
    <w:rsid w:val="00753CC1"/>
    <w:rsid w:val="00756248"/>
    <w:rsid w:val="00757D09"/>
    <w:rsid w:val="00762ACA"/>
    <w:rsid w:val="007658C4"/>
    <w:rsid w:val="00765F26"/>
    <w:rsid w:val="00767053"/>
    <w:rsid w:val="0077166C"/>
    <w:rsid w:val="00772607"/>
    <w:rsid w:val="00777D49"/>
    <w:rsid w:val="00782F5C"/>
    <w:rsid w:val="007875A3"/>
    <w:rsid w:val="007959F1"/>
    <w:rsid w:val="00797378"/>
    <w:rsid w:val="00797F74"/>
    <w:rsid w:val="007B4499"/>
    <w:rsid w:val="007C2567"/>
    <w:rsid w:val="007C26E7"/>
    <w:rsid w:val="007D3E4B"/>
    <w:rsid w:val="007E02AC"/>
    <w:rsid w:val="007E052A"/>
    <w:rsid w:val="007E30C7"/>
    <w:rsid w:val="007E6A0F"/>
    <w:rsid w:val="007F3616"/>
    <w:rsid w:val="007F7814"/>
    <w:rsid w:val="0081594B"/>
    <w:rsid w:val="00816A3B"/>
    <w:rsid w:val="00820756"/>
    <w:rsid w:val="008233C8"/>
    <w:rsid w:val="00823C07"/>
    <w:rsid w:val="00834E1F"/>
    <w:rsid w:val="008418BF"/>
    <w:rsid w:val="00865DB7"/>
    <w:rsid w:val="0086646F"/>
    <w:rsid w:val="008813E4"/>
    <w:rsid w:val="00881493"/>
    <w:rsid w:val="00893A2F"/>
    <w:rsid w:val="008A11B4"/>
    <w:rsid w:val="008B3710"/>
    <w:rsid w:val="008C3E3B"/>
    <w:rsid w:val="008D4B18"/>
    <w:rsid w:val="008E503F"/>
    <w:rsid w:val="008F6214"/>
    <w:rsid w:val="0090609A"/>
    <w:rsid w:val="0092256D"/>
    <w:rsid w:val="009417B7"/>
    <w:rsid w:val="009432DD"/>
    <w:rsid w:val="00951AA2"/>
    <w:rsid w:val="00956D52"/>
    <w:rsid w:val="009570E3"/>
    <w:rsid w:val="00962F63"/>
    <w:rsid w:val="00963C3A"/>
    <w:rsid w:val="00965AD2"/>
    <w:rsid w:val="00976380"/>
    <w:rsid w:val="0099072B"/>
    <w:rsid w:val="009B203E"/>
    <w:rsid w:val="009B3BD3"/>
    <w:rsid w:val="009B7DE5"/>
    <w:rsid w:val="009C2B92"/>
    <w:rsid w:val="009C70ED"/>
    <w:rsid w:val="009C79B2"/>
    <w:rsid w:val="009D0777"/>
    <w:rsid w:val="009F2C4F"/>
    <w:rsid w:val="009F60C0"/>
    <w:rsid w:val="009F7693"/>
    <w:rsid w:val="00A01732"/>
    <w:rsid w:val="00A13AEE"/>
    <w:rsid w:val="00A14996"/>
    <w:rsid w:val="00A205F1"/>
    <w:rsid w:val="00A372D1"/>
    <w:rsid w:val="00A40145"/>
    <w:rsid w:val="00A438A3"/>
    <w:rsid w:val="00A47654"/>
    <w:rsid w:val="00A50A1D"/>
    <w:rsid w:val="00A5437D"/>
    <w:rsid w:val="00A55DE3"/>
    <w:rsid w:val="00A57A25"/>
    <w:rsid w:val="00A60B3B"/>
    <w:rsid w:val="00A66403"/>
    <w:rsid w:val="00A7253C"/>
    <w:rsid w:val="00A840C3"/>
    <w:rsid w:val="00A90268"/>
    <w:rsid w:val="00A90C0C"/>
    <w:rsid w:val="00A97468"/>
    <w:rsid w:val="00AA3568"/>
    <w:rsid w:val="00AB011A"/>
    <w:rsid w:val="00AB7F07"/>
    <w:rsid w:val="00AC0E11"/>
    <w:rsid w:val="00AC2BE6"/>
    <w:rsid w:val="00AD1D20"/>
    <w:rsid w:val="00AD1F47"/>
    <w:rsid w:val="00AE03BC"/>
    <w:rsid w:val="00AE0A14"/>
    <w:rsid w:val="00AE2321"/>
    <w:rsid w:val="00AE4F8A"/>
    <w:rsid w:val="00AE6A49"/>
    <w:rsid w:val="00AF05BD"/>
    <w:rsid w:val="00AF0901"/>
    <w:rsid w:val="00AF1922"/>
    <w:rsid w:val="00AF1D1A"/>
    <w:rsid w:val="00B056FC"/>
    <w:rsid w:val="00B05882"/>
    <w:rsid w:val="00B1124F"/>
    <w:rsid w:val="00B17E06"/>
    <w:rsid w:val="00B20A75"/>
    <w:rsid w:val="00B233E3"/>
    <w:rsid w:val="00B25E5A"/>
    <w:rsid w:val="00B31604"/>
    <w:rsid w:val="00B31E17"/>
    <w:rsid w:val="00B33E1E"/>
    <w:rsid w:val="00B37804"/>
    <w:rsid w:val="00B40FA8"/>
    <w:rsid w:val="00B44059"/>
    <w:rsid w:val="00B5210A"/>
    <w:rsid w:val="00B529F1"/>
    <w:rsid w:val="00B55002"/>
    <w:rsid w:val="00B616B1"/>
    <w:rsid w:val="00B62260"/>
    <w:rsid w:val="00B64E1E"/>
    <w:rsid w:val="00B64FAF"/>
    <w:rsid w:val="00B67059"/>
    <w:rsid w:val="00B73935"/>
    <w:rsid w:val="00B8075F"/>
    <w:rsid w:val="00B81449"/>
    <w:rsid w:val="00B8446B"/>
    <w:rsid w:val="00B873C6"/>
    <w:rsid w:val="00B93789"/>
    <w:rsid w:val="00B93807"/>
    <w:rsid w:val="00B939FE"/>
    <w:rsid w:val="00B96005"/>
    <w:rsid w:val="00BA1C75"/>
    <w:rsid w:val="00BA4A36"/>
    <w:rsid w:val="00BA7836"/>
    <w:rsid w:val="00BD3E23"/>
    <w:rsid w:val="00BE1C7D"/>
    <w:rsid w:val="00BE42BE"/>
    <w:rsid w:val="00BF6E03"/>
    <w:rsid w:val="00C10AF0"/>
    <w:rsid w:val="00C14CE7"/>
    <w:rsid w:val="00C157D8"/>
    <w:rsid w:val="00C16723"/>
    <w:rsid w:val="00C22AD5"/>
    <w:rsid w:val="00C22DEA"/>
    <w:rsid w:val="00C30B5F"/>
    <w:rsid w:val="00C439EC"/>
    <w:rsid w:val="00C453D5"/>
    <w:rsid w:val="00C46B32"/>
    <w:rsid w:val="00C62101"/>
    <w:rsid w:val="00C648C9"/>
    <w:rsid w:val="00C669A0"/>
    <w:rsid w:val="00C70E0A"/>
    <w:rsid w:val="00C72152"/>
    <w:rsid w:val="00C7263F"/>
    <w:rsid w:val="00C77EF7"/>
    <w:rsid w:val="00C804AE"/>
    <w:rsid w:val="00C914D5"/>
    <w:rsid w:val="00C94974"/>
    <w:rsid w:val="00CA341B"/>
    <w:rsid w:val="00CA42A4"/>
    <w:rsid w:val="00CA56E3"/>
    <w:rsid w:val="00CB2F12"/>
    <w:rsid w:val="00CC5C36"/>
    <w:rsid w:val="00CC6EE9"/>
    <w:rsid w:val="00CE0FB8"/>
    <w:rsid w:val="00CE52C1"/>
    <w:rsid w:val="00CF4136"/>
    <w:rsid w:val="00CF7977"/>
    <w:rsid w:val="00D0412F"/>
    <w:rsid w:val="00D06769"/>
    <w:rsid w:val="00D07AA2"/>
    <w:rsid w:val="00D21A9E"/>
    <w:rsid w:val="00D221EB"/>
    <w:rsid w:val="00D27F8D"/>
    <w:rsid w:val="00D3345E"/>
    <w:rsid w:val="00D420B5"/>
    <w:rsid w:val="00D51053"/>
    <w:rsid w:val="00D6155F"/>
    <w:rsid w:val="00D623F0"/>
    <w:rsid w:val="00D665C4"/>
    <w:rsid w:val="00D66E39"/>
    <w:rsid w:val="00D71C87"/>
    <w:rsid w:val="00D747AF"/>
    <w:rsid w:val="00D83179"/>
    <w:rsid w:val="00D83336"/>
    <w:rsid w:val="00D8429D"/>
    <w:rsid w:val="00D852D5"/>
    <w:rsid w:val="00D91451"/>
    <w:rsid w:val="00D976A1"/>
    <w:rsid w:val="00DA245D"/>
    <w:rsid w:val="00DA4D46"/>
    <w:rsid w:val="00DC78ED"/>
    <w:rsid w:val="00DD5E6B"/>
    <w:rsid w:val="00DE7EAB"/>
    <w:rsid w:val="00DF43DB"/>
    <w:rsid w:val="00DF670D"/>
    <w:rsid w:val="00E06056"/>
    <w:rsid w:val="00E154C1"/>
    <w:rsid w:val="00E17ACD"/>
    <w:rsid w:val="00E34FD8"/>
    <w:rsid w:val="00E41895"/>
    <w:rsid w:val="00E41C53"/>
    <w:rsid w:val="00E44491"/>
    <w:rsid w:val="00E45789"/>
    <w:rsid w:val="00E51E91"/>
    <w:rsid w:val="00E56B27"/>
    <w:rsid w:val="00E646D9"/>
    <w:rsid w:val="00E674C0"/>
    <w:rsid w:val="00E71600"/>
    <w:rsid w:val="00E72332"/>
    <w:rsid w:val="00E72722"/>
    <w:rsid w:val="00E72CDC"/>
    <w:rsid w:val="00E73374"/>
    <w:rsid w:val="00E76644"/>
    <w:rsid w:val="00E864F9"/>
    <w:rsid w:val="00E94B1F"/>
    <w:rsid w:val="00EB0A90"/>
    <w:rsid w:val="00EC4A56"/>
    <w:rsid w:val="00EC6594"/>
    <w:rsid w:val="00ED0E69"/>
    <w:rsid w:val="00ED182E"/>
    <w:rsid w:val="00ED45D9"/>
    <w:rsid w:val="00EE06BB"/>
    <w:rsid w:val="00EE4255"/>
    <w:rsid w:val="00EE472C"/>
    <w:rsid w:val="00EE52FD"/>
    <w:rsid w:val="00EF3D74"/>
    <w:rsid w:val="00EF483D"/>
    <w:rsid w:val="00EF6352"/>
    <w:rsid w:val="00F02572"/>
    <w:rsid w:val="00F05C2E"/>
    <w:rsid w:val="00F116F3"/>
    <w:rsid w:val="00F170B6"/>
    <w:rsid w:val="00F21D4B"/>
    <w:rsid w:val="00F251E1"/>
    <w:rsid w:val="00F33623"/>
    <w:rsid w:val="00F35B56"/>
    <w:rsid w:val="00F410AD"/>
    <w:rsid w:val="00F4460C"/>
    <w:rsid w:val="00F53D3D"/>
    <w:rsid w:val="00F6030A"/>
    <w:rsid w:val="00F63DFC"/>
    <w:rsid w:val="00F72527"/>
    <w:rsid w:val="00F753C8"/>
    <w:rsid w:val="00F829D4"/>
    <w:rsid w:val="00F82DCE"/>
    <w:rsid w:val="00F97A4A"/>
    <w:rsid w:val="00FA1317"/>
    <w:rsid w:val="00FA1990"/>
    <w:rsid w:val="00FB45CD"/>
    <w:rsid w:val="00FC2A3E"/>
    <w:rsid w:val="00FD1F8B"/>
    <w:rsid w:val="00FE705D"/>
    <w:rsid w:val="00FE7AED"/>
    <w:rsid w:val="00FF678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864F9"/>
    <w:rPr>
      <w:sz w:val="24"/>
      <w:szCs w:val="24"/>
      <w:lang w:val="en-US"/>
    </w:rPr>
  </w:style>
  <w:style w:type="paragraph" w:styleId="Nadpis1">
    <w:name w:val="heading 1"/>
    <w:basedOn w:val="Normln"/>
    <w:next w:val="Normln"/>
    <w:link w:val="Nadpis1Char"/>
    <w:qFormat/>
    <w:rsid w:val="00F753C8"/>
    <w:pPr>
      <w:keepNext/>
      <w:spacing w:before="240" w:after="60"/>
      <w:outlineLvl w:val="0"/>
    </w:pPr>
    <w:rPr>
      <w:rFonts w:ascii="Cambria" w:hAnsi="Cambria"/>
      <w:b/>
      <w:bCs/>
      <w:kern w:val="32"/>
      <w:sz w:val="32"/>
      <w:szCs w:val="32"/>
    </w:rPr>
  </w:style>
  <w:style w:type="paragraph" w:styleId="Nadpis3">
    <w:name w:val="heading 3"/>
    <w:basedOn w:val="Normln"/>
    <w:next w:val="Normln"/>
    <w:qFormat/>
    <w:rsid w:val="00C804AE"/>
    <w:pPr>
      <w:keepNext/>
      <w:spacing w:before="240" w:after="60" w:line="360" w:lineRule="auto"/>
      <w:ind w:firstLine="567"/>
      <w:jc w:val="both"/>
      <w:outlineLvl w:val="2"/>
    </w:pPr>
    <w:rPr>
      <w:rFonts w:ascii="Arial" w:hAnsi="Arial" w:cs="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40145"/>
    <w:rPr>
      <w:sz w:val="20"/>
      <w:szCs w:val="20"/>
    </w:rPr>
  </w:style>
  <w:style w:type="character" w:styleId="Znakapoznpodarou">
    <w:name w:val="footnote reference"/>
    <w:semiHidden/>
    <w:rsid w:val="00A40145"/>
    <w:rPr>
      <w:vertAlign w:val="superscript"/>
    </w:rPr>
  </w:style>
  <w:style w:type="paragraph" w:styleId="Zpat">
    <w:name w:val="footer"/>
    <w:basedOn w:val="Normln"/>
    <w:rsid w:val="009F2C4F"/>
    <w:pPr>
      <w:tabs>
        <w:tab w:val="center" w:pos="4536"/>
        <w:tab w:val="right" w:pos="9072"/>
      </w:tabs>
    </w:pPr>
  </w:style>
  <w:style w:type="character" w:styleId="slostrnky">
    <w:name w:val="page number"/>
    <w:basedOn w:val="Standardnpsmoodstavce"/>
    <w:rsid w:val="009F2C4F"/>
  </w:style>
  <w:style w:type="paragraph" w:styleId="Normlnweb">
    <w:name w:val="Normal (Web)"/>
    <w:basedOn w:val="Normln"/>
    <w:rsid w:val="00C804AE"/>
    <w:pPr>
      <w:spacing w:before="120" w:line="360" w:lineRule="auto"/>
      <w:ind w:firstLine="567"/>
      <w:jc w:val="both"/>
    </w:pPr>
    <w:rPr>
      <w:lang w:val="cs-CZ"/>
    </w:rPr>
  </w:style>
  <w:style w:type="table" w:styleId="Mkatabulky">
    <w:name w:val="Table Grid"/>
    <w:basedOn w:val="Normlntabulka"/>
    <w:rsid w:val="00C14CE7"/>
    <w:pPr>
      <w:spacing w:before="120"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drkami2">
    <w:name w:val="S odrážkami 2"/>
    <w:basedOn w:val="Normln"/>
    <w:rsid w:val="0048454E"/>
    <w:pPr>
      <w:numPr>
        <w:numId w:val="2"/>
      </w:numPr>
      <w:spacing w:before="120" w:line="360" w:lineRule="auto"/>
      <w:jc w:val="both"/>
    </w:pPr>
    <w:rPr>
      <w:lang w:val="cs-CZ"/>
    </w:rPr>
  </w:style>
  <w:style w:type="paragraph" w:styleId="Zhlav">
    <w:name w:val="header"/>
    <w:basedOn w:val="Normln"/>
    <w:rsid w:val="00D976A1"/>
    <w:pPr>
      <w:tabs>
        <w:tab w:val="center" w:pos="4536"/>
        <w:tab w:val="right" w:pos="9072"/>
      </w:tabs>
    </w:pPr>
  </w:style>
  <w:style w:type="paragraph" w:styleId="Obsah1">
    <w:name w:val="toc 1"/>
    <w:basedOn w:val="Normln"/>
    <w:next w:val="Normln"/>
    <w:autoRedefine/>
    <w:uiPriority w:val="39"/>
    <w:rsid w:val="00DA245D"/>
    <w:pPr>
      <w:tabs>
        <w:tab w:val="left" w:pos="480"/>
        <w:tab w:val="right" w:leader="dot" w:pos="9060"/>
      </w:tabs>
      <w:spacing w:line="360" w:lineRule="auto"/>
    </w:pPr>
  </w:style>
  <w:style w:type="character" w:styleId="Hypertextovodkaz">
    <w:name w:val="Hyperlink"/>
    <w:uiPriority w:val="99"/>
    <w:rsid w:val="00B25E5A"/>
    <w:rPr>
      <w:color w:val="0000FF"/>
      <w:u w:val="single"/>
    </w:rPr>
  </w:style>
  <w:style w:type="character" w:customStyle="1" w:styleId="Nadpis1Char">
    <w:name w:val="Nadpis 1 Char"/>
    <w:link w:val="Nadpis1"/>
    <w:rsid w:val="00F753C8"/>
    <w:rPr>
      <w:rFonts w:ascii="Cambria" w:eastAsia="Times New Roman" w:hAnsi="Cambria" w:cs="Times New Roman"/>
      <w:b/>
      <w:bCs/>
      <w:kern w:val="32"/>
      <w:sz w:val="32"/>
      <w:szCs w:val="32"/>
      <w:lang w:val="en-US"/>
    </w:rPr>
  </w:style>
</w:styles>
</file>

<file path=word/webSettings.xml><?xml version="1.0" encoding="utf-8"?>
<w:webSettings xmlns:r="http://schemas.openxmlformats.org/officeDocument/2006/relationships" xmlns:w="http://schemas.openxmlformats.org/wordprocessingml/2006/main">
  <w:divs>
    <w:div w:id="6974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818B-4A27-4DA2-B30F-791A847E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3572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4169</CharactersWithSpaces>
  <SharedDoc>false</SharedDoc>
  <HLinks>
    <vt:vector size="36" baseType="variant">
      <vt:variant>
        <vt:i4>1703986</vt:i4>
      </vt:variant>
      <vt:variant>
        <vt:i4>32</vt:i4>
      </vt:variant>
      <vt:variant>
        <vt:i4>0</vt:i4>
      </vt:variant>
      <vt:variant>
        <vt:i4>5</vt:i4>
      </vt:variant>
      <vt:variant>
        <vt:lpwstr/>
      </vt:variant>
      <vt:variant>
        <vt:lpwstr>_Toc403568306</vt:lpwstr>
      </vt:variant>
      <vt:variant>
        <vt:i4>1703986</vt:i4>
      </vt:variant>
      <vt:variant>
        <vt:i4>26</vt:i4>
      </vt:variant>
      <vt:variant>
        <vt:i4>0</vt:i4>
      </vt:variant>
      <vt:variant>
        <vt:i4>5</vt:i4>
      </vt:variant>
      <vt:variant>
        <vt:lpwstr/>
      </vt:variant>
      <vt:variant>
        <vt:lpwstr>_Toc403568305</vt:lpwstr>
      </vt:variant>
      <vt:variant>
        <vt:i4>1703986</vt:i4>
      </vt:variant>
      <vt:variant>
        <vt:i4>20</vt:i4>
      </vt:variant>
      <vt:variant>
        <vt:i4>0</vt:i4>
      </vt:variant>
      <vt:variant>
        <vt:i4>5</vt:i4>
      </vt:variant>
      <vt:variant>
        <vt:lpwstr/>
      </vt:variant>
      <vt:variant>
        <vt:lpwstr>_Toc403568304</vt:lpwstr>
      </vt:variant>
      <vt:variant>
        <vt:i4>1703986</vt:i4>
      </vt:variant>
      <vt:variant>
        <vt:i4>14</vt:i4>
      </vt:variant>
      <vt:variant>
        <vt:i4>0</vt:i4>
      </vt:variant>
      <vt:variant>
        <vt:i4>5</vt:i4>
      </vt:variant>
      <vt:variant>
        <vt:lpwstr/>
      </vt:variant>
      <vt:variant>
        <vt:lpwstr>_Toc403568303</vt:lpwstr>
      </vt:variant>
      <vt:variant>
        <vt:i4>1703986</vt:i4>
      </vt:variant>
      <vt:variant>
        <vt:i4>8</vt:i4>
      </vt:variant>
      <vt:variant>
        <vt:i4>0</vt:i4>
      </vt:variant>
      <vt:variant>
        <vt:i4>5</vt:i4>
      </vt:variant>
      <vt:variant>
        <vt:lpwstr/>
      </vt:variant>
      <vt:variant>
        <vt:lpwstr>_Toc403568302</vt:lpwstr>
      </vt:variant>
      <vt:variant>
        <vt:i4>1703986</vt:i4>
      </vt:variant>
      <vt:variant>
        <vt:i4>2</vt:i4>
      </vt:variant>
      <vt:variant>
        <vt:i4>0</vt:i4>
      </vt:variant>
      <vt:variant>
        <vt:i4>5</vt:i4>
      </vt:variant>
      <vt:variant>
        <vt:lpwstr/>
      </vt:variant>
      <vt:variant>
        <vt:lpwstr>_Toc403568301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Slížka</dc:creator>
  <cp:lastModifiedBy>macova4870</cp:lastModifiedBy>
  <cp:revision>5</cp:revision>
  <cp:lastPrinted>2011-12-19T09:49:00Z</cp:lastPrinted>
  <dcterms:created xsi:type="dcterms:W3CDTF">2018-02-19T13:40:00Z</dcterms:created>
  <dcterms:modified xsi:type="dcterms:W3CDTF">2018-02-28T10:33:00Z</dcterms:modified>
</cp:coreProperties>
</file>