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B" w:rsidRDefault="006D165B" w:rsidP="004E5FAA">
      <w:pPr>
        <w:pStyle w:val="Nadpis2"/>
        <w:spacing w:before="0"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Metodi</w:t>
      </w:r>
      <w:r w:rsidR="008E2F47">
        <w:rPr>
          <w:sz w:val="28"/>
        </w:rPr>
        <w:t>cké vysvětlivky</w:t>
      </w:r>
    </w:p>
    <w:p w:rsidR="004E5FAA" w:rsidRDefault="004E5FAA" w:rsidP="008E2F47"/>
    <w:p w:rsidR="00AD2E69" w:rsidRPr="008E2F47" w:rsidRDefault="00AD2E69" w:rsidP="008E2F47"/>
    <w:p w:rsidR="004B646C" w:rsidRPr="008E2F47" w:rsidRDefault="00343588" w:rsidP="008E2F47">
      <w:pPr>
        <w:spacing w:line="276" w:lineRule="auto"/>
      </w:pPr>
      <w:r w:rsidRPr="008E2F47">
        <w:t xml:space="preserve">Strukturální šetření o ovocných sadech se provádí </w:t>
      </w:r>
      <w:r w:rsidR="004B646C" w:rsidRPr="008E2F47">
        <w:t xml:space="preserve">každých pět let </w:t>
      </w:r>
      <w:r w:rsidRPr="008E2F47">
        <w:t>v</w:t>
      </w:r>
      <w:r w:rsidR="0013413C" w:rsidRPr="008E2F47">
        <w:t xml:space="preserve">e všech </w:t>
      </w:r>
      <w:r w:rsidRPr="008E2F47">
        <w:t xml:space="preserve">členských státech </w:t>
      </w:r>
      <w:r w:rsidR="004B646C" w:rsidRPr="008E2F47">
        <w:t>Evropské unie, které splňují stanovené prahové hodnoty.</w:t>
      </w:r>
      <w:r w:rsidR="00A86263" w:rsidRPr="008E2F47">
        <w:t xml:space="preserve"> </w:t>
      </w:r>
      <w:r w:rsidR="004B646C" w:rsidRPr="008E2F47">
        <w:t xml:space="preserve">Cílem je získat dlouhodobě srovnatelné údaje o odrůdové skladbě, věkové struktuře a intenzitě pěstování </w:t>
      </w:r>
      <w:r w:rsidR="009064A3" w:rsidRPr="008E2F47">
        <w:t xml:space="preserve">sadů </w:t>
      </w:r>
      <w:r w:rsidR="004B646C" w:rsidRPr="008E2F47">
        <w:t xml:space="preserve">hlavních druhů ovocných </w:t>
      </w:r>
      <w:r w:rsidR="009064A3" w:rsidRPr="008E2F47">
        <w:t>stromů</w:t>
      </w:r>
      <w:r w:rsidR="004B646C" w:rsidRPr="008E2F47">
        <w:t xml:space="preserve">. Výsledná data jsou podkladem pro určení produkčního potenciálu ovocných sadů v jednotlivých státech a celé Evropské unii. </w:t>
      </w:r>
    </w:p>
    <w:p w:rsidR="004B646C" w:rsidRPr="008E2F47" w:rsidRDefault="004B646C" w:rsidP="008E2F47">
      <w:pPr>
        <w:spacing w:line="276" w:lineRule="auto"/>
      </w:pPr>
    </w:p>
    <w:p w:rsidR="00343588" w:rsidRPr="008E2F47" w:rsidRDefault="00343588" w:rsidP="008E2F47">
      <w:pPr>
        <w:spacing w:line="276" w:lineRule="auto"/>
      </w:pPr>
      <w:r w:rsidRPr="008E2F47">
        <w:t xml:space="preserve">V České republice proběhlo toto šetření poprvé v roce 2007. Od roku 2012 se </w:t>
      </w:r>
      <w:r w:rsidR="00CD73F2" w:rsidRPr="008E2F47">
        <w:t xml:space="preserve">provádí </w:t>
      </w:r>
      <w:r w:rsidRPr="008E2F47">
        <w:t>podle n</w:t>
      </w:r>
      <w:r w:rsidRPr="008E2F47">
        <w:rPr>
          <w:bCs/>
        </w:rPr>
        <w:t xml:space="preserve">ařízení Evropského parlamentu a Rady (EU) č. 1337/2011 ze dne 13. prosince 2011 o evropské statistice trvalých kultur a o zrušení nařízení Rady (EHS) č. 357/79 a směrnice Evropského parlamentu a Rady 2001/109/ES (dále jen Nařízení o trvalých kulturách). Šetření o sadech </w:t>
      </w:r>
      <w:r w:rsidR="002D0150" w:rsidRPr="008E2F47">
        <w:rPr>
          <w:bCs/>
        </w:rPr>
        <w:t>je</w:t>
      </w:r>
      <w:r w:rsidRPr="008E2F47">
        <w:rPr>
          <w:bCs/>
        </w:rPr>
        <w:t xml:space="preserve"> zveřejněno v</w:t>
      </w:r>
      <w:r w:rsidRPr="008E2F47">
        <w:t> Programu statistických zjišťování na rok 2017. Veškerá statistická zjišťování upravuje zákon č. 89/1995 Sb., o státní statistické službě.</w:t>
      </w:r>
    </w:p>
    <w:p w:rsidR="005C387E" w:rsidRPr="008E2F47" w:rsidRDefault="005C387E" w:rsidP="008E2F47">
      <w:pPr>
        <w:spacing w:line="276" w:lineRule="auto"/>
        <w:rPr>
          <w:bCs/>
        </w:rPr>
      </w:pPr>
    </w:p>
    <w:p w:rsidR="00CD3688" w:rsidRPr="008E2F47" w:rsidRDefault="006D165B" w:rsidP="008E2F47">
      <w:pPr>
        <w:spacing w:line="276" w:lineRule="auto"/>
      </w:pPr>
      <w:r w:rsidRPr="008E2F47">
        <w:t xml:space="preserve">Do </w:t>
      </w:r>
      <w:r w:rsidR="007B7ADB" w:rsidRPr="008E2F47">
        <w:t xml:space="preserve">strukturálního šetření </w:t>
      </w:r>
      <w:r w:rsidR="0013413C" w:rsidRPr="008E2F47">
        <w:t>o sadech v roce 201</w:t>
      </w:r>
      <w:r w:rsidR="009117EB" w:rsidRPr="008E2F47">
        <w:t>7</w:t>
      </w:r>
      <w:r w:rsidR="00960BE5" w:rsidRPr="008E2F47">
        <w:t xml:space="preserve"> </w:t>
      </w:r>
      <w:r w:rsidRPr="008E2F47">
        <w:t>byli zahrnuti všichni pěstitelé ovoce</w:t>
      </w:r>
      <w:r w:rsidR="00FA63E1" w:rsidRPr="008E2F47">
        <w:t xml:space="preserve"> </w:t>
      </w:r>
      <w:r w:rsidR="0085178F" w:rsidRPr="008E2F47">
        <w:t>vedení</w:t>
      </w:r>
      <w:r w:rsidR="00FA63E1" w:rsidRPr="008E2F47">
        <w:t xml:space="preserve"> v</w:t>
      </w:r>
      <w:r w:rsidR="00F0350F" w:rsidRPr="008E2F47">
        <w:t> </w:t>
      </w:r>
      <w:r w:rsidR="004E3973" w:rsidRPr="008E2F47">
        <w:t>Z</w:t>
      </w:r>
      <w:r w:rsidR="00F0350F" w:rsidRPr="008E2F47">
        <w:t>emědělském registru</w:t>
      </w:r>
      <w:r w:rsidR="009117EB" w:rsidRPr="008E2F47">
        <w:t xml:space="preserve"> Českého statistického úřadu</w:t>
      </w:r>
      <w:r w:rsidRPr="008E2F47">
        <w:t>, kteří k</w:t>
      </w:r>
      <w:r w:rsidR="00E50A48" w:rsidRPr="008E2F47">
        <w:t> 1.</w:t>
      </w:r>
      <w:r w:rsidR="006A5009" w:rsidRPr="008E2F47">
        <w:t> </w:t>
      </w:r>
      <w:r w:rsidR="00B86E24" w:rsidRPr="008E2F47">
        <w:t>k</w:t>
      </w:r>
      <w:r w:rsidR="00960BE5" w:rsidRPr="008E2F47">
        <w:t xml:space="preserve">větnu </w:t>
      </w:r>
      <w:r w:rsidR="00E50A48" w:rsidRPr="008E2F47">
        <w:t>201</w:t>
      </w:r>
      <w:r w:rsidR="00B1356D" w:rsidRPr="008E2F47">
        <w:t>7</w:t>
      </w:r>
      <w:r w:rsidRPr="008E2F47">
        <w:t xml:space="preserve"> obhospodařovali minimálně 0,</w:t>
      </w:r>
      <w:r w:rsidR="006C0504" w:rsidRPr="008E2F47">
        <w:t>20</w:t>
      </w:r>
      <w:r w:rsidR="006A5009" w:rsidRPr="008E2F47">
        <w:t> </w:t>
      </w:r>
      <w:r w:rsidR="0013413C" w:rsidRPr="008E2F47">
        <w:t xml:space="preserve">hektarů </w:t>
      </w:r>
      <w:r w:rsidR="0085178F" w:rsidRPr="008E2F47">
        <w:t xml:space="preserve">ovocných </w:t>
      </w:r>
      <w:r w:rsidRPr="008E2F47">
        <w:t>sadů a</w:t>
      </w:r>
      <w:r w:rsidR="006A5009" w:rsidRPr="008E2F47">
        <w:t> </w:t>
      </w:r>
      <w:r w:rsidR="004E3973" w:rsidRPr="008E2F47">
        <w:t>jejichž produkce byla</w:t>
      </w:r>
      <w:r w:rsidR="007B6A06" w:rsidRPr="008E2F47">
        <w:t xml:space="preserve"> </w:t>
      </w:r>
      <w:r w:rsidR="00B259D5" w:rsidRPr="008E2F47">
        <w:t>převážně</w:t>
      </w:r>
      <w:r w:rsidR="007B6A06" w:rsidRPr="008E2F47">
        <w:t xml:space="preserve"> nebo zcela určena pro trh.</w:t>
      </w:r>
      <w:r w:rsidRPr="008E2F47">
        <w:t xml:space="preserve"> </w:t>
      </w:r>
    </w:p>
    <w:p w:rsidR="00CD3688" w:rsidRPr="008E2F47" w:rsidRDefault="00CD3688" w:rsidP="008E2F47">
      <w:pPr>
        <w:spacing w:line="276" w:lineRule="auto"/>
      </w:pPr>
    </w:p>
    <w:p w:rsidR="007B7ADB" w:rsidRPr="008E2F47" w:rsidRDefault="007B7ADB" w:rsidP="008E2F47">
      <w:pPr>
        <w:spacing w:line="276" w:lineRule="auto"/>
      </w:pPr>
      <w:r w:rsidRPr="008E2F47">
        <w:t>Stejně jako v</w:t>
      </w:r>
      <w:r w:rsidR="0013413C" w:rsidRPr="008E2F47">
        <w:t> předcházejícím šetření</w:t>
      </w:r>
      <w:r w:rsidRPr="008E2F47">
        <w:t xml:space="preserve"> byl</w:t>
      </w:r>
      <w:r w:rsidR="002D0150" w:rsidRPr="008E2F47">
        <w:t>y</w:t>
      </w:r>
      <w:r w:rsidRPr="008E2F47">
        <w:t xml:space="preserve"> využity</w:t>
      </w:r>
      <w:r w:rsidR="0013413C" w:rsidRPr="008E2F47">
        <w:t xml:space="preserve"> </w:t>
      </w:r>
      <w:r w:rsidRPr="008E2F47">
        <w:t xml:space="preserve">dva zdroje dat, a to Registr sadů vedený </w:t>
      </w:r>
      <w:r w:rsidR="00A40CDF" w:rsidRPr="008E2F47">
        <w:t xml:space="preserve">Ústředním kontrolním a zkušebním ústavem zemědělským </w:t>
      </w:r>
      <w:r w:rsidRPr="008E2F47">
        <w:t xml:space="preserve">a standardní statistické šetření Českého statistického úřadu. </w:t>
      </w:r>
    </w:p>
    <w:p w:rsidR="00A40CDF" w:rsidRPr="008E2F47" w:rsidRDefault="00A40CDF" w:rsidP="008E2F47">
      <w:pPr>
        <w:spacing w:line="276" w:lineRule="auto"/>
      </w:pPr>
    </w:p>
    <w:p w:rsidR="00BE2CF4" w:rsidRPr="008E2F47" w:rsidRDefault="00BE2CF4" w:rsidP="008E2F47">
      <w:pPr>
        <w:spacing w:line="276" w:lineRule="auto"/>
        <w:rPr>
          <w:bCs/>
        </w:rPr>
      </w:pPr>
      <w:r w:rsidRPr="008E2F47">
        <w:t xml:space="preserve">Parametry zjišťování u jabloní, hrušní, broskvoní a meruněk byly stanoveny v souladu s Nařízením o trvalých kulturách. Jabloně a hrušně byly rozděleny do skupin podle odrůd, broskvoně a meruňky podle termínu sklizně − ranosti (viz dále). V jednotlivých skupinách se sledoval počet stromů a plocha sadů podle stáří a hustoty výsadby. </w:t>
      </w:r>
      <w:r w:rsidR="006905F9">
        <w:t>S</w:t>
      </w:r>
      <w:r w:rsidRPr="008E2F47">
        <w:t>ledoval</w:t>
      </w:r>
      <w:r w:rsidR="006905F9">
        <w:t xml:space="preserve"> se</w:t>
      </w:r>
      <w:r w:rsidRPr="008E2F47">
        <w:t xml:space="preserve"> také počet ovocných stromů nebo keřů a plocha sadů dalších u nás významných druhů</w:t>
      </w:r>
      <w:r w:rsidR="00A66470">
        <w:t>:</w:t>
      </w:r>
      <w:r w:rsidRPr="008E2F47">
        <w:t xml:space="preserve"> třešní, višní, slivoní, ořešáků vlašských, lísek, kaštanovníků jedlých, mandloní, rybízů, angreštů, ostružiníků, maliníků a borůvek. Do slivoní jsou zahrnuty </w:t>
      </w:r>
      <w:r w:rsidRPr="008E2F47">
        <w:rPr>
          <w:bCs/>
        </w:rPr>
        <w:t>švestky pravé, pološvestky, slívy, renklódy a mirabelky.</w:t>
      </w:r>
    </w:p>
    <w:p w:rsidR="00EE5D25" w:rsidRPr="008E2F47" w:rsidRDefault="00EE5D25" w:rsidP="008E2F47">
      <w:pPr>
        <w:spacing w:line="276" w:lineRule="auto"/>
      </w:pPr>
    </w:p>
    <w:p w:rsidR="00EE5D25" w:rsidRDefault="00EE5D25" w:rsidP="008E2F47">
      <w:pPr>
        <w:spacing w:line="276" w:lineRule="auto"/>
      </w:pPr>
      <w:r w:rsidRPr="008E2F47">
        <w:t xml:space="preserve">Rozdělení zpravodajských jednotek do jednotlivých krajů bylo provedeno podle </w:t>
      </w:r>
      <w:r w:rsidR="009117EB" w:rsidRPr="008E2F47">
        <w:t xml:space="preserve">převažující výměry </w:t>
      </w:r>
      <w:r w:rsidR="0013413C" w:rsidRPr="008E2F47">
        <w:t xml:space="preserve">obhospodařovaných ovocných </w:t>
      </w:r>
      <w:r w:rsidR="009117EB" w:rsidRPr="008E2F47">
        <w:t>sadů</w:t>
      </w:r>
      <w:r w:rsidRPr="008E2F47">
        <w:t xml:space="preserve">. </w:t>
      </w:r>
    </w:p>
    <w:p w:rsidR="008E2F47" w:rsidRPr="008E2F47" w:rsidRDefault="008E2F47" w:rsidP="008E2F47">
      <w:pPr>
        <w:spacing w:line="276" w:lineRule="auto"/>
      </w:pPr>
    </w:p>
    <w:p w:rsidR="00D445F0" w:rsidRDefault="004D29EF" w:rsidP="008E2F47">
      <w:pPr>
        <w:spacing w:line="276" w:lineRule="auto"/>
      </w:pPr>
      <w:r w:rsidRPr="008E2F47">
        <w:t>Nařízením vlády č. 307/2014 Sb., o stanovení podrobností evidence využití půdy podle uživatelských vztahů</w:t>
      </w:r>
      <w:r w:rsidR="00140594" w:rsidRPr="008E2F47">
        <w:t>,</w:t>
      </w:r>
      <w:r w:rsidRPr="008E2F47">
        <w:t xml:space="preserve"> došlo </w:t>
      </w:r>
      <w:r w:rsidR="009117EB" w:rsidRPr="008E2F47">
        <w:t>k</w:t>
      </w:r>
      <w:r w:rsidR="00A94CB0" w:rsidRPr="008E2F47">
        <w:t xml:space="preserve"> významné změně </w:t>
      </w:r>
      <w:r w:rsidR="009117EB" w:rsidRPr="008E2F47">
        <w:t xml:space="preserve">definice </w:t>
      </w:r>
      <w:r w:rsidR="00A92E7C" w:rsidRPr="008E2F47">
        <w:t xml:space="preserve">zemědělské kultury </w:t>
      </w:r>
      <w:r w:rsidR="00D445F0" w:rsidRPr="008E2F47">
        <w:t xml:space="preserve">ovocný </w:t>
      </w:r>
      <w:r w:rsidR="009117EB" w:rsidRPr="008E2F47">
        <w:t>sad</w:t>
      </w:r>
      <w:r w:rsidRPr="008E2F47">
        <w:t>.</w:t>
      </w:r>
      <w:r w:rsidR="00A92E7C" w:rsidRPr="008E2F47">
        <w:t xml:space="preserve"> </w:t>
      </w:r>
      <w:r w:rsidR="0009307C" w:rsidRPr="008E2F47">
        <w:t xml:space="preserve">Tato změna vedla k přeřazení některých sadů do jiných </w:t>
      </w:r>
      <w:r w:rsidR="006C57DD" w:rsidRPr="008E2F47">
        <w:t xml:space="preserve">druhů </w:t>
      </w:r>
      <w:r w:rsidR="0009307C" w:rsidRPr="008E2F47">
        <w:t xml:space="preserve">zemědělských kultur. To </w:t>
      </w:r>
      <w:r w:rsidR="00D445F0" w:rsidRPr="008E2F47">
        <w:t>vý</w:t>
      </w:r>
      <w:r w:rsidR="006905F9">
        <w:t>znamně</w:t>
      </w:r>
      <w:r w:rsidR="00D445F0" w:rsidRPr="008E2F47">
        <w:t xml:space="preserve"> </w:t>
      </w:r>
      <w:r w:rsidR="007B7ADB" w:rsidRPr="008E2F47">
        <w:t>ovlivnil</w:t>
      </w:r>
      <w:r w:rsidR="0009307C" w:rsidRPr="008E2F47">
        <w:t>o</w:t>
      </w:r>
      <w:r w:rsidR="007B7ADB" w:rsidRPr="008E2F47">
        <w:t xml:space="preserve"> </w:t>
      </w:r>
      <w:r w:rsidR="00D445F0" w:rsidRPr="008E2F47">
        <w:t xml:space="preserve">srovnatelnost s výsledky </w:t>
      </w:r>
      <w:r w:rsidR="006905F9" w:rsidRPr="008E2F47">
        <w:t>předcházející</w:t>
      </w:r>
      <w:r w:rsidR="006905F9">
        <w:t>ch šetření.</w:t>
      </w:r>
      <w:r w:rsidR="00A92E7C" w:rsidRPr="008E2F47">
        <w:t xml:space="preserve"> </w:t>
      </w:r>
    </w:p>
    <w:p w:rsidR="008E2F47" w:rsidRPr="008E2F47" w:rsidRDefault="008E2F47" w:rsidP="008E2F47">
      <w:pPr>
        <w:spacing w:line="276" w:lineRule="auto"/>
      </w:pPr>
    </w:p>
    <w:p w:rsidR="007B7ADB" w:rsidRPr="008E2F47" w:rsidRDefault="009117EB" w:rsidP="008E2F47">
      <w:pPr>
        <w:spacing w:line="276" w:lineRule="auto"/>
      </w:pPr>
      <w:r w:rsidRPr="008E2F47">
        <w:t xml:space="preserve">Definice </w:t>
      </w:r>
      <w:r w:rsidR="006C57DD" w:rsidRPr="008E2F47">
        <w:t xml:space="preserve">trvalé </w:t>
      </w:r>
      <w:r w:rsidR="00A92E7C" w:rsidRPr="008E2F47">
        <w:t>kultury ovocný sad:</w:t>
      </w:r>
      <w:r w:rsidR="007B7ADB" w:rsidRPr="008E2F47">
        <w:t xml:space="preserve"> Ovocným sadem se rozumí zemědělsky obhospodařovaná půda s trvalou kulturou, která je rovnoměrně a souvisle osázena ovocnými stromy o minimální hustotě 100</w:t>
      </w:r>
      <w:r w:rsidR="003954BF">
        <w:t> </w:t>
      </w:r>
      <w:r w:rsidR="007B7ADB" w:rsidRPr="008E2F47">
        <w:t>životaschopných jedinců na 1 hektar dílu půdního bloku nebo ovocnými keři o</w:t>
      </w:r>
      <w:r w:rsidR="003954BF">
        <w:t> </w:t>
      </w:r>
      <w:r w:rsidR="007B7ADB" w:rsidRPr="008E2F47">
        <w:t>minimální hustotě 800</w:t>
      </w:r>
      <w:r w:rsidR="003954BF">
        <w:t> </w:t>
      </w:r>
      <w:r w:rsidR="007B7ADB" w:rsidRPr="008E2F47">
        <w:t>životaschopných jedinců na 1</w:t>
      </w:r>
      <w:r w:rsidR="003954BF">
        <w:t> </w:t>
      </w:r>
      <w:r w:rsidR="007B7ADB" w:rsidRPr="008E2F47">
        <w:t>hektar dílu půdního bloku. Jako ovocné stromy nelze uznat podnože nebo množitelské porosty. Do</w:t>
      </w:r>
      <w:r w:rsidR="003954BF">
        <w:t> </w:t>
      </w:r>
      <w:r w:rsidR="007B7ADB" w:rsidRPr="008E2F47">
        <w:t>plochy této zemědělsky obhospodařované půdy se započítává související manipulační prostor, který nesmí přesahovat 12</w:t>
      </w:r>
      <w:r w:rsidR="003954BF">
        <w:t> </w:t>
      </w:r>
      <w:r w:rsidR="007B7ADB" w:rsidRPr="008E2F47">
        <w:t xml:space="preserve">metrů na začátku a na konci řad a šířku jednoho </w:t>
      </w:r>
      <w:proofErr w:type="spellStart"/>
      <w:r w:rsidR="007B7ADB" w:rsidRPr="008E2F47">
        <w:t>meziřadí</w:t>
      </w:r>
      <w:proofErr w:type="spellEnd"/>
      <w:r w:rsidR="007B7ADB" w:rsidRPr="008E2F47">
        <w:t>, v</w:t>
      </w:r>
      <w:r w:rsidR="003954BF">
        <w:t xml:space="preserve"> nejvyšší započitatelné šířce 8 </w:t>
      </w:r>
      <w:r w:rsidR="007B7ADB" w:rsidRPr="008E2F47">
        <w:t xml:space="preserve">metrů, podél řad po obou stranách ovocného sadu a netvoří součást cesty. Maximální přípustná šíře </w:t>
      </w:r>
      <w:proofErr w:type="spellStart"/>
      <w:r w:rsidR="007B7ADB" w:rsidRPr="008E2F47">
        <w:t>meziřadí</w:t>
      </w:r>
      <w:proofErr w:type="spellEnd"/>
      <w:r w:rsidR="007B7ADB" w:rsidRPr="008E2F47">
        <w:t xml:space="preserve"> je u ovocných stromů 12</w:t>
      </w:r>
      <w:r w:rsidR="003954BF">
        <w:t> </w:t>
      </w:r>
      <w:r w:rsidR="007B7ADB" w:rsidRPr="008E2F47">
        <w:t>metrů, u ovocných keřů 5</w:t>
      </w:r>
      <w:r w:rsidR="003954BF">
        <w:t> </w:t>
      </w:r>
      <w:r w:rsidR="007B7ADB" w:rsidRPr="008E2F47">
        <w:t>metrů.</w:t>
      </w:r>
    </w:p>
    <w:p w:rsidR="009117EB" w:rsidRPr="008E2F47" w:rsidRDefault="009117EB" w:rsidP="008E2F47">
      <w:pPr>
        <w:spacing w:line="276" w:lineRule="auto"/>
      </w:pPr>
    </w:p>
    <w:p w:rsidR="002D0150" w:rsidRPr="008E2F47" w:rsidRDefault="002D0150" w:rsidP="008E2F47">
      <w:pPr>
        <w:spacing w:line="276" w:lineRule="auto"/>
        <w:rPr>
          <w:bCs/>
        </w:rPr>
      </w:pPr>
      <w:r w:rsidRPr="008E2F47">
        <w:rPr>
          <w:bCs/>
        </w:rPr>
        <w:t>Předložená publikace je rozdělena na</w:t>
      </w:r>
      <w:r w:rsidR="00BE2CF4" w:rsidRPr="008E2F47">
        <w:rPr>
          <w:bCs/>
        </w:rPr>
        <w:t xml:space="preserve"> dvě části.</w:t>
      </w:r>
      <w:r w:rsidRPr="008E2F47">
        <w:rPr>
          <w:bCs/>
        </w:rPr>
        <w:t xml:space="preserve"> V první jsou </w:t>
      </w:r>
      <w:r w:rsidR="005711A1" w:rsidRPr="008E2F47">
        <w:rPr>
          <w:bCs/>
        </w:rPr>
        <w:t>uvedeny údaje</w:t>
      </w:r>
      <w:r w:rsidRPr="008E2F47">
        <w:rPr>
          <w:bCs/>
        </w:rPr>
        <w:t xml:space="preserve"> za Českou republiku, druhá část obsahuje regionální členění podle krajů</w:t>
      </w:r>
      <w:r w:rsidR="00BE2CF4" w:rsidRPr="008E2F47">
        <w:rPr>
          <w:bCs/>
        </w:rPr>
        <w:t>.</w:t>
      </w:r>
    </w:p>
    <w:p w:rsidR="006A5009" w:rsidRPr="00EE5D25" w:rsidRDefault="006A5009" w:rsidP="00EE5D25">
      <w:pPr>
        <w:spacing w:line="276" w:lineRule="auto"/>
        <w:rPr>
          <w:rFonts w:cs="Arial"/>
          <w:b/>
          <w:bCs/>
          <w:szCs w:val="20"/>
        </w:rPr>
      </w:pPr>
    </w:p>
    <w:p w:rsidR="008B5864" w:rsidRDefault="008B5864" w:rsidP="000B4584">
      <w:pPr>
        <w:pStyle w:val="Podtitul"/>
      </w:pPr>
      <w:r w:rsidRPr="008B586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721.25pt">
            <v:imagedata r:id="rId8" o:title=""/>
          </v:shape>
        </w:pict>
      </w:r>
    </w:p>
    <w:p w:rsidR="008B5864" w:rsidRDefault="008B5864" w:rsidP="00CA4B13">
      <w:pPr>
        <w:spacing w:line="276" w:lineRule="auto"/>
      </w:pPr>
      <w:r w:rsidRPr="008B5864">
        <w:lastRenderedPageBreak/>
        <w:pict>
          <v:shape id="_x0000_i1026" type="#_x0000_t75" style="width:483.2pt;height:290.9pt">
            <v:imagedata r:id="rId9" o:title=""/>
          </v:shape>
        </w:pict>
      </w:r>
    </w:p>
    <w:p w:rsidR="00764588" w:rsidRDefault="00764588" w:rsidP="00CA4B13">
      <w:pPr>
        <w:spacing w:line="276" w:lineRule="auto"/>
      </w:pPr>
    </w:p>
    <w:p w:rsidR="00764588" w:rsidRDefault="00764588" w:rsidP="00CA4B13">
      <w:pPr>
        <w:spacing w:line="276" w:lineRule="auto"/>
      </w:pPr>
    </w:p>
    <w:p w:rsidR="00AD2E69" w:rsidRDefault="00AD2E69" w:rsidP="00CA4B13">
      <w:pPr>
        <w:spacing w:line="276" w:lineRule="auto"/>
      </w:pPr>
    </w:p>
    <w:p w:rsidR="00AD2E69" w:rsidRDefault="00AD2E69" w:rsidP="00CA4B13">
      <w:pPr>
        <w:spacing w:line="276" w:lineRule="auto"/>
      </w:pPr>
    </w:p>
    <w:p w:rsidR="00764588" w:rsidRPr="00CE5B9A" w:rsidRDefault="00764588" w:rsidP="00764588">
      <w:pPr>
        <w:pStyle w:val="Nadpis4"/>
        <w:spacing w:line="276" w:lineRule="auto"/>
        <w:jc w:val="left"/>
        <w:rPr>
          <w:rFonts w:cs="Arial"/>
          <w:b w:val="0"/>
          <w:sz w:val="20"/>
          <w:szCs w:val="20"/>
        </w:rPr>
      </w:pPr>
      <w:r w:rsidRPr="00B259D5">
        <w:rPr>
          <w:rFonts w:cs="Arial"/>
          <w:sz w:val="20"/>
          <w:szCs w:val="20"/>
        </w:rPr>
        <w:t>POUŽITÉ ZNAČKY V TABULKÁCH PUBLIKACE</w:t>
      </w:r>
      <w:r>
        <w:rPr>
          <w:rFonts w:cs="Arial"/>
          <w:b w:val="0"/>
          <w:sz w:val="20"/>
          <w:szCs w:val="20"/>
        </w:rPr>
        <w:t>:</w:t>
      </w:r>
    </w:p>
    <w:p w:rsidR="00764588" w:rsidRPr="00FA63E1" w:rsidRDefault="00764588" w:rsidP="00764588">
      <w:pPr>
        <w:numPr>
          <w:ilvl w:val="0"/>
          <w:numId w:val="8"/>
        </w:numPr>
        <w:spacing w:line="276" w:lineRule="auto"/>
        <w:ind w:left="0" w:firstLine="0"/>
      </w:pPr>
      <w:r w:rsidRPr="00FA63E1">
        <w:t>jev se nevyskytoval</w:t>
      </w:r>
    </w:p>
    <w:p w:rsidR="00764588" w:rsidRPr="00FA63E1" w:rsidRDefault="00764588" w:rsidP="00764588">
      <w:pPr>
        <w:spacing w:line="276" w:lineRule="auto"/>
      </w:pPr>
      <w:r w:rsidRPr="00FA63E1">
        <w:t>.</w:t>
      </w:r>
      <w:r w:rsidRPr="00FA63E1">
        <w:tab/>
        <w:t>údaj není k dispozici nebo je nespolehlivý</w:t>
      </w:r>
    </w:p>
    <w:p w:rsidR="00764588" w:rsidRPr="004402EA" w:rsidRDefault="00764588" w:rsidP="00764588">
      <w:pPr>
        <w:rPr>
          <w:rFonts w:eastAsia="Calibri"/>
          <w:lang w:eastAsia="en-US"/>
        </w:rPr>
      </w:pPr>
      <w:r w:rsidRPr="004402EA">
        <w:rPr>
          <w:rFonts w:eastAsia="Calibri"/>
          <w:lang w:eastAsia="en-US"/>
        </w:rPr>
        <w:t>x</w:t>
      </w:r>
      <w:r w:rsidRPr="004402EA">
        <w:rPr>
          <w:rFonts w:eastAsia="Calibri"/>
          <w:lang w:eastAsia="en-US"/>
        </w:rPr>
        <w:tab/>
        <w:t>zápis není možný z logických důvodů</w:t>
      </w:r>
    </w:p>
    <w:p w:rsidR="00764588" w:rsidRDefault="00764588" w:rsidP="00764588">
      <w:pPr>
        <w:spacing w:line="276" w:lineRule="auto"/>
        <w:rPr>
          <w:highlight w:val="green"/>
        </w:rPr>
      </w:pPr>
      <w:r>
        <w:t>i. </w:t>
      </w:r>
      <w:r w:rsidRPr="00FA63E1">
        <w:t>d</w:t>
      </w:r>
      <w:r>
        <w:t>.</w:t>
      </w:r>
      <w:r w:rsidRPr="00FA63E1">
        <w:tab/>
        <w:t xml:space="preserve">individuální </w:t>
      </w:r>
      <w:r>
        <w:t>(důvěrný) údaj</w:t>
      </w:r>
    </w:p>
    <w:p w:rsidR="00764588" w:rsidRDefault="00764588" w:rsidP="00CA4B13">
      <w:pPr>
        <w:spacing w:line="276" w:lineRule="auto"/>
        <w:rPr>
          <w:rFonts w:cs="Arial"/>
          <w:i/>
          <w:u w:val="single"/>
        </w:rPr>
      </w:pPr>
    </w:p>
    <w:sectPr w:rsidR="00764588" w:rsidSect="00CA4B13">
      <w:footerReference w:type="even" r:id="rId10"/>
      <w:footerReference w:type="default" r:id="rId11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9F" w:rsidRDefault="00D0759F">
      <w:r>
        <w:separator/>
      </w:r>
    </w:p>
  </w:endnote>
  <w:endnote w:type="continuationSeparator" w:id="0">
    <w:p w:rsidR="00D0759F" w:rsidRDefault="00D0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5B" w:rsidRDefault="006D16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165B" w:rsidRDefault="006D1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5B" w:rsidRDefault="006D165B">
    <w:pPr>
      <w:pStyle w:val="Zpat"/>
      <w:framePr w:wrap="around" w:vAnchor="text" w:hAnchor="margin" w:xAlign="center" w:y="1"/>
      <w:rPr>
        <w:rStyle w:val="slostrnky"/>
      </w:rPr>
    </w:pPr>
  </w:p>
  <w:p w:rsidR="006D165B" w:rsidRDefault="006D1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9F" w:rsidRDefault="00D0759F">
      <w:r>
        <w:separator/>
      </w:r>
    </w:p>
  </w:footnote>
  <w:footnote w:type="continuationSeparator" w:id="0">
    <w:p w:rsidR="00D0759F" w:rsidRDefault="00D0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48E"/>
    <w:multiLevelType w:val="hybridMultilevel"/>
    <w:tmpl w:val="1A3CDBD4"/>
    <w:lvl w:ilvl="0" w:tplc="B1082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4AE1"/>
    <w:multiLevelType w:val="hybridMultilevel"/>
    <w:tmpl w:val="3FC4C46A"/>
    <w:lvl w:ilvl="0" w:tplc="6AE2CA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6204A"/>
    <w:multiLevelType w:val="hybridMultilevel"/>
    <w:tmpl w:val="B0D44A08"/>
    <w:lvl w:ilvl="0" w:tplc="BF361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EC9"/>
    <w:multiLevelType w:val="hybridMultilevel"/>
    <w:tmpl w:val="9AD09792"/>
    <w:lvl w:ilvl="0" w:tplc="86784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4DA4"/>
    <w:multiLevelType w:val="hybridMultilevel"/>
    <w:tmpl w:val="82465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A4E48"/>
    <w:multiLevelType w:val="hybridMultilevel"/>
    <w:tmpl w:val="F00A5290"/>
    <w:lvl w:ilvl="0" w:tplc="B9686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6C57BA"/>
    <w:multiLevelType w:val="hybridMultilevel"/>
    <w:tmpl w:val="391C4B7A"/>
    <w:lvl w:ilvl="0" w:tplc="2B1C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EF"/>
    <w:rsid w:val="00012646"/>
    <w:rsid w:val="000653BD"/>
    <w:rsid w:val="00067FE1"/>
    <w:rsid w:val="0008000E"/>
    <w:rsid w:val="0009307C"/>
    <w:rsid w:val="000A2DF7"/>
    <w:rsid w:val="000B1A39"/>
    <w:rsid w:val="000B4584"/>
    <w:rsid w:val="000B6874"/>
    <w:rsid w:val="000C4F09"/>
    <w:rsid w:val="000E0C2A"/>
    <w:rsid w:val="0013413C"/>
    <w:rsid w:val="00140594"/>
    <w:rsid w:val="00256B19"/>
    <w:rsid w:val="00267B60"/>
    <w:rsid w:val="00286E60"/>
    <w:rsid w:val="002A2456"/>
    <w:rsid w:val="002A4C4E"/>
    <w:rsid w:val="002D0150"/>
    <w:rsid w:val="002F7040"/>
    <w:rsid w:val="003340BE"/>
    <w:rsid w:val="00343588"/>
    <w:rsid w:val="00383488"/>
    <w:rsid w:val="00385A01"/>
    <w:rsid w:val="003954BF"/>
    <w:rsid w:val="003C1160"/>
    <w:rsid w:val="003E1DCC"/>
    <w:rsid w:val="00400CFE"/>
    <w:rsid w:val="004402EA"/>
    <w:rsid w:val="004516E1"/>
    <w:rsid w:val="0047049E"/>
    <w:rsid w:val="004B646C"/>
    <w:rsid w:val="004C0C30"/>
    <w:rsid w:val="004D29EF"/>
    <w:rsid w:val="004E3973"/>
    <w:rsid w:val="004E5FAA"/>
    <w:rsid w:val="005438E6"/>
    <w:rsid w:val="00545A96"/>
    <w:rsid w:val="00553AE7"/>
    <w:rsid w:val="005711A1"/>
    <w:rsid w:val="00584D12"/>
    <w:rsid w:val="005C387E"/>
    <w:rsid w:val="005E4B64"/>
    <w:rsid w:val="00604AC4"/>
    <w:rsid w:val="00604B22"/>
    <w:rsid w:val="00664938"/>
    <w:rsid w:val="006905F9"/>
    <w:rsid w:val="006A5009"/>
    <w:rsid w:val="006C0504"/>
    <w:rsid w:val="006C57DD"/>
    <w:rsid w:val="006D165B"/>
    <w:rsid w:val="006D42D2"/>
    <w:rsid w:val="007633D8"/>
    <w:rsid w:val="00763697"/>
    <w:rsid w:val="00764588"/>
    <w:rsid w:val="00794E37"/>
    <w:rsid w:val="00797640"/>
    <w:rsid w:val="007B6A06"/>
    <w:rsid w:val="007B7ADB"/>
    <w:rsid w:val="007C46AA"/>
    <w:rsid w:val="0080201F"/>
    <w:rsid w:val="0085178F"/>
    <w:rsid w:val="008B3C39"/>
    <w:rsid w:val="008B5864"/>
    <w:rsid w:val="008E2F47"/>
    <w:rsid w:val="009064A3"/>
    <w:rsid w:val="009117EB"/>
    <w:rsid w:val="009356B7"/>
    <w:rsid w:val="00947E36"/>
    <w:rsid w:val="00950405"/>
    <w:rsid w:val="00950CB1"/>
    <w:rsid w:val="00960BE5"/>
    <w:rsid w:val="0097041A"/>
    <w:rsid w:val="0097487A"/>
    <w:rsid w:val="009A363E"/>
    <w:rsid w:val="009D6333"/>
    <w:rsid w:val="009D69D5"/>
    <w:rsid w:val="00A1051C"/>
    <w:rsid w:val="00A11D84"/>
    <w:rsid w:val="00A40CDF"/>
    <w:rsid w:val="00A64EA2"/>
    <w:rsid w:val="00A66470"/>
    <w:rsid w:val="00A86263"/>
    <w:rsid w:val="00A92E7C"/>
    <w:rsid w:val="00A94CB0"/>
    <w:rsid w:val="00A96D34"/>
    <w:rsid w:val="00A97039"/>
    <w:rsid w:val="00AA2328"/>
    <w:rsid w:val="00AB5091"/>
    <w:rsid w:val="00AC66DE"/>
    <w:rsid w:val="00AD2E69"/>
    <w:rsid w:val="00AD70B0"/>
    <w:rsid w:val="00B1356D"/>
    <w:rsid w:val="00B259D5"/>
    <w:rsid w:val="00B34D9A"/>
    <w:rsid w:val="00B44875"/>
    <w:rsid w:val="00B45DB3"/>
    <w:rsid w:val="00B86E24"/>
    <w:rsid w:val="00BB18DB"/>
    <w:rsid w:val="00BC3306"/>
    <w:rsid w:val="00BE2CF4"/>
    <w:rsid w:val="00C04FE2"/>
    <w:rsid w:val="00C264FB"/>
    <w:rsid w:val="00C50179"/>
    <w:rsid w:val="00C55E50"/>
    <w:rsid w:val="00C905EF"/>
    <w:rsid w:val="00C91E14"/>
    <w:rsid w:val="00C9779E"/>
    <w:rsid w:val="00CA4B13"/>
    <w:rsid w:val="00CD28E9"/>
    <w:rsid w:val="00CD3688"/>
    <w:rsid w:val="00CD73F2"/>
    <w:rsid w:val="00CE5B9A"/>
    <w:rsid w:val="00D03AEA"/>
    <w:rsid w:val="00D0759F"/>
    <w:rsid w:val="00D42D81"/>
    <w:rsid w:val="00D445F0"/>
    <w:rsid w:val="00D62322"/>
    <w:rsid w:val="00DD4EFD"/>
    <w:rsid w:val="00E219C1"/>
    <w:rsid w:val="00E50A48"/>
    <w:rsid w:val="00E97082"/>
    <w:rsid w:val="00EA600D"/>
    <w:rsid w:val="00EA781D"/>
    <w:rsid w:val="00EE5D25"/>
    <w:rsid w:val="00F0350F"/>
    <w:rsid w:val="00F27861"/>
    <w:rsid w:val="00F333E6"/>
    <w:rsid w:val="00F55697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firstLine="709"/>
    </w:pPr>
    <w:rPr>
      <w:rFonts w:cs="Arial"/>
      <w:sz w:val="24"/>
    </w:rPr>
  </w:style>
  <w:style w:type="paragraph" w:styleId="Zkladntextodsazen">
    <w:name w:val="Body Text Indent"/>
    <w:basedOn w:val="Normln"/>
    <w:semiHidden/>
    <w:pPr>
      <w:ind w:firstLine="708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</w:style>
  <w:style w:type="paragraph" w:styleId="Zkladntext2">
    <w:name w:val="Body Text 2"/>
    <w:basedOn w:val="Normln"/>
    <w:semiHidden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5B9A"/>
    <w:rPr>
      <w:rFonts w:ascii="Tahoma" w:hAnsi="Tahoma" w:cs="Tahoma"/>
      <w:sz w:val="16"/>
      <w:szCs w:val="16"/>
    </w:rPr>
  </w:style>
  <w:style w:type="character" w:customStyle="1" w:styleId="h1a">
    <w:name w:val="h1a"/>
    <w:rsid w:val="00343588"/>
  </w:style>
  <w:style w:type="paragraph" w:styleId="Textpoznpodarou">
    <w:name w:val="footnote text"/>
    <w:basedOn w:val="Normln"/>
    <w:link w:val="TextpoznpodarouChar"/>
    <w:semiHidden/>
    <w:unhideWhenUsed/>
    <w:rsid w:val="005C387E"/>
    <w:pPr>
      <w:jc w:val="left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link w:val="Textpoznpodarou"/>
    <w:semiHidden/>
    <w:rsid w:val="005C387E"/>
    <w:rPr>
      <w:bCs/>
      <w:iCs/>
    </w:rPr>
  </w:style>
  <w:style w:type="character" w:styleId="Znakapoznpodarou">
    <w:name w:val="footnote reference"/>
    <w:semiHidden/>
    <w:unhideWhenUsed/>
    <w:rsid w:val="005C387E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0B458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itulChar">
    <w:name w:val="Podtitul Char"/>
    <w:link w:val="Podtitul"/>
    <w:uiPriority w:val="11"/>
    <w:rsid w:val="000B458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CC9F-25BE-4043-AAC7-B1A93B9C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CSU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system service</dc:creator>
  <cp:lastModifiedBy>Dagmar Lhotská</cp:lastModifiedBy>
  <cp:revision>2</cp:revision>
  <cp:lastPrinted>2017-11-24T07:28:00Z</cp:lastPrinted>
  <dcterms:created xsi:type="dcterms:W3CDTF">2018-01-05T12:28:00Z</dcterms:created>
  <dcterms:modified xsi:type="dcterms:W3CDTF">2018-01-05T12:28:00Z</dcterms:modified>
</cp:coreProperties>
</file>