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6F" w:rsidRPr="00EA1439" w:rsidRDefault="000207E0" w:rsidP="00344D0E">
      <w:pPr>
        <w:pStyle w:val="Nadpis3"/>
        <w:spacing w:before="0" w:after="0" w:line="276" w:lineRule="auto"/>
        <w:jc w:val="center"/>
        <w:rPr>
          <w:sz w:val="28"/>
          <w:lang w:val="en-GB"/>
        </w:rPr>
      </w:pPr>
      <w:r w:rsidRPr="00EA1439">
        <w:rPr>
          <w:sz w:val="28"/>
          <w:lang w:val="en-GB"/>
        </w:rPr>
        <w:t>Commentary</w:t>
      </w:r>
    </w:p>
    <w:p w:rsidR="00B646BE" w:rsidRPr="000207E0" w:rsidRDefault="00B646BE" w:rsidP="00344D0E">
      <w:pPr>
        <w:spacing w:line="276" w:lineRule="auto"/>
      </w:pPr>
    </w:p>
    <w:p w:rsidR="006353B7" w:rsidRPr="00EB01BA" w:rsidRDefault="000207E0" w:rsidP="00344D0E">
      <w:pPr>
        <w:pStyle w:val="Zkladntext"/>
        <w:spacing w:line="276" w:lineRule="auto"/>
        <w:rPr>
          <w:lang w:val="en-GB"/>
        </w:rPr>
      </w:pPr>
      <w:r w:rsidRPr="0098693E">
        <w:rPr>
          <w:lang w:val="en-GB"/>
        </w:rPr>
        <w:t xml:space="preserve">The </w:t>
      </w:r>
      <w:r w:rsidR="0098693E" w:rsidRPr="0098693E">
        <w:rPr>
          <w:lang w:val="en-GB"/>
        </w:rPr>
        <w:t xml:space="preserve">Orchard </w:t>
      </w:r>
      <w:r w:rsidRPr="0098693E">
        <w:rPr>
          <w:lang w:val="en-GB"/>
        </w:rPr>
        <w:t xml:space="preserve">Survey </w:t>
      </w:r>
      <w:r w:rsidRPr="000207E0">
        <w:rPr>
          <w:lang w:val="en-GB"/>
        </w:rPr>
        <w:t>2017 included 1 755 fruit growers</w:t>
      </w:r>
      <w:r w:rsidR="007936BA">
        <w:rPr>
          <w:lang w:val="en-GB"/>
        </w:rPr>
        <w:t>,</w:t>
      </w:r>
      <w:r w:rsidRPr="000207E0">
        <w:rPr>
          <w:lang w:val="en-GB"/>
        </w:rPr>
        <w:t xml:space="preserve"> which utilised 16 417 ha of orchards. </w:t>
      </w:r>
      <w:r>
        <w:rPr>
          <w:lang w:val="en-GB"/>
        </w:rPr>
        <w:t xml:space="preserve">Data on 1 006 growers were obtained from the Orchard Register maintained by the </w:t>
      </w:r>
      <w:r w:rsidR="004F6AAA" w:rsidRPr="0050431F">
        <w:rPr>
          <w:rFonts w:cs="Arial"/>
          <w:szCs w:val="20"/>
          <w:lang w:val="en-GB"/>
        </w:rPr>
        <w:t>Central Institute for Supervising and Testing in Agriculture</w:t>
      </w:r>
      <w:r>
        <w:rPr>
          <w:rFonts w:cs="Arial"/>
          <w:szCs w:val="20"/>
          <w:lang w:val="en-GB"/>
        </w:rPr>
        <w:t>; their utilised area was 15 473 ha, i.e. 94.2% of the total area of orchards</w:t>
      </w:r>
      <w:r w:rsidRPr="000207E0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surveyed. </w:t>
      </w:r>
      <w:r w:rsidR="006D26B4">
        <w:rPr>
          <w:rFonts w:cs="Arial"/>
          <w:szCs w:val="20"/>
          <w:lang w:val="en-GB"/>
        </w:rPr>
        <w:t>Further</w:t>
      </w:r>
      <w:r>
        <w:rPr>
          <w:rFonts w:cs="Arial"/>
          <w:szCs w:val="20"/>
          <w:lang w:val="en-GB"/>
        </w:rPr>
        <w:t xml:space="preserve"> data for 749 fruit growers and 945 ha (5.8% of the orchard area) were </w:t>
      </w:r>
      <w:r w:rsidR="00EB01BA" w:rsidRPr="00EB01BA">
        <w:rPr>
          <w:rFonts w:cs="Arial"/>
          <w:szCs w:val="20"/>
          <w:lang w:val="en-GB"/>
        </w:rPr>
        <w:t>collected using standard statistical questionnaires.</w:t>
      </w:r>
    </w:p>
    <w:p w:rsidR="00EB01BA" w:rsidRPr="0008141A" w:rsidRDefault="00EB01BA" w:rsidP="00344D0E">
      <w:pPr>
        <w:pStyle w:val="Zkladntext"/>
        <w:spacing w:line="276" w:lineRule="auto"/>
        <w:rPr>
          <w:lang w:val="en-GB"/>
        </w:rPr>
      </w:pPr>
    </w:p>
    <w:p w:rsidR="008172D1" w:rsidRPr="0008141A" w:rsidRDefault="0008141A" w:rsidP="00344D0E">
      <w:pPr>
        <w:pStyle w:val="Zkladntext"/>
        <w:spacing w:line="276" w:lineRule="auto"/>
        <w:rPr>
          <w:lang w:val="en-GB"/>
        </w:rPr>
      </w:pPr>
      <w:r w:rsidRPr="0008141A">
        <w:rPr>
          <w:lang w:val="en-GB"/>
        </w:rPr>
        <w:t xml:space="preserve">The vast majority </w:t>
      </w:r>
      <w:r>
        <w:rPr>
          <w:lang w:val="en-GB"/>
        </w:rPr>
        <w:t xml:space="preserve">of the fruit growers </w:t>
      </w:r>
      <w:r w:rsidR="00A60452">
        <w:rPr>
          <w:lang w:val="en-GB"/>
        </w:rPr>
        <w:t>was represented by</w:t>
      </w:r>
      <w:r>
        <w:rPr>
          <w:lang w:val="en-GB"/>
        </w:rPr>
        <w:t xml:space="preserve"> holdings of natural persons (1 452 holdings</w:t>
      </w:r>
      <w:r w:rsidR="0026085D">
        <w:rPr>
          <w:lang w:val="en-GB"/>
        </w:rPr>
        <w:t>;</w:t>
      </w:r>
      <w:r>
        <w:rPr>
          <w:lang w:val="en-GB"/>
        </w:rPr>
        <w:t xml:space="preserve"> 82.7%)</w:t>
      </w:r>
      <w:r w:rsidR="006673F2">
        <w:rPr>
          <w:lang w:val="en-GB"/>
        </w:rPr>
        <w:t>,</w:t>
      </w:r>
      <w:r>
        <w:rPr>
          <w:lang w:val="en-GB"/>
        </w:rPr>
        <w:t xml:space="preserve"> which utilised 7 056 ha </w:t>
      </w:r>
      <w:r w:rsidR="006673F2">
        <w:rPr>
          <w:lang w:val="en-GB"/>
        </w:rPr>
        <w:t xml:space="preserve">of orchards </w:t>
      </w:r>
      <w:r>
        <w:rPr>
          <w:lang w:val="en-GB"/>
        </w:rPr>
        <w:t xml:space="preserve">(43.0% of the total orchard area) with their average size 4.86 ha. There were 303 legal persons, i.e. 17.3% out of the total number of fruit growers. They utilised 9 361 ha (57.0%) of </w:t>
      </w:r>
      <w:r w:rsidRPr="0008141A">
        <w:rPr>
          <w:lang w:val="en-GB"/>
        </w:rPr>
        <w:t xml:space="preserve">orchards and their average size was 30.90 ha. </w:t>
      </w:r>
    </w:p>
    <w:p w:rsidR="0008141A" w:rsidRPr="00CE7C89" w:rsidRDefault="0008141A" w:rsidP="00344D0E">
      <w:pPr>
        <w:pStyle w:val="Zkladntext"/>
        <w:spacing w:line="276" w:lineRule="auto"/>
        <w:rPr>
          <w:lang w:val="en-GB"/>
        </w:rPr>
      </w:pPr>
    </w:p>
    <w:p w:rsidR="0008141A" w:rsidRPr="00CE7C89" w:rsidRDefault="0008141A" w:rsidP="00344D0E">
      <w:pPr>
        <w:pStyle w:val="Zkladntext"/>
        <w:spacing w:line="276" w:lineRule="auto"/>
        <w:rPr>
          <w:lang w:val="en-GB"/>
        </w:rPr>
      </w:pPr>
      <w:r w:rsidRPr="00CE7C89">
        <w:rPr>
          <w:lang w:val="en-GB"/>
        </w:rPr>
        <w:t xml:space="preserve">More than one half of the producers (985 holdings, 54.6%) </w:t>
      </w:r>
      <w:r w:rsidR="0017316E">
        <w:rPr>
          <w:lang w:val="en-GB"/>
        </w:rPr>
        <w:t>kept</w:t>
      </w:r>
      <w:r w:rsidRPr="00CE7C89">
        <w:rPr>
          <w:lang w:val="en-GB"/>
        </w:rPr>
        <w:t xml:space="preserve"> orchards up to 2 ha of their area. These fruit growers utilised 752 ha</w:t>
      </w:r>
      <w:r w:rsidR="002A1BE8">
        <w:rPr>
          <w:lang w:val="en-GB"/>
        </w:rPr>
        <w:t>;</w:t>
      </w:r>
      <w:r w:rsidRPr="00CE7C89">
        <w:rPr>
          <w:lang w:val="en-GB"/>
        </w:rPr>
        <w:t xml:space="preserve"> i.e. only 4.6% of the total orchard area. On the contrary, the 82 largest </w:t>
      </w:r>
      <w:r w:rsidR="00B51790" w:rsidRPr="00CE7C89">
        <w:rPr>
          <w:lang w:val="en-GB"/>
        </w:rPr>
        <w:t>fruit producers with their area of more than 50 ha (4.7% of fruit growers) kept 8 413 ha</w:t>
      </w:r>
      <w:r w:rsidR="002A1BE8">
        <w:rPr>
          <w:lang w:val="en-GB"/>
        </w:rPr>
        <w:t>;</w:t>
      </w:r>
      <w:r w:rsidR="00B51790" w:rsidRPr="00CE7C89">
        <w:rPr>
          <w:lang w:val="en-GB"/>
        </w:rPr>
        <w:t xml:space="preserve"> i.e. more than one half of the total orchard area (51.2%). </w:t>
      </w:r>
    </w:p>
    <w:p w:rsidR="0008141A" w:rsidRPr="00CE7C89" w:rsidRDefault="0008141A" w:rsidP="00344D0E">
      <w:pPr>
        <w:pStyle w:val="Zkladntext"/>
        <w:spacing w:line="276" w:lineRule="auto"/>
        <w:rPr>
          <w:lang w:val="en-GB"/>
        </w:rPr>
      </w:pPr>
    </w:p>
    <w:p w:rsidR="00086D6F" w:rsidRDefault="008C6496" w:rsidP="00344D0E">
      <w:p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="00CE7C89" w:rsidRPr="00CE7C89">
        <w:rPr>
          <w:rFonts w:cs="Arial"/>
          <w:lang w:val="en-GB"/>
        </w:rPr>
        <w:t xml:space="preserve">he most important fruit species </w:t>
      </w:r>
      <w:r w:rsidR="00CE7C89">
        <w:rPr>
          <w:rFonts w:cs="Arial"/>
          <w:lang w:val="en-GB"/>
        </w:rPr>
        <w:t xml:space="preserve">was apple. Apple trees were planted on 7 819 ha, i.e. </w:t>
      </w:r>
      <w:r w:rsidR="00A83E27">
        <w:rPr>
          <w:rFonts w:cs="Arial"/>
          <w:lang w:val="en-GB"/>
        </w:rPr>
        <w:t xml:space="preserve">on </w:t>
      </w:r>
      <w:r w:rsidR="00CE7C89">
        <w:rPr>
          <w:rFonts w:cs="Arial"/>
          <w:lang w:val="en-GB"/>
        </w:rPr>
        <w:t xml:space="preserve">almost one half of the total orchard area (47.6%). The second </w:t>
      </w:r>
      <w:r w:rsidR="00141CD4">
        <w:rPr>
          <w:rFonts w:cs="Arial"/>
          <w:lang w:val="en-GB"/>
        </w:rPr>
        <w:t>most common</w:t>
      </w:r>
      <w:r w:rsidR="00CE7C89">
        <w:rPr>
          <w:rFonts w:cs="Arial"/>
          <w:lang w:val="en-GB"/>
        </w:rPr>
        <w:t xml:space="preserve"> species was plum; plum trees were planted on 2 329 ha (14.2%). </w:t>
      </w:r>
      <w:r w:rsidR="000F77BB">
        <w:rPr>
          <w:rFonts w:cs="Arial"/>
          <w:lang w:val="en-GB"/>
        </w:rPr>
        <w:t>Further 1 427 ha (8.7%) were covered by s</w:t>
      </w:r>
      <w:r w:rsidR="00CE7C89">
        <w:rPr>
          <w:rFonts w:cs="Arial"/>
          <w:lang w:val="en-GB"/>
        </w:rPr>
        <w:t xml:space="preserve">our cherry orchards, </w:t>
      </w:r>
      <w:r w:rsidR="000F77BB">
        <w:rPr>
          <w:rFonts w:cs="Arial"/>
          <w:lang w:val="en-GB"/>
        </w:rPr>
        <w:t xml:space="preserve">1 152 ha (7.0%) by </w:t>
      </w:r>
      <w:r w:rsidR="00CE7C89">
        <w:rPr>
          <w:rFonts w:cs="Arial"/>
          <w:lang w:val="en-GB"/>
        </w:rPr>
        <w:t xml:space="preserve">apricot </w:t>
      </w:r>
      <w:r w:rsidR="00714349">
        <w:rPr>
          <w:rFonts w:cs="Arial"/>
          <w:lang w:val="en-GB"/>
        </w:rPr>
        <w:t>orchards</w:t>
      </w:r>
      <w:r w:rsidR="00CE7C89">
        <w:rPr>
          <w:rFonts w:cs="Arial"/>
          <w:lang w:val="en-GB"/>
        </w:rPr>
        <w:t xml:space="preserve">, </w:t>
      </w:r>
      <w:r w:rsidR="000F77BB">
        <w:rPr>
          <w:rFonts w:cs="Arial"/>
          <w:lang w:val="en-GB"/>
        </w:rPr>
        <w:t xml:space="preserve">1 017 ha (6.2%) by </w:t>
      </w:r>
      <w:r w:rsidR="00CE7C89">
        <w:rPr>
          <w:rFonts w:cs="Arial"/>
          <w:lang w:val="en-GB"/>
        </w:rPr>
        <w:t xml:space="preserve">cherry </w:t>
      </w:r>
      <w:r w:rsidR="00714349">
        <w:rPr>
          <w:rFonts w:cs="Arial"/>
          <w:lang w:val="en-GB"/>
        </w:rPr>
        <w:t>orchards</w:t>
      </w:r>
      <w:r w:rsidR="00CE7C89">
        <w:rPr>
          <w:rFonts w:cs="Arial"/>
          <w:lang w:val="en-GB"/>
        </w:rPr>
        <w:t xml:space="preserve">, </w:t>
      </w:r>
      <w:r w:rsidR="000F77BB">
        <w:rPr>
          <w:rFonts w:cs="Arial"/>
          <w:lang w:val="en-GB"/>
        </w:rPr>
        <w:t xml:space="preserve">870 ha (5.3%) by </w:t>
      </w:r>
      <w:r w:rsidR="00CE7C89">
        <w:rPr>
          <w:rFonts w:cs="Arial"/>
          <w:lang w:val="en-GB"/>
        </w:rPr>
        <w:t xml:space="preserve">pear </w:t>
      </w:r>
      <w:r w:rsidR="00714349">
        <w:rPr>
          <w:rFonts w:cs="Arial"/>
          <w:lang w:val="en-GB"/>
        </w:rPr>
        <w:t>orchards</w:t>
      </w:r>
      <w:r w:rsidR="00CE7C89">
        <w:rPr>
          <w:rFonts w:cs="Arial"/>
          <w:lang w:val="en-GB"/>
        </w:rPr>
        <w:t xml:space="preserve"> and </w:t>
      </w:r>
      <w:r w:rsidR="000F77BB">
        <w:rPr>
          <w:rFonts w:cs="Arial"/>
          <w:lang w:val="en-GB"/>
        </w:rPr>
        <w:t xml:space="preserve">340 ha (2.1%) by </w:t>
      </w:r>
      <w:proofErr w:type="gramStart"/>
      <w:r w:rsidR="00791098">
        <w:rPr>
          <w:rFonts w:cs="Arial"/>
          <w:lang w:val="en-GB"/>
        </w:rPr>
        <w:t>peach</w:t>
      </w:r>
      <w:proofErr w:type="gramEnd"/>
      <w:r w:rsidR="00791098">
        <w:rPr>
          <w:rFonts w:cs="Arial"/>
          <w:lang w:val="en-GB"/>
        </w:rPr>
        <w:t xml:space="preserve"> </w:t>
      </w:r>
      <w:r w:rsidR="00714349">
        <w:rPr>
          <w:rFonts w:cs="Arial"/>
          <w:lang w:val="en-GB"/>
        </w:rPr>
        <w:t>orchards</w:t>
      </w:r>
      <w:r w:rsidR="00791098">
        <w:rPr>
          <w:rFonts w:cs="Arial"/>
          <w:lang w:val="en-GB"/>
        </w:rPr>
        <w:t xml:space="preserve">. Berries (currants, gooseberries, blackberries, raspberries and blueberries) were planted on 984 ha, i.e. they covered 6.1% of the total orchard area. Nuts (walnuts, hazelnuts, almonds and chestnuts) covered 215 ha (1.3%) and other fruit trees or bushes </w:t>
      </w:r>
      <w:r w:rsidR="000F77BB">
        <w:rPr>
          <w:rFonts w:cs="Arial"/>
          <w:lang w:val="en-GB"/>
        </w:rPr>
        <w:t xml:space="preserve">were planted on </w:t>
      </w:r>
      <w:r w:rsidR="00791098">
        <w:rPr>
          <w:rFonts w:cs="Arial"/>
          <w:lang w:val="en-GB"/>
        </w:rPr>
        <w:t>254 ha (1.6%).</w:t>
      </w:r>
    </w:p>
    <w:p w:rsidR="00086D6F" w:rsidRDefault="00086D6F" w:rsidP="00344D0E">
      <w:pPr>
        <w:pStyle w:val="Zkladntext"/>
        <w:spacing w:line="276" w:lineRule="auto"/>
      </w:pPr>
    </w:p>
    <w:p w:rsidR="00810C40" w:rsidRPr="00CD479A" w:rsidRDefault="00CD479A" w:rsidP="00344D0E">
      <w:pPr>
        <w:pStyle w:val="Zkladntext"/>
        <w:spacing w:line="276" w:lineRule="auto"/>
        <w:rPr>
          <w:lang w:val="en-GB"/>
        </w:rPr>
      </w:pPr>
      <w:r w:rsidRPr="00CD479A">
        <w:rPr>
          <w:lang w:val="en-GB"/>
        </w:rPr>
        <w:t xml:space="preserve">The most common </w:t>
      </w:r>
      <w:r>
        <w:rPr>
          <w:lang w:val="en-GB"/>
        </w:rPr>
        <w:t xml:space="preserve">apple </w:t>
      </w:r>
      <w:r w:rsidRPr="00CD479A">
        <w:rPr>
          <w:lang w:val="en-GB"/>
        </w:rPr>
        <w:t>variet</w:t>
      </w:r>
      <w:r>
        <w:rPr>
          <w:lang w:val="en-GB"/>
        </w:rPr>
        <w:t xml:space="preserve">ies were those from the Golden Delicious group (19.6% of the total apple </w:t>
      </w:r>
      <w:r w:rsidRPr="00CD479A">
        <w:rPr>
          <w:lang w:val="en-GB"/>
        </w:rPr>
        <w:t xml:space="preserve">orchard area), </w:t>
      </w:r>
      <w:proofErr w:type="spellStart"/>
      <w:r w:rsidRPr="00CD479A">
        <w:rPr>
          <w:lang w:val="en-GB"/>
        </w:rPr>
        <w:t>Ida</w:t>
      </w:r>
      <w:r>
        <w:rPr>
          <w:lang w:val="en-GB"/>
        </w:rPr>
        <w:t>r</w:t>
      </w:r>
      <w:r w:rsidRPr="00CD479A">
        <w:rPr>
          <w:lang w:val="en-GB"/>
        </w:rPr>
        <w:t>ed</w:t>
      </w:r>
      <w:proofErr w:type="spellEnd"/>
      <w:r w:rsidRPr="00CD479A">
        <w:rPr>
          <w:lang w:val="en-GB"/>
        </w:rPr>
        <w:t xml:space="preserve"> (16.5%) and </w:t>
      </w:r>
      <w:proofErr w:type="spellStart"/>
      <w:r w:rsidRPr="00CD479A">
        <w:rPr>
          <w:lang w:val="en-GB"/>
        </w:rPr>
        <w:t>Jonagold</w:t>
      </w:r>
      <w:proofErr w:type="spellEnd"/>
      <w:r w:rsidRPr="00CD479A">
        <w:rPr>
          <w:lang w:val="en-GB"/>
        </w:rPr>
        <w:t>/</w:t>
      </w:r>
      <w:proofErr w:type="spellStart"/>
      <w:r w:rsidRPr="00CD479A">
        <w:rPr>
          <w:lang w:val="en-GB"/>
        </w:rPr>
        <w:t>Jonagored</w:t>
      </w:r>
      <w:proofErr w:type="spellEnd"/>
      <w:r w:rsidRPr="00CD479A">
        <w:rPr>
          <w:lang w:val="en-GB"/>
        </w:rPr>
        <w:t xml:space="preserve"> (8.8%).</w:t>
      </w:r>
      <w:r>
        <w:rPr>
          <w:lang w:val="en-GB"/>
        </w:rPr>
        <w:t xml:space="preserve"> Apple orchards had</w:t>
      </w:r>
      <w:r w:rsidR="001025ED">
        <w:rPr>
          <w:lang w:val="en-GB"/>
        </w:rPr>
        <w:t xml:space="preserve"> </w:t>
      </w:r>
      <w:r w:rsidR="009E73B3">
        <w:rPr>
          <w:lang w:val="en-GB"/>
        </w:rPr>
        <w:t xml:space="preserve">an </w:t>
      </w:r>
      <w:r w:rsidRPr="008D09F1">
        <w:rPr>
          <w:rStyle w:val="Zvraznn"/>
          <w:i w:val="0"/>
          <w:lang w:val="en-GB"/>
        </w:rPr>
        <w:t>unfavourable</w:t>
      </w:r>
      <w:r>
        <w:rPr>
          <w:rStyle w:val="Zvraznn"/>
          <w:i w:val="0"/>
          <w:lang w:val="en-GB"/>
        </w:rPr>
        <w:t xml:space="preserve"> age structure</w:t>
      </w:r>
      <w:r w:rsidR="001025ED">
        <w:rPr>
          <w:rStyle w:val="Zvraznn"/>
          <w:i w:val="0"/>
          <w:lang w:val="en-GB"/>
        </w:rPr>
        <w:t xml:space="preserve"> with a high share of t</w:t>
      </w:r>
      <w:r>
        <w:rPr>
          <w:rStyle w:val="Zvraznn"/>
          <w:i w:val="0"/>
          <w:lang w:val="en-GB"/>
        </w:rPr>
        <w:t>he oldest age class</w:t>
      </w:r>
      <w:r w:rsidR="00AF5421">
        <w:rPr>
          <w:rStyle w:val="Zvraznn"/>
          <w:i w:val="0"/>
          <w:lang w:val="en-GB"/>
        </w:rPr>
        <w:t xml:space="preserve"> (38</w:t>
      </w:r>
      <w:r w:rsidR="000D3D68">
        <w:rPr>
          <w:rStyle w:val="Zvraznn"/>
          <w:i w:val="0"/>
          <w:lang w:val="en-GB"/>
        </w:rPr>
        <w:t>.</w:t>
      </w:r>
      <w:r w:rsidR="00AF5421">
        <w:rPr>
          <w:rStyle w:val="Zvraznn"/>
          <w:i w:val="0"/>
          <w:lang w:val="en-GB"/>
        </w:rPr>
        <w:t>6%)</w:t>
      </w:r>
      <w:r>
        <w:rPr>
          <w:rStyle w:val="Zvraznn"/>
          <w:i w:val="0"/>
          <w:lang w:val="en-GB"/>
        </w:rPr>
        <w:t xml:space="preserve">. One half of the </w:t>
      </w:r>
      <w:r w:rsidR="001025ED">
        <w:rPr>
          <w:rStyle w:val="Zvraznn"/>
          <w:i w:val="0"/>
          <w:lang w:val="en-GB"/>
        </w:rPr>
        <w:t>orchards (50.2%)</w:t>
      </w:r>
      <w:r>
        <w:rPr>
          <w:rStyle w:val="Zvraznn"/>
          <w:i w:val="0"/>
          <w:lang w:val="en-GB"/>
        </w:rPr>
        <w:t xml:space="preserve"> w</w:t>
      </w:r>
      <w:r w:rsidR="008A3068">
        <w:rPr>
          <w:rStyle w:val="Zvraznn"/>
          <w:i w:val="0"/>
          <w:lang w:val="en-GB"/>
        </w:rPr>
        <w:t>ere</w:t>
      </w:r>
      <w:r>
        <w:rPr>
          <w:rStyle w:val="Zvraznn"/>
          <w:i w:val="0"/>
          <w:lang w:val="en-GB"/>
        </w:rPr>
        <w:t xml:space="preserve"> classified as </w:t>
      </w:r>
      <w:r w:rsidR="001025ED">
        <w:rPr>
          <w:rStyle w:val="Zvraznn"/>
          <w:i w:val="0"/>
          <w:lang w:val="en-GB"/>
        </w:rPr>
        <w:t xml:space="preserve">plantations in production in </w:t>
      </w:r>
      <w:r w:rsidR="007A76D1">
        <w:rPr>
          <w:rStyle w:val="Zvraznn"/>
          <w:i w:val="0"/>
          <w:lang w:val="en-GB"/>
        </w:rPr>
        <w:t xml:space="preserve">the </w:t>
      </w:r>
      <w:r>
        <w:rPr>
          <w:rStyle w:val="Zvraznn"/>
          <w:i w:val="0"/>
          <w:lang w:val="en-GB"/>
        </w:rPr>
        <w:t xml:space="preserve">age class from 5 to 24 years. Young plantation up to 4 years shared 11.2% of the </w:t>
      </w:r>
      <w:r>
        <w:rPr>
          <w:lang w:val="en-GB"/>
        </w:rPr>
        <w:t xml:space="preserve">total apple </w:t>
      </w:r>
      <w:r w:rsidRPr="00CD479A">
        <w:rPr>
          <w:lang w:val="en-GB"/>
        </w:rPr>
        <w:t>orchard</w:t>
      </w:r>
      <w:r>
        <w:rPr>
          <w:rStyle w:val="Zvraznn"/>
          <w:i w:val="0"/>
          <w:lang w:val="en-GB"/>
        </w:rPr>
        <w:t xml:space="preserve"> area. The average density of apple orchards </w:t>
      </w:r>
      <w:r w:rsidR="001025ED">
        <w:rPr>
          <w:rStyle w:val="Zvraznn"/>
          <w:i w:val="0"/>
          <w:lang w:val="en-GB"/>
        </w:rPr>
        <w:t>was</w:t>
      </w:r>
      <w:r>
        <w:rPr>
          <w:rStyle w:val="Zvraznn"/>
          <w:i w:val="0"/>
          <w:lang w:val="en-GB"/>
        </w:rPr>
        <w:t xml:space="preserve"> 1 322 trees per hectare. At old plantations over 25 years the most frequent density class was 400 to 1 </w:t>
      </w:r>
      <w:r w:rsidR="001025ED">
        <w:rPr>
          <w:rStyle w:val="Zvraznn"/>
          <w:i w:val="0"/>
          <w:lang w:val="en-GB"/>
        </w:rPr>
        <w:t>599</w:t>
      </w:r>
      <w:r>
        <w:rPr>
          <w:rStyle w:val="Zvraznn"/>
          <w:i w:val="0"/>
          <w:lang w:val="en-GB"/>
        </w:rPr>
        <w:t xml:space="preserve"> trees per hectare</w:t>
      </w:r>
      <w:r w:rsidR="001025ED">
        <w:rPr>
          <w:rStyle w:val="Zvraznn"/>
          <w:i w:val="0"/>
          <w:lang w:val="en-GB"/>
        </w:rPr>
        <w:t xml:space="preserve"> (79.9%) </w:t>
      </w:r>
      <w:r>
        <w:rPr>
          <w:rStyle w:val="Zvraznn"/>
          <w:i w:val="0"/>
          <w:lang w:val="en-GB"/>
        </w:rPr>
        <w:t xml:space="preserve">while </w:t>
      </w:r>
      <w:r w:rsidR="001025ED">
        <w:rPr>
          <w:rStyle w:val="Zvraznn"/>
          <w:i w:val="0"/>
          <w:lang w:val="en-GB"/>
        </w:rPr>
        <w:t>higher</w:t>
      </w:r>
      <w:r w:rsidR="001025ED" w:rsidRPr="001025ED">
        <w:rPr>
          <w:rStyle w:val="Zvraznn"/>
          <w:i w:val="0"/>
          <w:lang w:val="en-GB"/>
        </w:rPr>
        <w:t xml:space="preserve"> </w:t>
      </w:r>
      <w:r w:rsidR="001025ED">
        <w:rPr>
          <w:rStyle w:val="Zvraznn"/>
          <w:i w:val="0"/>
          <w:lang w:val="en-GB"/>
        </w:rPr>
        <w:t xml:space="preserve">density prevailed in </w:t>
      </w:r>
      <w:r>
        <w:rPr>
          <w:rStyle w:val="Zvraznn"/>
          <w:i w:val="0"/>
          <w:lang w:val="en-GB"/>
        </w:rPr>
        <w:t xml:space="preserve">plantations up to 25 years, mostly within the density class 1 600 to </w:t>
      </w:r>
      <w:r w:rsidR="00F8327B">
        <w:rPr>
          <w:rStyle w:val="Zvraznn"/>
          <w:i w:val="0"/>
          <w:lang w:val="en-GB"/>
        </w:rPr>
        <w:t>3 199 trees per hectare.</w:t>
      </w:r>
    </w:p>
    <w:p w:rsidR="00AC33A0" w:rsidRPr="00E8787D" w:rsidRDefault="00AC33A0" w:rsidP="00344D0E">
      <w:pPr>
        <w:pStyle w:val="Zkladntextodsazen2"/>
        <w:spacing w:line="276" w:lineRule="auto"/>
        <w:ind w:firstLine="0"/>
        <w:rPr>
          <w:sz w:val="20"/>
        </w:rPr>
      </w:pPr>
    </w:p>
    <w:p w:rsidR="002A7FCA" w:rsidRDefault="002A7FCA" w:rsidP="00344D0E">
      <w:pPr>
        <w:pStyle w:val="Zkladntext"/>
        <w:spacing w:line="276" w:lineRule="auto"/>
        <w:rPr>
          <w:lang w:val="en-GB"/>
        </w:rPr>
      </w:pPr>
      <w:r w:rsidRPr="008D09F1">
        <w:rPr>
          <w:lang w:val="en-GB"/>
        </w:rPr>
        <w:t>The most frequently planted varieties of pear trees belonged to groups Conference (2</w:t>
      </w:r>
      <w:r>
        <w:rPr>
          <w:lang w:val="en-GB"/>
        </w:rPr>
        <w:t>4</w:t>
      </w:r>
      <w:r w:rsidRPr="008D09F1">
        <w:rPr>
          <w:lang w:val="en-GB"/>
        </w:rPr>
        <w:t>.</w:t>
      </w:r>
      <w:r>
        <w:rPr>
          <w:lang w:val="en-GB"/>
        </w:rPr>
        <w:t>1</w:t>
      </w:r>
      <w:r w:rsidRPr="008D09F1">
        <w:rPr>
          <w:lang w:val="en-GB"/>
        </w:rPr>
        <w:t>%) and William (</w:t>
      </w:r>
      <w:r>
        <w:rPr>
          <w:lang w:val="en-GB"/>
        </w:rPr>
        <w:t>12</w:t>
      </w:r>
      <w:r w:rsidRPr="008D09F1">
        <w:rPr>
          <w:lang w:val="en-GB"/>
        </w:rPr>
        <w:t>.</w:t>
      </w:r>
      <w:r>
        <w:rPr>
          <w:lang w:val="en-GB"/>
        </w:rPr>
        <w:t>4</w:t>
      </w:r>
      <w:r w:rsidRPr="008D09F1">
        <w:rPr>
          <w:lang w:val="en-GB"/>
        </w:rPr>
        <w:t xml:space="preserve">%). </w:t>
      </w:r>
      <w:r w:rsidR="000030BC">
        <w:rPr>
          <w:lang w:val="en-GB"/>
        </w:rPr>
        <w:t>P</w:t>
      </w:r>
      <w:r w:rsidRPr="008D09F1">
        <w:rPr>
          <w:lang w:val="en-GB"/>
        </w:rPr>
        <w:t xml:space="preserve">ear orchards </w:t>
      </w:r>
      <w:r w:rsidR="000030BC">
        <w:rPr>
          <w:lang w:val="en-GB"/>
        </w:rPr>
        <w:t xml:space="preserve">had a </w:t>
      </w:r>
      <w:r w:rsidR="000030BC" w:rsidRPr="008D09F1">
        <w:rPr>
          <w:lang w:val="en-GB"/>
        </w:rPr>
        <w:t>favourable age structure</w:t>
      </w:r>
      <w:r w:rsidRPr="008D09F1">
        <w:rPr>
          <w:lang w:val="en-GB"/>
        </w:rPr>
        <w:t xml:space="preserve">. There were </w:t>
      </w:r>
      <w:r>
        <w:rPr>
          <w:lang w:val="en-GB"/>
        </w:rPr>
        <w:t>15</w:t>
      </w:r>
      <w:r w:rsidRPr="008D09F1">
        <w:rPr>
          <w:lang w:val="en-GB"/>
        </w:rPr>
        <w:t>.</w:t>
      </w:r>
      <w:r>
        <w:rPr>
          <w:lang w:val="en-GB"/>
        </w:rPr>
        <w:t>6</w:t>
      </w:r>
      <w:r w:rsidRPr="008D09F1">
        <w:rPr>
          <w:lang w:val="en-GB"/>
        </w:rPr>
        <w:t>% of pear trees in young plantations up to 4 years</w:t>
      </w:r>
      <w:r>
        <w:rPr>
          <w:lang w:val="en-GB"/>
        </w:rPr>
        <w:t xml:space="preserve">. Trees fully in production (age class 5 to 25 years) represented </w:t>
      </w:r>
      <w:r w:rsidRPr="008D09F1">
        <w:rPr>
          <w:lang w:val="en-GB"/>
        </w:rPr>
        <w:t>60.0</w:t>
      </w:r>
      <w:r>
        <w:rPr>
          <w:lang w:val="en-GB"/>
        </w:rPr>
        <w:t>% of the plantations and the oldest category over 25 let shared</w:t>
      </w:r>
      <w:r w:rsidR="000030BC">
        <w:rPr>
          <w:lang w:val="en-GB"/>
        </w:rPr>
        <w:t xml:space="preserve"> </w:t>
      </w:r>
      <w:r>
        <w:rPr>
          <w:lang w:val="en-GB"/>
        </w:rPr>
        <w:t>one quarter of the area (24.4%). Pear t</w:t>
      </w:r>
      <w:r w:rsidR="00E846F4">
        <w:rPr>
          <w:lang w:val="en-GB"/>
        </w:rPr>
        <w:t>rees</w:t>
      </w:r>
      <w:r>
        <w:rPr>
          <w:lang w:val="en-GB"/>
        </w:rPr>
        <w:t xml:space="preserve"> were planted </w:t>
      </w:r>
      <w:r w:rsidR="005E1AD5">
        <w:rPr>
          <w:lang w:val="en-GB"/>
        </w:rPr>
        <w:t>at</w:t>
      </w:r>
      <w:r>
        <w:rPr>
          <w:lang w:val="en-GB"/>
        </w:rPr>
        <w:t xml:space="preserve"> average density of 1 108 trees per hectare. As for the oldest plantations over 25 years, lower plantation density up to 400 trees per hectare prevailed (77.4%). </w:t>
      </w:r>
      <w:r w:rsidR="003920CF">
        <w:rPr>
          <w:lang w:val="en-GB"/>
        </w:rPr>
        <w:t xml:space="preserve">The </w:t>
      </w:r>
      <w:r>
        <w:rPr>
          <w:lang w:val="en-GB"/>
        </w:rPr>
        <w:t xml:space="preserve">density </w:t>
      </w:r>
      <w:r w:rsidR="003920CF">
        <w:rPr>
          <w:lang w:val="en-GB"/>
        </w:rPr>
        <w:t xml:space="preserve">of other orchards was mostly </w:t>
      </w:r>
      <w:r>
        <w:rPr>
          <w:lang w:val="en-GB"/>
        </w:rPr>
        <w:t xml:space="preserve">in the class </w:t>
      </w:r>
      <w:r w:rsidR="003920CF">
        <w:rPr>
          <w:lang w:val="en-GB"/>
        </w:rPr>
        <w:t xml:space="preserve">of </w:t>
      </w:r>
      <w:r>
        <w:rPr>
          <w:lang w:val="en-GB"/>
        </w:rPr>
        <w:t>400 to 1</w:t>
      </w:r>
      <w:r w:rsidR="000030BC">
        <w:rPr>
          <w:lang w:val="en-GB"/>
        </w:rPr>
        <w:t xml:space="preserve"> 599 </w:t>
      </w:r>
      <w:r>
        <w:rPr>
          <w:lang w:val="en-GB"/>
        </w:rPr>
        <w:t>trees per hectare.</w:t>
      </w:r>
    </w:p>
    <w:p w:rsidR="00991A54" w:rsidRPr="003920CF" w:rsidRDefault="00991A54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</w:p>
    <w:p w:rsidR="0056159F" w:rsidRPr="008D09F1" w:rsidRDefault="0056159F" w:rsidP="00344D0E">
      <w:pPr>
        <w:pStyle w:val="Zkladntext"/>
        <w:spacing w:line="276" w:lineRule="auto"/>
        <w:rPr>
          <w:lang w:val="en-GB"/>
        </w:rPr>
      </w:pPr>
      <w:r w:rsidRPr="008D09F1">
        <w:rPr>
          <w:lang w:val="en-GB"/>
        </w:rPr>
        <w:t xml:space="preserve">The prevailing share of peach trees belonged to the yellow flesh </w:t>
      </w:r>
      <w:r w:rsidR="00CB31E1" w:rsidRPr="008D09F1">
        <w:rPr>
          <w:lang w:val="en-GB"/>
        </w:rPr>
        <w:t xml:space="preserve">group </w:t>
      </w:r>
      <w:r w:rsidRPr="008D09F1">
        <w:rPr>
          <w:lang w:val="en-GB"/>
        </w:rPr>
        <w:t xml:space="preserve">of </w:t>
      </w:r>
      <w:r>
        <w:rPr>
          <w:lang w:val="en-GB"/>
        </w:rPr>
        <w:t xml:space="preserve">medium earliness, i.e. </w:t>
      </w:r>
      <w:r w:rsidRPr="008D09F1">
        <w:rPr>
          <w:lang w:val="en-GB"/>
        </w:rPr>
        <w:t>harvested between 16</w:t>
      </w:r>
      <w:r w:rsidR="007330B8">
        <w:rPr>
          <w:lang w:val="en-GB"/>
        </w:rPr>
        <w:t> </w:t>
      </w:r>
      <w:r w:rsidRPr="008D09F1">
        <w:rPr>
          <w:lang w:val="en-GB"/>
        </w:rPr>
        <w:t>July and 15</w:t>
      </w:r>
      <w:r w:rsidR="007330B8">
        <w:rPr>
          <w:lang w:val="en-GB"/>
        </w:rPr>
        <w:t> </w:t>
      </w:r>
      <w:r w:rsidRPr="008D09F1">
        <w:rPr>
          <w:lang w:val="en-GB"/>
        </w:rPr>
        <w:t>August (</w:t>
      </w:r>
      <w:r>
        <w:rPr>
          <w:lang w:val="en-GB"/>
        </w:rPr>
        <w:t>67</w:t>
      </w:r>
      <w:r w:rsidRPr="008D09F1">
        <w:rPr>
          <w:lang w:val="en-GB"/>
        </w:rPr>
        <w:t>.</w:t>
      </w:r>
      <w:r>
        <w:rPr>
          <w:lang w:val="en-GB"/>
        </w:rPr>
        <w:t>7</w:t>
      </w:r>
      <w:r w:rsidRPr="008D09F1">
        <w:rPr>
          <w:lang w:val="en-GB"/>
        </w:rPr>
        <w:t xml:space="preserve">% of the total peach orchard area). </w:t>
      </w:r>
      <w:r>
        <w:rPr>
          <w:lang w:val="en-GB"/>
        </w:rPr>
        <w:t xml:space="preserve">Nectarines were planted on 9 ha in total, which represented 2.7% of the total area planted with peach trees. The age structure of peach orchards </w:t>
      </w:r>
      <w:r w:rsidR="009775D6">
        <w:rPr>
          <w:lang w:val="en-GB"/>
        </w:rPr>
        <w:t>was</w:t>
      </w:r>
      <w:r>
        <w:rPr>
          <w:lang w:val="en-GB"/>
        </w:rPr>
        <w:t xml:space="preserve"> </w:t>
      </w:r>
      <w:r w:rsidR="004F5E65">
        <w:rPr>
          <w:lang w:val="en-GB"/>
        </w:rPr>
        <w:t xml:space="preserve">very </w:t>
      </w:r>
      <w:r>
        <w:rPr>
          <w:lang w:val="en-GB"/>
        </w:rPr>
        <w:t xml:space="preserve">unfavourable; </w:t>
      </w:r>
      <w:r w:rsidR="009775D6">
        <w:rPr>
          <w:lang w:val="en-GB"/>
        </w:rPr>
        <w:t>the survey</w:t>
      </w:r>
      <w:r>
        <w:rPr>
          <w:lang w:val="en-GB"/>
        </w:rPr>
        <w:t xml:space="preserve"> show</w:t>
      </w:r>
      <w:r w:rsidR="0063398C">
        <w:rPr>
          <w:lang w:val="en-GB"/>
        </w:rPr>
        <w:t>ed</w:t>
      </w:r>
      <w:r>
        <w:rPr>
          <w:lang w:val="en-GB"/>
        </w:rPr>
        <w:t xml:space="preserve"> that their planting </w:t>
      </w:r>
      <w:r w:rsidR="004F5E65">
        <w:rPr>
          <w:lang w:val="en-GB"/>
        </w:rPr>
        <w:t xml:space="preserve">in the Czech Republic </w:t>
      </w:r>
      <w:r>
        <w:rPr>
          <w:lang w:val="en-GB"/>
        </w:rPr>
        <w:t xml:space="preserve">is not </w:t>
      </w:r>
      <w:r w:rsidR="0063398C">
        <w:rPr>
          <w:lang w:val="en-GB"/>
        </w:rPr>
        <w:t>promising</w:t>
      </w:r>
      <w:r>
        <w:rPr>
          <w:lang w:val="en-GB"/>
        </w:rPr>
        <w:t xml:space="preserve">. </w:t>
      </w:r>
      <w:r w:rsidRPr="008D09F1">
        <w:rPr>
          <w:lang w:val="en-GB"/>
        </w:rPr>
        <w:t xml:space="preserve"> </w:t>
      </w:r>
      <w:r w:rsidR="00A4659F">
        <w:rPr>
          <w:lang w:val="en-GB"/>
        </w:rPr>
        <w:t>The s</w:t>
      </w:r>
      <w:r w:rsidRPr="008D09F1">
        <w:rPr>
          <w:lang w:val="en-GB"/>
        </w:rPr>
        <w:t xml:space="preserve">hare of young plantations </w:t>
      </w:r>
      <w:r>
        <w:rPr>
          <w:lang w:val="en-GB"/>
        </w:rPr>
        <w:t xml:space="preserve">up to 4 years </w:t>
      </w:r>
      <w:r w:rsidRPr="008D09F1">
        <w:rPr>
          <w:lang w:val="en-GB"/>
        </w:rPr>
        <w:t xml:space="preserve">was </w:t>
      </w:r>
      <w:r>
        <w:rPr>
          <w:lang w:val="en-GB"/>
        </w:rPr>
        <w:t xml:space="preserve">small – only 7.0% of the total peach orchard area. </w:t>
      </w:r>
      <w:r w:rsidRPr="008D09F1">
        <w:rPr>
          <w:lang w:val="en-GB"/>
        </w:rPr>
        <w:t xml:space="preserve"> </w:t>
      </w:r>
      <w:r>
        <w:rPr>
          <w:lang w:val="en-GB"/>
        </w:rPr>
        <w:t>P</w:t>
      </w:r>
      <w:r w:rsidRPr="008D09F1">
        <w:rPr>
          <w:lang w:val="en-GB"/>
        </w:rPr>
        <w:t xml:space="preserve">each orchards </w:t>
      </w:r>
      <w:r>
        <w:rPr>
          <w:lang w:val="en-GB"/>
        </w:rPr>
        <w:t>fully in production covered one quarter of the area</w:t>
      </w:r>
      <w:r w:rsidRPr="008D09F1">
        <w:rPr>
          <w:lang w:val="en-GB"/>
        </w:rPr>
        <w:t xml:space="preserve"> (</w:t>
      </w:r>
      <w:r>
        <w:rPr>
          <w:lang w:val="en-GB"/>
        </w:rPr>
        <w:t>26</w:t>
      </w:r>
      <w:r w:rsidRPr="008D09F1">
        <w:rPr>
          <w:lang w:val="en-GB"/>
        </w:rPr>
        <w:t>.</w:t>
      </w:r>
      <w:r>
        <w:rPr>
          <w:lang w:val="en-GB"/>
        </w:rPr>
        <w:t>1</w:t>
      </w:r>
      <w:r w:rsidRPr="008D09F1">
        <w:rPr>
          <w:lang w:val="en-GB"/>
        </w:rPr>
        <w:t xml:space="preserve">%). </w:t>
      </w:r>
      <w:r>
        <w:rPr>
          <w:lang w:val="en-GB"/>
        </w:rPr>
        <w:t xml:space="preserve">Peach orchards in the oldest age </w:t>
      </w:r>
      <w:r w:rsidRPr="0056159F">
        <w:rPr>
          <w:lang w:val="en-GB"/>
        </w:rPr>
        <w:t xml:space="preserve">class significantly prevailed (66.9%). The average density of peach orchards </w:t>
      </w:r>
      <w:r w:rsidR="004F5E65">
        <w:rPr>
          <w:lang w:val="en-GB"/>
        </w:rPr>
        <w:t>was</w:t>
      </w:r>
      <w:r>
        <w:rPr>
          <w:lang w:val="en-GB"/>
        </w:rPr>
        <w:t xml:space="preserve"> 506 trees per hectare and the majority of the peach orchards</w:t>
      </w:r>
      <w:r w:rsidR="0063398C">
        <w:rPr>
          <w:lang w:val="en-GB"/>
        </w:rPr>
        <w:t xml:space="preserve"> </w:t>
      </w:r>
      <w:r w:rsidRPr="008D09F1">
        <w:rPr>
          <w:lang w:val="en-GB"/>
        </w:rPr>
        <w:t xml:space="preserve">belonged to the density class up to 600 trees per hectare </w:t>
      </w:r>
      <w:r w:rsidR="0063398C">
        <w:rPr>
          <w:lang w:val="en-GB"/>
        </w:rPr>
        <w:t>(74.8%)</w:t>
      </w:r>
      <w:r w:rsidRPr="008D09F1">
        <w:rPr>
          <w:lang w:val="en-GB"/>
        </w:rPr>
        <w:t>.</w:t>
      </w:r>
    </w:p>
    <w:p w:rsidR="00086D6F" w:rsidRPr="00E8787D" w:rsidRDefault="00086D6F" w:rsidP="00344D0E">
      <w:pPr>
        <w:pStyle w:val="Zkladntextodsazen2"/>
        <w:spacing w:line="276" w:lineRule="auto"/>
        <w:ind w:firstLine="0"/>
        <w:rPr>
          <w:sz w:val="20"/>
        </w:rPr>
      </w:pPr>
    </w:p>
    <w:p w:rsidR="0063398C" w:rsidRDefault="0063398C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>
        <w:rPr>
          <w:sz w:val="20"/>
          <w:lang w:val="en-GB"/>
        </w:rPr>
        <w:lastRenderedPageBreak/>
        <w:t>As for apricot trees, t</w:t>
      </w:r>
      <w:r w:rsidRPr="008D09F1">
        <w:rPr>
          <w:sz w:val="20"/>
          <w:lang w:val="en-GB"/>
        </w:rPr>
        <w:t xml:space="preserve">he most frequently planted group were medium </w:t>
      </w:r>
      <w:r>
        <w:rPr>
          <w:sz w:val="20"/>
          <w:lang w:val="en-GB"/>
        </w:rPr>
        <w:t>harvest ones</w:t>
      </w:r>
      <w:r w:rsidRPr="008D09F1">
        <w:rPr>
          <w:sz w:val="20"/>
          <w:lang w:val="en-GB"/>
        </w:rPr>
        <w:t>, i.e. harvested between 1</w:t>
      </w:r>
      <w:r w:rsidR="007330B8">
        <w:rPr>
          <w:sz w:val="20"/>
          <w:lang w:val="en-GB"/>
        </w:rPr>
        <w:t> </w:t>
      </w:r>
      <w:r w:rsidRPr="008D09F1">
        <w:rPr>
          <w:sz w:val="20"/>
          <w:lang w:val="en-GB"/>
        </w:rPr>
        <w:t>July and 31</w:t>
      </w:r>
      <w:r w:rsidR="007330B8">
        <w:rPr>
          <w:sz w:val="20"/>
          <w:lang w:val="en-GB"/>
        </w:rPr>
        <w:t> </w:t>
      </w:r>
      <w:r w:rsidRPr="008D09F1">
        <w:rPr>
          <w:sz w:val="20"/>
          <w:lang w:val="en-GB"/>
        </w:rPr>
        <w:t>July (8</w:t>
      </w:r>
      <w:r>
        <w:rPr>
          <w:sz w:val="20"/>
          <w:lang w:val="en-GB"/>
        </w:rPr>
        <w:t>3</w:t>
      </w:r>
      <w:r w:rsidRPr="008D09F1">
        <w:rPr>
          <w:sz w:val="20"/>
          <w:lang w:val="en-GB"/>
        </w:rPr>
        <w:t xml:space="preserve">.8% of the total apricot orchard area). </w:t>
      </w:r>
      <w:r w:rsidR="008F1109">
        <w:rPr>
          <w:sz w:val="20"/>
          <w:lang w:val="en-GB"/>
        </w:rPr>
        <w:t xml:space="preserve">Despite gradual renewal of the </w:t>
      </w:r>
      <w:r w:rsidR="008F1109" w:rsidRPr="008D09F1">
        <w:rPr>
          <w:sz w:val="20"/>
          <w:lang w:val="en-GB"/>
        </w:rPr>
        <w:t xml:space="preserve">apricot </w:t>
      </w:r>
      <w:r w:rsidR="008F1109">
        <w:rPr>
          <w:sz w:val="20"/>
          <w:lang w:val="en-GB"/>
        </w:rPr>
        <w:t>orchards, t</w:t>
      </w:r>
      <w:r w:rsidRPr="008D09F1">
        <w:rPr>
          <w:sz w:val="20"/>
          <w:lang w:val="en-GB"/>
        </w:rPr>
        <w:t>he</w:t>
      </w:r>
      <w:r w:rsidR="008F1109">
        <w:rPr>
          <w:sz w:val="20"/>
          <w:lang w:val="en-GB"/>
        </w:rPr>
        <w:t xml:space="preserve">ir </w:t>
      </w:r>
      <w:r w:rsidRPr="008D09F1">
        <w:rPr>
          <w:sz w:val="20"/>
          <w:lang w:val="en-GB"/>
        </w:rPr>
        <w:t xml:space="preserve">age structure </w:t>
      </w:r>
      <w:r>
        <w:rPr>
          <w:sz w:val="20"/>
          <w:lang w:val="en-GB"/>
        </w:rPr>
        <w:t>it is still not favourable</w:t>
      </w:r>
      <w:r w:rsidRPr="008D09F1">
        <w:rPr>
          <w:sz w:val="20"/>
          <w:lang w:val="en-GB"/>
        </w:rPr>
        <w:t xml:space="preserve">. </w:t>
      </w:r>
      <w:r w:rsidR="0086417D">
        <w:rPr>
          <w:sz w:val="20"/>
          <w:lang w:val="en-GB"/>
        </w:rPr>
        <w:t>More than one half</w:t>
      </w:r>
      <w:r>
        <w:rPr>
          <w:sz w:val="20"/>
          <w:lang w:val="en-GB"/>
        </w:rPr>
        <w:t xml:space="preserve"> of apricot orchards belonged to the oldest</w:t>
      </w:r>
      <w:r w:rsidR="008F1109">
        <w:rPr>
          <w:sz w:val="20"/>
          <w:lang w:val="en-GB"/>
        </w:rPr>
        <w:t xml:space="preserve"> age class over 15 years (54.1%</w:t>
      </w:r>
      <w:r>
        <w:rPr>
          <w:sz w:val="20"/>
          <w:szCs w:val="16"/>
        </w:rPr>
        <w:t xml:space="preserve">). </w:t>
      </w:r>
      <w:r>
        <w:rPr>
          <w:sz w:val="20"/>
          <w:lang w:val="en-GB"/>
        </w:rPr>
        <w:t>The</w:t>
      </w:r>
      <w:r w:rsidRPr="008D09F1">
        <w:rPr>
          <w:sz w:val="20"/>
          <w:lang w:val="en-GB"/>
        </w:rPr>
        <w:t xml:space="preserve"> share of </w:t>
      </w:r>
      <w:r>
        <w:rPr>
          <w:sz w:val="20"/>
          <w:lang w:val="en-GB"/>
        </w:rPr>
        <w:t xml:space="preserve">young plantations </w:t>
      </w:r>
      <w:r w:rsidR="008F1109">
        <w:rPr>
          <w:sz w:val="20"/>
          <w:lang w:val="en-GB"/>
        </w:rPr>
        <w:t>was</w:t>
      </w:r>
      <w:r>
        <w:rPr>
          <w:sz w:val="20"/>
          <w:lang w:val="en-GB"/>
        </w:rPr>
        <w:t xml:space="preserve"> 15.3%</w:t>
      </w:r>
      <w:r w:rsidR="008F1109">
        <w:rPr>
          <w:sz w:val="20"/>
          <w:lang w:val="en-GB"/>
        </w:rPr>
        <w:t xml:space="preserve"> and</w:t>
      </w:r>
      <w:r>
        <w:rPr>
          <w:sz w:val="20"/>
          <w:lang w:val="en-GB"/>
        </w:rPr>
        <w:t xml:space="preserve"> </w:t>
      </w:r>
      <w:r w:rsidR="008F1109">
        <w:rPr>
          <w:sz w:val="20"/>
          <w:lang w:val="en-GB"/>
        </w:rPr>
        <w:t>a</w:t>
      </w:r>
      <w:r>
        <w:rPr>
          <w:sz w:val="20"/>
          <w:lang w:val="en-GB"/>
        </w:rPr>
        <w:t xml:space="preserve"> third of plantations were fully in production (30.6%). </w:t>
      </w:r>
      <w:r w:rsidRPr="008D09F1">
        <w:rPr>
          <w:sz w:val="20"/>
          <w:lang w:val="en-GB"/>
        </w:rPr>
        <w:t xml:space="preserve">The average density </w:t>
      </w:r>
      <w:r>
        <w:rPr>
          <w:sz w:val="20"/>
          <w:lang w:val="en-GB"/>
        </w:rPr>
        <w:t>of</w:t>
      </w:r>
      <w:r w:rsidRPr="008D09F1">
        <w:rPr>
          <w:sz w:val="20"/>
          <w:lang w:val="en-GB"/>
        </w:rPr>
        <w:t xml:space="preserve"> apricot orchards </w:t>
      </w:r>
      <w:r w:rsidR="008F1109">
        <w:rPr>
          <w:sz w:val="20"/>
          <w:lang w:val="en-GB"/>
        </w:rPr>
        <w:t>was</w:t>
      </w:r>
      <w:r>
        <w:rPr>
          <w:sz w:val="20"/>
          <w:lang w:val="en-GB"/>
        </w:rPr>
        <w:t xml:space="preserve"> 485 </w:t>
      </w:r>
      <w:r w:rsidRPr="008D09F1">
        <w:rPr>
          <w:sz w:val="20"/>
          <w:lang w:val="en-GB"/>
        </w:rPr>
        <w:t xml:space="preserve">trees per hectare. </w:t>
      </w:r>
      <w:r>
        <w:rPr>
          <w:sz w:val="20"/>
          <w:lang w:val="en-GB"/>
        </w:rPr>
        <w:t>The vast majority</w:t>
      </w:r>
      <w:r w:rsidRPr="008D09F1">
        <w:rPr>
          <w:sz w:val="20"/>
          <w:lang w:val="en-GB"/>
        </w:rPr>
        <w:t xml:space="preserve"> of the orchards </w:t>
      </w:r>
      <w:r w:rsidR="00AE73F9">
        <w:rPr>
          <w:sz w:val="20"/>
          <w:lang w:val="en-GB"/>
        </w:rPr>
        <w:t>aged over 15 years belonged to the lowest density class up to 600 trees per hectare (92.4%), while higher density classes prevailed</w:t>
      </w:r>
      <w:r w:rsidR="006B2DD0">
        <w:rPr>
          <w:sz w:val="20"/>
          <w:lang w:val="en-GB"/>
        </w:rPr>
        <w:t xml:space="preserve"> among young plantations,</w:t>
      </w:r>
      <w:r w:rsidR="00AE73F9">
        <w:rPr>
          <w:sz w:val="20"/>
          <w:lang w:val="en-GB"/>
        </w:rPr>
        <w:t xml:space="preserve"> mostly the category of 600 to 1 </w:t>
      </w:r>
      <w:r w:rsidR="008F1109">
        <w:rPr>
          <w:sz w:val="20"/>
          <w:lang w:val="en-GB"/>
        </w:rPr>
        <w:t>199</w:t>
      </w:r>
      <w:r w:rsidR="00AE73F9">
        <w:rPr>
          <w:sz w:val="20"/>
          <w:lang w:val="en-GB"/>
        </w:rPr>
        <w:t xml:space="preserve"> trees per hectare. </w:t>
      </w:r>
    </w:p>
    <w:p w:rsidR="0063398C" w:rsidRPr="0063398C" w:rsidRDefault="0063398C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</w:p>
    <w:p w:rsidR="00AE73F9" w:rsidRPr="008D09F1" w:rsidRDefault="00AE73F9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 w:rsidRPr="008D09F1">
        <w:rPr>
          <w:sz w:val="20"/>
          <w:lang w:val="en-GB"/>
        </w:rPr>
        <w:t xml:space="preserve">Plums were the second most </w:t>
      </w:r>
      <w:r w:rsidR="00016D52">
        <w:rPr>
          <w:sz w:val="20"/>
          <w:lang w:val="en-GB"/>
        </w:rPr>
        <w:t>common</w:t>
      </w:r>
      <w:r w:rsidRPr="008D09F1">
        <w:rPr>
          <w:sz w:val="20"/>
          <w:lang w:val="en-GB"/>
        </w:rPr>
        <w:t xml:space="preserve"> fruit species planted in the Czech Republic. Plum orchards showed </w:t>
      </w:r>
      <w:r w:rsidRPr="00AE73F9">
        <w:rPr>
          <w:sz w:val="20"/>
          <w:lang w:val="en-GB"/>
        </w:rPr>
        <w:t xml:space="preserve">a </w:t>
      </w:r>
      <w:r w:rsidR="00905294">
        <w:rPr>
          <w:sz w:val="20"/>
          <w:lang w:val="en-GB"/>
        </w:rPr>
        <w:t>very good</w:t>
      </w:r>
      <w:r w:rsidRPr="00AE73F9">
        <w:rPr>
          <w:sz w:val="20"/>
          <w:lang w:val="en-GB"/>
        </w:rPr>
        <w:t xml:space="preserve"> age structure. New plantations involved 19.7% of their area while</w:t>
      </w:r>
      <w:r w:rsidRPr="00AE73F9">
        <w:rPr>
          <w:sz w:val="20"/>
          <w:szCs w:val="16"/>
          <w:lang w:val="en-GB"/>
        </w:rPr>
        <w:t xml:space="preserve"> the oldest </w:t>
      </w:r>
      <w:r w:rsidRPr="007613A6">
        <w:rPr>
          <w:sz w:val="20"/>
          <w:szCs w:val="16"/>
          <w:lang w:val="en-GB"/>
        </w:rPr>
        <w:t xml:space="preserve">category </w:t>
      </w:r>
      <w:r w:rsidR="007613A6" w:rsidRPr="007613A6">
        <w:rPr>
          <w:sz w:val="20"/>
          <w:szCs w:val="16"/>
          <w:lang w:val="en-GB"/>
        </w:rPr>
        <w:t xml:space="preserve">over 25 years shared 10.3% and the orchards fully in production </w:t>
      </w:r>
      <w:r w:rsidR="007613A6">
        <w:rPr>
          <w:sz w:val="20"/>
          <w:szCs w:val="16"/>
          <w:lang w:val="en-GB"/>
        </w:rPr>
        <w:t xml:space="preserve">aged 5 to 25 years </w:t>
      </w:r>
      <w:r w:rsidR="00905294">
        <w:rPr>
          <w:sz w:val="20"/>
          <w:szCs w:val="16"/>
          <w:lang w:val="en-GB"/>
        </w:rPr>
        <w:t xml:space="preserve">significantly </w:t>
      </w:r>
      <w:r w:rsidR="007613A6" w:rsidRPr="007613A6">
        <w:rPr>
          <w:sz w:val="20"/>
          <w:szCs w:val="16"/>
          <w:lang w:val="en-GB"/>
        </w:rPr>
        <w:t xml:space="preserve">prevailed </w:t>
      </w:r>
      <w:r w:rsidR="00905294">
        <w:rPr>
          <w:sz w:val="20"/>
          <w:szCs w:val="16"/>
          <w:lang w:val="en-GB"/>
        </w:rPr>
        <w:t>(70.1%</w:t>
      </w:r>
      <w:r w:rsidR="007613A6">
        <w:rPr>
          <w:sz w:val="20"/>
          <w:szCs w:val="16"/>
          <w:lang w:val="en-GB"/>
        </w:rPr>
        <w:t>)</w:t>
      </w:r>
      <w:r w:rsidR="006B2DD0">
        <w:rPr>
          <w:sz w:val="20"/>
          <w:szCs w:val="16"/>
          <w:lang w:val="en-GB"/>
        </w:rPr>
        <w:t xml:space="preserve">. </w:t>
      </w:r>
      <w:r w:rsidRPr="008D09F1">
        <w:rPr>
          <w:sz w:val="20"/>
          <w:lang w:val="en-GB"/>
        </w:rPr>
        <w:t xml:space="preserve">The average density of plum orchards </w:t>
      </w:r>
      <w:r w:rsidR="00905294">
        <w:rPr>
          <w:sz w:val="20"/>
          <w:lang w:val="en-GB"/>
        </w:rPr>
        <w:t>was</w:t>
      </w:r>
      <w:r w:rsidR="006B2DD0">
        <w:rPr>
          <w:sz w:val="20"/>
          <w:lang w:val="en-GB"/>
        </w:rPr>
        <w:t xml:space="preserve"> 455</w:t>
      </w:r>
      <w:r w:rsidRPr="008D09F1">
        <w:rPr>
          <w:sz w:val="20"/>
          <w:lang w:val="en-GB"/>
        </w:rPr>
        <w:t xml:space="preserve"> trees per hectare</w:t>
      </w:r>
      <w:r w:rsidR="000D3D68">
        <w:rPr>
          <w:sz w:val="20"/>
          <w:lang w:val="en-GB"/>
        </w:rPr>
        <w:t>.</w:t>
      </w:r>
    </w:p>
    <w:p w:rsidR="00C623B3" w:rsidRDefault="00C623B3" w:rsidP="00344D0E">
      <w:pPr>
        <w:pStyle w:val="Zkladntextodsazen2"/>
        <w:spacing w:line="276" w:lineRule="auto"/>
        <w:ind w:firstLine="0"/>
        <w:rPr>
          <w:sz w:val="20"/>
        </w:rPr>
      </w:pPr>
    </w:p>
    <w:p w:rsidR="00325EAD" w:rsidRDefault="00325EAD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>
        <w:rPr>
          <w:sz w:val="20"/>
          <w:lang w:val="en-GB"/>
        </w:rPr>
        <w:t xml:space="preserve">Sour cherry orchards had a </w:t>
      </w:r>
      <w:r w:rsidR="00655390">
        <w:rPr>
          <w:sz w:val="20"/>
          <w:lang w:val="en-GB"/>
        </w:rPr>
        <w:t xml:space="preserve">balanced age structure with the </w:t>
      </w:r>
      <w:r>
        <w:rPr>
          <w:sz w:val="20"/>
          <w:lang w:val="en-GB"/>
        </w:rPr>
        <w:t xml:space="preserve">largest proportion of young plantations out of all fruit species surveyed. Young plantations up to 4 years involved 21.3% of the sour cherry orchard area. </w:t>
      </w:r>
      <w:r w:rsidRPr="008D09F1">
        <w:rPr>
          <w:sz w:val="20"/>
          <w:lang w:val="en-GB"/>
        </w:rPr>
        <w:t>The age class of 5</w:t>
      </w:r>
      <w:r>
        <w:rPr>
          <w:sz w:val="18"/>
          <w:lang w:val="en-GB"/>
        </w:rPr>
        <w:t xml:space="preserve"> to </w:t>
      </w:r>
      <w:r w:rsidR="00EB55EC">
        <w:rPr>
          <w:sz w:val="20"/>
          <w:lang w:val="en-GB"/>
        </w:rPr>
        <w:t>2</w:t>
      </w:r>
      <w:r w:rsidRPr="008D09F1">
        <w:rPr>
          <w:sz w:val="20"/>
          <w:lang w:val="en-GB"/>
        </w:rPr>
        <w:t>4 years</w:t>
      </w:r>
      <w:r>
        <w:rPr>
          <w:sz w:val="20"/>
          <w:lang w:val="en-GB"/>
        </w:rPr>
        <w:t xml:space="preserve"> covered 58.9% of the area and the share of the oldest age class </w:t>
      </w:r>
      <w:r w:rsidR="00655390">
        <w:rPr>
          <w:sz w:val="20"/>
          <w:lang w:val="en-GB"/>
        </w:rPr>
        <w:t>was</w:t>
      </w:r>
      <w:r>
        <w:rPr>
          <w:sz w:val="20"/>
          <w:lang w:val="en-GB"/>
        </w:rPr>
        <w:t xml:space="preserve"> 19.8%. The average density of sour cherry orchards </w:t>
      </w:r>
      <w:r w:rsidR="00655390">
        <w:rPr>
          <w:sz w:val="20"/>
          <w:lang w:val="en-GB"/>
        </w:rPr>
        <w:t>was</w:t>
      </w:r>
      <w:r>
        <w:rPr>
          <w:sz w:val="20"/>
          <w:lang w:val="en-GB"/>
        </w:rPr>
        <w:t xml:space="preserve"> 510 trees per hectare</w:t>
      </w:r>
      <w:r w:rsidR="001B0F33" w:rsidRPr="00E8787D">
        <w:rPr>
          <w:sz w:val="20"/>
        </w:rPr>
        <w:t>.</w:t>
      </w:r>
    </w:p>
    <w:p w:rsidR="00FD4860" w:rsidRDefault="00FD4860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</w:p>
    <w:p w:rsidR="002B445A" w:rsidRPr="008D09F1" w:rsidRDefault="002B445A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>
        <w:rPr>
          <w:sz w:val="20"/>
          <w:lang w:val="en-GB"/>
        </w:rPr>
        <w:t xml:space="preserve">A third </w:t>
      </w:r>
      <w:r w:rsidRPr="008D09F1">
        <w:rPr>
          <w:sz w:val="20"/>
          <w:lang w:val="en-GB"/>
        </w:rPr>
        <w:t>of cherry trees (</w:t>
      </w:r>
      <w:r>
        <w:rPr>
          <w:sz w:val="20"/>
          <w:lang w:val="en-GB"/>
        </w:rPr>
        <w:t>33</w:t>
      </w:r>
      <w:r w:rsidRPr="008D09F1">
        <w:rPr>
          <w:sz w:val="20"/>
          <w:lang w:val="en-GB"/>
        </w:rPr>
        <w:t>.</w:t>
      </w:r>
      <w:r>
        <w:rPr>
          <w:sz w:val="20"/>
          <w:lang w:val="en-GB"/>
        </w:rPr>
        <w:t>8</w:t>
      </w:r>
      <w:r w:rsidRPr="008D09F1">
        <w:rPr>
          <w:sz w:val="20"/>
          <w:lang w:val="en-GB"/>
        </w:rPr>
        <w:t xml:space="preserve">%) were </w:t>
      </w:r>
      <w:r>
        <w:rPr>
          <w:sz w:val="20"/>
          <w:lang w:val="en-GB"/>
        </w:rPr>
        <w:t>classified as old plantations</w:t>
      </w:r>
      <w:r>
        <w:rPr>
          <w:sz w:val="20"/>
          <w:szCs w:val="16"/>
        </w:rPr>
        <w:t xml:space="preserve">. </w:t>
      </w:r>
      <w:r>
        <w:rPr>
          <w:sz w:val="20"/>
          <w:lang w:val="en-GB"/>
        </w:rPr>
        <w:t>Y</w:t>
      </w:r>
      <w:r w:rsidRPr="008D09F1">
        <w:rPr>
          <w:sz w:val="20"/>
          <w:lang w:val="en-GB"/>
        </w:rPr>
        <w:t>oung plantations up to 4</w:t>
      </w:r>
      <w:r>
        <w:rPr>
          <w:sz w:val="20"/>
          <w:lang w:val="en-GB"/>
        </w:rPr>
        <w:t> </w:t>
      </w:r>
      <w:r w:rsidRPr="008D09F1">
        <w:rPr>
          <w:sz w:val="20"/>
          <w:lang w:val="en-GB"/>
        </w:rPr>
        <w:t>years were represented by 1</w:t>
      </w:r>
      <w:r>
        <w:rPr>
          <w:sz w:val="20"/>
          <w:lang w:val="en-GB"/>
        </w:rPr>
        <w:t>8</w:t>
      </w:r>
      <w:r w:rsidRPr="008D09F1">
        <w:rPr>
          <w:sz w:val="20"/>
          <w:lang w:val="en-GB"/>
        </w:rPr>
        <w:t>.</w:t>
      </w:r>
      <w:r>
        <w:rPr>
          <w:sz w:val="20"/>
          <w:lang w:val="en-GB"/>
        </w:rPr>
        <w:t>4</w:t>
      </w:r>
      <w:r w:rsidRPr="008D09F1">
        <w:rPr>
          <w:sz w:val="20"/>
          <w:lang w:val="en-GB"/>
        </w:rPr>
        <w:t>%</w:t>
      </w:r>
      <w:r>
        <w:rPr>
          <w:sz w:val="20"/>
          <w:lang w:val="en-GB"/>
        </w:rPr>
        <w:t xml:space="preserve"> and ones fully in production </w:t>
      </w:r>
      <w:r w:rsidR="00435C49">
        <w:rPr>
          <w:sz w:val="20"/>
          <w:lang w:val="en-GB"/>
        </w:rPr>
        <w:t>covered almost a half of the orchard area</w:t>
      </w:r>
      <w:r>
        <w:rPr>
          <w:sz w:val="20"/>
          <w:lang w:val="en-GB"/>
        </w:rPr>
        <w:t xml:space="preserve"> </w:t>
      </w:r>
      <w:r w:rsidR="00435C49">
        <w:rPr>
          <w:sz w:val="20"/>
          <w:lang w:val="en-GB"/>
        </w:rPr>
        <w:t>(47.8%</w:t>
      </w:r>
      <w:r>
        <w:rPr>
          <w:sz w:val="20"/>
          <w:lang w:val="en-GB"/>
        </w:rPr>
        <w:t>)</w:t>
      </w:r>
      <w:r w:rsidRPr="008D09F1">
        <w:rPr>
          <w:sz w:val="20"/>
          <w:lang w:val="en-GB"/>
        </w:rPr>
        <w:t xml:space="preserve">.  The average density of cherry orchards </w:t>
      </w:r>
      <w:r w:rsidR="00435C49">
        <w:rPr>
          <w:sz w:val="20"/>
          <w:lang w:val="en-GB"/>
        </w:rPr>
        <w:t>was</w:t>
      </w:r>
      <w:r w:rsidR="001B0F33">
        <w:rPr>
          <w:sz w:val="20"/>
          <w:lang w:val="en-GB"/>
        </w:rPr>
        <w:t xml:space="preserve"> 488</w:t>
      </w:r>
      <w:r w:rsidRPr="008D09F1">
        <w:rPr>
          <w:sz w:val="20"/>
          <w:lang w:val="en-GB"/>
        </w:rPr>
        <w:t xml:space="preserve"> trees per hectare.</w:t>
      </w:r>
    </w:p>
    <w:p w:rsidR="001B0F33" w:rsidRDefault="001B0F33" w:rsidP="00344D0E">
      <w:pPr>
        <w:pStyle w:val="Zkladntextodsazen2"/>
        <w:spacing w:line="276" w:lineRule="auto"/>
        <w:ind w:firstLine="0"/>
        <w:rPr>
          <w:sz w:val="20"/>
        </w:rPr>
      </w:pPr>
    </w:p>
    <w:p w:rsidR="003F6319" w:rsidRDefault="003F6319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>
        <w:rPr>
          <w:sz w:val="20"/>
          <w:lang w:val="en-GB"/>
        </w:rPr>
        <w:t>As for regional comparison, t</w:t>
      </w:r>
      <w:r w:rsidRPr="008D09F1">
        <w:rPr>
          <w:sz w:val="20"/>
          <w:lang w:val="en-GB"/>
        </w:rPr>
        <w:t xml:space="preserve">he largest shares of fruit orchards within the Czech Republic were recorded in Jihomoravský </w:t>
      </w:r>
      <w:proofErr w:type="spellStart"/>
      <w:r w:rsidRPr="008D09F1">
        <w:rPr>
          <w:sz w:val="20"/>
          <w:lang w:val="en-GB"/>
        </w:rPr>
        <w:t>kraj</w:t>
      </w:r>
      <w:proofErr w:type="spellEnd"/>
      <w:r w:rsidRPr="008D09F1">
        <w:rPr>
          <w:sz w:val="20"/>
          <w:lang w:val="en-GB"/>
        </w:rPr>
        <w:t xml:space="preserve"> </w:t>
      </w:r>
      <w:r>
        <w:rPr>
          <w:sz w:val="20"/>
          <w:lang w:val="en-GB"/>
        </w:rPr>
        <w:t>and</w:t>
      </w:r>
      <w:r w:rsidRPr="008D09F1">
        <w:rPr>
          <w:sz w:val="20"/>
          <w:lang w:val="en-GB"/>
        </w:rPr>
        <w:t xml:space="preserve"> Středočeský </w:t>
      </w:r>
      <w:proofErr w:type="spellStart"/>
      <w:r w:rsidRPr="008D09F1">
        <w:rPr>
          <w:sz w:val="20"/>
          <w:lang w:val="en-GB"/>
        </w:rPr>
        <w:t>kraj</w:t>
      </w:r>
      <w:proofErr w:type="spellEnd"/>
      <w:r w:rsidRPr="008D09F1">
        <w:rPr>
          <w:sz w:val="20"/>
          <w:lang w:val="en-GB"/>
        </w:rPr>
        <w:t xml:space="preserve"> (</w:t>
      </w:r>
      <w:r>
        <w:rPr>
          <w:sz w:val="20"/>
          <w:lang w:val="en-GB"/>
        </w:rPr>
        <w:t xml:space="preserve">both </w:t>
      </w:r>
      <w:r w:rsidRPr="008D09F1">
        <w:rPr>
          <w:sz w:val="20"/>
          <w:lang w:val="en-GB"/>
        </w:rPr>
        <w:t xml:space="preserve">19.3%), </w:t>
      </w:r>
      <w:proofErr w:type="spellStart"/>
      <w:r w:rsidRPr="008D09F1">
        <w:rPr>
          <w:sz w:val="20"/>
          <w:lang w:val="en-GB"/>
        </w:rPr>
        <w:t>Královéhradecký</w:t>
      </w:r>
      <w:proofErr w:type="spellEnd"/>
      <w:r w:rsidRPr="008D09F1">
        <w:rPr>
          <w:sz w:val="20"/>
          <w:lang w:val="en-GB"/>
        </w:rPr>
        <w:t xml:space="preserve"> </w:t>
      </w:r>
      <w:proofErr w:type="spellStart"/>
      <w:r w:rsidRPr="008D09F1">
        <w:rPr>
          <w:sz w:val="20"/>
          <w:lang w:val="en-GB"/>
        </w:rPr>
        <w:t>kraj</w:t>
      </w:r>
      <w:proofErr w:type="spellEnd"/>
      <w:r w:rsidRPr="008D09F1">
        <w:rPr>
          <w:sz w:val="20"/>
          <w:lang w:val="en-GB"/>
        </w:rPr>
        <w:t xml:space="preserve"> (1</w:t>
      </w:r>
      <w:r>
        <w:rPr>
          <w:sz w:val="20"/>
          <w:lang w:val="en-GB"/>
        </w:rPr>
        <w:t>1</w:t>
      </w:r>
      <w:r w:rsidRPr="008D09F1">
        <w:rPr>
          <w:sz w:val="20"/>
          <w:lang w:val="en-GB"/>
        </w:rPr>
        <w:t>.</w:t>
      </w:r>
      <w:r>
        <w:rPr>
          <w:sz w:val="20"/>
          <w:lang w:val="en-GB"/>
        </w:rPr>
        <w:t>6</w:t>
      </w:r>
      <w:r w:rsidRPr="008D09F1">
        <w:rPr>
          <w:sz w:val="20"/>
          <w:lang w:val="en-GB"/>
        </w:rPr>
        <w:t>%)</w:t>
      </w:r>
      <w:r>
        <w:rPr>
          <w:sz w:val="20"/>
          <w:lang w:val="en-GB"/>
        </w:rPr>
        <w:t>, and</w:t>
      </w:r>
      <w:r w:rsidRPr="008D09F1">
        <w:rPr>
          <w:sz w:val="20"/>
          <w:lang w:val="en-GB"/>
        </w:rPr>
        <w:t xml:space="preserve"> Ústecký </w:t>
      </w:r>
      <w:proofErr w:type="spellStart"/>
      <w:r w:rsidRPr="008D09F1">
        <w:rPr>
          <w:sz w:val="20"/>
          <w:lang w:val="en-GB"/>
        </w:rPr>
        <w:t>kraj</w:t>
      </w:r>
      <w:proofErr w:type="spellEnd"/>
      <w:r w:rsidRPr="008D09F1">
        <w:rPr>
          <w:sz w:val="20"/>
          <w:lang w:val="en-GB"/>
        </w:rPr>
        <w:t xml:space="preserve"> (10.</w:t>
      </w:r>
      <w:r>
        <w:rPr>
          <w:sz w:val="20"/>
          <w:lang w:val="en-GB"/>
        </w:rPr>
        <w:t>9</w:t>
      </w:r>
      <w:r w:rsidRPr="008D09F1">
        <w:rPr>
          <w:sz w:val="20"/>
          <w:lang w:val="en-GB"/>
        </w:rPr>
        <w:t>%)</w:t>
      </w:r>
      <w:r>
        <w:rPr>
          <w:sz w:val="20"/>
          <w:lang w:val="en-GB"/>
        </w:rPr>
        <w:t>.</w:t>
      </w:r>
      <w:r w:rsidRPr="008D09F1">
        <w:rPr>
          <w:sz w:val="20"/>
          <w:lang w:val="en-GB"/>
        </w:rPr>
        <w:t xml:space="preserve"> </w:t>
      </w:r>
      <w:r w:rsidR="0085750B">
        <w:rPr>
          <w:sz w:val="20"/>
          <w:lang w:val="en-GB"/>
        </w:rPr>
        <w:t xml:space="preserve">Further </w:t>
      </w:r>
      <w:r>
        <w:rPr>
          <w:sz w:val="20"/>
          <w:lang w:val="en-GB"/>
        </w:rPr>
        <w:t>8</w:t>
      </w:r>
      <w:r w:rsidR="000D3D68">
        <w:rPr>
          <w:sz w:val="20"/>
          <w:lang w:val="en-GB"/>
        </w:rPr>
        <w:t>.0</w:t>
      </w:r>
      <w:r>
        <w:rPr>
          <w:sz w:val="20"/>
          <w:lang w:val="en-GB"/>
        </w:rPr>
        <w:t xml:space="preserve">% of the total orchard area was located in Zlínský </w:t>
      </w:r>
      <w:proofErr w:type="spellStart"/>
      <w:r>
        <w:rPr>
          <w:sz w:val="20"/>
          <w:lang w:val="en-GB"/>
        </w:rPr>
        <w:t>kraj</w:t>
      </w:r>
      <w:proofErr w:type="spellEnd"/>
      <w:r>
        <w:rPr>
          <w:sz w:val="20"/>
          <w:lang w:val="en-GB"/>
        </w:rPr>
        <w:t xml:space="preserve"> and 7.6% in </w:t>
      </w:r>
      <w:proofErr w:type="spellStart"/>
      <w:r>
        <w:rPr>
          <w:sz w:val="20"/>
          <w:lang w:val="en-GB"/>
        </w:rPr>
        <w:t>Olomoucký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kraj</w:t>
      </w:r>
      <w:proofErr w:type="spellEnd"/>
      <w:r>
        <w:rPr>
          <w:sz w:val="20"/>
          <w:lang w:val="en-GB"/>
        </w:rPr>
        <w:t xml:space="preserve"> as well as in </w:t>
      </w:r>
      <w:proofErr w:type="spellStart"/>
      <w:r>
        <w:rPr>
          <w:sz w:val="20"/>
          <w:lang w:val="en-GB"/>
        </w:rPr>
        <w:t>Liberecký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kraj</w:t>
      </w:r>
      <w:proofErr w:type="spellEnd"/>
      <w:r>
        <w:rPr>
          <w:sz w:val="20"/>
          <w:lang w:val="en-GB"/>
        </w:rPr>
        <w:t xml:space="preserve">. The lowest proportions were noted for </w:t>
      </w:r>
      <w:proofErr w:type="spellStart"/>
      <w:r>
        <w:rPr>
          <w:sz w:val="20"/>
          <w:lang w:val="en-GB"/>
        </w:rPr>
        <w:t>Kraj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Vysočina</w:t>
      </w:r>
      <w:proofErr w:type="spellEnd"/>
      <w:r>
        <w:rPr>
          <w:sz w:val="20"/>
          <w:lang w:val="en-GB"/>
        </w:rPr>
        <w:t xml:space="preserve"> (0.5%) and </w:t>
      </w:r>
      <w:r>
        <w:rPr>
          <w:sz w:val="20"/>
        </w:rPr>
        <w:t>Karlovarský kraj (0.4%).</w:t>
      </w:r>
    </w:p>
    <w:p w:rsidR="003F6319" w:rsidRDefault="003F6319" w:rsidP="00344D0E">
      <w:pPr>
        <w:pStyle w:val="Zkladntextodsazen2"/>
        <w:spacing w:line="276" w:lineRule="auto"/>
        <w:ind w:firstLine="0"/>
        <w:rPr>
          <w:sz w:val="20"/>
        </w:rPr>
      </w:pPr>
    </w:p>
    <w:p w:rsidR="0093173C" w:rsidRPr="008D09F1" w:rsidRDefault="003F6319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>
        <w:rPr>
          <w:sz w:val="20"/>
          <w:lang w:val="en-GB"/>
        </w:rPr>
        <w:t>The</w:t>
      </w:r>
      <w:r w:rsidR="0093173C" w:rsidRPr="008D09F1">
        <w:rPr>
          <w:sz w:val="20"/>
          <w:lang w:val="en-GB"/>
        </w:rPr>
        <w:t xml:space="preserve"> </w:t>
      </w:r>
      <w:r w:rsidR="0093173C">
        <w:rPr>
          <w:sz w:val="20"/>
          <w:lang w:val="en-GB"/>
        </w:rPr>
        <w:t xml:space="preserve">fruit species planted the most in all regions was apple. Apple trees were </w:t>
      </w:r>
      <w:r w:rsidR="0093173C" w:rsidRPr="008D09F1">
        <w:rPr>
          <w:sz w:val="20"/>
          <w:lang w:val="en-GB"/>
        </w:rPr>
        <w:t xml:space="preserve">planted mainly in Středočeský </w:t>
      </w:r>
      <w:proofErr w:type="spellStart"/>
      <w:r w:rsidR="0093173C" w:rsidRPr="008D09F1">
        <w:rPr>
          <w:sz w:val="20"/>
          <w:lang w:val="en-GB"/>
        </w:rPr>
        <w:t>kraj</w:t>
      </w:r>
      <w:proofErr w:type="spellEnd"/>
      <w:r w:rsidR="0093173C" w:rsidRPr="008D09F1">
        <w:rPr>
          <w:sz w:val="20"/>
          <w:lang w:val="en-GB"/>
        </w:rPr>
        <w:t xml:space="preserve"> (22.</w:t>
      </w:r>
      <w:r w:rsidR="0093173C">
        <w:rPr>
          <w:sz w:val="20"/>
          <w:lang w:val="en-GB"/>
        </w:rPr>
        <w:t>2</w:t>
      </w:r>
      <w:r w:rsidR="0093173C" w:rsidRPr="008D09F1">
        <w:rPr>
          <w:sz w:val="20"/>
          <w:lang w:val="en-GB"/>
        </w:rPr>
        <w:t>% of the total apple orchard area).</w:t>
      </w:r>
      <w:r w:rsidR="0093173C">
        <w:rPr>
          <w:sz w:val="20"/>
          <w:lang w:val="en-GB"/>
        </w:rPr>
        <w:t xml:space="preserve"> </w:t>
      </w:r>
      <w:r w:rsidR="0093173C" w:rsidRPr="008D09F1">
        <w:rPr>
          <w:sz w:val="20"/>
          <w:lang w:val="en-GB"/>
        </w:rPr>
        <w:t>The largest share</w:t>
      </w:r>
      <w:r w:rsidR="0093173C">
        <w:rPr>
          <w:sz w:val="20"/>
          <w:lang w:val="en-GB"/>
        </w:rPr>
        <w:t xml:space="preserve">s </w:t>
      </w:r>
      <w:r w:rsidR="00260686">
        <w:rPr>
          <w:sz w:val="20"/>
          <w:lang w:val="en-GB"/>
        </w:rPr>
        <w:t xml:space="preserve">of other species were recorded as follows: </w:t>
      </w:r>
      <w:r w:rsidR="0093173C" w:rsidRPr="008D09F1">
        <w:rPr>
          <w:sz w:val="20"/>
          <w:lang w:val="en-GB"/>
        </w:rPr>
        <w:t xml:space="preserve">in Ústecký </w:t>
      </w:r>
      <w:proofErr w:type="spellStart"/>
      <w:r w:rsidR="0093173C" w:rsidRPr="008D09F1">
        <w:rPr>
          <w:sz w:val="20"/>
          <w:lang w:val="en-GB"/>
        </w:rPr>
        <w:t>kraj</w:t>
      </w:r>
      <w:proofErr w:type="spellEnd"/>
      <w:r w:rsidR="0093173C" w:rsidRPr="008D09F1">
        <w:rPr>
          <w:sz w:val="20"/>
          <w:lang w:val="en-GB"/>
        </w:rPr>
        <w:t xml:space="preserve"> </w:t>
      </w:r>
      <w:r w:rsidR="0093173C">
        <w:rPr>
          <w:sz w:val="20"/>
          <w:lang w:val="en-GB"/>
        </w:rPr>
        <w:t xml:space="preserve">for </w:t>
      </w:r>
      <w:r w:rsidR="0093173C" w:rsidRPr="008D09F1">
        <w:rPr>
          <w:sz w:val="20"/>
          <w:lang w:val="en-GB"/>
        </w:rPr>
        <w:t xml:space="preserve">pear </w:t>
      </w:r>
      <w:r w:rsidR="0093173C">
        <w:rPr>
          <w:sz w:val="20"/>
          <w:lang w:val="en-GB"/>
        </w:rPr>
        <w:t>orchards</w:t>
      </w:r>
      <w:r w:rsidR="0093173C" w:rsidRPr="008D09F1">
        <w:rPr>
          <w:sz w:val="20"/>
          <w:lang w:val="en-GB"/>
        </w:rPr>
        <w:t xml:space="preserve"> (2</w:t>
      </w:r>
      <w:r w:rsidR="0093173C">
        <w:rPr>
          <w:sz w:val="20"/>
          <w:lang w:val="en-GB"/>
        </w:rPr>
        <w:t>6</w:t>
      </w:r>
      <w:r w:rsidR="0093173C" w:rsidRPr="008D09F1">
        <w:rPr>
          <w:sz w:val="20"/>
          <w:lang w:val="en-GB"/>
        </w:rPr>
        <w:t>.6%</w:t>
      </w:r>
      <w:r w:rsidR="008D41B2" w:rsidRPr="008D41B2">
        <w:rPr>
          <w:sz w:val="20"/>
          <w:lang w:val="en-GB"/>
        </w:rPr>
        <w:t xml:space="preserve"> </w:t>
      </w:r>
      <w:r w:rsidR="008D41B2" w:rsidRPr="008D09F1">
        <w:rPr>
          <w:sz w:val="20"/>
          <w:lang w:val="en-GB"/>
        </w:rPr>
        <w:t xml:space="preserve">of the total </w:t>
      </w:r>
      <w:r w:rsidR="008D41B2">
        <w:rPr>
          <w:sz w:val="20"/>
          <w:lang w:val="en-GB"/>
        </w:rPr>
        <w:t>pear</w:t>
      </w:r>
      <w:r w:rsidR="008D41B2" w:rsidRPr="008D09F1">
        <w:rPr>
          <w:sz w:val="20"/>
          <w:lang w:val="en-GB"/>
        </w:rPr>
        <w:t xml:space="preserve"> orchard area</w:t>
      </w:r>
      <w:r w:rsidR="0093173C" w:rsidRPr="008D09F1">
        <w:rPr>
          <w:sz w:val="20"/>
          <w:lang w:val="en-GB"/>
        </w:rPr>
        <w:t xml:space="preserve">), in Zlínský </w:t>
      </w:r>
      <w:proofErr w:type="spellStart"/>
      <w:r w:rsidR="0093173C" w:rsidRPr="008D09F1">
        <w:rPr>
          <w:sz w:val="20"/>
          <w:lang w:val="en-GB"/>
        </w:rPr>
        <w:t>kraj</w:t>
      </w:r>
      <w:proofErr w:type="spellEnd"/>
      <w:r w:rsidR="0093173C" w:rsidRPr="008D09F1">
        <w:rPr>
          <w:sz w:val="20"/>
          <w:lang w:val="en-GB"/>
        </w:rPr>
        <w:t xml:space="preserve"> </w:t>
      </w:r>
      <w:r w:rsidR="0093173C">
        <w:rPr>
          <w:sz w:val="20"/>
          <w:lang w:val="en-GB"/>
        </w:rPr>
        <w:t xml:space="preserve">for </w:t>
      </w:r>
      <w:r w:rsidR="0093173C" w:rsidRPr="008D09F1">
        <w:rPr>
          <w:sz w:val="20"/>
          <w:lang w:val="en-GB"/>
        </w:rPr>
        <w:t xml:space="preserve">plum </w:t>
      </w:r>
      <w:r w:rsidR="0093173C">
        <w:rPr>
          <w:sz w:val="20"/>
          <w:lang w:val="en-GB"/>
        </w:rPr>
        <w:t>orchards</w:t>
      </w:r>
      <w:r w:rsidR="0093173C" w:rsidRPr="008D09F1">
        <w:rPr>
          <w:sz w:val="20"/>
          <w:lang w:val="en-GB"/>
        </w:rPr>
        <w:t xml:space="preserve"> (2</w:t>
      </w:r>
      <w:r w:rsidR="0093173C">
        <w:rPr>
          <w:sz w:val="20"/>
          <w:lang w:val="en-GB"/>
        </w:rPr>
        <w:t>3</w:t>
      </w:r>
      <w:r w:rsidR="0093173C" w:rsidRPr="008D09F1">
        <w:rPr>
          <w:sz w:val="20"/>
          <w:lang w:val="en-GB"/>
        </w:rPr>
        <w:t>.</w:t>
      </w:r>
      <w:r w:rsidR="0093173C">
        <w:rPr>
          <w:sz w:val="20"/>
          <w:lang w:val="en-GB"/>
        </w:rPr>
        <w:t>9</w:t>
      </w:r>
      <w:r w:rsidR="0093173C" w:rsidRPr="008D09F1">
        <w:rPr>
          <w:sz w:val="20"/>
          <w:lang w:val="en-GB"/>
        </w:rPr>
        <w:t xml:space="preserve">%), in Jihomoravský </w:t>
      </w:r>
      <w:proofErr w:type="spellStart"/>
      <w:r w:rsidR="0093173C" w:rsidRPr="008D09F1">
        <w:rPr>
          <w:sz w:val="20"/>
          <w:lang w:val="en-GB"/>
        </w:rPr>
        <w:t>kraj</w:t>
      </w:r>
      <w:proofErr w:type="spellEnd"/>
      <w:r w:rsidR="0093173C" w:rsidRPr="008D09F1">
        <w:rPr>
          <w:sz w:val="20"/>
          <w:lang w:val="en-GB"/>
        </w:rPr>
        <w:t xml:space="preserve"> </w:t>
      </w:r>
      <w:r w:rsidR="0093173C">
        <w:rPr>
          <w:sz w:val="20"/>
          <w:lang w:val="en-GB"/>
        </w:rPr>
        <w:t xml:space="preserve">for </w:t>
      </w:r>
      <w:r w:rsidR="0093173C" w:rsidRPr="008D09F1">
        <w:rPr>
          <w:sz w:val="20"/>
          <w:lang w:val="en-GB"/>
        </w:rPr>
        <w:t xml:space="preserve">peach and apricot </w:t>
      </w:r>
      <w:r w:rsidR="0093173C">
        <w:rPr>
          <w:sz w:val="20"/>
          <w:lang w:val="en-GB"/>
        </w:rPr>
        <w:t>orchards</w:t>
      </w:r>
      <w:r w:rsidR="0093173C" w:rsidRPr="008D09F1">
        <w:rPr>
          <w:sz w:val="20"/>
          <w:lang w:val="en-GB"/>
        </w:rPr>
        <w:t xml:space="preserve"> (</w:t>
      </w:r>
      <w:r w:rsidR="00500154">
        <w:rPr>
          <w:sz w:val="20"/>
          <w:lang w:val="en-GB"/>
        </w:rPr>
        <w:t>65.4</w:t>
      </w:r>
      <w:r w:rsidR="0093173C" w:rsidRPr="008D09F1">
        <w:rPr>
          <w:sz w:val="20"/>
          <w:lang w:val="en-GB"/>
        </w:rPr>
        <w:t xml:space="preserve">% and </w:t>
      </w:r>
      <w:r w:rsidR="00500154">
        <w:rPr>
          <w:sz w:val="20"/>
          <w:lang w:val="en-GB"/>
        </w:rPr>
        <w:t>77.9</w:t>
      </w:r>
      <w:r w:rsidR="0093173C" w:rsidRPr="008D09F1">
        <w:rPr>
          <w:sz w:val="20"/>
          <w:lang w:val="en-GB"/>
        </w:rPr>
        <w:t>%</w:t>
      </w:r>
      <w:r w:rsidR="0093173C">
        <w:rPr>
          <w:sz w:val="20"/>
          <w:lang w:val="en-GB"/>
        </w:rPr>
        <w:t>,</w:t>
      </w:r>
      <w:r w:rsidR="0093173C" w:rsidRPr="008D09F1">
        <w:rPr>
          <w:sz w:val="20"/>
          <w:lang w:val="en-GB"/>
        </w:rPr>
        <w:t xml:space="preserve"> </w:t>
      </w:r>
      <w:r w:rsidR="0093173C">
        <w:rPr>
          <w:sz w:val="20"/>
          <w:lang w:val="en-GB"/>
        </w:rPr>
        <w:t>respectively</w:t>
      </w:r>
      <w:r w:rsidR="0093173C" w:rsidRPr="008D09F1">
        <w:rPr>
          <w:sz w:val="20"/>
          <w:lang w:val="en-GB"/>
        </w:rPr>
        <w:t xml:space="preserve">), and in Středočeský </w:t>
      </w:r>
      <w:proofErr w:type="spellStart"/>
      <w:r w:rsidR="0093173C" w:rsidRPr="008D09F1">
        <w:rPr>
          <w:sz w:val="20"/>
          <w:lang w:val="en-GB"/>
        </w:rPr>
        <w:t>kraj</w:t>
      </w:r>
      <w:proofErr w:type="spellEnd"/>
      <w:r w:rsidR="0093173C" w:rsidRPr="008D09F1">
        <w:rPr>
          <w:sz w:val="20"/>
          <w:lang w:val="en-GB"/>
        </w:rPr>
        <w:t xml:space="preserve"> </w:t>
      </w:r>
      <w:r w:rsidR="0093173C">
        <w:rPr>
          <w:sz w:val="20"/>
          <w:lang w:val="en-GB"/>
        </w:rPr>
        <w:t>for</w:t>
      </w:r>
      <w:r w:rsidR="0093173C" w:rsidRPr="008D09F1">
        <w:rPr>
          <w:sz w:val="20"/>
          <w:lang w:val="en-GB"/>
        </w:rPr>
        <w:t xml:space="preserve"> of cherry and sour cherry </w:t>
      </w:r>
      <w:r w:rsidR="0093173C">
        <w:rPr>
          <w:sz w:val="20"/>
          <w:lang w:val="en-GB"/>
        </w:rPr>
        <w:t>orchards</w:t>
      </w:r>
      <w:r w:rsidR="0093173C" w:rsidRPr="008D09F1">
        <w:rPr>
          <w:sz w:val="20"/>
          <w:lang w:val="en-GB"/>
        </w:rPr>
        <w:t xml:space="preserve"> (2</w:t>
      </w:r>
      <w:r w:rsidR="0093173C">
        <w:rPr>
          <w:sz w:val="20"/>
          <w:lang w:val="en-GB"/>
        </w:rPr>
        <w:t>6</w:t>
      </w:r>
      <w:r w:rsidR="0093173C" w:rsidRPr="008D09F1">
        <w:rPr>
          <w:sz w:val="20"/>
          <w:lang w:val="en-GB"/>
        </w:rPr>
        <w:t>.</w:t>
      </w:r>
      <w:r w:rsidR="0093173C">
        <w:rPr>
          <w:sz w:val="20"/>
          <w:lang w:val="en-GB"/>
        </w:rPr>
        <w:t>2</w:t>
      </w:r>
      <w:r w:rsidR="0093173C" w:rsidRPr="008D09F1">
        <w:rPr>
          <w:sz w:val="20"/>
          <w:lang w:val="en-GB"/>
        </w:rPr>
        <w:t>% and 2</w:t>
      </w:r>
      <w:r w:rsidR="00F07AD3">
        <w:rPr>
          <w:sz w:val="20"/>
          <w:lang w:val="en-GB"/>
        </w:rPr>
        <w:t>9</w:t>
      </w:r>
      <w:r w:rsidR="0093173C" w:rsidRPr="008D09F1">
        <w:rPr>
          <w:sz w:val="20"/>
          <w:lang w:val="en-GB"/>
        </w:rPr>
        <w:t>.</w:t>
      </w:r>
      <w:r w:rsidR="00F07AD3">
        <w:rPr>
          <w:sz w:val="20"/>
          <w:lang w:val="en-GB"/>
        </w:rPr>
        <w:t>6</w:t>
      </w:r>
      <w:r w:rsidR="0093173C" w:rsidRPr="008D09F1">
        <w:rPr>
          <w:sz w:val="20"/>
          <w:lang w:val="en-GB"/>
        </w:rPr>
        <w:t>%</w:t>
      </w:r>
      <w:r w:rsidR="0093173C">
        <w:rPr>
          <w:sz w:val="20"/>
          <w:lang w:val="en-GB"/>
        </w:rPr>
        <w:t>,</w:t>
      </w:r>
      <w:r w:rsidR="0093173C" w:rsidRPr="008D09F1">
        <w:rPr>
          <w:sz w:val="20"/>
          <w:lang w:val="en-GB"/>
        </w:rPr>
        <w:t xml:space="preserve"> </w:t>
      </w:r>
      <w:r w:rsidR="0093173C">
        <w:rPr>
          <w:sz w:val="20"/>
          <w:lang w:val="en-GB"/>
        </w:rPr>
        <w:t>respectively</w:t>
      </w:r>
      <w:r w:rsidR="0093173C" w:rsidRPr="008D09F1">
        <w:rPr>
          <w:sz w:val="20"/>
          <w:lang w:val="en-GB"/>
        </w:rPr>
        <w:t>).</w:t>
      </w:r>
      <w:r w:rsidR="0093173C">
        <w:rPr>
          <w:sz w:val="20"/>
          <w:lang w:val="en-GB"/>
        </w:rPr>
        <w:t xml:space="preserve"> Berry species were planted the most in </w:t>
      </w:r>
      <w:proofErr w:type="spellStart"/>
      <w:r w:rsidR="0093173C">
        <w:rPr>
          <w:sz w:val="20"/>
          <w:lang w:val="en-GB"/>
        </w:rPr>
        <w:t>Královéhradecký</w:t>
      </w:r>
      <w:proofErr w:type="spellEnd"/>
      <w:r w:rsidR="0093173C">
        <w:rPr>
          <w:sz w:val="20"/>
          <w:lang w:val="en-GB"/>
        </w:rPr>
        <w:t xml:space="preserve"> </w:t>
      </w:r>
      <w:proofErr w:type="spellStart"/>
      <w:r w:rsidR="0093173C">
        <w:rPr>
          <w:sz w:val="20"/>
          <w:lang w:val="en-GB"/>
        </w:rPr>
        <w:t>kraj</w:t>
      </w:r>
      <w:proofErr w:type="spellEnd"/>
      <w:r w:rsidR="0093173C">
        <w:rPr>
          <w:sz w:val="20"/>
          <w:lang w:val="en-GB"/>
        </w:rPr>
        <w:t xml:space="preserve"> (19.4%) and </w:t>
      </w:r>
      <w:r w:rsidR="004673B7">
        <w:rPr>
          <w:sz w:val="20"/>
          <w:lang w:val="en-GB"/>
        </w:rPr>
        <w:t xml:space="preserve">in </w:t>
      </w:r>
      <w:proofErr w:type="spellStart"/>
      <w:r w:rsidR="0093173C">
        <w:rPr>
          <w:sz w:val="20"/>
          <w:lang w:val="en-GB"/>
        </w:rPr>
        <w:t>Liberecký</w:t>
      </w:r>
      <w:proofErr w:type="spellEnd"/>
      <w:r w:rsidR="0093173C">
        <w:rPr>
          <w:sz w:val="20"/>
          <w:lang w:val="en-GB"/>
        </w:rPr>
        <w:t xml:space="preserve"> </w:t>
      </w:r>
      <w:proofErr w:type="spellStart"/>
      <w:r w:rsidR="0093173C">
        <w:rPr>
          <w:sz w:val="20"/>
          <w:lang w:val="en-GB"/>
        </w:rPr>
        <w:t>kraj</w:t>
      </w:r>
      <w:proofErr w:type="spellEnd"/>
      <w:r w:rsidR="0093173C">
        <w:rPr>
          <w:sz w:val="20"/>
          <w:lang w:val="en-GB"/>
        </w:rPr>
        <w:t xml:space="preserve"> (19.2%) </w:t>
      </w:r>
      <w:r>
        <w:rPr>
          <w:sz w:val="20"/>
          <w:lang w:val="en-GB"/>
        </w:rPr>
        <w:t xml:space="preserve">and </w:t>
      </w:r>
      <w:r w:rsidR="0093173C">
        <w:rPr>
          <w:sz w:val="20"/>
          <w:lang w:val="en-GB"/>
        </w:rPr>
        <w:t>nut</w:t>
      </w:r>
      <w:r>
        <w:rPr>
          <w:sz w:val="20"/>
          <w:lang w:val="en-GB"/>
        </w:rPr>
        <w:t>s</w:t>
      </w:r>
      <w:r w:rsidR="0093173C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in </w:t>
      </w:r>
      <w:r w:rsidRPr="008D09F1">
        <w:rPr>
          <w:sz w:val="20"/>
          <w:lang w:val="en-GB"/>
        </w:rPr>
        <w:t xml:space="preserve">Jihomoravský </w:t>
      </w:r>
      <w:proofErr w:type="spellStart"/>
      <w:r w:rsidRPr="008D09F1">
        <w:rPr>
          <w:sz w:val="20"/>
          <w:lang w:val="en-GB"/>
        </w:rPr>
        <w:t>kraj</w:t>
      </w:r>
      <w:proofErr w:type="spellEnd"/>
      <w:r>
        <w:rPr>
          <w:sz w:val="20"/>
          <w:lang w:val="en-GB"/>
        </w:rPr>
        <w:t xml:space="preserve"> (32.3%). </w:t>
      </w:r>
    </w:p>
    <w:p w:rsidR="00C15A05" w:rsidRPr="00E8787D" w:rsidRDefault="00C15A05" w:rsidP="00344D0E">
      <w:pPr>
        <w:pStyle w:val="Zkladntextodsazen2"/>
        <w:spacing w:line="276" w:lineRule="auto"/>
        <w:ind w:firstLine="0"/>
        <w:rPr>
          <w:sz w:val="20"/>
        </w:rPr>
      </w:pPr>
    </w:p>
    <w:p w:rsidR="006F3E2A" w:rsidRDefault="006F3E2A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>
        <w:rPr>
          <w:sz w:val="20"/>
          <w:lang w:val="en-GB"/>
        </w:rPr>
        <w:t>The table shows basic information on orchards in 2012 and 2017. However, the results are not fully comparable due to change of the definition of an orch</w:t>
      </w:r>
      <w:bookmarkStart w:id="0" w:name="_GoBack"/>
      <w:bookmarkEnd w:id="0"/>
      <w:r>
        <w:rPr>
          <w:sz w:val="20"/>
          <w:lang w:val="en-GB"/>
        </w:rPr>
        <w:t>ard (see Methodological notes)</w:t>
      </w:r>
    </w:p>
    <w:p w:rsidR="006F3E2A" w:rsidRDefault="006F3E2A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</w:p>
    <w:p w:rsidR="006F3E2A" w:rsidRPr="006F3E2A" w:rsidRDefault="006F3E2A" w:rsidP="00344D0E">
      <w:pPr>
        <w:pStyle w:val="Zkladntextodsazen2"/>
        <w:spacing w:line="276" w:lineRule="auto"/>
        <w:ind w:firstLine="0"/>
        <w:rPr>
          <w:b/>
          <w:sz w:val="20"/>
          <w:lang w:val="en-GB"/>
        </w:rPr>
      </w:pPr>
      <w:r w:rsidRPr="006F3E2A">
        <w:rPr>
          <w:b/>
          <w:sz w:val="20"/>
          <w:lang w:val="en-GB"/>
        </w:rPr>
        <w:t>Basic information on orchards in 2012 and 2017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85"/>
        <w:gridCol w:w="1360"/>
        <w:gridCol w:w="1360"/>
        <w:gridCol w:w="1360"/>
        <w:gridCol w:w="1360"/>
        <w:gridCol w:w="1360"/>
      </w:tblGrid>
      <w:tr w:rsidR="001D3E9C" w:rsidRPr="00F31C23" w:rsidTr="00B3078F">
        <w:trPr>
          <w:trHeight w:val="332"/>
        </w:trPr>
        <w:tc>
          <w:tcPr>
            <w:tcW w:w="15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9C" w:rsidRPr="00F31C23" w:rsidRDefault="001D3E9C" w:rsidP="0058563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9C" w:rsidRPr="00B3078F" w:rsidRDefault="001D3E9C" w:rsidP="0058563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3078F">
              <w:rPr>
                <w:rFonts w:cs="Arial"/>
                <w:sz w:val="16"/>
                <w:szCs w:val="16"/>
                <w:lang w:val="en-GB"/>
              </w:rPr>
              <w:t>Fruit producers</w:t>
            </w:r>
            <w:r w:rsidRPr="00B3078F">
              <w:rPr>
                <w:rFonts w:cs="Arial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9C" w:rsidRPr="00B3078F" w:rsidRDefault="001D3E9C" w:rsidP="00585632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3078F">
              <w:rPr>
                <w:rFonts w:cs="Arial"/>
                <w:sz w:val="16"/>
                <w:szCs w:val="16"/>
                <w:lang w:val="en-GB"/>
              </w:rPr>
              <w:t>Fruit trees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E9C" w:rsidRPr="00B3078F" w:rsidRDefault="001D3E9C" w:rsidP="00B3078F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3078F">
              <w:rPr>
                <w:rFonts w:cs="Arial"/>
                <w:sz w:val="16"/>
                <w:szCs w:val="16"/>
                <w:lang w:val="en-GB"/>
              </w:rPr>
              <w:t>Orchard area</w:t>
            </w:r>
            <w:r w:rsidR="00B3078F" w:rsidRPr="00B3078F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B3078F">
              <w:rPr>
                <w:rFonts w:cs="Arial"/>
                <w:sz w:val="16"/>
                <w:szCs w:val="16"/>
                <w:lang w:val="en-GB"/>
              </w:rPr>
              <w:t>(ha)</w:t>
            </w:r>
          </w:p>
        </w:tc>
      </w:tr>
      <w:tr w:rsidR="001D3E9C" w:rsidRPr="00F31C23" w:rsidTr="00B3078F">
        <w:trPr>
          <w:trHeight w:val="265"/>
        </w:trPr>
        <w:tc>
          <w:tcPr>
            <w:tcW w:w="15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9C" w:rsidRPr="00F31C23" w:rsidRDefault="001D3E9C" w:rsidP="0058563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9C" w:rsidRPr="00F31C23" w:rsidRDefault="001D3E9C" w:rsidP="0058563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9C" w:rsidRPr="00F31C23" w:rsidRDefault="001D3E9C" w:rsidP="0058563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9C" w:rsidRPr="00F31C23" w:rsidRDefault="001D3E9C" w:rsidP="0058563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E9C" w:rsidRPr="00F31C23" w:rsidRDefault="001D3E9C" w:rsidP="0058563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E9C" w:rsidRPr="00F31C23" w:rsidRDefault="001D3E9C" w:rsidP="0058563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1C23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</w:tr>
      <w:tr w:rsidR="001D3E9C" w:rsidRPr="001D3E9C" w:rsidTr="001D3E9C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  <w:r w:rsidR="006B20D7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, in which: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2 388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1 755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21 346.53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16 417,26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E9C" w:rsidRPr="001D3E9C" w:rsidRDefault="00E547C2" w:rsidP="00585632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i</w:t>
            </w:r>
            <w:r w:rsidR="001D3E9C"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n which: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Apple trees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1 502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1 059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11 760 144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10 337 461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10 487.01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7 818.60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Pear trees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914 376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964 159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1 025.96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870.10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Peach trees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344 191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172 117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761.38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340.49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Apricot trees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765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673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584 624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558 824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1 636.88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1 152.21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Cherry trees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447 095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496 281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1 278.17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1 016.58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Sour cherry trees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812 448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728 543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1 857.82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1 427.24</w:t>
            </w:r>
          </w:p>
        </w:tc>
      </w:tr>
      <w:tr w:rsidR="001D3E9C" w:rsidRPr="001D3E9C" w:rsidTr="001D3E9C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21513A">
            <w:pPr>
              <w:ind w:firstLineChars="100" w:firstLine="16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Plum trees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1 212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1 068 668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585632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1 060 327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2 545.10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1D3E9C" w:rsidRDefault="001D3E9C" w:rsidP="001D3E9C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>2 328.72</w:t>
            </w:r>
          </w:p>
        </w:tc>
      </w:tr>
      <w:tr w:rsidR="001D3E9C" w:rsidRPr="00F31C23" w:rsidTr="001D3E9C">
        <w:trPr>
          <w:trHeight w:val="13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9C" w:rsidRPr="00F31C23" w:rsidRDefault="001D3E9C" w:rsidP="00585632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D3E9C" w:rsidRPr="001D3E9C" w:rsidTr="00585632">
        <w:trPr>
          <w:trHeight w:val="27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9C" w:rsidRPr="001D3E9C" w:rsidRDefault="001D3E9C" w:rsidP="001D3E9C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D3E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1)</w:t>
            </w:r>
            <w:r w:rsidRPr="001D3E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a producer of more than one fruit species is included in each species concerned</w:t>
            </w:r>
          </w:p>
        </w:tc>
      </w:tr>
    </w:tbl>
    <w:p w:rsidR="008C6496" w:rsidRPr="003F4EBD" w:rsidRDefault="00D44D95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 w:rsidRPr="003F4EBD">
        <w:rPr>
          <w:sz w:val="20"/>
          <w:lang w:val="en-GB"/>
        </w:rPr>
        <w:lastRenderedPageBreak/>
        <w:t xml:space="preserve">During the last five years, the number of fruit producers as well as the orchard area intended for market production significantly declined. </w:t>
      </w:r>
      <w:r w:rsidR="00A54FC8" w:rsidRPr="003F4EBD">
        <w:rPr>
          <w:sz w:val="20"/>
          <w:szCs w:val="16"/>
          <w:lang w:val="en-GB"/>
        </w:rPr>
        <w:t>In comparison with 2012, t</w:t>
      </w:r>
      <w:r w:rsidR="00A54FC8" w:rsidRPr="003F4EBD">
        <w:rPr>
          <w:sz w:val="20"/>
          <w:lang w:val="en-GB"/>
        </w:rPr>
        <w:t>he number of fruit producers declined by more than one quarter from 2 388 to 1 755 (</w:t>
      </w:r>
      <w:r w:rsidR="00A54FC8" w:rsidRPr="003F4EBD">
        <w:rPr>
          <w:sz w:val="18"/>
          <w:szCs w:val="16"/>
          <w:lang w:val="en-GB"/>
        </w:rPr>
        <w:t>−</w:t>
      </w:r>
      <w:r w:rsidR="00A54FC8" w:rsidRPr="003F4EBD">
        <w:rPr>
          <w:sz w:val="20"/>
          <w:szCs w:val="16"/>
          <w:lang w:val="en-GB"/>
        </w:rPr>
        <w:t>26.5%) and the orchard area fell from 21 347 ha to 16 417 ha (</w:t>
      </w:r>
      <w:r w:rsidR="00A54FC8" w:rsidRPr="003F4EBD">
        <w:rPr>
          <w:sz w:val="18"/>
          <w:szCs w:val="16"/>
          <w:lang w:val="en-GB"/>
        </w:rPr>
        <w:t>−</w:t>
      </w:r>
      <w:r w:rsidR="00A54FC8" w:rsidRPr="003F4EBD">
        <w:rPr>
          <w:sz w:val="20"/>
          <w:szCs w:val="16"/>
          <w:lang w:val="en-GB"/>
        </w:rPr>
        <w:t xml:space="preserve">23.1%). </w:t>
      </w:r>
      <w:r w:rsidR="00B646BE" w:rsidRPr="003F4EBD">
        <w:rPr>
          <w:sz w:val="20"/>
          <w:szCs w:val="16"/>
          <w:lang w:val="en-GB"/>
        </w:rPr>
        <w:t>The average orchard area rose from 8.94 ha to 9.35 ha (+4.6%). Th</w:t>
      </w:r>
      <w:r w:rsidR="003F4EBD" w:rsidRPr="003F4EBD">
        <w:rPr>
          <w:sz w:val="20"/>
          <w:szCs w:val="16"/>
          <w:lang w:val="en-GB"/>
        </w:rPr>
        <w:t>e</w:t>
      </w:r>
      <w:r w:rsidR="00B646BE" w:rsidRPr="003F4EBD">
        <w:rPr>
          <w:sz w:val="20"/>
          <w:szCs w:val="16"/>
          <w:lang w:val="en-GB"/>
        </w:rPr>
        <w:t xml:space="preserve"> </w:t>
      </w:r>
      <w:r w:rsidR="00A54FC8" w:rsidRPr="003F4EBD">
        <w:rPr>
          <w:sz w:val="20"/>
          <w:lang w:val="en-GB"/>
        </w:rPr>
        <w:t>decline</w:t>
      </w:r>
      <w:r w:rsidR="00B646BE" w:rsidRPr="003F4EBD">
        <w:rPr>
          <w:sz w:val="20"/>
          <w:lang w:val="en-GB"/>
        </w:rPr>
        <w:t xml:space="preserve"> of the </w:t>
      </w:r>
      <w:r w:rsidR="003F4EBD" w:rsidRPr="003F4EBD">
        <w:rPr>
          <w:sz w:val="20"/>
          <w:lang w:val="en-GB"/>
        </w:rPr>
        <w:t xml:space="preserve">total </w:t>
      </w:r>
      <w:r w:rsidR="00B646BE" w:rsidRPr="003F4EBD">
        <w:rPr>
          <w:sz w:val="20"/>
          <w:lang w:val="en-GB"/>
        </w:rPr>
        <w:t>orchard area was</w:t>
      </w:r>
      <w:r w:rsidRPr="003F4EBD">
        <w:rPr>
          <w:sz w:val="20"/>
          <w:lang w:val="en-GB"/>
        </w:rPr>
        <w:t xml:space="preserve"> connected with the change of the definition of a permanent crop – orchard and </w:t>
      </w:r>
      <w:r w:rsidR="00EF6B93" w:rsidRPr="003F4EBD">
        <w:rPr>
          <w:sz w:val="20"/>
          <w:lang w:val="en-GB"/>
        </w:rPr>
        <w:t>a</w:t>
      </w:r>
      <w:r w:rsidR="00565BA2" w:rsidRPr="003F4EBD">
        <w:rPr>
          <w:sz w:val="20"/>
          <w:lang w:val="en-GB"/>
        </w:rPr>
        <w:t xml:space="preserve"> </w:t>
      </w:r>
      <w:r w:rsidRPr="003F4EBD">
        <w:rPr>
          <w:sz w:val="20"/>
          <w:lang w:val="en-GB"/>
        </w:rPr>
        <w:t>reclassification of orchards</w:t>
      </w:r>
      <w:r w:rsidR="00565BA2" w:rsidRPr="003F4EBD">
        <w:rPr>
          <w:sz w:val="20"/>
          <w:lang w:val="en-GB"/>
        </w:rPr>
        <w:t>,</w:t>
      </w:r>
      <w:r w:rsidRPr="003F4EBD">
        <w:rPr>
          <w:sz w:val="20"/>
          <w:lang w:val="en-GB"/>
        </w:rPr>
        <w:t xml:space="preserve"> </w:t>
      </w:r>
      <w:r w:rsidR="00565BA2" w:rsidRPr="003F4EBD">
        <w:rPr>
          <w:sz w:val="20"/>
          <w:lang w:val="en-GB"/>
        </w:rPr>
        <w:t>which</w:t>
      </w:r>
      <w:r w:rsidRPr="003F4EBD">
        <w:rPr>
          <w:sz w:val="20"/>
          <w:lang w:val="en-GB"/>
        </w:rPr>
        <w:t xml:space="preserve"> do not meet the definition</w:t>
      </w:r>
      <w:r w:rsidR="00565BA2" w:rsidRPr="003F4EBD">
        <w:rPr>
          <w:sz w:val="20"/>
          <w:lang w:val="en-GB"/>
        </w:rPr>
        <w:t>,</w:t>
      </w:r>
      <w:r w:rsidRPr="003F4EBD">
        <w:rPr>
          <w:sz w:val="20"/>
          <w:lang w:val="en-GB"/>
        </w:rPr>
        <w:t xml:space="preserve"> </w:t>
      </w:r>
      <w:r w:rsidR="00565BA2" w:rsidRPr="003F4EBD">
        <w:rPr>
          <w:sz w:val="20"/>
          <w:lang w:val="en-GB"/>
        </w:rPr>
        <w:t xml:space="preserve">as </w:t>
      </w:r>
      <w:r w:rsidR="009E2CFA" w:rsidRPr="003F4EBD">
        <w:rPr>
          <w:sz w:val="20"/>
          <w:lang w:val="en-GB"/>
        </w:rPr>
        <w:t>other crop types</w:t>
      </w:r>
      <w:r w:rsidR="00A54FC8" w:rsidRPr="003F4EBD">
        <w:rPr>
          <w:sz w:val="20"/>
          <w:lang w:val="en-GB"/>
        </w:rPr>
        <w:t xml:space="preserve">. </w:t>
      </w:r>
      <w:r w:rsidR="009E2CFA" w:rsidRPr="003F4EBD">
        <w:rPr>
          <w:sz w:val="20"/>
          <w:lang w:val="en-GB"/>
        </w:rPr>
        <w:t xml:space="preserve"> </w:t>
      </w:r>
      <w:r w:rsidR="00A54FC8" w:rsidRPr="003F4EBD">
        <w:rPr>
          <w:sz w:val="20"/>
          <w:lang w:val="en-GB"/>
        </w:rPr>
        <w:t>Furthermore, o</w:t>
      </w:r>
      <w:r w:rsidR="009E2CFA" w:rsidRPr="003F4EBD">
        <w:rPr>
          <w:sz w:val="20"/>
          <w:lang w:val="en-GB"/>
        </w:rPr>
        <w:t xml:space="preserve">ver-aged plantations </w:t>
      </w:r>
      <w:r w:rsidR="00A54FC8" w:rsidRPr="003F4EBD">
        <w:rPr>
          <w:sz w:val="20"/>
          <w:lang w:val="en-GB"/>
        </w:rPr>
        <w:t xml:space="preserve">were in a large extent removed </w:t>
      </w:r>
      <w:r w:rsidR="009E2CFA" w:rsidRPr="003F4EBD">
        <w:rPr>
          <w:sz w:val="20"/>
          <w:lang w:val="en-GB"/>
        </w:rPr>
        <w:t xml:space="preserve">without </w:t>
      </w:r>
      <w:r w:rsidR="00A54FC8" w:rsidRPr="003F4EBD">
        <w:rPr>
          <w:sz w:val="20"/>
          <w:lang w:val="en-GB"/>
        </w:rPr>
        <w:t>following</w:t>
      </w:r>
      <w:r w:rsidR="009E2CFA" w:rsidRPr="003F4EBD">
        <w:rPr>
          <w:sz w:val="20"/>
          <w:lang w:val="en-GB"/>
        </w:rPr>
        <w:t xml:space="preserve"> replacement</w:t>
      </w:r>
      <w:r w:rsidR="00A54FC8" w:rsidRPr="003F4EBD">
        <w:rPr>
          <w:sz w:val="20"/>
          <w:lang w:val="en-GB"/>
        </w:rPr>
        <w:t xml:space="preserve"> with new ones.</w:t>
      </w:r>
    </w:p>
    <w:p w:rsidR="008C6496" w:rsidRPr="003F4EBD" w:rsidRDefault="008C6496" w:rsidP="008C6496">
      <w:pPr>
        <w:spacing w:line="276" w:lineRule="auto"/>
        <w:rPr>
          <w:rFonts w:cs="Arial"/>
          <w:lang w:val="en-GB"/>
        </w:rPr>
      </w:pPr>
    </w:p>
    <w:p w:rsidR="008C6496" w:rsidRPr="003F4EBD" w:rsidRDefault="008C6496" w:rsidP="008C6496">
      <w:pPr>
        <w:pStyle w:val="Zkladntext"/>
        <w:spacing w:line="276" w:lineRule="auto"/>
        <w:rPr>
          <w:lang w:val="en-GB"/>
        </w:rPr>
      </w:pPr>
      <w:r w:rsidRPr="003F4EBD">
        <w:rPr>
          <w:lang w:val="en-GB"/>
        </w:rPr>
        <w:t xml:space="preserve">As for main fruit tree species, the largest drop </w:t>
      </w:r>
      <w:r w:rsidR="00756EB9" w:rsidRPr="003F4EBD">
        <w:rPr>
          <w:lang w:val="en-GB"/>
        </w:rPr>
        <w:t xml:space="preserve">in comparison with 2012 </w:t>
      </w:r>
      <w:r w:rsidRPr="003F4EBD">
        <w:rPr>
          <w:lang w:val="en-GB"/>
        </w:rPr>
        <w:t>was recorded for peach trees whose area decreased by more than one half (</w:t>
      </w:r>
      <w:r w:rsidRPr="003F4EBD">
        <w:rPr>
          <w:sz w:val="18"/>
          <w:szCs w:val="16"/>
        </w:rPr>
        <w:t>−</w:t>
      </w:r>
      <w:r w:rsidRPr="003F4EBD">
        <w:rPr>
          <w:szCs w:val="16"/>
        </w:rPr>
        <w:t>55.3%)</w:t>
      </w:r>
      <w:r w:rsidRPr="003F4EBD">
        <w:rPr>
          <w:lang w:val="en-GB"/>
        </w:rPr>
        <w:t>. Further declines recorded were by 29.6% for apricot trees, by 25.4% for apple trees, by 23.2% for sour cherry trees, by 20.5% for cherry trees and by 15.2% for pear trees. Areas planted with other surveyed species decreased during the last five years as well: by 33.2% for berry species and by 19.2% for nut species.</w:t>
      </w:r>
    </w:p>
    <w:p w:rsidR="008C6496" w:rsidRPr="003F4EBD" w:rsidRDefault="008C6496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</w:p>
    <w:p w:rsidR="00D44D95" w:rsidRDefault="009E2CFA" w:rsidP="00344D0E">
      <w:pPr>
        <w:pStyle w:val="Zkladntextodsazen2"/>
        <w:spacing w:line="276" w:lineRule="auto"/>
        <w:ind w:firstLine="0"/>
        <w:rPr>
          <w:sz w:val="20"/>
          <w:lang w:val="en-GB"/>
        </w:rPr>
      </w:pPr>
      <w:r w:rsidRPr="003F4EBD">
        <w:rPr>
          <w:sz w:val="20"/>
          <w:lang w:val="en-GB"/>
        </w:rPr>
        <w:t xml:space="preserve">The most important fruit species was apple, </w:t>
      </w:r>
      <w:r w:rsidR="00756EB9" w:rsidRPr="003F4EBD">
        <w:rPr>
          <w:sz w:val="20"/>
          <w:lang w:val="en-GB"/>
        </w:rPr>
        <w:t xml:space="preserve">which was </w:t>
      </w:r>
      <w:r w:rsidRPr="003F4EBD">
        <w:rPr>
          <w:sz w:val="20"/>
          <w:lang w:val="en-GB"/>
        </w:rPr>
        <w:t>planted</w:t>
      </w:r>
      <w:r w:rsidR="00756EB9" w:rsidRPr="003F4EBD">
        <w:rPr>
          <w:sz w:val="20"/>
          <w:lang w:val="en-GB"/>
        </w:rPr>
        <w:t xml:space="preserve">, similarly to previous surveys, </w:t>
      </w:r>
      <w:r w:rsidRPr="003F4EBD">
        <w:rPr>
          <w:sz w:val="20"/>
          <w:lang w:val="en-GB"/>
        </w:rPr>
        <w:t xml:space="preserve">on one half of the total orchard area. However, apple orchards still had an unfavourable age structure with a large proportion of old plantations. The results of the survey also confirmed a decline in peach growing in the Czech Republic. </w:t>
      </w:r>
      <w:r w:rsidR="00515B10" w:rsidRPr="003F4EBD">
        <w:rPr>
          <w:sz w:val="20"/>
          <w:lang w:val="en-GB"/>
        </w:rPr>
        <w:t>Peach orchards were found to have the worst age structure out of all species</w:t>
      </w:r>
      <w:r w:rsidR="00CB235F" w:rsidRPr="003F4EBD">
        <w:rPr>
          <w:sz w:val="20"/>
          <w:lang w:val="en-GB"/>
        </w:rPr>
        <w:t xml:space="preserve"> surveyed</w:t>
      </w:r>
      <w:r w:rsidR="00515B10" w:rsidRPr="003F4EBD">
        <w:rPr>
          <w:sz w:val="20"/>
          <w:lang w:val="en-GB"/>
        </w:rPr>
        <w:t xml:space="preserve">; the share of new peach plantations was the lowest, while old </w:t>
      </w:r>
      <w:r w:rsidR="00B646BE" w:rsidRPr="003F4EBD">
        <w:rPr>
          <w:sz w:val="20"/>
          <w:lang w:val="en-GB"/>
        </w:rPr>
        <w:t xml:space="preserve">plantations prevailed. </w:t>
      </w:r>
      <w:r w:rsidR="00515B10" w:rsidRPr="003F4EBD">
        <w:rPr>
          <w:sz w:val="20"/>
          <w:lang w:val="en-GB"/>
        </w:rPr>
        <w:t xml:space="preserve">Growing of berries and nuts was only marginal </w:t>
      </w:r>
      <w:r w:rsidR="00234598" w:rsidRPr="003F4EBD">
        <w:rPr>
          <w:sz w:val="20"/>
          <w:lang w:val="en-GB"/>
        </w:rPr>
        <w:t>as well</w:t>
      </w:r>
      <w:r w:rsidR="00515B10" w:rsidRPr="003F4EBD">
        <w:rPr>
          <w:sz w:val="20"/>
          <w:lang w:val="en-GB"/>
        </w:rPr>
        <w:t xml:space="preserve">. On the contrary, </w:t>
      </w:r>
      <w:r w:rsidR="00EA0344" w:rsidRPr="003F4EBD">
        <w:rPr>
          <w:sz w:val="20"/>
          <w:lang w:val="en-GB"/>
        </w:rPr>
        <w:t xml:space="preserve">plum and pear </w:t>
      </w:r>
      <w:r w:rsidR="00B646BE" w:rsidRPr="003F4EBD">
        <w:rPr>
          <w:sz w:val="20"/>
          <w:lang w:val="en-GB"/>
        </w:rPr>
        <w:t xml:space="preserve">were found to be </w:t>
      </w:r>
      <w:r w:rsidR="00515B10" w:rsidRPr="003F4EBD">
        <w:rPr>
          <w:sz w:val="20"/>
          <w:lang w:val="en-GB"/>
        </w:rPr>
        <w:t xml:space="preserve">perspective species with a good age structure. Compared to 2012 survey, the </w:t>
      </w:r>
      <w:r w:rsidR="00385DD0" w:rsidRPr="003F4EBD">
        <w:rPr>
          <w:sz w:val="20"/>
          <w:lang w:val="en-GB"/>
        </w:rPr>
        <w:t xml:space="preserve">planting </w:t>
      </w:r>
      <w:r w:rsidR="00515B10" w:rsidRPr="003F4EBD">
        <w:rPr>
          <w:sz w:val="20"/>
          <w:lang w:val="en-GB"/>
        </w:rPr>
        <w:t xml:space="preserve">density of all surveyed species increased. The planting density over 1 000 trees per hectare was recorded for apple and pear orchards, while the </w:t>
      </w:r>
      <w:r w:rsidR="00062F62" w:rsidRPr="003F4EBD">
        <w:rPr>
          <w:sz w:val="20"/>
          <w:lang w:val="en-GB"/>
        </w:rPr>
        <w:t>other fruit species were planted at average density of about 500 trees per hectare.</w:t>
      </w:r>
    </w:p>
    <w:sectPr w:rsidR="00D44D95" w:rsidSect="006B074D">
      <w:footerReference w:type="even" r:id="rId8"/>
      <w:footerReference w:type="default" r:id="rId9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3" w:rsidRDefault="000314B3">
      <w:r>
        <w:separator/>
      </w:r>
    </w:p>
  </w:endnote>
  <w:endnote w:type="continuationSeparator" w:id="0">
    <w:p w:rsidR="000314B3" w:rsidRDefault="000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F" w:rsidRDefault="00086D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6D6F" w:rsidRDefault="00086D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F" w:rsidRDefault="00086D6F">
    <w:pPr>
      <w:pStyle w:val="Zpat"/>
      <w:framePr w:wrap="around" w:vAnchor="text" w:hAnchor="margin" w:xAlign="center" w:y="1"/>
      <w:rPr>
        <w:rStyle w:val="slostrnky"/>
      </w:rPr>
    </w:pPr>
  </w:p>
  <w:p w:rsidR="00086D6F" w:rsidRDefault="00086D6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3" w:rsidRDefault="000314B3">
      <w:r>
        <w:separator/>
      </w:r>
    </w:p>
  </w:footnote>
  <w:footnote w:type="continuationSeparator" w:id="0">
    <w:p w:rsidR="000314B3" w:rsidRDefault="0003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7EA"/>
    <w:rsid w:val="000030BC"/>
    <w:rsid w:val="000049F2"/>
    <w:rsid w:val="00010669"/>
    <w:rsid w:val="00012DD2"/>
    <w:rsid w:val="00016D52"/>
    <w:rsid w:val="000207E0"/>
    <w:rsid w:val="000314B3"/>
    <w:rsid w:val="00055E85"/>
    <w:rsid w:val="00056ED6"/>
    <w:rsid w:val="0006002A"/>
    <w:rsid w:val="00062E2D"/>
    <w:rsid w:val="00062F62"/>
    <w:rsid w:val="00077340"/>
    <w:rsid w:val="0008141A"/>
    <w:rsid w:val="00086D6F"/>
    <w:rsid w:val="00090158"/>
    <w:rsid w:val="000A3193"/>
    <w:rsid w:val="000A3A5F"/>
    <w:rsid w:val="000A60E8"/>
    <w:rsid w:val="000D15E1"/>
    <w:rsid w:val="000D3D68"/>
    <w:rsid w:val="000D53BB"/>
    <w:rsid w:val="000E10E5"/>
    <w:rsid w:val="000E6A97"/>
    <w:rsid w:val="000F0048"/>
    <w:rsid w:val="000F77BB"/>
    <w:rsid w:val="001025ED"/>
    <w:rsid w:val="00110761"/>
    <w:rsid w:val="00141CD4"/>
    <w:rsid w:val="001433DB"/>
    <w:rsid w:val="00154A6D"/>
    <w:rsid w:val="00160472"/>
    <w:rsid w:val="0017316E"/>
    <w:rsid w:val="0018234D"/>
    <w:rsid w:val="00182F27"/>
    <w:rsid w:val="00184569"/>
    <w:rsid w:val="001931C3"/>
    <w:rsid w:val="001A3CF6"/>
    <w:rsid w:val="001B0F33"/>
    <w:rsid w:val="001D3E9C"/>
    <w:rsid w:val="001F6197"/>
    <w:rsid w:val="002024C5"/>
    <w:rsid w:val="00214B09"/>
    <w:rsid w:val="0021513A"/>
    <w:rsid w:val="002310A0"/>
    <w:rsid w:val="00234598"/>
    <w:rsid w:val="00236658"/>
    <w:rsid w:val="00245845"/>
    <w:rsid w:val="0025390E"/>
    <w:rsid w:val="00260686"/>
    <w:rsid w:val="0026085D"/>
    <w:rsid w:val="0026546F"/>
    <w:rsid w:val="00283521"/>
    <w:rsid w:val="00283A57"/>
    <w:rsid w:val="002A1BE8"/>
    <w:rsid w:val="002A7FCA"/>
    <w:rsid w:val="002B445A"/>
    <w:rsid w:val="002C6F8A"/>
    <w:rsid w:val="002D2D3B"/>
    <w:rsid w:val="002F019C"/>
    <w:rsid w:val="002F1A03"/>
    <w:rsid w:val="00313627"/>
    <w:rsid w:val="00323A8F"/>
    <w:rsid w:val="00325EAD"/>
    <w:rsid w:val="00334939"/>
    <w:rsid w:val="00343509"/>
    <w:rsid w:val="00344D0E"/>
    <w:rsid w:val="00352007"/>
    <w:rsid w:val="00363032"/>
    <w:rsid w:val="003648CE"/>
    <w:rsid w:val="003830CD"/>
    <w:rsid w:val="00385DD0"/>
    <w:rsid w:val="00386CBA"/>
    <w:rsid w:val="003920CF"/>
    <w:rsid w:val="00393FCA"/>
    <w:rsid w:val="003A1471"/>
    <w:rsid w:val="003A3A9D"/>
    <w:rsid w:val="003A4D49"/>
    <w:rsid w:val="003A5641"/>
    <w:rsid w:val="003B0707"/>
    <w:rsid w:val="003C4189"/>
    <w:rsid w:val="003C4FE1"/>
    <w:rsid w:val="003C55B8"/>
    <w:rsid w:val="003C64D1"/>
    <w:rsid w:val="003E3957"/>
    <w:rsid w:val="003E7D77"/>
    <w:rsid w:val="003F0D81"/>
    <w:rsid w:val="003F4EBD"/>
    <w:rsid w:val="003F6319"/>
    <w:rsid w:val="00413321"/>
    <w:rsid w:val="0041675A"/>
    <w:rsid w:val="004259F6"/>
    <w:rsid w:val="00435C49"/>
    <w:rsid w:val="00437BCB"/>
    <w:rsid w:val="00440F87"/>
    <w:rsid w:val="004510A0"/>
    <w:rsid w:val="004673B7"/>
    <w:rsid w:val="00470DB7"/>
    <w:rsid w:val="004A2FDF"/>
    <w:rsid w:val="004C3C39"/>
    <w:rsid w:val="004C43D9"/>
    <w:rsid w:val="004D5C56"/>
    <w:rsid w:val="004F5E65"/>
    <w:rsid w:val="004F6AAA"/>
    <w:rsid w:val="00500154"/>
    <w:rsid w:val="00515B10"/>
    <w:rsid w:val="00524291"/>
    <w:rsid w:val="00527F97"/>
    <w:rsid w:val="005407E2"/>
    <w:rsid w:val="00542B1B"/>
    <w:rsid w:val="005451BF"/>
    <w:rsid w:val="0056159F"/>
    <w:rsid w:val="00565BA2"/>
    <w:rsid w:val="005811CD"/>
    <w:rsid w:val="005815AD"/>
    <w:rsid w:val="00585632"/>
    <w:rsid w:val="00596227"/>
    <w:rsid w:val="005B1315"/>
    <w:rsid w:val="005B1C8D"/>
    <w:rsid w:val="005B3DB7"/>
    <w:rsid w:val="005E1AD5"/>
    <w:rsid w:val="005E76EE"/>
    <w:rsid w:val="006000DE"/>
    <w:rsid w:val="00607D2B"/>
    <w:rsid w:val="00617A8B"/>
    <w:rsid w:val="00617DD8"/>
    <w:rsid w:val="006253A4"/>
    <w:rsid w:val="006257B4"/>
    <w:rsid w:val="0063398C"/>
    <w:rsid w:val="00634E3D"/>
    <w:rsid w:val="006353B7"/>
    <w:rsid w:val="0063572B"/>
    <w:rsid w:val="00637845"/>
    <w:rsid w:val="006401F1"/>
    <w:rsid w:val="00645AED"/>
    <w:rsid w:val="00645F29"/>
    <w:rsid w:val="00646D68"/>
    <w:rsid w:val="00655390"/>
    <w:rsid w:val="00662DCD"/>
    <w:rsid w:val="006673F2"/>
    <w:rsid w:val="006B074D"/>
    <w:rsid w:val="006B20D7"/>
    <w:rsid w:val="006B2DD0"/>
    <w:rsid w:val="006D073A"/>
    <w:rsid w:val="006D1986"/>
    <w:rsid w:val="006D26B4"/>
    <w:rsid w:val="006D32CA"/>
    <w:rsid w:val="006F3E2A"/>
    <w:rsid w:val="006F4CC0"/>
    <w:rsid w:val="006F5A1A"/>
    <w:rsid w:val="006F78FE"/>
    <w:rsid w:val="00701643"/>
    <w:rsid w:val="00705F39"/>
    <w:rsid w:val="00712620"/>
    <w:rsid w:val="00714349"/>
    <w:rsid w:val="00723A64"/>
    <w:rsid w:val="00724856"/>
    <w:rsid w:val="007330B8"/>
    <w:rsid w:val="0073682F"/>
    <w:rsid w:val="00747A30"/>
    <w:rsid w:val="00751F6A"/>
    <w:rsid w:val="00755E64"/>
    <w:rsid w:val="00756EB9"/>
    <w:rsid w:val="00757C21"/>
    <w:rsid w:val="007613A6"/>
    <w:rsid w:val="007664CE"/>
    <w:rsid w:val="007669A7"/>
    <w:rsid w:val="00770533"/>
    <w:rsid w:val="00783C7C"/>
    <w:rsid w:val="007864C1"/>
    <w:rsid w:val="00786F53"/>
    <w:rsid w:val="00791098"/>
    <w:rsid w:val="00791498"/>
    <w:rsid w:val="007936BA"/>
    <w:rsid w:val="0079469C"/>
    <w:rsid w:val="007A76D1"/>
    <w:rsid w:val="007B4B40"/>
    <w:rsid w:val="007B6AED"/>
    <w:rsid w:val="007B7CD1"/>
    <w:rsid w:val="007C0D96"/>
    <w:rsid w:val="007C70E4"/>
    <w:rsid w:val="007D60DD"/>
    <w:rsid w:val="007F39DF"/>
    <w:rsid w:val="00806D78"/>
    <w:rsid w:val="00810C40"/>
    <w:rsid w:val="00811528"/>
    <w:rsid w:val="008172D1"/>
    <w:rsid w:val="00820D78"/>
    <w:rsid w:val="00820D8C"/>
    <w:rsid w:val="008234C4"/>
    <w:rsid w:val="008479CB"/>
    <w:rsid w:val="00855850"/>
    <w:rsid w:val="00855CE1"/>
    <w:rsid w:val="0085750B"/>
    <w:rsid w:val="0086417D"/>
    <w:rsid w:val="00865C9C"/>
    <w:rsid w:val="00873B56"/>
    <w:rsid w:val="00874A74"/>
    <w:rsid w:val="00875D45"/>
    <w:rsid w:val="008777F6"/>
    <w:rsid w:val="008904F8"/>
    <w:rsid w:val="00892BFA"/>
    <w:rsid w:val="008A1D1E"/>
    <w:rsid w:val="008A210C"/>
    <w:rsid w:val="008A3068"/>
    <w:rsid w:val="008A3578"/>
    <w:rsid w:val="008B317C"/>
    <w:rsid w:val="008B65F0"/>
    <w:rsid w:val="008C356C"/>
    <w:rsid w:val="008C6496"/>
    <w:rsid w:val="008D41B2"/>
    <w:rsid w:val="008D7322"/>
    <w:rsid w:val="008E0BA6"/>
    <w:rsid w:val="008F1109"/>
    <w:rsid w:val="008F38C3"/>
    <w:rsid w:val="008F41AB"/>
    <w:rsid w:val="008F4F6B"/>
    <w:rsid w:val="008F7EC7"/>
    <w:rsid w:val="00902632"/>
    <w:rsid w:val="00903131"/>
    <w:rsid w:val="00905294"/>
    <w:rsid w:val="009144F7"/>
    <w:rsid w:val="00926462"/>
    <w:rsid w:val="009267AE"/>
    <w:rsid w:val="00927796"/>
    <w:rsid w:val="00927C9A"/>
    <w:rsid w:val="00930939"/>
    <w:rsid w:val="0093173C"/>
    <w:rsid w:val="00945298"/>
    <w:rsid w:val="009472BF"/>
    <w:rsid w:val="00953F76"/>
    <w:rsid w:val="00971B79"/>
    <w:rsid w:val="009743B3"/>
    <w:rsid w:val="009775D6"/>
    <w:rsid w:val="00984360"/>
    <w:rsid w:val="009845FC"/>
    <w:rsid w:val="0098693E"/>
    <w:rsid w:val="00987ABF"/>
    <w:rsid w:val="00991A54"/>
    <w:rsid w:val="00993E50"/>
    <w:rsid w:val="009A64DB"/>
    <w:rsid w:val="009C2C6F"/>
    <w:rsid w:val="009E2CFA"/>
    <w:rsid w:val="009E44BF"/>
    <w:rsid w:val="009E73B3"/>
    <w:rsid w:val="00A02931"/>
    <w:rsid w:val="00A04F34"/>
    <w:rsid w:val="00A10874"/>
    <w:rsid w:val="00A16177"/>
    <w:rsid w:val="00A35854"/>
    <w:rsid w:val="00A4659F"/>
    <w:rsid w:val="00A54FC8"/>
    <w:rsid w:val="00A5532D"/>
    <w:rsid w:val="00A55ACF"/>
    <w:rsid w:val="00A60452"/>
    <w:rsid w:val="00A701B3"/>
    <w:rsid w:val="00A76EA0"/>
    <w:rsid w:val="00A80E4D"/>
    <w:rsid w:val="00A83E27"/>
    <w:rsid w:val="00AB2583"/>
    <w:rsid w:val="00AB7006"/>
    <w:rsid w:val="00AC33A0"/>
    <w:rsid w:val="00AC43D5"/>
    <w:rsid w:val="00AC4EB8"/>
    <w:rsid w:val="00AD43C1"/>
    <w:rsid w:val="00AD6DE8"/>
    <w:rsid w:val="00AE73F9"/>
    <w:rsid w:val="00AF0A04"/>
    <w:rsid w:val="00AF5421"/>
    <w:rsid w:val="00B021FE"/>
    <w:rsid w:val="00B11091"/>
    <w:rsid w:val="00B3078F"/>
    <w:rsid w:val="00B32C90"/>
    <w:rsid w:val="00B363F6"/>
    <w:rsid w:val="00B4684D"/>
    <w:rsid w:val="00B47D2C"/>
    <w:rsid w:val="00B51790"/>
    <w:rsid w:val="00B646BE"/>
    <w:rsid w:val="00B674A0"/>
    <w:rsid w:val="00B72B57"/>
    <w:rsid w:val="00B766CF"/>
    <w:rsid w:val="00B90421"/>
    <w:rsid w:val="00B95BF9"/>
    <w:rsid w:val="00B9675C"/>
    <w:rsid w:val="00BA26C5"/>
    <w:rsid w:val="00BA7C6C"/>
    <w:rsid w:val="00BB3F90"/>
    <w:rsid w:val="00BC0509"/>
    <w:rsid w:val="00BC7796"/>
    <w:rsid w:val="00BE59FE"/>
    <w:rsid w:val="00C13B1C"/>
    <w:rsid w:val="00C15A05"/>
    <w:rsid w:val="00C17D7E"/>
    <w:rsid w:val="00C247CE"/>
    <w:rsid w:val="00C317F6"/>
    <w:rsid w:val="00C3243A"/>
    <w:rsid w:val="00C43B99"/>
    <w:rsid w:val="00C6019C"/>
    <w:rsid w:val="00C623B3"/>
    <w:rsid w:val="00C62E41"/>
    <w:rsid w:val="00C92A0B"/>
    <w:rsid w:val="00CB119D"/>
    <w:rsid w:val="00CB235F"/>
    <w:rsid w:val="00CB31E1"/>
    <w:rsid w:val="00CB39D2"/>
    <w:rsid w:val="00CB6F79"/>
    <w:rsid w:val="00CC6F88"/>
    <w:rsid w:val="00CD453E"/>
    <w:rsid w:val="00CD479A"/>
    <w:rsid w:val="00CD6EB4"/>
    <w:rsid w:val="00CE4508"/>
    <w:rsid w:val="00CE7C89"/>
    <w:rsid w:val="00D07AD5"/>
    <w:rsid w:val="00D112DA"/>
    <w:rsid w:val="00D11475"/>
    <w:rsid w:val="00D153A8"/>
    <w:rsid w:val="00D1642F"/>
    <w:rsid w:val="00D165AA"/>
    <w:rsid w:val="00D16888"/>
    <w:rsid w:val="00D22CDA"/>
    <w:rsid w:val="00D34B2E"/>
    <w:rsid w:val="00D44D95"/>
    <w:rsid w:val="00D4707E"/>
    <w:rsid w:val="00D62286"/>
    <w:rsid w:val="00D81B61"/>
    <w:rsid w:val="00D87110"/>
    <w:rsid w:val="00D93DFA"/>
    <w:rsid w:val="00DC42DB"/>
    <w:rsid w:val="00DD3F35"/>
    <w:rsid w:val="00DE0B9D"/>
    <w:rsid w:val="00DE15F8"/>
    <w:rsid w:val="00DE421F"/>
    <w:rsid w:val="00DE4B84"/>
    <w:rsid w:val="00DE4C80"/>
    <w:rsid w:val="00DE526F"/>
    <w:rsid w:val="00DF660A"/>
    <w:rsid w:val="00DF7176"/>
    <w:rsid w:val="00E10CBE"/>
    <w:rsid w:val="00E34461"/>
    <w:rsid w:val="00E37C3C"/>
    <w:rsid w:val="00E451AE"/>
    <w:rsid w:val="00E507EA"/>
    <w:rsid w:val="00E547C2"/>
    <w:rsid w:val="00E60E41"/>
    <w:rsid w:val="00E67040"/>
    <w:rsid w:val="00E75383"/>
    <w:rsid w:val="00E761CE"/>
    <w:rsid w:val="00E846F4"/>
    <w:rsid w:val="00E8787D"/>
    <w:rsid w:val="00E94308"/>
    <w:rsid w:val="00EA0344"/>
    <w:rsid w:val="00EA1439"/>
    <w:rsid w:val="00EA3715"/>
    <w:rsid w:val="00EB01BA"/>
    <w:rsid w:val="00EB55EC"/>
    <w:rsid w:val="00ED52C2"/>
    <w:rsid w:val="00EE40D6"/>
    <w:rsid w:val="00EF6B93"/>
    <w:rsid w:val="00F05A5E"/>
    <w:rsid w:val="00F06CDE"/>
    <w:rsid w:val="00F07AD3"/>
    <w:rsid w:val="00F1204C"/>
    <w:rsid w:val="00F24952"/>
    <w:rsid w:val="00F25259"/>
    <w:rsid w:val="00F5582A"/>
    <w:rsid w:val="00F63045"/>
    <w:rsid w:val="00F64FA3"/>
    <w:rsid w:val="00F66796"/>
    <w:rsid w:val="00F74FD0"/>
    <w:rsid w:val="00F81456"/>
    <w:rsid w:val="00F8327B"/>
    <w:rsid w:val="00FB1C75"/>
    <w:rsid w:val="00FC11FF"/>
    <w:rsid w:val="00FC2642"/>
    <w:rsid w:val="00FD4860"/>
    <w:rsid w:val="00FE3804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pacing w:line="360" w:lineRule="auto"/>
      <w:ind w:firstLine="709"/>
    </w:pPr>
    <w:rPr>
      <w:rFonts w:cs="Arial"/>
      <w:sz w:val="24"/>
    </w:rPr>
  </w:style>
  <w:style w:type="paragraph" w:styleId="Zkladntext">
    <w:name w:val="Body Text"/>
    <w:basedOn w:val="Normln"/>
    <w:semiHidden/>
  </w:style>
  <w:style w:type="paragraph" w:styleId="Zkladntext2">
    <w:name w:val="Body Text 2"/>
    <w:basedOn w:val="Normln"/>
    <w:semiHidden/>
    <w:pPr>
      <w:jc w:val="left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679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66796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CD4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AE7F-AD1B-4B79-8F25-8899A3D4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system service</dc:creator>
  <cp:lastModifiedBy>Dagmar Lhotská</cp:lastModifiedBy>
  <cp:revision>4</cp:revision>
  <cp:lastPrinted>2018-01-09T07:39:00Z</cp:lastPrinted>
  <dcterms:created xsi:type="dcterms:W3CDTF">2018-01-09T08:44:00Z</dcterms:created>
  <dcterms:modified xsi:type="dcterms:W3CDTF">2018-01-09T09:03:00Z</dcterms:modified>
</cp:coreProperties>
</file>