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A" w:rsidRDefault="00C35BEA" w:rsidP="00C35BEA">
      <w:pPr>
        <w:pStyle w:val="Nadpis2"/>
      </w:pPr>
      <w:bookmarkStart w:id="0" w:name="_Toc485639761"/>
      <w:bookmarkStart w:id="1" w:name="_Toc490472744"/>
      <w:bookmarkStart w:id="2" w:name="_Ref496600794"/>
      <w:bookmarkStart w:id="3" w:name="_Ref501092058"/>
      <w:bookmarkStart w:id="4" w:name="_Ref501092986"/>
      <w:bookmarkStart w:id="5" w:name="_Ref501092989"/>
      <w:bookmarkStart w:id="6" w:name="_Ref501093168"/>
      <w:bookmarkStart w:id="7" w:name="_Ref501099230"/>
      <w:bookmarkStart w:id="8" w:name="_Ref501099948"/>
      <w:bookmarkStart w:id="9" w:name="_Toc501695638"/>
      <w:r>
        <w:t>Kapitola 4: Omezení a překážky ve vzdělávání zaměstnanců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35BEA" w:rsidRDefault="00C35BEA" w:rsidP="00C35BEA">
      <w:pPr>
        <w:spacing w:after="0"/>
        <w:contextualSpacing/>
        <w:jc w:val="both"/>
        <w:rPr>
          <w:b/>
          <w:u w:val="single"/>
        </w:rPr>
      </w:pPr>
    </w:p>
    <w:p w:rsidR="00C35BEA" w:rsidRDefault="00C35BEA" w:rsidP="00C35BEA">
      <w:pPr>
        <w:spacing w:after="0"/>
        <w:contextualSpacing/>
        <w:jc w:val="both"/>
      </w:pPr>
      <w:r>
        <w:t>V návaznosti na předchozí části textu, zejména těch o účasti zaměstnanců firem v různých formách vzdělávání, se tato kapitola věnuje naopak omezením a překážkám, které firmám v poskytování (více) vzdělávání zabraňují. V případech, kdy se pracovníci organizovaně nevzdělávají, protože to nepotřebují, je vše v pořádku. Problém nastává, když by se dále vzdělávat potřebovali a firma jim to neumožňuje, tyto potřeby si neuvědomuje nebo si to nemůže z finančních důvodů dovolit. Diskrepance mezi potřebami a realitou může v případě vyšší míry nebo při déletrvajícím stavu snadno vyústit až do podoby problémů, ke kterým se již firmy obrátit zády nemohou (např. problémy s nekvalitním plněním zakázek, odchody klíčových zaměstnanců firmy apod.). Proto je nutné případným problémům předcházet, k čemuž reflexe neposkytování dalšího vzdělávání zaměstnanců může pomoci.</w:t>
      </w:r>
    </w:p>
    <w:p w:rsidR="00C35BEA" w:rsidRDefault="00C35BEA" w:rsidP="00C35BEA">
      <w:pPr>
        <w:spacing w:after="0"/>
        <w:contextualSpacing/>
        <w:jc w:val="both"/>
        <w:rPr>
          <w:b/>
          <w:u w:val="single"/>
        </w:rPr>
      </w:pPr>
    </w:p>
    <w:p w:rsidR="00C35BEA" w:rsidRDefault="00C35BEA" w:rsidP="00C35BEA">
      <w:pPr>
        <w:pStyle w:val="Nadpis3"/>
      </w:pPr>
      <w:bookmarkStart w:id="10" w:name="_Toc485639762"/>
      <w:bookmarkStart w:id="11" w:name="_Toc490472745"/>
      <w:bookmarkStart w:id="12" w:name="_Toc501695639"/>
      <w:r>
        <w:t>Hlavní</w:t>
      </w:r>
      <w:r w:rsidRPr="006C6ACF">
        <w:t xml:space="preserve"> zjištění</w:t>
      </w:r>
      <w:bookmarkEnd w:id="10"/>
      <w:bookmarkEnd w:id="11"/>
      <w:bookmarkEnd w:id="12"/>
    </w:p>
    <w:p w:rsidR="00C35BEA" w:rsidRPr="0077709B" w:rsidRDefault="00C35BEA" w:rsidP="00C35BEA">
      <w:pPr>
        <w:pStyle w:val="Odstavecseseznamem"/>
        <w:numPr>
          <w:ilvl w:val="0"/>
          <w:numId w:val="25"/>
        </w:numPr>
        <w:spacing w:after="0"/>
        <w:jc w:val="both"/>
        <w:rPr>
          <w:rFonts w:cs="Arial"/>
          <w:u w:val="single"/>
        </w:rPr>
      </w:pPr>
      <w:r w:rsidRPr="0077709B">
        <w:rPr>
          <w:rFonts w:cs="Arial"/>
        </w:rPr>
        <w:t xml:space="preserve">Téměř 60 % firem </w:t>
      </w:r>
      <w:r>
        <w:rPr>
          <w:rFonts w:cs="Arial"/>
        </w:rPr>
        <w:t>neposkytuje více vzdělávání zaměstnanců, protože se domnívá, že stávající kvalifikace či účast na vzdělávání jsou pro potřeby podniku dostatečné.</w:t>
      </w:r>
    </w:p>
    <w:p w:rsidR="00C35BEA" w:rsidRPr="00986430" w:rsidRDefault="00C35BEA" w:rsidP="00C35BEA">
      <w:pPr>
        <w:pStyle w:val="Odstavecseseznamem"/>
        <w:numPr>
          <w:ilvl w:val="0"/>
          <w:numId w:val="17"/>
        </w:numPr>
        <w:spacing w:after="0"/>
        <w:jc w:val="both"/>
        <w:rPr>
          <w:rFonts w:cs="Arial"/>
          <w:u w:val="single"/>
        </w:rPr>
      </w:pPr>
      <w:r w:rsidRPr="00EA2E58">
        <w:rPr>
          <w:rFonts w:cs="Arial"/>
        </w:rPr>
        <w:t>Nejčastějším omezením</w:t>
      </w:r>
      <w:r>
        <w:rPr>
          <w:rFonts w:cs="Arial"/>
        </w:rPr>
        <w:t xml:space="preserve"> v poskytování více vzdělávání mezi firmami, které nějaké vzdělávání zaměstnancům poskytovaly,</w:t>
      </w:r>
      <w:r w:rsidRPr="00EA2E58">
        <w:rPr>
          <w:rFonts w:cs="Arial"/>
        </w:rPr>
        <w:t xml:space="preserve"> byl</w:t>
      </w:r>
      <w:r>
        <w:rPr>
          <w:rFonts w:cs="Arial"/>
        </w:rPr>
        <w:t>o</w:t>
      </w:r>
      <w:r w:rsidRPr="00EA2E58">
        <w:rPr>
          <w:rFonts w:cs="Arial"/>
        </w:rPr>
        <w:t xml:space="preserve"> vysoké časové a pracovní vytížení zaměstnanců</w:t>
      </w:r>
      <w:r>
        <w:rPr>
          <w:rFonts w:cs="Arial"/>
        </w:rPr>
        <w:t xml:space="preserve"> (uvedlo 16 </w:t>
      </w:r>
      <w:r>
        <w:rPr>
          <w:rFonts w:cs="Arial"/>
          <w:lang w:val="en-US"/>
        </w:rPr>
        <w:t>% </w:t>
      </w:r>
      <w:r>
        <w:rPr>
          <w:rFonts w:cs="Arial"/>
        </w:rPr>
        <w:t>firem zajišťujících vzdělávání)</w:t>
      </w:r>
      <w:r w:rsidRPr="00EA2E58">
        <w:rPr>
          <w:rFonts w:cs="Arial"/>
        </w:rPr>
        <w:t xml:space="preserve">. </w:t>
      </w:r>
    </w:p>
    <w:p w:rsidR="00C35BEA" w:rsidRPr="00986430" w:rsidRDefault="00C35BEA" w:rsidP="00C35BEA">
      <w:pPr>
        <w:pStyle w:val="Odstavecseseznamem"/>
        <w:numPr>
          <w:ilvl w:val="0"/>
          <w:numId w:val="17"/>
        </w:numPr>
        <w:spacing w:after="0"/>
        <w:jc w:val="both"/>
        <w:rPr>
          <w:rFonts w:cs="Arial"/>
          <w:u w:val="single"/>
        </w:rPr>
      </w:pPr>
      <w:r w:rsidRPr="00EA2E58">
        <w:rPr>
          <w:rFonts w:cs="Arial"/>
        </w:rPr>
        <w:t xml:space="preserve">Nejvíce </w:t>
      </w:r>
      <w:r>
        <w:rPr>
          <w:rFonts w:cs="Arial"/>
        </w:rPr>
        <w:t>zastoupeným důvodem pro neposkytnutí vzdělávání</w:t>
      </w:r>
      <w:r w:rsidRPr="00EA2E58">
        <w:rPr>
          <w:rFonts w:cs="Arial"/>
        </w:rPr>
        <w:t xml:space="preserve"> zaměstnanců</w:t>
      </w:r>
      <w:r>
        <w:rPr>
          <w:rFonts w:cs="Arial"/>
        </w:rPr>
        <w:t>m</w:t>
      </w:r>
      <w:r w:rsidRPr="00EA2E58">
        <w:rPr>
          <w:rFonts w:cs="Arial"/>
        </w:rPr>
        <w:t xml:space="preserve"> </w:t>
      </w:r>
      <w:r>
        <w:rPr>
          <w:rFonts w:cs="Arial"/>
        </w:rPr>
        <w:t>mezi firmami, které žádné vzdělávání zaměstnancům ve sledovaném období neposkytly,</w:t>
      </w:r>
      <w:r w:rsidRPr="00EA2E58">
        <w:rPr>
          <w:rFonts w:cs="Arial"/>
        </w:rPr>
        <w:t xml:space="preserve"> byl</w:t>
      </w:r>
      <w:r>
        <w:rPr>
          <w:rFonts w:cs="Arial"/>
        </w:rPr>
        <w:t>o přesvědčení</w:t>
      </w:r>
      <w:r w:rsidRPr="00EA2E58">
        <w:rPr>
          <w:rFonts w:cs="Arial"/>
        </w:rPr>
        <w:t xml:space="preserve">, že stávající </w:t>
      </w:r>
      <w:r>
        <w:rPr>
          <w:rFonts w:cs="Arial"/>
        </w:rPr>
        <w:t xml:space="preserve">znalosti a </w:t>
      </w:r>
      <w:r w:rsidRPr="00EA2E58">
        <w:rPr>
          <w:rFonts w:cs="Arial"/>
        </w:rPr>
        <w:t xml:space="preserve">dovednosti </w:t>
      </w:r>
      <w:r>
        <w:rPr>
          <w:rFonts w:cs="Arial"/>
        </w:rPr>
        <w:t xml:space="preserve">zaměstnanců </w:t>
      </w:r>
      <w:r w:rsidRPr="00EA2E58">
        <w:rPr>
          <w:rFonts w:cs="Arial"/>
        </w:rPr>
        <w:t>odpovídaly potřebám firmy (69 %</w:t>
      </w:r>
      <w:r>
        <w:rPr>
          <w:rFonts w:cs="Arial"/>
        </w:rPr>
        <w:t xml:space="preserve"> firem neposkytujících vzdělávání</w:t>
      </w:r>
      <w:r w:rsidRPr="00EA2E58">
        <w:rPr>
          <w:rFonts w:cs="Arial"/>
        </w:rPr>
        <w:t>).</w:t>
      </w:r>
    </w:p>
    <w:p w:rsidR="00C35BEA" w:rsidRDefault="00C35BEA" w:rsidP="00C35BEA">
      <w:pPr>
        <w:pStyle w:val="Odstavecseseznamem"/>
        <w:numPr>
          <w:ilvl w:val="0"/>
          <w:numId w:val="17"/>
        </w:numPr>
        <w:spacing w:after="0"/>
        <w:jc w:val="both"/>
        <w:rPr>
          <w:rFonts w:cs="Arial"/>
        </w:rPr>
      </w:pPr>
      <w:r w:rsidRPr="00AB2EEA">
        <w:rPr>
          <w:rFonts w:cs="Arial"/>
        </w:rPr>
        <w:t>Nejméně častým omezením (2 % v případě firem poskytujících</w:t>
      </w:r>
      <w:r>
        <w:rPr>
          <w:rFonts w:cs="Arial"/>
        </w:rPr>
        <w:t xml:space="preserve"> vzdělávání) i překážkou (0,4 %</w:t>
      </w:r>
      <w:r w:rsidRPr="00AB2EEA">
        <w:rPr>
          <w:rFonts w:cs="Arial"/>
        </w:rPr>
        <w:t xml:space="preserve"> v případě firem neposkytujících vzdělávání) jsou obtíže s identifikací vzdělávacích potřeb.</w:t>
      </w:r>
    </w:p>
    <w:p w:rsidR="00C35BEA" w:rsidRPr="00AB2EEA" w:rsidRDefault="00C35BEA" w:rsidP="00C35BEA">
      <w:pPr>
        <w:pStyle w:val="Odstavecseseznamem"/>
        <w:spacing w:after="0"/>
        <w:jc w:val="both"/>
        <w:rPr>
          <w:rFonts w:cs="Arial"/>
        </w:rPr>
      </w:pPr>
    </w:p>
    <w:p w:rsidR="00C35BEA" w:rsidRPr="00192B0F" w:rsidRDefault="00C35BEA" w:rsidP="00C35BEA">
      <w:pPr>
        <w:pStyle w:val="Nadpis4"/>
        <w:spacing w:after="120"/>
      </w:pPr>
      <w:bookmarkStart w:id="13" w:name="_Toc490472747"/>
      <w:bookmarkStart w:id="14" w:name="_Toc501695640"/>
      <w:r>
        <w:t>Důvody pro neposkytování (více) vzdělávání zaměstnancům</w:t>
      </w:r>
      <w:bookmarkEnd w:id="13"/>
      <w:bookmarkEnd w:id="14"/>
    </w:p>
    <w:p w:rsidR="00C35BEA" w:rsidRDefault="00C35BEA" w:rsidP="00C35BEA">
      <w:pPr>
        <w:spacing w:after="0"/>
        <w:contextualSpacing/>
        <w:jc w:val="both"/>
      </w:pPr>
      <w:r>
        <w:t xml:space="preserve">Více než 58 % firem jako důvod pro neposkytování více vzdělávání zaměstnancům uvedlo, že stávající kvalifikace či zapojení zaměstnanců do vzdělávání odpovídalo potřebám podniku. Mezi odvětvími největší souhlas s odpovídající kvalifikací zaměstnanců či již dostatečné účasti na vzdělávání deklarovaly firmy ze sekce Doprava a skladování (sekce H; 66 %) a dále firmy zabývající se výrobou a rozvody energií (sekce </w:t>
      </w:r>
      <w:proofErr w:type="gramStart"/>
      <w:r>
        <w:t>DE</w:t>
      </w:r>
      <w:proofErr w:type="gramEnd"/>
      <w:r>
        <w:t>; 63 %). V prvním případě jde o firmy, které zajišťovaly zejména povinné kurzy a zbylé formy vzdělávání spíše omezeně</w:t>
      </w:r>
      <w:r>
        <w:rPr>
          <w:rStyle w:val="Znakapoznpodarou"/>
          <w:rFonts w:eastAsia="MS Gothic"/>
        </w:rPr>
        <w:footnoteReference w:id="1"/>
      </w:r>
      <w:r>
        <w:t>, tudíž je možné usuzovat, že zaměstnanci jiná vzdělávání, než ta, která ze zákona museli absolvovat, nepotřebovali (nebo si to firma neuvědomovala). V druhém případě, u firem z energetického odvětví, si zaměstnanci rovněž z velké části vystačili s povinným vzděláváním, nicméně u třetiny firem doplněným o nepovinné kurzy a zároveň o jiné formy vzdělávání. Jak již z výše uvedených poznatků vyplývá, firmy z odvětví Ubytování, stravování a pohostinství (sekce I) obecně jiné vzdělávání než povinné příliš neposkytují (a toho méně než čtyři pětiny). 48 % firem z tohoto odvětví se spokojí se stávajícím zapojením do vzdělávání popř. se stávající kvalifikací zaměstnanců.</w:t>
      </w:r>
    </w:p>
    <w:p w:rsidR="00C35BEA" w:rsidRDefault="00C35BEA" w:rsidP="00C35BEA">
      <w:pPr>
        <w:spacing w:after="0"/>
        <w:contextualSpacing/>
        <w:jc w:val="both"/>
      </w:pPr>
    </w:p>
    <w:p w:rsidR="00C35BEA" w:rsidRDefault="00C35BEA" w:rsidP="00C35BEA">
      <w:pPr>
        <w:spacing w:after="0"/>
        <w:contextualSpacing/>
        <w:jc w:val="both"/>
      </w:pPr>
      <w:r>
        <w:t>Nejčastějšími faktory, které vedou k omezení vzdělávání ve firmě nebo jsou důvodem pro jeho neposkytování, jsou v 15 % firem vysoké pracovní a časové vytížení zaměstnanců a upřednostňování náboru nových pracovníků před vzděláváním stávajících (12 %). Tento důvod pro neposkytování více vzdělávání uvádí každá pátá firma z odvětví Ubytování, stravování a pohostinství (sekce I). Naopak potíže s identifikací vzdělávacích potřeb svých zaměstnanců neudávají téměř žádné firmy (1 %) bez ohledu na odvětví.</w:t>
      </w:r>
    </w:p>
    <w:p w:rsidR="00C35BEA" w:rsidRDefault="00C35BEA" w:rsidP="00C35BEA">
      <w:pPr>
        <w:spacing w:after="0"/>
        <w:contextualSpacing/>
        <w:jc w:val="both"/>
      </w:pPr>
    </w:p>
    <w:p w:rsidR="00C35BEA" w:rsidRDefault="00C35BEA" w:rsidP="00C35BEA">
      <w:pPr>
        <w:pStyle w:val="Titulek"/>
        <w:keepNext/>
        <w:jc w:val="both"/>
      </w:pPr>
      <w:bookmarkStart w:id="15" w:name="_Toc501615613"/>
      <w:r>
        <w:lastRenderedPageBreak/>
        <w:t xml:space="preserve">Graf č. </w:t>
      </w:r>
      <w:r>
        <w:fldChar w:fldCharType="begin"/>
      </w:r>
      <w:r>
        <w:instrText xml:space="preserve"> SEQ Graf_č. \* ARABIC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>
        <w:t>: Podíl firem podle důvodů pro neposkytování vzdělávání zaměstnanců, nebo poskytování vzdělávání zaměstnanců v omezené míře, 2015</w:t>
      </w:r>
      <w:bookmarkEnd w:id="15"/>
    </w:p>
    <w:p w:rsidR="00C35BEA" w:rsidRDefault="00C35BEA" w:rsidP="00C35BEA">
      <w:pPr>
        <w:spacing w:after="0"/>
        <w:contextualSpacing/>
        <w:jc w:val="both"/>
        <w:rPr>
          <w:u w:val="single"/>
        </w:rPr>
      </w:pPr>
      <w:r>
        <w:rPr>
          <w:noProof/>
        </w:rPr>
        <w:drawing>
          <wp:inline distT="0" distB="0" distL="0" distR="0" wp14:anchorId="0E505B7E" wp14:editId="3BD2A214">
            <wp:extent cx="5769553" cy="3670156"/>
            <wp:effectExtent l="0" t="0" r="3175" b="6985"/>
            <wp:docPr id="97" name="Graf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5BEA" w:rsidRDefault="00C35BEA" w:rsidP="00C35BEA">
      <w:pPr>
        <w:spacing w:after="0"/>
        <w:contextualSpacing/>
        <w:jc w:val="both"/>
        <w:rPr>
          <w:u w:val="single"/>
        </w:rPr>
      </w:pPr>
    </w:p>
    <w:p w:rsidR="00C35BEA" w:rsidRPr="00EA2E58" w:rsidRDefault="00C35BEA" w:rsidP="00C35BEA">
      <w:pPr>
        <w:spacing w:after="0"/>
        <w:contextualSpacing/>
        <w:rPr>
          <w:sz w:val="18"/>
        </w:rPr>
      </w:pPr>
      <w:r>
        <w:rPr>
          <w:sz w:val="18"/>
        </w:rPr>
        <w:t>Z</w:t>
      </w:r>
      <w:r w:rsidRPr="00EA2E58">
        <w:rPr>
          <w:sz w:val="18"/>
        </w:rPr>
        <w:t>droj: šetření CVTS, ČSÚ 2017</w:t>
      </w:r>
    </w:p>
    <w:p w:rsidR="00C35BEA" w:rsidRDefault="00C35BEA" w:rsidP="00C35BEA">
      <w:pPr>
        <w:spacing w:after="0"/>
        <w:rPr>
          <w:sz w:val="18"/>
        </w:rPr>
      </w:pPr>
      <w:r>
        <w:rPr>
          <w:sz w:val="18"/>
        </w:rPr>
        <w:t>Pozn.:</w:t>
      </w:r>
      <w:r w:rsidRPr="005B027D">
        <w:rPr>
          <w:sz w:val="18"/>
        </w:rPr>
        <w:t xml:space="preserve"> firmy mohly označit více odpovědí</w:t>
      </w:r>
    </w:p>
    <w:p w:rsidR="00C35BEA" w:rsidRPr="005B027D" w:rsidRDefault="00C35BEA" w:rsidP="00C35BEA">
      <w:pPr>
        <w:spacing w:after="0"/>
        <w:rPr>
          <w:sz w:val="18"/>
        </w:rPr>
      </w:pPr>
      <w:r>
        <w:rPr>
          <w:sz w:val="18"/>
        </w:rPr>
        <w:t>* Podporou POV (=počáteční odborné vzdělání) je zde myšleno poskytování praktické výchovy žákům/studentům formálního vzdělávání směřujícího k získání výučního listu či maturitní zkoušky (příp. vzdělávání na konzervatořích), kteří jsou v podnicích na praxi.</w:t>
      </w:r>
    </w:p>
    <w:p w:rsidR="00C35BEA" w:rsidRDefault="00C35BEA" w:rsidP="00C35BEA">
      <w:pPr>
        <w:spacing w:after="0"/>
        <w:contextualSpacing/>
        <w:jc w:val="both"/>
        <w:rPr>
          <w:u w:val="single"/>
        </w:rPr>
      </w:pPr>
    </w:p>
    <w:p w:rsidR="00C35BEA" w:rsidRDefault="00C35BEA" w:rsidP="00C35BEA">
      <w:pPr>
        <w:spacing w:after="0"/>
        <w:contextualSpacing/>
        <w:jc w:val="both"/>
      </w:pPr>
      <w:r>
        <w:t xml:space="preserve">Vysoké pracovní a časové vytížení je důvodem k omezení či </w:t>
      </w:r>
      <w:proofErr w:type="spellStart"/>
      <w:r>
        <w:t>nerealizaci</w:t>
      </w:r>
      <w:proofErr w:type="spellEnd"/>
      <w:r>
        <w:t xml:space="preserve"> vzdělávání zaměstnanců zejména u velkých firem (28 %, s velikostí firmy význam tohoto omezení roste) a firem z odvětví Informační a komunikační činnosti (sekce J; 23 %). Ovšem jak již bylo zmíněno výše, právě tyto kategorie patří mezi nejaktivnější, co se týče vzdělávání zaměstnanců. Naopak u odvětví, které neklade takový důraz na vzdělávání – Ubytování, stravování a pohostinství (sekce I) – je podle 26 % firem neposkytování vzdělávání ve větší míře dáno specifickou HR strategií</w:t>
      </w:r>
      <w:r>
        <w:rPr>
          <w:rStyle w:val="Znakapoznpodarou"/>
        </w:rPr>
        <w:footnoteReference w:id="2"/>
      </w:r>
      <w:r>
        <w:t>. Část firem v této oblasti tedy pociťuje omezení v otázce vzdělávání svých zaměstnanců. Firmy cítí, že by zaměstnanci vzdělávání potřebovali (zejména v oblasti posílení měkkých kompetencí), jiné firmy na druhou stranu v relativně nadprůměrné míře (17 % oproti průměru za všechna odvětví 11 %) tvrdí, že vzdělávání zaměstnanci nepotřebují. Situaci navíc komplikuje již zmíněná specifická personální strategie, kdy firmy v této oblasti mají tendenci nabírat nové zaměstnance, kteří jsou lépe vybaveni požadovanými kompetencemi než zaměstnanci stávající a zároveň některé firmy spolupracují s odbornými školami v zajišťování praxí pro studenty a učně.</w:t>
      </w:r>
    </w:p>
    <w:p w:rsidR="00C35BEA" w:rsidRDefault="00C35BEA" w:rsidP="00C35BEA">
      <w:pPr>
        <w:spacing w:after="0"/>
        <w:contextualSpacing/>
        <w:jc w:val="both"/>
      </w:pPr>
      <w:r>
        <w:t xml:space="preserve"> </w:t>
      </w:r>
    </w:p>
    <w:p w:rsidR="00C35BEA" w:rsidRDefault="00C35BEA" w:rsidP="00C35BEA">
      <w:pPr>
        <w:spacing w:after="0"/>
        <w:contextualSpacing/>
        <w:jc w:val="both"/>
      </w:pPr>
      <w:r>
        <w:t>Jak by se dalo předpokládat, i jak částečně vyplývá z předchozího textu, firmy s větším zájmem o vzdělávání zaměstnanců</w:t>
      </w:r>
      <w:r>
        <w:rPr>
          <w:rStyle w:val="Znakapoznpodarou"/>
          <w:rFonts w:eastAsia="MS Gothic"/>
        </w:rPr>
        <w:footnoteReference w:id="3"/>
      </w:r>
      <w:r>
        <w:t xml:space="preserve"> častěji deklarují, že v jeho praktické realizaci nevidí žádná omezení, lze se tedy domnívat, že vzdělávání úspěšně realizují. Naopak firmy s nejnižším zájmem o vzdělávání svých zaměstnanců omezení vidí, nicméně jeho konkrétní formy nijak výrazně nevyzdvihují (vykazují průměrné nebo podprůměrné </w:t>
      </w:r>
      <w:r>
        <w:lastRenderedPageBreak/>
        <w:t xml:space="preserve">hodnoty). Nabízí se tedy otázka, nakolik jsou uvedená omezení či překážky skutečnými problémy a zda by jejich vyřešení přineslo zaměstnancům firem deklarované potřebné vzdělávání nebo nakolik jsou jen zdůvodněním nezájmu o vzdělávání nebo neuvědomění si jeho potřeby. </w:t>
      </w:r>
    </w:p>
    <w:p w:rsidR="00C35BEA" w:rsidRDefault="00C35BEA" w:rsidP="00C35BEA">
      <w:pPr>
        <w:spacing w:after="0"/>
        <w:contextualSpacing/>
        <w:jc w:val="both"/>
      </w:pPr>
    </w:p>
    <w:p w:rsidR="00C35BEA" w:rsidRDefault="00C35BEA" w:rsidP="00C35BEA">
      <w:pPr>
        <w:pStyle w:val="Nadpis4"/>
        <w:spacing w:after="120"/>
      </w:pPr>
      <w:bookmarkStart w:id="16" w:name="_Toc490472748"/>
      <w:bookmarkStart w:id="17" w:name="_Toc501695641"/>
      <w:r>
        <w:t>Omezení</w:t>
      </w:r>
      <w:r w:rsidRPr="00192B0F">
        <w:t xml:space="preserve"> ve vz</w:t>
      </w:r>
      <w:r>
        <w:t>dělávání zaměstnanců firem poskytujících vzdělávání</w:t>
      </w:r>
      <w:bookmarkEnd w:id="16"/>
      <w:bookmarkEnd w:id="17"/>
    </w:p>
    <w:p w:rsidR="00C35BEA" w:rsidRDefault="00C35BEA" w:rsidP="00C35BEA">
      <w:pPr>
        <w:spacing w:after="0"/>
        <w:contextualSpacing/>
        <w:jc w:val="both"/>
      </w:pPr>
      <w:r>
        <w:t>Firmy, které v roce 2015 zajišťovaly nějaký druh vzdělávání pro své zaměstnance (a kterých byla z celkového počtu valná většina</w:t>
      </w:r>
      <w:r w:rsidRPr="005634B8">
        <w:rPr>
          <w:u w:val="single"/>
        </w:rPr>
        <w:t>)</w:t>
      </w:r>
      <w:r>
        <w:t>, si při této činnosti ve více než polovině případů (57 %) nebyly vědomy žádných omezení. Pokud už firmy nějaké omezení připouštějí, pak jich zpravidla není mnoho, obvykle jedno (uvedlo 26 %) nebo dvě (13 %). Nejčastějším omezením bylo (stejně jako u všech firem) vysoké pracovní a časové vytížení zaměstnanců (16 %), následované upřednostňováním nabírání nových (lépe kvalifikovaných) pracovníků před vzděláváním stávajících zaměstnanců (13 %). Třetím nejčastěji uváděným omezením vyšší intenzity firemního vzdělávání, které uvedla desetina poskytujících firem, byly jeho vysoké náklady.</w:t>
      </w:r>
    </w:p>
    <w:p w:rsidR="00C35BEA" w:rsidRDefault="00C35BEA" w:rsidP="00C35BEA">
      <w:pPr>
        <w:spacing w:after="0"/>
        <w:contextualSpacing/>
        <w:jc w:val="both"/>
      </w:pPr>
    </w:p>
    <w:p w:rsidR="00C35BEA" w:rsidRPr="00CA4572" w:rsidRDefault="00C35BEA" w:rsidP="00C35BEA">
      <w:pPr>
        <w:pStyle w:val="Titulek"/>
        <w:keepNext/>
        <w:jc w:val="both"/>
      </w:pPr>
      <w:bookmarkStart w:id="18" w:name="_Toc484437878"/>
      <w:bookmarkStart w:id="19" w:name="_Toc501615614"/>
      <w:r w:rsidRPr="005E1C2B">
        <w:t xml:space="preserve">Graf č. </w:t>
      </w:r>
      <w:r>
        <w:fldChar w:fldCharType="begin"/>
      </w:r>
      <w:r>
        <w:instrText xml:space="preserve"> SEQ Graf_č. \* ARABIC </w:instrText>
      </w:r>
      <w: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  <w:r w:rsidRPr="005E1C2B">
        <w:t>:</w:t>
      </w:r>
      <w:r>
        <w:t xml:space="preserve"> Podíl firem poskytujících vzdělání podle důvodů pro jeho poskytování v omezené míře, 201</w:t>
      </w:r>
      <w:bookmarkEnd w:id="18"/>
      <w:r>
        <w:t>5</w:t>
      </w:r>
      <w:bookmarkEnd w:id="19"/>
    </w:p>
    <w:p w:rsidR="00C35BEA" w:rsidRDefault="00C35BEA" w:rsidP="00C35BEA">
      <w:pPr>
        <w:spacing w:after="0"/>
        <w:contextualSpacing/>
        <w:jc w:val="both"/>
        <w:rPr>
          <w:b/>
        </w:rPr>
      </w:pPr>
      <w:r>
        <w:rPr>
          <w:noProof/>
        </w:rPr>
        <w:drawing>
          <wp:inline distT="0" distB="0" distL="0" distR="0" wp14:anchorId="1AA0A0AD" wp14:editId="1F40C44C">
            <wp:extent cx="6029325" cy="3962400"/>
            <wp:effectExtent l="0" t="0" r="0" b="0"/>
            <wp:docPr id="98" name="Graf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5BEA" w:rsidRPr="00EA2E58" w:rsidRDefault="00C35BEA" w:rsidP="00C35BEA">
      <w:pPr>
        <w:spacing w:after="0"/>
        <w:contextualSpacing/>
        <w:rPr>
          <w:sz w:val="18"/>
        </w:rPr>
      </w:pPr>
      <w:r>
        <w:rPr>
          <w:sz w:val="18"/>
        </w:rPr>
        <w:t>Z</w:t>
      </w:r>
      <w:r w:rsidRPr="00EA2E58">
        <w:rPr>
          <w:sz w:val="18"/>
        </w:rPr>
        <w:t>droj: šetření CVTS, ČSÚ 2017</w:t>
      </w:r>
    </w:p>
    <w:p w:rsidR="00C35BEA" w:rsidRDefault="00C35BEA" w:rsidP="00C35BEA">
      <w:pPr>
        <w:spacing w:after="0"/>
        <w:contextualSpacing/>
        <w:rPr>
          <w:sz w:val="18"/>
        </w:rPr>
      </w:pPr>
      <w:r>
        <w:rPr>
          <w:sz w:val="18"/>
        </w:rPr>
        <w:t xml:space="preserve">Pozn.: </w:t>
      </w:r>
      <w:r w:rsidRPr="00EA2E58">
        <w:rPr>
          <w:sz w:val="18"/>
        </w:rPr>
        <w:t>firmy mohly označit více odpovědí</w:t>
      </w:r>
    </w:p>
    <w:p w:rsidR="00C35BEA" w:rsidRPr="005B027D" w:rsidRDefault="00C35BEA" w:rsidP="00C35BEA">
      <w:pPr>
        <w:spacing w:after="0"/>
        <w:rPr>
          <w:sz w:val="18"/>
        </w:rPr>
      </w:pPr>
      <w:r>
        <w:rPr>
          <w:sz w:val="18"/>
        </w:rPr>
        <w:t>* Podporou POV (=počáteční odborné vzdělání) je zde myšleno poskytování praktické výchovy žákům/studentům formálního vzdělávání směřujícího k získání výučního listu či maturitní zkoušky (příp. vzdělávání na konzervatořích), kteří jsou v podnicích na praxi.</w:t>
      </w:r>
    </w:p>
    <w:p w:rsidR="00C35BEA" w:rsidRPr="00EA2E58" w:rsidRDefault="00C35BEA" w:rsidP="00C35BEA">
      <w:pPr>
        <w:spacing w:after="0"/>
        <w:contextualSpacing/>
        <w:rPr>
          <w:sz w:val="18"/>
        </w:rPr>
      </w:pPr>
    </w:p>
    <w:p w:rsidR="00C35BEA" w:rsidRDefault="00C35BEA" w:rsidP="00C35BEA">
      <w:pPr>
        <w:spacing w:after="0"/>
        <w:contextualSpacing/>
        <w:jc w:val="both"/>
      </w:pPr>
      <w:r>
        <w:t xml:space="preserve">Velké firmy (s více než 250 zaměstnanci) ze všech velikostních skupin nejméně (48 %) uváděly, že žádná omezení neevidovaly. V souvislosti s jejich velkou mírou poskytovaného vzdělávání to vyznívá paradoxně, ale vztah je logický. Velké firmy si uvědomují význam vzdělávání pro své zaměstnance (viz výše) a některé by jej zřejmě rády poskytovaly ve větší míře, ale narážejí na různá omezení. Nejčastěji na vysoké časové a pracovní vytížení zaměstnanců (28 %), které je i obecně nejčastější, ale u velkých firem je to relativně výrazně častěji. Dalším omezením, s podobně vyšší frekvencí u velkých firem než obecně, jsou vysoké </w:t>
      </w:r>
      <w:r>
        <w:lastRenderedPageBreak/>
        <w:t>náklady na vzdělávání. Vyšší míra tohoto omezení u velkých firem může být způsobena i vyšší mírou zájmu těchto firem o specializované vzdělávání, které je finančně nákladnější než vzdělávání s všeobecným zaměřením, které ve velkých firmách bývá spíše saturováno. Velké firmy rovněž o něco častěji uváděly jako důvod omezení fakt, že byl kladen důraz na vzdělávání v dřívějších letech.</w:t>
      </w:r>
    </w:p>
    <w:p w:rsidR="00C35BEA" w:rsidRDefault="00C35BEA" w:rsidP="00C35BEA">
      <w:pPr>
        <w:spacing w:after="0"/>
        <w:contextualSpacing/>
        <w:jc w:val="both"/>
      </w:pPr>
    </w:p>
    <w:p w:rsidR="00C35BEA" w:rsidRDefault="00C35BEA" w:rsidP="00C35BEA">
      <w:pPr>
        <w:spacing w:after="0"/>
        <w:contextualSpacing/>
        <w:jc w:val="both"/>
      </w:pPr>
      <w:r>
        <w:t>Firmy, které ve vzdělávání nepociťují žádná omezení, se od sebe odlišují i podle odvětví, ve kterém se pohybují. Největší souhlas s tvrzením projevují firmy z oblasti Doprava a skladování (sekce H; 68 %) a nejméně naopak firmy z odvětví Ubytování, stravování a pohostinství (sekce I; 42 %). Pořadí firem je podobné jako u hodnocení všech firem</w:t>
      </w:r>
      <w:r>
        <w:rPr>
          <w:rStyle w:val="Znakapoznpodarou"/>
          <w:rFonts w:eastAsia="MS Gothic"/>
        </w:rPr>
        <w:footnoteReference w:id="4"/>
      </w:r>
      <w:r>
        <w:t>, i možné vysvětlení (zvlášť u firem z oblasti ubytování a stravování) již bylo podáno výše. Naopak, nejčastější důvod omezení vzdělávání ve firmách – časové a pracovní vytížení – bylo nejvíce deklarováno u firem z odvětví Informační a komunikačních činnosti (sekce J). U těchto firem časové a pracovní omezení nastává z několika vzájemně souvisejících důvodů. Firmy v oblasti ICT jsou jako jedno z rychle se rozvíjejících odvětví často přehlceny časově náročnými zakázkami. Zároveň je do těchto firem mnohdy těžké sehnat zaměstnance s odpovídající kvalifikací</w:t>
      </w:r>
      <w:r>
        <w:rPr>
          <w:rStyle w:val="Znakapoznpodarou"/>
          <w:rFonts w:eastAsia="MS Gothic"/>
        </w:rPr>
        <w:footnoteReference w:id="5"/>
      </w:r>
      <w:r>
        <w:t>, tudíž stávající pracovníci mají více práce. Vzdělávání v těchto firmách navíc často probíhá na bázi specializovaných kurzů, které jsou také časově náročné, je tedy nutné počítat s vyšší hodinovou dotací než u jiných kurzů i při plánování. Toto omezení vnímá asi čtvrtina firem z této oblasti (23 %).</w:t>
      </w:r>
    </w:p>
    <w:p w:rsidR="00C35BEA" w:rsidRDefault="00C35BEA" w:rsidP="00C35BEA">
      <w:pPr>
        <w:spacing w:after="0"/>
        <w:contextualSpacing/>
        <w:jc w:val="both"/>
      </w:pPr>
    </w:p>
    <w:p w:rsidR="00C35BEA" w:rsidRPr="00192B0F" w:rsidRDefault="00C35BEA" w:rsidP="00C35BEA">
      <w:pPr>
        <w:pStyle w:val="Nadpis4"/>
        <w:spacing w:after="120"/>
      </w:pPr>
      <w:bookmarkStart w:id="20" w:name="_Toc490472749"/>
      <w:bookmarkStart w:id="21" w:name="_Toc501695642"/>
      <w:r w:rsidRPr="005A5B52">
        <w:t>Překážky ve vzdělávání zaměstnanců firem neposkytujících vzdělávání</w:t>
      </w:r>
      <w:bookmarkEnd w:id="20"/>
      <w:bookmarkEnd w:id="21"/>
    </w:p>
    <w:p w:rsidR="00C35BEA" w:rsidRDefault="00C35BEA" w:rsidP="00C35BEA">
      <w:pPr>
        <w:spacing w:after="0"/>
        <w:contextualSpacing/>
        <w:jc w:val="both"/>
      </w:pPr>
      <w:r>
        <w:t>Jak již bylo mnohokrát zmíněno, valná většina firem (91 %) poskytuje svým zaměstnancům alespoň nějakou formu vzdělávání. Tato podkapitola se zaměřuje na ty firmy, které žádnou formu vzdělávání v roce 2015 nezajistily, a zkoumá překážky, které jim v tom zabránily. Vzhledem k nízkému zastoupení těchto firem nebyly zatím obecně popsány, proto budou stručně představeny nyní.</w:t>
      </w:r>
    </w:p>
    <w:p w:rsidR="00C35BEA" w:rsidRDefault="00C35BEA" w:rsidP="00C35BEA">
      <w:pPr>
        <w:spacing w:after="0"/>
        <w:contextualSpacing/>
        <w:jc w:val="both"/>
      </w:pPr>
    </w:p>
    <w:p w:rsidR="00C35BEA" w:rsidRDefault="00C35BEA" w:rsidP="00C35BEA">
      <w:pPr>
        <w:spacing w:after="0"/>
        <w:contextualSpacing/>
        <w:jc w:val="both"/>
      </w:pPr>
      <w:r>
        <w:t>Firmy, které v roce 2015 neposkytly svým zaměstnancům žádné vzdělávání, jsou ve valné míře (59 %) malé (počet zaměstnanců se pohybuje mezi 10 a 20), mohou to tedy být částečně rodinné podniky. Mezi odvětvími podnikání převažuje průmysl a obchod. Vlastníkem nevzdělávajících firem je v drtivé většině (95 %) český majitel (což je ovšem dáno i tím, že ve výběrovém souboru je větší zastoupení firem s českým vrcholovým vlastníkem).</w:t>
      </w:r>
    </w:p>
    <w:p w:rsidR="00C35BEA" w:rsidRDefault="00C35BEA" w:rsidP="00C35BEA">
      <w:pPr>
        <w:spacing w:after="0"/>
        <w:contextualSpacing/>
        <w:jc w:val="both"/>
      </w:pPr>
    </w:p>
    <w:p w:rsidR="00C35BEA" w:rsidRDefault="00C35BEA" w:rsidP="00C35BEA">
      <w:pPr>
        <w:spacing w:after="0"/>
        <w:contextualSpacing/>
        <w:jc w:val="both"/>
      </w:pPr>
      <w:r>
        <w:t>Co je tedy nejčastějším vysvětlením těchto firem, proč neposkytují vzdělávání svým zaměstnancům? S velkým náskokem před ostatními možnostmi (69 %) je to fakt, že „stávající kvalifikace, dovednosti a schopnosti zaměstnanců odpovídaly aktuálním potřebám firmy“. Čtvrtina firem, které vzdělávání neposkytují, uvedla „jiné důvody“.</w:t>
      </w:r>
    </w:p>
    <w:p w:rsidR="00C35BEA" w:rsidRDefault="00C35BEA" w:rsidP="00C35BEA">
      <w:pPr>
        <w:spacing w:after="0"/>
        <w:contextualSpacing/>
        <w:jc w:val="both"/>
      </w:pPr>
    </w:p>
    <w:p w:rsidR="00C35BEA" w:rsidRDefault="00C35BEA" w:rsidP="00C35BEA">
      <w:pPr>
        <w:pStyle w:val="Titulek"/>
        <w:keepNext/>
        <w:jc w:val="both"/>
      </w:pPr>
      <w:bookmarkStart w:id="22" w:name="_Toc501615615"/>
      <w:r>
        <w:lastRenderedPageBreak/>
        <w:t xml:space="preserve">Graf č. </w:t>
      </w:r>
      <w:r>
        <w:fldChar w:fldCharType="begin"/>
      </w:r>
      <w:r>
        <w:instrText xml:space="preserve"> SEQ Graf_č. \* ARABIC </w:instrText>
      </w:r>
      <w: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  <w:r>
        <w:t>: Podíl firem neposkytujících vzdělávání podle důvodů neposkytování vzdělání, 2015</w:t>
      </w:r>
      <w:bookmarkEnd w:id="22"/>
    </w:p>
    <w:p w:rsidR="00C35BEA" w:rsidRPr="00171CAE" w:rsidRDefault="00C35BEA" w:rsidP="00C35BEA">
      <w:r>
        <w:rPr>
          <w:noProof/>
        </w:rPr>
        <w:drawing>
          <wp:inline distT="0" distB="0" distL="0" distR="0" wp14:anchorId="12B75AF9" wp14:editId="1F29C140">
            <wp:extent cx="5848350" cy="3400425"/>
            <wp:effectExtent l="0" t="0" r="0" b="0"/>
            <wp:docPr id="99" name="Graf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5BEA" w:rsidRPr="00E27A5C" w:rsidRDefault="00C35BEA" w:rsidP="00C35BEA">
      <w:pPr>
        <w:spacing w:after="0"/>
        <w:contextualSpacing/>
        <w:jc w:val="both"/>
      </w:pPr>
      <w:r>
        <w:t>Z</w:t>
      </w:r>
      <w:r w:rsidRPr="00EA2E58">
        <w:rPr>
          <w:sz w:val="18"/>
        </w:rPr>
        <w:t>droj: šetření CVTS, ČSÚ 2017</w:t>
      </w:r>
    </w:p>
    <w:p w:rsidR="00C35BEA" w:rsidRDefault="00C35BEA" w:rsidP="00C35BEA">
      <w:pPr>
        <w:spacing w:after="0"/>
        <w:contextualSpacing/>
        <w:rPr>
          <w:sz w:val="18"/>
        </w:rPr>
      </w:pPr>
      <w:r>
        <w:rPr>
          <w:sz w:val="18"/>
        </w:rPr>
        <w:t>Pozn.:</w:t>
      </w:r>
      <w:r w:rsidRPr="00EA2E58">
        <w:rPr>
          <w:sz w:val="18"/>
        </w:rPr>
        <w:t xml:space="preserve"> firmy mohly označit více odpovědí; </w:t>
      </w:r>
    </w:p>
    <w:p w:rsidR="00C35BEA" w:rsidRPr="005B027D" w:rsidRDefault="00C35BEA" w:rsidP="00C35BEA">
      <w:pPr>
        <w:spacing w:after="0"/>
        <w:rPr>
          <w:sz w:val="18"/>
        </w:rPr>
      </w:pPr>
      <w:r>
        <w:rPr>
          <w:sz w:val="18"/>
        </w:rPr>
        <w:t>* Podporou POV (=počáteční odborné vzdělání) je zde myšleno poskytování praktické výchovy žákům/studentům formálního vzdělávání směřujícího k získání výučního listu či maturitní zkoušky (příp. vzdělávání na konzervatořích), kteří jsou v podnicích na praxi.</w:t>
      </w:r>
    </w:p>
    <w:p w:rsidR="00C35BEA" w:rsidRDefault="00C35BEA" w:rsidP="00C35BEA">
      <w:pPr>
        <w:spacing w:after="0"/>
        <w:contextualSpacing/>
        <w:jc w:val="both"/>
        <w:rPr>
          <w:u w:val="single"/>
        </w:rPr>
      </w:pPr>
    </w:p>
    <w:p w:rsidR="00444609" w:rsidRPr="00C35BEA" w:rsidRDefault="00C35BEA" w:rsidP="00C35BEA">
      <w:pPr>
        <w:spacing w:after="0"/>
        <w:contextualSpacing/>
        <w:jc w:val="both"/>
      </w:pPr>
      <w:r>
        <w:t>Obě jmenované nejčetnější odpovědi firem budí dojem spíše zástupného vysvětlení nezájmu o vzdělávání obecně. Pokud by tento stav odpovídající kvalifikace zaměstnanců ve firmách skutečně platil, byl by to pozitivní jev, otázkou však zůstává, na jakém základě je toto tvrzení firem postaveno. Většina z firem, které označily první odpověď, si analýzu vzdělávacích potřeb nedělá (třetina však nepravidelně ano). Zvolení odpovědi jiné důvody může být zástupná možnost pro totéž nebo nějaký skutečný „jiný důvod“, který nebyl v možnostech obsažen. 70 % těchto firem však nezajišťovalo vzdělávání ani v roce 2014 a může tedy jít o dlouhodobé nastavení těchto firem.</w:t>
      </w:r>
      <w:bookmarkStart w:id="23" w:name="_GoBack"/>
      <w:bookmarkEnd w:id="23"/>
    </w:p>
    <w:sectPr w:rsidR="00444609" w:rsidRPr="00C35BEA" w:rsidSect="002F7A3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D" w:rsidRDefault="00C76D7D" w:rsidP="00E71A58">
      <w:r>
        <w:separator/>
      </w:r>
    </w:p>
  </w:endnote>
  <w:endnote w:type="continuationSeparator" w:id="0">
    <w:p w:rsidR="00C76D7D" w:rsidRDefault="00C76D7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932443" w:rsidRDefault="00C76D7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403C379E" wp14:editId="612E91AC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35BEA">
      <w:rPr>
        <w:szCs w:val="16"/>
      </w:rPr>
      <w:t>40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932443" w:rsidRDefault="00C76D7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975531" wp14:editId="12AC0D4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2015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35BEA">
      <w:rPr>
        <w:rStyle w:val="ZpatChar"/>
        <w:szCs w:val="16"/>
      </w:rPr>
      <w:t>39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D" w:rsidRDefault="00C76D7D" w:rsidP="00E71A58">
      <w:r>
        <w:separator/>
      </w:r>
    </w:p>
  </w:footnote>
  <w:footnote w:type="continuationSeparator" w:id="0">
    <w:p w:rsidR="00C76D7D" w:rsidRDefault="00C76D7D" w:rsidP="00E71A58">
      <w:r>
        <w:continuationSeparator/>
      </w:r>
    </w:p>
  </w:footnote>
  <w:footnote w:id="1">
    <w:p w:rsidR="00C35BEA" w:rsidRPr="00F266E0" w:rsidRDefault="00C35BEA" w:rsidP="00C35BE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266E0">
        <w:rPr>
          <w:rStyle w:val="Znakapoznpodarou"/>
          <w:rFonts w:ascii="Arial" w:hAnsi="Arial" w:cs="Arial"/>
          <w:sz w:val="18"/>
          <w:szCs w:val="18"/>
        </w:rPr>
        <w:footnoteRef/>
      </w:r>
      <w:r w:rsidRPr="00F266E0">
        <w:rPr>
          <w:rFonts w:ascii="Arial" w:hAnsi="Arial" w:cs="Arial"/>
          <w:sz w:val="18"/>
          <w:szCs w:val="18"/>
        </w:rPr>
        <w:t xml:space="preserve"> Z tohoto odvětví zajišťovalo nepovinné kurzy či jiné formy vzdělávání 15 % firem.</w:t>
      </w:r>
    </w:p>
  </w:footnote>
  <w:footnote w:id="2">
    <w:p w:rsidR="00C35BEA" w:rsidRPr="00F266E0" w:rsidRDefault="00C35BEA" w:rsidP="00C35BEA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F266E0">
        <w:rPr>
          <w:rStyle w:val="Znakapoznpodarou"/>
          <w:rFonts w:cs="Arial"/>
          <w:sz w:val="18"/>
          <w:szCs w:val="18"/>
        </w:rPr>
        <w:footnoteRef/>
      </w:r>
      <w:r w:rsidRPr="00F266E0">
        <w:rPr>
          <w:rFonts w:cs="Arial"/>
          <w:sz w:val="18"/>
          <w:szCs w:val="18"/>
        </w:rPr>
        <w:t xml:space="preserve"> </w:t>
      </w:r>
      <w:r w:rsidRPr="00F266E0">
        <w:rPr>
          <w:rFonts w:cs="Arial"/>
          <w:color w:val="000000"/>
          <w:sz w:val="18"/>
          <w:szCs w:val="18"/>
        </w:rPr>
        <w:t>Specifická HR strategie firmy zahrnuje upřednostňování přijímání nových zaměstnanců před vzděláváním stávajících a</w:t>
      </w:r>
      <w:r>
        <w:rPr>
          <w:rFonts w:cs="Arial"/>
          <w:color w:val="000000"/>
          <w:sz w:val="18"/>
          <w:szCs w:val="18"/>
        </w:rPr>
        <w:t> </w:t>
      </w:r>
      <w:r w:rsidRPr="00F266E0">
        <w:rPr>
          <w:rFonts w:cs="Arial"/>
          <w:color w:val="000000"/>
          <w:sz w:val="18"/>
          <w:szCs w:val="18"/>
        </w:rPr>
        <w:t>podporu počátečního vzdělávání na úkor dalšího (praxe pro studenty a učně).</w:t>
      </w:r>
    </w:p>
  </w:footnote>
  <w:footnote w:id="3">
    <w:p w:rsidR="00C35BEA" w:rsidRPr="00F266E0" w:rsidRDefault="00C35BEA" w:rsidP="00C35BE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266E0">
        <w:rPr>
          <w:rStyle w:val="Znakapoznpodarou"/>
          <w:rFonts w:ascii="Arial" w:hAnsi="Arial" w:cs="Arial"/>
          <w:sz w:val="18"/>
          <w:szCs w:val="18"/>
        </w:rPr>
        <w:footnoteRef/>
      </w:r>
      <w:r w:rsidRPr="00F266E0">
        <w:rPr>
          <w:rFonts w:ascii="Arial" w:hAnsi="Arial" w:cs="Arial"/>
          <w:sz w:val="18"/>
          <w:szCs w:val="18"/>
        </w:rPr>
        <w:t xml:space="preserve"> Měřeno indexem zájmu firmy o uspokojování potřeb vzdělávání zaměstnanců. </w:t>
      </w:r>
    </w:p>
  </w:footnote>
  <w:footnote w:id="4">
    <w:p w:rsidR="00C35BEA" w:rsidRPr="00F266E0" w:rsidRDefault="00C35BEA" w:rsidP="00C35BE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266E0">
        <w:rPr>
          <w:rStyle w:val="Znakapoznpodarou"/>
          <w:rFonts w:ascii="Arial" w:hAnsi="Arial" w:cs="Arial"/>
          <w:sz w:val="18"/>
          <w:szCs w:val="18"/>
        </w:rPr>
        <w:footnoteRef/>
      </w:r>
      <w:r w:rsidRPr="00F266E0">
        <w:rPr>
          <w:rFonts w:ascii="Arial" w:hAnsi="Arial" w:cs="Arial"/>
          <w:sz w:val="18"/>
          <w:szCs w:val="18"/>
        </w:rPr>
        <w:t xml:space="preserve"> Základ totiž zůstává podobný, jelikož valná většina firem vzdělávání poskytuje.</w:t>
      </w:r>
    </w:p>
  </w:footnote>
  <w:footnote w:id="5">
    <w:p w:rsidR="00C35BEA" w:rsidRPr="00F266E0" w:rsidRDefault="00C35BEA" w:rsidP="00C35BE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266E0">
        <w:rPr>
          <w:rStyle w:val="Znakapoznpodarou"/>
          <w:rFonts w:ascii="Arial" w:hAnsi="Arial" w:cs="Arial"/>
          <w:sz w:val="18"/>
          <w:szCs w:val="18"/>
        </w:rPr>
        <w:footnoteRef/>
      </w:r>
      <w:r w:rsidRPr="00F266E0">
        <w:rPr>
          <w:rFonts w:ascii="Arial" w:hAnsi="Arial" w:cs="Arial"/>
          <w:sz w:val="18"/>
          <w:szCs w:val="18"/>
        </w:rPr>
        <w:t xml:space="preserve"> V roce 2015 mělo 60 % firem v této oblasti problém najít vhodného IT pracovníka. (Šetření o využívání ICT v podnikatelském sektoru, ČSÚ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6F5416" w:rsidRDefault="00C76D7D" w:rsidP="00937AE2">
    <w:pPr>
      <w:pStyle w:val="Zhlav"/>
    </w:pPr>
    <w:r>
      <w:t>Vzdělávání zaměstnaných osob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6F5416" w:rsidRDefault="00C76D7D" w:rsidP="002F2E5D">
    <w:pPr>
      <w:pStyle w:val="Zhlav"/>
    </w:pPr>
    <w:r>
      <w:t>Vzdělávání zaměstnaných osob</w:t>
    </w:r>
  </w:p>
  <w:p w:rsidR="00C76D7D" w:rsidRPr="002F2E5D" w:rsidRDefault="00C76D7D" w:rsidP="002F2E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2609B"/>
    <w:multiLevelType w:val="hybridMultilevel"/>
    <w:tmpl w:val="B0F6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36EF"/>
    <w:multiLevelType w:val="hybridMultilevel"/>
    <w:tmpl w:val="5F4EAC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305293"/>
    <w:multiLevelType w:val="hybridMultilevel"/>
    <w:tmpl w:val="4BE863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3AB490F"/>
    <w:multiLevelType w:val="hybridMultilevel"/>
    <w:tmpl w:val="FD1CBF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51B65DD"/>
    <w:multiLevelType w:val="hybridMultilevel"/>
    <w:tmpl w:val="6EE6D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55E74"/>
    <w:multiLevelType w:val="hybridMultilevel"/>
    <w:tmpl w:val="A620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82EEC"/>
    <w:multiLevelType w:val="hybridMultilevel"/>
    <w:tmpl w:val="7A06C9F8"/>
    <w:lvl w:ilvl="0" w:tplc="4AAC004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0496"/>
    <w:multiLevelType w:val="hybridMultilevel"/>
    <w:tmpl w:val="60F0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A3C8B"/>
    <w:multiLevelType w:val="hybridMultilevel"/>
    <w:tmpl w:val="A44A5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17918"/>
    <w:multiLevelType w:val="hybridMultilevel"/>
    <w:tmpl w:val="C100B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F764D"/>
    <w:multiLevelType w:val="hybridMultilevel"/>
    <w:tmpl w:val="6F0A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32A38"/>
    <w:multiLevelType w:val="hybridMultilevel"/>
    <w:tmpl w:val="A984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C7B"/>
    <w:multiLevelType w:val="hybridMultilevel"/>
    <w:tmpl w:val="0836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471AE"/>
    <w:multiLevelType w:val="hybridMultilevel"/>
    <w:tmpl w:val="B0486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45E86"/>
    <w:multiLevelType w:val="hybridMultilevel"/>
    <w:tmpl w:val="0096E9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B608EB"/>
    <w:multiLevelType w:val="hybridMultilevel"/>
    <w:tmpl w:val="BE0C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413"/>
    <w:multiLevelType w:val="hybridMultilevel"/>
    <w:tmpl w:val="02E0B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16"/>
  </w:num>
  <w:num w:numId="15">
    <w:abstractNumId w:val="19"/>
  </w:num>
  <w:num w:numId="16">
    <w:abstractNumId w:val="18"/>
  </w:num>
  <w:num w:numId="17">
    <w:abstractNumId w:val="25"/>
  </w:num>
  <w:num w:numId="18">
    <w:abstractNumId w:val="10"/>
  </w:num>
  <w:num w:numId="19">
    <w:abstractNumId w:val="21"/>
  </w:num>
  <w:num w:numId="20">
    <w:abstractNumId w:val="29"/>
  </w:num>
  <w:num w:numId="21">
    <w:abstractNumId w:val="13"/>
  </w:num>
  <w:num w:numId="22">
    <w:abstractNumId w:val="12"/>
  </w:num>
  <w:num w:numId="23">
    <w:abstractNumId w:val="15"/>
  </w:num>
  <w:num w:numId="24">
    <w:abstractNumId w:val="22"/>
  </w:num>
  <w:num w:numId="25">
    <w:abstractNumId w:val="20"/>
  </w:num>
  <w:num w:numId="26">
    <w:abstractNumId w:val="28"/>
  </w:num>
  <w:num w:numId="27">
    <w:abstractNumId w:val="14"/>
  </w:num>
  <w:num w:numId="28">
    <w:abstractNumId w:val="2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913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F"/>
    <w:rsid w:val="000018C3"/>
    <w:rsid w:val="0000209D"/>
    <w:rsid w:val="00002A65"/>
    <w:rsid w:val="00004D5A"/>
    <w:rsid w:val="000056D5"/>
    <w:rsid w:val="00006A92"/>
    <w:rsid w:val="00006CA4"/>
    <w:rsid w:val="0000767A"/>
    <w:rsid w:val="00010702"/>
    <w:rsid w:val="00012017"/>
    <w:rsid w:val="00013128"/>
    <w:rsid w:val="0001469F"/>
    <w:rsid w:val="00014ABD"/>
    <w:rsid w:val="00016992"/>
    <w:rsid w:val="00020F71"/>
    <w:rsid w:val="00021297"/>
    <w:rsid w:val="00022667"/>
    <w:rsid w:val="000234D6"/>
    <w:rsid w:val="000238C6"/>
    <w:rsid w:val="00023D29"/>
    <w:rsid w:val="00026389"/>
    <w:rsid w:val="00027D43"/>
    <w:rsid w:val="00030BA1"/>
    <w:rsid w:val="000310E8"/>
    <w:rsid w:val="00031AE0"/>
    <w:rsid w:val="000322EF"/>
    <w:rsid w:val="000332C4"/>
    <w:rsid w:val="00033FCD"/>
    <w:rsid w:val="000377E4"/>
    <w:rsid w:val="00041CEC"/>
    <w:rsid w:val="000440D5"/>
    <w:rsid w:val="000449C6"/>
    <w:rsid w:val="00044BB6"/>
    <w:rsid w:val="00045C87"/>
    <w:rsid w:val="0004694F"/>
    <w:rsid w:val="000469F6"/>
    <w:rsid w:val="000510E6"/>
    <w:rsid w:val="000522E4"/>
    <w:rsid w:val="000529B3"/>
    <w:rsid w:val="00061007"/>
    <w:rsid w:val="000610E1"/>
    <w:rsid w:val="00061960"/>
    <w:rsid w:val="00061CD9"/>
    <w:rsid w:val="00062EC5"/>
    <w:rsid w:val="00062F22"/>
    <w:rsid w:val="0006332F"/>
    <w:rsid w:val="000673F4"/>
    <w:rsid w:val="000712B3"/>
    <w:rsid w:val="0007201B"/>
    <w:rsid w:val="000726AD"/>
    <w:rsid w:val="00072DF6"/>
    <w:rsid w:val="00076DDC"/>
    <w:rsid w:val="000825D2"/>
    <w:rsid w:val="0008263E"/>
    <w:rsid w:val="00082C19"/>
    <w:rsid w:val="000847CB"/>
    <w:rsid w:val="00085395"/>
    <w:rsid w:val="00087249"/>
    <w:rsid w:val="0008742A"/>
    <w:rsid w:val="00087634"/>
    <w:rsid w:val="00087A17"/>
    <w:rsid w:val="00087F2B"/>
    <w:rsid w:val="00092845"/>
    <w:rsid w:val="00093EEF"/>
    <w:rsid w:val="00094810"/>
    <w:rsid w:val="000954C7"/>
    <w:rsid w:val="00097088"/>
    <w:rsid w:val="000974D1"/>
    <w:rsid w:val="0009799E"/>
    <w:rsid w:val="000A1178"/>
    <w:rsid w:val="000A1183"/>
    <w:rsid w:val="000A131B"/>
    <w:rsid w:val="000A1A99"/>
    <w:rsid w:val="000A256D"/>
    <w:rsid w:val="000A3833"/>
    <w:rsid w:val="000A3A2C"/>
    <w:rsid w:val="000A5A34"/>
    <w:rsid w:val="000A7077"/>
    <w:rsid w:val="000A798E"/>
    <w:rsid w:val="000A7A9C"/>
    <w:rsid w:val="000B30FA"/>
    <w:rsid w:val="000B6FF8"/>
    <w:rsid w:val="000C192D"/>
    <w:rsid w:val="000C25C2"/>
    <w:rsid w:val="000C3408"/>
    <w:rsid w:val="000C4263"/>
    <w:rsid w:val="000C6AFD"/>
    <w:rsid w:val="000D4F04"/>
    <w:rsid w:val="000D5637"/>
    <w:rsid w:val="000E2C4C"/>
    <w:rsid w:val="000E57D2"/>
    <w:rsid w:val="000E66D6"/>
    <w:rsid w:val="000E6FBD"/>
    <w:rsid w:val="000F4B71"/>
    <w:rsid w:val="000F7B2B"/>
    <w:rsid w:val="00100F5C"/>
    <w:rsid w:val="0010176F"/>
    <w:rsid w:val="001018E9"/>
    <w:rsid w:val="0010437D"/>
    <w:rsid w:val="00104C4C"/>
    <w:rsid w:val="001068EE"/>
    <w:rsid w:val="001102A2"/>
    <w:rsid w:val="00110752"/>
    <w:rsid w:val="00111F62"/>
    <w:rsid w:val="00112EC1"/>
    <w:rsid w:val="00113925"/>
    <w:rsid w:val="00120E67"/>
    <w:rsid w:val="0012192F"/>
    <w:rsid w:val="00125C79"/>
    <w:rsid w:val="00125D69"/>
    <w:rsid w:val="001276F7"/>
    <w:rsid w:val="00127C9D"/>
    <w:rsid w:val="00131636"/>
    <w:rsid w:val="001405FA"/>
    <w:rsid w:val="0014073C"/>
    <w:rsid w:val="001425C3"/>
    <w:rsid w:val="00143B45"/>
    <w:rsid w:val="00150952"/>
    <w:rsid w:val="00152969"/>
    <w:rsid w:val="00156839"/>
    <w:rsid w:val="00156CC6"/>
    <w:rsid w:val="00161C0B"/>
    <w:rsid w:val="0016256B"/>
    <w:rsid w:val="00163793"/>
    <w:rsid w:val="001646AF"/>
    <w:rsid w:val="00167C72"/>
    <w:rsid w:val="001706D6"/>
    <w:rsid w:val="00171223"/>
    <w:rsid w:val="001714F2"/>
    <w:rsid w:val="00171CAE"/>
    <w:rsid w:val="0017231D"/>
    <w:rsid w:val="0017233B"/>
    <w:rsid w:val="00173420"/>
    <w:rsid w:val="00173CB4"/>
    <w:rsid w:val="00174370"/>
    <w:rsid w:val="00180F75"/>
    <w:rsid w:val="00181829"/>
    <w:rsid w:val="001848C0"/>
    <w:rsid w:val="00184B08"/>
    <w:rsid w:val="00185010"/>
    <w:rsid w:val="001852B9"/>
    <w:rsid w:val="0018545B"/>
    <w:rsid w:val="00185BFD"/>
    <w:rsid w:val="001863F7"/>
    <w:rsid w:val="00187B7C"/>
    <w:rsid w:val="001907D7"/>
    <w:rsid w:val="00191AAE"/>
    <w:rsid w:val="001934A1"/>
    <w:rsid w:val="00195AC5"/>
    <w:rsid w:val="00195C7D"/>
    <w:rsid w:val="0019730B"/>
    <w:rsid w:val="001A41AF"/>
    <w:rsid w:val="001A4364"/>
    <w:rsid w:val="001A552F"/>
    <w:rsid w:val="001A5A5B"/>
    <w:rsid w:val="001A7116"/>
    <w:rsid w:val="001B2CA9"/>
    <w:rsid w:val="001B3110"/>
    <w:rsid w:val="001B4670"/>
    <w:rsid w:val="001B4729"/>
    <w:rsid w:val="001B497C"/>
    <w:rsid w:val="001B6C09"/>
    <w:rsid w:val="001C05CD"/>
    <w:rsid w:val="001C1A1B"/>
    <w:rsid w:val="001C206D"/>
    <w:rsid w:val="001C2920"/>
    <w:rsid w:val="001C3BF5"/>
    <w:rsid w:val="001C4160"/>
    <w:rsid w:val="001C4E2A"/>
    <w:rsid w:val="001C7F7F"/>
    <w:rsid w:val="001D12DF"/>
    <w:rsid w:val="001D1633"/>
    <w:rsid w:val="001D1D6A"/>
    <w:rsid w:val="001D20C7"/>
    <w:rsid w:val="001D2A11"/>
    <w:rsid w:val="001D36C2"/>
    <w:rsid w:val="001D4A0A"/>
    <w:rsid w:val="001D68B2"/>
    <w:rsid w:val="001D6E9C"/>
    <w:rsid w:val="001E104A"/>
    <w:rsid w:val="001E3A70"/>
    <w:rsid w:val="001E4019"/>
    <w:rsid w:val="001E4CF4"/>
    <w:rsid w:val="001E6CC7"/>
    <w:rsid w:val="001E71EA"/>
    <w:rsid w:val="001E7423"/>
    <w:rsid w:val="001F1D95"/>
    <w:rsid w:val="001F1EF4"/>
    <w:rsid w:val="001F2D66"/>
    <w:rsid w:val="001F3BF5"/>
    <w:rsid w:val="001F4597"/>
    <w:rsid w:val="001F65AF"/>
    <w:rsid w:val="00201296"/>
    <w:rsid w:val="00201715"/>
    <w:rsid w:val="0020402B"/>
    <w:rsid w:val="002043A8"/>
    <w:rsid w:val="002052F1"/>
    <w:rsid w:val="00205F73"/>
    <w:rsid w:val="00206B44"/>
    <w:rsid w:val="00207B2D"/>
    <w:rsid w:val="002116DF"/>
    <w:rsid w:val="002118B9"/>
    <w:rsid w:val="00213EE9"/>
    <w:rsid w:val="00217C5B"/>
    <w:rsid w:val="002208F6"/>
    <w:rsid w:val="0022139E"/>
    <w:rsid w:val="00221E44"/>
    <w:rsid w:val="002227AF"/>
    <w:rsid w:val="002252E0"/>
    <w:rsid w:val="002255F6"/>
    <w:rsid w:val="002271B2"/>
    <w:rsid w:val="00227850"/>
    <w:rsid w:val="00227A53"/>
    <w:rsid w:val="00230C6E"/>
    <w:rsid w:val="002310CA"/>
    <w:rsid w:val="00233C31"/>
    <w:rsid w:val="00236443"/>
    <w:rsid w:val="00236AF1"/>
    <w:rsid w:val="0024041F"/>
    <w:rsid w:val="002436BA"/>
    <w:rsid w:val="00244A15"/>
    <w:rsid w:val="00245B03"/>
    <w:rsid w:val="00247319"/>
    <w:rsid w:val="0024799E"/>
    <w:rsid w:val="00247FB7"/>
    <w:rsid w:val="002501F0"/>
    <w:rsid w:val="00250799"/>
    <w:rsid w:val="002516FD"/>
    <w:rsid w:val="0025346A"/>
    <w:rsid w:val="002539B1"/>
    <w:rsid w:val="00253C0F"/>
    <w:rsid w:val="00253F55"/>
    <w:rsid w:val="00256BB0"/>
    <w:rsid w:val="00260E7C"/>
    <w:rsid w:val="00262B3E"/>
    <w:rsid w:val="00271465"/>
    <w:rsid w:val="00273BC8"/>
    <w:rsid w:val="00277713"/>
    <w:rsid w:val="00277A94"/>
    <w:rsid w:val="00280C5C"/>
    <w:rsid w:val="00282489"/>
    <w:rsid w:val="00285412"/>
    <w:rsid w:val="0028591B"/>
    <w:rsid w:val="00290BD5"/>
    <w:rsid w:val="00290CAE"/>
    <w:rsid w:val="00291B11"/>
    <w:rsid w:val="00293819"/>
    <w:rsid w:val="00293F7E"/>
    <w:rsid w:val="00295586"/>
    <w:rsid w:val="002A00BE"/>
    <w:rsid w:val="002A05D5"/>
    <w:rsid w:val="002A16D4"/>
    <w:rsid w:val="002A182B"/>
    <w:rsid w:val="002A230C"/>
    <w:rsid w:val="002A5E10"/>
    <w:rsid w:val="002B3849"/>
    <w:rsid w:val="002B585E"/>
    <w:rsid w:val="002B5B39"/>
    <w:rsid w:val="002C19F8"/>
    <w:rsid w:val="002C270F"/>
    <w:rsid w:val="002C43BD"/>
    <w:rsid w:val="002C6512"/>
    <w:rsid w:val="002C7799"/>
    <w:rsid w:val="002D01EA"/>
    <w:rsid w:val="002D0246"/>
    <w:rsid w:val="002D0E14"/>
    <w:rsid w:val="002D0E59"/>
    <w:rsid w:val="002E02A1"/>
    <w:rsid w:val="002E06BA"/>
    <w:rsid w:val="002E3136"/>
    <w:rsid w:val="002E4E4C"/>
    <w:rsid w:val="002E6624"/>
    <w:rsid w:val="002F1697"/>
    <w:rsid w:val="002F1DB4"/>
    <w:rsid w:val="002F281A"/>
    <w:rsid w:val="002F2925"/>
    <w:rsid w:val="002F2E5D"/>
    <w:rsid w:val="002F4825"/>
    <w:rsid w:val="002F682A"/>
    <w:rsid w:val="002F7A39"/>
    <w:rsid w:val="00302391"/>
    <w:rsid w:val="00304771"/>
    <w:rsid w:val="00304FD2"/>
    <w:rsid w:val="003052D4"/>
    <w:rsid w:val="00306C5B"/>
    <w:rsid w:val="00312F53"/>
    <w:rsid w:val="0031434D"/>
    <w:rsid w:val="003160DE"/>
    <w:rsid w:val="0032003B"/>
    <w:rsid w:val="003205AD"/>
    <w:rsid w:val="003209D6"/>
    <w:rsid w:val="00321924"/>
    <w:rsid w:val="00324D37"/>
    <w:rsid w:val="00325830"/>
    <w:rsid w:val="0032656E"/>
    <w:rsid w:val="0032771E"/>
    <w:rsid w:val="00332190"/>
    <w:rsid w:val="00335667"/>
    <w:rsid w:val="00340321"/>
    <w:rsid w:val="00344668"/>
    <w:rsid w:val="0034556C"/>
    <w:rsid w:val="003462D9"/>
    <w:rsid w:val="003476DF"/>
    <w:rsid w:val="00350C87"/>
    <w:rsid w:val="00351E16"/>
    <w:rsid w:val="00351EAC"/>
    <w:rsid w:val="00354505"/>
    <w:rsid w:val="003546AD"/>
    <w:rsid w:val="00360C86"/>
    <w:rsid w:val="00361627"/>
    <w:rsid w:val="003619B3"/>
    <w:rsid w:val="00361CB2"/>
    <w:rsid w:val="00362151"/>
    <w:rsid w:val="00364407"/>
    <w:rsid w:val="00364436"/>
    <w:rsid w:val="003657F3"/>
    <w:rsid w:val="00365D00"/>
    <w:rsid w:val="00366CC8"/>
    <w:rsid w:val="0036716B"/>
    <w:rsid w:val="00367778"/>
    <w:rsid w:val="0037096B"/>
    <w:rsid w:val="00373D6F"/>
    <w:rsid w:val="003752A4"/>
    <w:rsid w:val="003811E5"/>
    <w:rsid w:val="003818DC"/>
    <w:rsid w:val="00382A55"/>
    <w:rsid w:val="003830DE"/>
    <w:rsid w:val="00384327"/>
    <w:rsid w:val="00385D98"/>
    <w:rsid w:val="00392321"/>
    <w:rsid w:val="00393BDD"/>
    <w:rsid w:val="00395886"/>
    <w:rsid w:val="0039762C"/>
    <w:rsid w:val="003A19EC"/>
    <w:rsid w:val="003A1C3F"/>
    <w:rsid w:val="003A1D51"/>
    <w:rsid w:val="003A2B4D"/>
    <w:rsid w:val="003A446E"/>
    <w:rsid w:val="003A478C"/>
    <w:rsid w:val="003A5525"/>
    <w:rsid w:val="003A6B38"/>
    <w:rsid w:val="003A7736"/>
    <w:rsid w:val="003A7C80"/>
    <w:rsid w:val="003B04BF"/>
    <w:rsid w:val="003B5A32"/>
    <w:rsid w:val="003B6F9A"/>
    <w:rsid w:val="003B793C"/>
    <w:rsid w:val="003C3490"/>
    <w:rsid w:val="003C3AFF"/>
    <w:rsid w:val="003D3E3A"/>
    <w:rsid w:val="003D6279"/>
    <w:rsid w:val="003D65FD"/>
    <w:rsid w:val="003D6920"/>
    <w:rsid w:val="003E2DBD"/>
    <w:rsid w:val="003E356F"/>
    <w:rsid w:val="003E3881"/>
    <w:rsid w:val="003E4C91"/>
    <w:rsid w:val="003E6112"/>
    <w:rsid w:val="003E734C"/>
    <w:rsid w:val="003F107B"/>
    <w:rsid w:val="003F2623"/>
    <w:rsid w:val="003F313C"/>
    <w:rsid w:val="003F3C7B"/>
    <w:rsid w:val="003F3F6E"/>
    <w:rsid w:val="003F4B2C"/>
    <w:rsid w:val="003F551C"/>
    <w:rsid w:val="003F75E1"/>
    <w:rsid w:val="003F7D23"/>
    <w:rsid w:val="004013CA"/>
    <w:rsid w:val="00407C13"/>
    <w:rsid w:val="00410638"/>
    <w:rsid w:val="004116F0"/>
    <w:rsid w:val="00412A4F"/>
    <w:rsid w:val="004170C5"/>
    <w:rsid w:val="004246BF"/>
    <w:rsid w:val="00425275"/>
    <w:rsid w:val="0042610C"/>
    <w:rsid w:val="00426595"/>
    <w:rsid w:val="00426B93"/>
    <w:rsid w:val="004272F9"/>
    <w:rsid w:val="0042763D"/>
    <w:rsid w:val="00432A58"/>
    <w:rsid w:val="004334ED"/>
    <w:rsid w:val="00434617"/>
    <w:rsid w:val="004358CD"/>
    <w:rsid w:val="00436F1F"/>
    <w:rsid w:val="00440900"/>
    <w:rsid w:val="004416AE"/>
    <w:rsid w:val="00442DF3"/>
    <w:rsid w:val="00442EB1"/>
    <w:rsid w:val="004441A0"/>
    <w:rsid w:val="00444609"/>
    <w:rsid w:val="00447CFF"/>
    <w:rsid w:val="00451BDC"/>
    <w:rsid w:val="00456E0F"/>
    <w:rsid w:val="00460FB3"/>
    <w:rsid w:val="00463983"/>
    <w:rsid w:val="00467830"/>
    <w:rsid w:val="00471807"/>
    <w:rsid w:val="0047295C"/>
    <w:rsid w:val="00475504"/>
    <w:rsid w:val="00476240"/>
    <w:rsid w:val="00476439"/>
    <w:rsid w:val="00476EBA"/>
    <w:rsid w:val="00477268"/>
    <w:rsid w:val="0047735C"/>
    <w:rsid w:val="004776BC"/>
    <w:rsid w:val="0048139F"/>
    <w:rsid w:val="00481540"/>
    <w:rsid w:val="00481E40"/>
    <w:rsid w:val="004833CC"/>
    <w:rsid w:val="00483454"/>
    <w:rsid w:val="004836F3"/>
    <w:rsid w:val="00484ECE"/>
    <w:rsid w:val="00485151"/>
    <w:rsid w:val="004874ED"/>
    <w:rsid w:val="00487511"/>
    <w:rsid w:val="004900FF"/>
    <w:rsid w:val="00490AE6"/>
    <w:rsid w:val="004915CB"/>
    <w:rsid w:val="004924DC"/>
    <w:rsid w:val="00492F74"/>
    <w:rsid w:val="0049401D"/>
    <w:rsid w:val="004A14E4"/>
    <w:rsid w:val="004A3212"/>
    <w:rsid w:val="004A61C5"/>
    <w:rsid w:val="004A77DF"/>
    <w:rsid w:val="004B1417"/>
    <w:rsid w:val="004B1865"/>
    <w:rsid w:val="004B1898"/>
    <w:rsid w:val="004B3009"/>
    <w:rsid w:val="004B55B7"/>
    <w:rsid w:val="004B5811"/>
    <w:rsid w:val="004B6468"/>
    <w:rsid w:val="004B66B6"/>
    <w:rsid w:val="004B6749"/>
    <w:rsid w:val="004B6FB1"/>
    <w:rsid w:val="004C0DB7"/>
    <w:rsid w:val="004C367A"/>
    <w:rsid w:val="004C384C"/>
    <w:rsid w:val="004C3867"/>
    <w:rsid w:val="004C4CD0"/>
    <w:rsid w:val="004C53BF"/>
    <w:rsid w:val="004C5665"/>
    <w:rsid w:val="004C5F81"/>
    <w:rsid w:val="004C6AA7"/>
    <w:rsid w:val="004C70DC"/>
    <w:rsid w:val="004C7CB9"/>
    <w:rsid w:val="004D0211"/>
    <w:rsid w:val="004D0794"/>
    <w:rsid w:val="004D40ED"/>
    <w:rsid w:val="004D424A"/>
    <w:rsid w:val="004D544F"/>
    <w:rsid w:val="004D65BB"/>
    <w:rsid w:val="004E1550"/>
    <w:rsid w:val="004E1A07"/>
    <w:rsid w:val="004E1DD3"/>
    <w:rsid w:val="004E2FED"/>
    <w:rsid w:val="004E765C"/>
    <w:rsid w:val="004E7E54"/>
    <w:rsid w:val="004F06F5"/>
    <w:rsid w:val="004F2E3C"/>
    <w:rsid w:val="004F33A0"/>
    <w:rsid w:val="004F3E76"/>
    <w:rsid w:val="004F4790"/>
    <w:rsid w:val="004F4A9A"/>
    <w:rsid w:val="00500A8A"/>
    <w:rsid w:val="00507476"/>
    <w:rsid w:val="005108C0"/>
    <w:rsid w:val="00511099"/>
    <w:rsid w:val="00511873"/>
    <w:rsid w:val="0051195F"/>
    <w:rsid w:val="0051220B"/>
    <w:rsid w:val="00512A2F"/>
    <w:rsid w:val="0051312B"/>
    <w:rsid w:val="00513B7E"/>
    <w:rsid w:val="00515C74"/>
    <w:rsid w:val="00516FE8"/>
    <w:rsid w:val="0051759A"/>
    <w:rsid w:val="0052007E"/>
    <w:rsid w:val="005227A7"/>
    <w:rsid w:val="0052337A"/>
    <w:rsid w:val="0052389A"/>
    <w:rsid w:val="00524C77"/>
    <w:rsid w:val="00525137"/>
    <w:rsid w:val="005251DD"/>
    <w:rsid w:val="0052744A"/>
    <w:rsid w:val="005310A5"/>
    <w:rsid w:val="00532CE7"/>
    <w:rsid w:val="0053324C"/>
    <w:rsid w:val="00534A28"/>
    <w:rsid w:val="00535608"/>
    <w:rsid w:val="00540939"/>
    <w:rsid w:val="00541130"/>
    <w:rsid w:val="005412F1"/>
    <w:rsid w:val="00541508"/>
    <w:rsid w:val="00541BFC"/>
    <w:rsid w:val="005444A4"/>
    <w:rsid w:val="00545BBF"/>
    <w:rsid w:val="005461FD"/>
    <w:rsid w:val="00551C2D"/>
    <w:rsid w:val="0055444F"/>
    <w:rsid w:val="00555035"/>
    <w:rsid w:val="0055599F"/>
    <w:rsid w:val="00555EE6"/>
    <w:rsid w:val="00556D68"/>
    <w:rsid w:val="0055720E"/>
    <w:rsid w:val="00561876"/>
    <w:rsid w:val="00562FFA"/>
    <w:rsid w:val="005634B8"/>
    <w:rsid w:val="00563CD7"/>
    <w:rsid w:val="005647BF"/>
    <w:rsid w:val="00565A8A"/>
    <w:rsid w:val="00567470"/>
    <w:rsid w:val="0056764C"/>
    <w:rsid w:val="00567D41"/>
    <w:rsid w:val="0057364B"/>
    <w:rsid w:val="00574773"/>
    <w:rsid w:val="00575493"/>
    <w:rsid w:val="00583C3D"/>
    <w:rsid w:val="00583FFD"/>
    <w:rsid w:val="0058420D"/>
    <w:rsid w:val="00590D37"/>
    <w:rsid w:val="005911BE"/>
    <w:rsid w:val="00593152"/>
    <w:rsid w:val="00594EBD"/>
    <w:rsid w:val="00597244"/>
    <w:rsid w:val="005A10F2"/>
    <w:rsid w:val="005A21E0"/>
    <w:rsid w:val="005A25D1"/>
    <w:rsid w:val="005A28FF"/>
    <w:rsid w:val="005A3DF8"/>
    <w:rsid w:val="005A5549"/>
    <w:rsid w:val="005A5896"/>
    <w:rsid w:val="005B027D"/>
    <w:rsid w:val="005B121D"/>
    <w:rsid w:val="005B1F7F"/>
    <w:rsid w:val="005B4D8E"/>
    <w:rsid w:val="005B50BC"/>
    <w:rsid w:val="005C06ED"/>
    <w:rsid w:val="005C2BD9"/>
    <w:rsid w:val="005C7A1C"/>
    <w:rsid w:val="005C7D5B"/>
    <w:rsid w:val="005D0C56"/>
    <w:rsid w:val="005D4AD4"/>
    <w:rsid w:val="005D5802"/>
    <w:rsid w:val="005D6845"/>
    <w:rsid w:val="005D6CDB"/>
    <w:rsid w:val="005D7890"/>
    <w:rsid w:val="005E1C2B"/>
    <w:rsid w:val="005E5EB3"/>
    <w:rsid w:val="005E69E8"/>
    <w:rsid w:val="005E7C78"/>
    <w:rsid w:val="005F0609"/>
    <w:rsid w:val="005F2B87"/>
    <w:rsid w:val="005F3EB1"/>
    <w:rsid w:val="005F5469"/>
    <w:rsid w:val="0060063E"/>
    <w:rsid w:val="006018EF"/>
    <w:rsid w:val="00604307"/>
    <w:rsid w:val="0060487F"/>
    <w:rsid w:val="00604EAD"/>
    <w:rsid w:val="00607834"/>
    <w:rsid w:val="006104FB"/>
    <w:rsid w:val="006109A9"/>
    <w:rsid w:val="006122D1"/>
    <w:rsid w:val="00612A2F"/>
    <w:rsid w:val="00613A2E"/>
    <w:rsid w:val="00616E05"/>
    <w:rsid w:val="00616E17"/>
    <w:rsid w:val="00617078"/>
    <w:rsid w:val="00622B4C"/>
    <w:rsid w:val="00624093"/>
    <w:rsid w:val="00626353"/>
    <w:rsid w:val="0062791F"/>
    <w:rsid w:val="00631E7C"/>
    <w:rsid w:val="0063536A"/>
    <w:rsid w:val="006404A7"/>
    <w:rsid w:val="006451E4"/>
    <w:rsid w:val="00645819"/>
    <w:rsid w:val="00645B33"/>
    <w:rsid w:val="00650275"/>
    <w:rsid w:val="00650925"/>
    <w:rsid w:val="006516CB"/>
    <w:rsid w:val="00656C52"/>
    <w:rsid w:val="00656C87"/>
    <w:rsid w:val="00657E87"/>
    <w:rsid w:val="00661BE4"/>
    <w:rsid w:val="00661DB2"/>
    <w:rsid w:val="00662030"/>
    <w:rsid w:val="00664803"/>
    <w:rsid w:val="0066549C"/>
    <w:rsid w:val="00665BA4"/>
    <w:rsid w:val="00666A57"/>
    <w:rsid w:val="006677B8"/>
    <w:rsid w:val="00667AF2"/>
    <w:rsid w:val="0067093E"/>
    <w:rsid w:val="006710C9"/>
    <w:rsid w:val="006727A6"/>
    <w:rsid w:val="00674D89"/>
    <w:rsid w:val="00675E37"/>
    <w:rsid w:val="0068062C"/>
    <w:rsid w:val="0068174E"/>
    <w:rsid w:val="00681DCE"/>
    <w:rsid w:val="0068260E"/>
    <w:rsid w:val="00685BEC"/>
    <w:rsid w:val="00690683"/>
    <w:rsid w:val="00693C2B"/>
    <w:rsid w:val="00693F4F"/>
    <w:rsid w:val="00695BEF"/>
    <w:rsid w:val="00697435"/>
    <w:rsid w:val="006977F6"/>
    <w:rsid w:val="00697A13"/>
    <w:rsid w:val="006A109C"/>
    <w:rsid w:val="006A47B0"/>
    <w:rsid w:val="006B03DF"/>
    <w:rsid w:val="006B22DF"/>
    <w:rsid w:val="006B344A"/>
    <w:rsid w:val="006B4464"/>
    <w:rsid w:val="006B78D8"/>
    <w:rsid w:val="006C113F"/>
    <w:rsid w:val="006C123E"/>
    <w:rsid w:val="006C128B"/>
    <w:rsid w:val="006C516C"/>
    <w:rsid w:val="006C56D4"/>
    <w:rsid w:val="006C5B3C"/>
    <w:rsid w:val="006C6924"/>
    <w:rsid w:val="006C6BE8"/>
    <w:rsid w:val="006C78D3"/>
    <w:rsid w:val="006C7CA6"/>
    <w:rsid w:val="006D3E8A"/>
    <w:rsid w:val="006D4064"/>
    <w:rsid w:val="006D61DD"/>
    <w:rsid w:val="006D61F6"/>
    <w:rsid w:val="006E05FE"/>
    <w:rsid w:val="006E279A"/>
    <w:rsid w:val="006E313B"/>
    <w:rsid w:val="006E48A4"/>
    <w:rsid w:val="006E79F3"/>
    <w:rsid w:val="006F2029"/>
    <w:rsid w:val="006F5416"/>
    <w:rsid w:val="006F7137"/>
    <w:rsid w:val="00700A9E"/>
    <w:rsid w:val="00701B50"/>
    <w:rsid w:val="00701DB8"/>
    <w:rsid w:val="00704C3F"/>
    <w:rsid w:val="00706AD4"/>
    <w:rsid w:val="00710DF7"/>
    <w:rsid w:val="007140BE"/>
    <w:rsid w:val="0072018E"/>
    <w:rsid w:val="007211F5"/>
    <w:rsid w:val="00722359"/>
    <w:rsid w:val="00722A19"/>
    <w:rsid w:val="00725BB5"/>
    <w:rsid w:val="00726388"/>
    <w:rsid w:val="00730AE8"/>
    <w:rsid w:val="00731E2F"/>
    <w:rsid w:val="0073214E"/>
    <w:rsid w:val="0073256F"/>
    <w:rsid w:val="00735191"/>
    <w:rsid w:val="00737EA5"/>
    <w:rsid w:val="00740CD1"/>
    <w:rsid w:val="00741493"/>
    <w:rsid w:val="0074219B"/>
    <w:rsid w:val="00742868"/>
    <w:rsid w:val="00742F45"/>
    <w:rsid w:val="00747095"/>
    <w:rsid w:val="00750FA5"/>
    <w:rsid w:val="00752180"/>
    <w:rsid w:val="007549BB"/>
    <w:rsid w:val="00755202"/>
    <w:rsid w:val="007554F9"/>
    <w:rsid w:val="00755D3A"/>
    <w:rsid w:val="007578D3"/>
    <w:rsid w:val="00757925"/>
    <w:rsid w:val="0076003C"/>
    <w:rsid w:val="007609C6"/>
    <w:rsid w:val="0076175D"/>
    <w:rsid w:val="0076287E"/>
    <w:rsid w:val="00764811"/>
    <w:rsid w:val="00764E54"/>
    <w:rsid w:val="0076521E"/>
    <w:rsid w:val="007661E9"/>
    <w:rsid w:val="007714C7"/>
    <w:rsid w:val="00771F07"/>
    <w:rsid w:val="00774838"/>
    <w:rsid w:val="00776169"/>
    <w:rsid w:val="00776527"/>
    <w:rsid w:val="00776667"/>
    <w:rsid w:val="0077709B"/>
    <w:rsid w:val="00780EF1"/>
    <w:rsid w:val="00786A10"/>
    <w:rsid w:val="00787171"/>
    <w:rsid w:val="007874C5"/>
    <w:rsid w:val="00790764"/>
    <w:rsid w:val="0079402D"/>
    <w:rsid w:val="0079453C"/>
    <w:rsid w:val="00794677"/>
    <w:rsid w:val="0079472D"/>
    <w:rsid w:val="00794844"/>
    <w:rsid w:val="00795F2F"/>
    <w:rsid w:val="007970A5"/>
    <w:rsid w:val="007A1FDC"/>
    <w:rsid w:val="007A5179"/>
    <w:rsid w:val="007A5589"/>
    <w:rsid w:val="007B08AF"/>
    <w:rsid w:val="007B3FF0"/>
    <w:rsid w:val="007B41B2"/>
    <w:rsid w:val="007B64CD"/>
    <w:rsid w:val="007B6689"/>
    <w:rsid w:val="007B6EAA"/>
    <w:rsid w:val="007B7672"/>
    <w:rsid w:val="007C1883"/>
    <w:rsid w:val="007C23DF"/>
    <w:rsid w:val="007C2728"/>
    <w:rsid w:val="007C3A3E"/>
    <w:rsid w:val="007C52E4"/>
    <w:rsid w:val="007C7DD2"/>
    <w:rsid w:val="007C7E1E"/>
    <w:rsid w:val="007D03B0"/>
    <w:rsid w:val="007D3922"/>
    <w:rsid w:val="007D40DF"/>
    <w:rsid w:val="007D40F8"/>
    <w:rsid w:val="007D43B5"/>
    <w:rsid w:val="007D612B"/>
    <w:rsid w:val="007D705F"/>
    <w:rsid w:val="007D717B"/>
    <w:rsid w:val="007D76CA"/>
    <w:rsid w:val="007E4BCF"/>
    <w:rsid w:val="007E6FD4"/>
    <w:rsid w:val="007E7E61"/>
    <w:rsid w:val="007F0845"/>
    <w:rsid w:val="007F3B2B"/>
    <w:rsid w:val="007F3E34"/>
    <w:rsid w:val="007F4377"/>
    <w:rsid w:val="007F45E0"/>
    <w:rsid w:val="00800493"/>
    <w:rsid w:val="00803A87"/>
    <w:rsid w:val="00807C82"/>
    <w:rsid w:val="00810A9E"/>
    <w:rsid w:val="00813696"/>
    <w:rsid w:val="00813C9F"/>
    <w:rsid w:val="00813DDE"/>
    <w:rsid w:val="0081642E"/>
    <w:rsid w:val="00816905"/>
    <w:rsid w:val="00817729"/>
    <w:rsid w:val="00821CE5"/>
    <w:rsid w:val="00821FF6"/>
    <w:rsid w:val="00822763"/>
    <w:rsid w:val="00824D60"/>
    <w:rsid w:val="00825C4D"/>
    <w:rsid w:val="0082731F"/>
    <w:rsid w:val="0083143E"/>
    <w:rsid w:val="00831CDE"/>
    <w:rsid w:val="00833502"/>
    <w:rsid w:val="00834304"/>
    <w:rsid w:val="008347AF"/>
    <w:rsid w:val="00834FAA"/>
    <w:rsid w:val="00836086"/>
    <w:rsid w:val="0084162C"/>
    <w:rsid w:val="0084708F"/>
    <w:rsid w:val="008477C8"/>
    <w:rsid w:val="00847A9B"/>
    <w:rsid w:val="00847D1C"/>
    <w:rsid w:val="0085114D"/>
    <w:rsid w:val="00852217"/>
    <w:rsid w:val="00852429"/>
    <w:rsid w:val="00855275"/>
    <w:rsid w:val="00855408"/>
    <w:rsid w:val="0085641C"/>
    <w:rsid w:val="0085676A"/>
    <w:rsid w:val="00856D65"/>
    <w:rsid w:val="008601F1"/>
    <w:rsid w:val="00860AE7"/>
    <w:rsid w:val="00861B41"/>
    <w:rsid w:val="00863434"/>
    <w:rsid w:val="00865E4C"/>
    <w:rsid w:val="00866E27"/>
    <w:rsid w:val="008701E4"/>
    <w:rsid w:val="00870338"/>
    <w:rsid w:val="0087440E"/>
    <w:rsid w:val="00874B81"/>
    <w:rsid w:val="00874EC6"/>
    <w:rsid w:val="00875A32"/>
    <w:rsid w:val="00876086"/>
    <w:rsid w:val="00880EAE"/>
    <w:rsid w:val="008814DB"/>
    <w:rsid w:val="00882FC9"/>
    <w:rsid w:val="00882FCF"/>
    <w:rsid w:val="00885D9B"/>
    <w:rsid w:val="00886785"/>
    <w:rsid w:val="008873D4"/>
    <w:rsid w:val="008928E9"/>
    <w:rsid w:val="00893447"/>
    <w:rsid w:val="00893E85"/>
    <w:rsid w:val="00894031"/>
    <w:rsid w:val="008941D8"/>
    <w:rsid w:val="0089767A"/>
    <w:rsid w:val="008978D6"/>
    <w:rsid w:val="008B2A95"/>
    <w:rsid w:val="008B54C8"/>
    <w:rsid w:val="008B7C02"/>
    <w:rsid w:val="008B7D2B"/>
    <w:rsid w:val="008C0049"/>
    <w:rsid w:val="008C0E88"/>
    <w:rsid w:val="008C3EDC"/>
    <w:rsid w:val="008C4159"/>
    <w:rsid w:val="008C78A2"/>
    <w:rsid w:val="008D0172"/>
    <w:rsid w:val="008D05B7"/>
    <w:rsid w:val="008D0BFA"/>
    <w:rsid w:val="008D16C0"/>
    <w:rsid w:val="008D1E6A"/>
    <w:rsid w:val="008D22AA"/>
    <w:rsid w:val="008D2A16"/>
    <w:rsid w:val="008D4C37"/>
    <w:rsid w:val="008D7148"/>
    <w:rsid w:val="008E2C57"/>
    <w:rsid w:val="008E31FF"/>
    <w:rsid w:val="008E5065"/>
    <w:rsid w:val="008E51CD"/>
    <w:rsid w:val="008E6F06"/>
    <w:rsid w:val="008E7CC7"/>
    <w:rsid w:val="008F029B"/>
    <w:rsid w:val="008F3B67"/>
    <w:rsid w:val="008F3FC9"/>
    <w:rsid w:val="008F585B"/>
    <w:rsid w:val="008F7860"/>
    <w:rsid w:val="009003A8"/>
    <w:rsid w:val="0090158A"/>
    <w:rsid w:val="00902500"/>
    <w:rsid w:val="00902EFF"/>
    <w:rsid w:val="00904A8C"/>
    <w:rsid w:val="00904D33"/>
    <w:rsid w:val="00904D80"/>
    <w:rsid w:val="00906401"/>
    <w:rsid w:val="00907881"/>
    <w:rsid w:val="0091022B"/>
    <w:rsid w:val="00910D55"/>
    <w:rsid w:val="0091155E"/>
    <w:rsid w:val="00911661"/>
    <w:rsid w:val="00912A92"/>
    <w:rsid w:val="00915C23"/>
    <w:rsid w:val="00916F73"/>
    <w:rsid w:val="009170AB"/>
    <w:rsid w:val="0091728D"/>
    <w:rsid w:val="00917291"/>
    <w:rsid w:val="00921510"/>
    <w:rsid w:val="0092180B"/>
    <w:rsid w:val="00921F14"/>
    <w:rsid w:val="00924AC8"/>
    <w:rsid w:val="009258B2"/>
    <w:rsid w:val="0092597A"/>
    <w:rsid w:val="00926272"/>
    <w:rsid w:val="0093187F"/>
    <w:rsid w:val="00932443"/>
    <w:rsid w:val="009330C3"/>
    <w:rsid w:val="009347F2"/>
    <w:rsid w:val="00937621"/>
    <w:rsid w:val="00937AE2"/>
    <w:rsid w:val="00941062"/>
    <w:rsid w:val="00943C36"/>
    <w:rsid w:val="0094427A"/>
    <w:rsid w:val="009445EA"/>
    <w:rsid w:val="00955870"/>
    <w:rsid w:val="00967D95"/>
    <w:rsid w:val="0097044A"/>
    <w:rsid w:val="00971FEA"/>
    <w:rsid w:val="00973C4B"/>
    <w:rsid w:val="00974923"/>
    <w:rsid w:val="00977A39"/>
    <w:rsid w:val="00980D3D"/>
    <w:rsid w:val="0098198C"/>
    <w:rsid w:val="00983719"/>
    <w:rsid w:val="00987A30"/>
    <w:rsid w:val="00990A60"/>
    <w:rsid w:val="00992CF3"/>
    <w:rsid w:val="00995566"/>
    <w:rsid w:val="009968D6"/>
    <w:rsid w:val="0099745E"/>
    <w:rsid w:val="0099769C"/>
    <w:rsid w:val="009A0348"/>
    <w:rsid w:val="009A0491"/>
    <w:rsid w:val="009A1CAB"/>
    <w:rsid w:val="009A25E7"/>
    <w:rsid w:val="009A4C68"/>
    <w:rsid w:val="009A60D1"/>
    <w:rsid w:val="009A6749"/>
    <w:rsid w:val="009B11D8"/>
    <w:rsid w:val="009B13E0"/>
    <w:rsid w:val="009B25C4"/>
    <w:rsid w:val="009B4AFE"/>
    <w:rsid w:val="009B6DD0"/>
    <w:rsid w:val="009B6FD3"/>
    <w:rsid w:val="009C048A"/>
    <w:rsid w:val="009C1750"/>
    <w:rsid w:val="009C1F9C"/>
    <w:rsid w:val="009C2ADE"/>
    <w:rsid w:val="009C2E29"/>
    <w:rsid w:val="009C554B"/>
    <w:rsid w:val="009C64F2"/>
    <w:rsid w:val="009C719E"/>
    <w:rsid w:val="009D3ACD"/>
    <w:rsid w:val="009D58EA"/>
    <w:rsid w:val="009E2CE9"/>
    <w:rsid w:val="009E5273"/>
    <w:rsid w:val="009E58CB"/>
    <w:rsid w:val="009E5DCB"/>
    <w:rsid w:val="009E5DDB"/>
    <w:rsid w:val="009F231B"/>
    <w:rsid w:val="009F425B"/>
    <w:rsid w:val="009F4CA7"/>
    <w:rsid w:val="009F5852"/>
    <w:rsid w:val="009F5F22"/>
    <w:rsid w:val="009F6820"/>
    <w:rsid w:val="00A0194A"/>
    <w:rsid w:val="00A06517"/>
    <w:rsid w:val="00A07D55"/>
    <w:rsid w:val="00A10D66"/>
    <w:rsid w:val="00A12F0F"/>
    <w:rsid w:val="00A14114"/>
    <w:rsid w:val="00A1463C"/>
    <w:rsid w:val="00A14F3A"/>
    <w:rsid w:val="00A16169"/>
    <w:rsid w:val="00A16413"/>
    <w:rsid w:val="00A21B43"/>
    <w:rsid w:val="00A23E43"/>
    <w:rsid w:val="00A24446"/>
    <w:rsid w:val="00A30344"/>
    <w:rsid w:val="00A30F65"/>
    <w:rsid w:val="00A3239A"/>
    <w:rsid w:val="00A36A90"/>
    <w:rsid w:val="00A36D79"/>
    <w:rsid w:val="00A418BC"/>
    <w:rsid w:val="00A440CF"/>
    <w:rsid w:val="00A46DE0"/>
    <w:rsid w:val="00A478D8"/>
    <w:rsid w:val="00A502F0"/>
    <w:rsid w:val="00A50D73"/>
    <w:rsid w:val="00A51FD5"/>
    <w:rsid w:val="00A52989"/>
    <w:rsid w:val="00A52CAD"/>
    <w:rsid w:val="00A53FC7"/>
    <w:rsid w:val="00A554CF"/>
    <w:rsid w:val="00A56C94"/>
    <w:rsid w:val="00A5735A"/>
    <w:rsid w:val="00A60EAA"/>
    <w:rsid w:val="00A62CE1"/>
    <w:rsid w:val="00A65A2E"/>
    <w:rsid w:val="00A66C4A"/>
    <w:rsid w:val="00A66E49"/>
    <w:rsid w:val="00A6741E"/>
    <w:rsid w:val="00A70AC6"/>
    <w:rsid w:val="00A711A1"/>
    <w:rsid w:val="00A716F3"/>
    <w:rsid w:val="00A75035"/>
    <w:rsid w:val="00A7547C"/>
    <w:rsid w:val="00A75E40"/>
    <w:rsid w:val="00A77D1D"/>
    <w:rsid w:val="00A84B8A"/>
    <w:rsid w:val="00A85714"/>
    <w:rsid w:val="00A857C0"/>
    <w:rsid w:val="00A86F27"/>
    <w:rsid w:val="00A95D95"/>
    <w:rsid w:val="00A96524"/>
    <w:rsid w:val="00A9746A"/>
    <w:rsid w:val="00AA16FF"/>
    <w:rsid w:val="00AA186E"/>
    <w:rsid w:val="00AA2996"/>
    <w:rsid w:val="00AA402B"/>
    <w:rsid w:val="00AA4904"/>
    <w:rsid w:val="00AA52BF"/>
    <w:rsid w:val="00AA559A"/>
    <w:rsid w:val="00AA7325"/>
    <w:rsid w:val="00AB07A3"/>
    <w:rsid w:val="00AB117D"/>
    <w:rsid w:val="00AB20E9"/>
    <w:rsid w:val="00AB2AF1"/>
    <w:rsid w:val="00AB2EEA"/>
    <w:rsid w:val="00AB4DCD"/>
    <w:rsid w:val="00AB7339"/>
    <w:rsid w:val="00AC12CC"/>
    <w:rsid w:val="00AC148B"/>
    <w:rsid w:val="00AC1514"/>
    <w:rsid w:val="00AC1720"/>
    <w:rsid w:val="00AC376D"/>
    <w:rsid w:val="00AC39F4"/>
    <w:rsid w:val="00AC746A"/>
    <w:rsid w:val="00AD02E2"/>
    <w:rsid w:val="00AD185B"/>
    <w:rsid w:val="00AD2FC5"/>
    <w:rsid w:val="00AD306C"/>
    <w:rsid w:val="00AD45C6"/>
    <w:rsid w:val="00AD56A9"/>
    <w:rsid w:val="00AE01E8"/>
    <w:rsid w:val="00AE0492"/>
    <w:rsid w:val="00AE09B3"/>
    <w:rsid w:val="00AE1A83"/>
    <w:rsid w:val="00AE2962"/>
    <w:rsid w:val="00AE29CE"/>
    <w:rsid w:val="00AE5CE1"/>
    <w:rsid w:val="00AE640A"/>
    <w:rsid w:val="00AF2689"/>
    <w:rsid w:val="00AF2AA7"/>
    <w:rsid w:val="00AF7C99"/>
    <w:rsid w:val="00AF7DE4"/>
    <w:rsid w:val="00B00913"/>
    <w:rsid w:val="00B01273"/>
    <w:rsid w:val="00B01593"/>
    <w:rsid w:val="00B05FCB"/>
    <w:rsid w:val="00B10A4D"/>
    <w:rsid w:val="00B13BB9"/>
    <w:rsid w:val="00B14939"/>
    <w:rsid w:val="00B1747B"/>
    <w:rsid w:val="00B17E71"/>
    <w:rsid w:val="00B17FDE"/>
    <w:rsid w:val="00B2379C"/>
    <w:rsid w:val="00B2687D"/>
    <w:rsid w:val="00B32DDB"/>
    <w:rsid w:val="00B34528"/>
    <w:rsid w:val="00B34C59"/>
    <w:rsid w:val="00B36212"/>
    <w:rsid w:val="00B36D22"/>
    <w:rsid w:val="00B378BD"/>
    <w:rsid w:val="00B37EED"/>
    <w:rsid w:val="00B402FC"/>
    <w:rsid w:val="00B41A00"/>
    <w:rsid w:val="00B43352"/>
    <w:rsid w:val="00B446C3"/>
    <w:rsid w:val="00B45AAB"/>
    <w:rsid w:val="00B46604"/>
    <w:rsid w:val="00B47690"/>
    <w:rsid w:val="00B47E59"/>
    <w:rsid w:val="00B5037B"/>
    <w:rsid w:val="00B52A85"/>
    <w:rsid w:val="00B530CD"/>
    <w:rsid w:val="00B544E2"/>
    <w:rsid w:val="00B550AF"/>
    <w:rsid w:val="00B55F5E"/>
    <w:rsid w:val="00B560B3"/>
    <w:rsid w:val="00B56222"/>
    <w:rsid w:val="00B5752E"/>
    <w:rsid w:val="00B57A8F"/>
    <w:rsid w:val="00B600D3"/>
    <w:rsid w:val="00B6283F"/>
    <w:rsid w:val="00B63A11"/>
    <w:rsid w:val="00B64C24"/>
    <w:rsid w:val="00B6608F"/>
    <w:rsid w:val="00B67966"/>
    <w:rsid w:val="00B679FB"/>
    <w:rsid w:val="00B70148"/>
    <w:rsid w:val="00B71824"/>
    <w:rsid w:val="00B72AEC"/>
    <w:rsid w:val="00B75684"/>
    <w:rsid w:val="00B757DB"/>
    <w:rsid w:val="00B76D1E"/>
    <w:rsid w:val="00B80EC6"/>
    <w:rsid w:val="00B81E1D"/>
    <w:rsid w:val="00B82BCE"/>
    <w:rsid w:val="00B83928"/>
    <w:rsid w:val="00B92D1D"/>
    <w:rsid w:val="00B938C5"/>
    <w:rsid w:val="00B95940"/>
    <w:rsid w:val="00BA56A3"/>
    <w:rsid w:val="00BA6804"/>
    <w:rsid w:val="00BA7247"/>
    <w:rsid w:val="00BA7EF7"/>
    <w:rsid w:val="00BB46F3"/>
    <w:rsid w:val="00BB4CB1"/>
    <w:rsid w:val="00BB4F98"/>
    <w:rsid w:val="00BB511F"/>
    <w:rsid w:val="00BB7D52"/>
    <w:rsid w:val="00BC2D96"/>
    <w:rsid w:val="00BC33C6"/>
    <w:rsid w:val="00BC669A"/>
    <w:rsid w:val="00BC7154"/>
    <w:rsid w:val="00BC7244"/>
    <w:rsid w:val="00BD0A8D"/>
    <w:rsid w:val="00BD20CD"/>
    <w:rsid w:val="00BD2998"/>
    <w:rsid w:val="00BD366B"/>
    <w:rsid w:val="00BD5B70"/>
    <w:rsid w:val="00BD6D50"/>
    <w:rsid w:val="00BE18B9"/>
    <w:rsid w:val="00BE1CEB"/>
    <w:rsid w:val="00BE1DF8"/>
    <w:rsid w:val="00BE2495"/>
    <w:rsid w:val="00BE3497"/>
    <w:rsid w:val="00BE5EB7"/>
    <w:rsid w:val="00BE7B7D"/>
    <w:rsid w:val="00BF1578"/>
    <w:rsid w:val="00BF1731"/>
    <w:rsid w:val="00C101FE"/>
    <w:rsid w:val="00C1214F"/>
    <w:rsid w:val="00C14339"/>
    <w:rsid w:val="00C15BCD"/>
    <w:rsid w:val="00C162CA"/>
    <w:rsid w:val="00C174A4"/>
    <w:rsid w:val="00C21F94"/>
    <w:rsid w:val="00C22AD7"/>
    <w:rsid w:val="00C2397A"/>
    <w:rsid w:val="00C25DAB"/>
    <w:rsid w:val="00C25EC6"/>
    <w:rsid w:val="00C27913"/>
    <w:rsid w:val="00C27ECC"/>
    <w:rsid w:val="00C33B68"/>
    <w:rsid w:val="00C35BEA"/>
    <w:rsid w:val="00C364F0"/>
    <w:rsid w:val="00C36A79"/>
    <w:rsid w:val="00C404C3"/>
    <w:rsid w:val="00C405D4"/>
    <w:rsid w:val="00C40B6C"/>
    <w:rsid w:val="00C4513B"/>
    <w:rsid w:val="00C466F4"/>
    <w:rsid w:val="00C54697"/>
    <w:rsid w:val="00C54833"/>
    <w:rsid w:val="00C57ABA"/>
    <w:rsid w:val="00C60F49"/>
    <w:rsid w:val="00C6103F"/>
    <w:rsid w:val="00C61702"/>
    <w:rsid w:val="00C63B52"/>
    <w:rsid w:val="00C63D65"/>
    <w:rsid w:val="00C64E57"/>
    <w:rsid w:val="00C717FD"/>
    <w:rsid w:val="00C7280E"/>
    <w:rsid w:val="00C73885"/>
    <w:rsid w:val="00C747B1"/>
    <w:rsid w:val="00C7500E"/>
    <w:rsid w:val="00C75F18"/>
    <w:rsid w:val="00C76D7D"/>
    <w:rsid w:val="00C812D3"/>
    <w:rsid w:val="00C819B2"/>
    <w:rsid w:val="00C82191"/>
    <w:rsid w:val="00C829FD"/>
    <w:rsid w:val="00C84608"/>
    <w:rsid w:val="00C87196"/>
    <w:rsid w:val="00C872DC"/>
    <w:rsid w:val="00C87FDD"/>
    <w:rsid w:val="00C90CF4"/>
    <w:rsid w:val="00C91C87"/>
    <w:rsid w:val="00C92EB6"/>
    <w:rsid w:val="00C93389"/>
    <w:rsid w:val="00C9573E"/>
    <w:rsid w:val="00C961EB"/>
    <w:rsid w:val="00CA0BCA"/>
    <w:rsid w:val="00CA0FFC"/>
    <w:rsid w:val="00CA349A"/>
    <w:rsid w:val="00CA6516"/>
    <w:rsid w:val="00CB0299"/>
    <w:rsid w:val="00CB3139"/>
    <w:rsid w:val="00CB4930"/>
    <w:rsid w:val="00CB698F"/>
    <w:rsid w:val="00CC11E6"/>
    <w:rsid w:val="00CC2E7D"/>
    <w:rsid w:val="00CC5E5F"/>
    <w:rsid w:val="00CD10A5"/>
    <w:rsid w:val="00CD2076"/>
    <w:rsid w:val="00CD2412"/>
    <w:rsid w:val="00CD3DFD"/>
    <w:rsid w:val="00CD601F"/>
    <w:rsid w:val="00CD6AB5"/>
    <w:rsid w:val="00CD6E59"/>
    <w:rsid w:val="00CD7869"/>
    <w:rsid w:val="00CE146C"/>
    <w:rsid w:val="00CE4C89"/>
    <w:rsid w:val="00CE5D87"/>
    <w:rsid w:val="00CE670B"/>
    <w:rsid w:val="00CF1455"/>
    <w:rsid w:val="00CF3D42"/>
    <w:rsid w:val="00CF51EC"/>
    <w:rsid w:val="00CF5881"/>
    <w:rsid w:val="00CF724F"/>
    <w:rsid w:val="00CF73AE"/>
    <w:rsid w:val="00D025FA"/>
    <w:rsid w:val="00D03393"/>
    <w:rsid w:val="00D040DD"/>
    <w:rsid w:val="00D045AE"/>
    <w:rsid w:val="00D04C9C"/>
    <w:rsid w:val="00D06F2A"/>
    <w:rsid w:val="00D13986"/>
    <w:rsid w:val="00D14A92"/>
    <w:rsid w:val="00D201D8"/>
    <w:rsid w:val="00D235B7"/>
    <w:rsid w:val="00D23CB2"/>
    <w:rsid w:val="00D25F28"/>
    <w:rsid w:val="00D27973"/>
    <w:rsid w:val="00D27F7B"/>
    <w:rsid w:val="00D3352B"/>
    <w:rsid w:val="00D428B5"/>
    <w:rsid w:val="00D47031"/>
    <w:rsid w:val="00D50F46"/>
    <w:rsid w:val="00D51501"/>
    <w:rsid w:val="00D53CB5"/>
    <w:rsid w:val="00D565F4"/>
    <w:rsid w:val="00D61365"/>
    <w:rsid w:val="00D63619"/>
    <w:rsid w:val="00D65CC8"/>
    <w:rsid w:val="00D66223"/>
    <w:rsid w:val="00D73AB5"/>
    <w:rsid w:val="00D742B4"/>
    <w:rsid w:val="00D7703B"/>
    <w:rsid w:val="00D8084C"/>
    <w:rsid w:val="00D836D2"/>
    <w:rsid w:val="00D90069"/>
    <w:rsid w:val="00D92A63"/>
    <w:rsid w:val="00DA0AFE"/>
    <w:rsid w:val="00DA0D5C"/>
    <w:rsid w:val="00DA6969"/>
    <w:rsid w:val="00DA7C0C"/>
    <w:rsid w:val="00DB0F28"/>
    <w:rsid w:val="00DB1D90"/>
    <w:rsid w:val="00DB2410"/>
    <w:rsid w:val="00DB2EC8"/>
    <w:rsid w:val="00DB332F"/>
    <w:rsid w:val="00DB4701"/>
    <w:rsid w:val="00DC35E8"/>
    <w:rsid w:val="00DC5B3B"/>
    <w:rsid w:val="00DC615A"/>
    <w:rsid w:val="00DD091D"/>
    <w:rsid w:val="00DD129F"/>
    <w:rsid w:val="00DD130E"/>
    <w:rsid w:val="00DD25AA"/>
    <w:rsid w:val="00DE0BA0"/>
    <w:rsid w:val="00DE1E7E"/>
    <w:rsid w:val="00DE2D95"/>
    <w:rsid w:val="00DE37AF"/>
    <w:rsid w:val="00DE44B4"/>
    <w:rsid w:val="00DE4F3B"/>
    <w:rsid w:val="00DE4FDB"/>
    <w:rsid w:val="00DF15F9"/>
    <w:rsid w:val="00DF42FF"/>
    <w:rsid w:val="00DF44CF"/>
    <w:rsid w:val="00DF6A75"/>
    <w:rsid w:val="00DF723C"/>
    <w:rsid w:val="00E00286"/>
    <w:rsid w:val="00E008AC"/>
    <w:rsid w:val="00E01C0E"/>
    <w:rsid w:val="00E027EE"/>
    <w:rsid w:val="00E03F9A"/>
    <w:rsid w:val="00E04694"/>
    <w:rsid w:val="00E04C53"/>
    <w:rsid w:val="00E061E1"/>
    <w:rsid w:val="00E12B1E"/>
    <w:rsid w:val="00E1469A"/>
    <w:rsid w:val="00E160F1"/>
    <w:rsid w:val="00E17223"/>
    <w:rsid w:val="00E17262"/>
    <w:rsid w:val="00E17F51"/>
    <w:rsid w:val="00E230A5"/>
    <w:rsid w:val="00E232A2"/>
    <w:rsid w:val="00E2381A"/>
    <w:rsid w:val="00E253A2"/>
    <w:rsid w:val="00E27A5C"/>
    <w:rsid w:val="00E3026F"/>
    <w:rsid w:val="00E30557"/>
    <w:rsid w:val="00E31308"/>
    <w:rsid w:val="00E3309D"/>
    <w:rsid w:val="00E3470D"/>
    <w:rsid w:val="00E50156"/>
    <w:rsid w:val="00E5324E"/>
    <w:rsid w:val="00E53470"/>
    <w:rsid w:val="00E539F6"/>
    <w:rsid w:val="00E53EA5"/>
    <w:rsid w:val="00E54374"/>
    <w:rsid w:val="00E55C96"/>
    <w:rsid w:val="00E64490"/>
    <w:rsid w:val="00E6519D"/>
    <w:rsid w:val="00E67696"/>
    <w:rsid w:val="00E70B29"/>
    <w:rsid w:val="00E71A58"/>
    <w:rsid w:val="00E72A7A"/>
    <w:rsid w:val="00E72AA3"/>
    <w:rsid w:val="00E75C94"/>
    <w:rsid w:val="00E7631E"/>
    <w:rsid w:val="00E80CB9"/>
    <w:rsid w:val="00E8447B"/>
    <w:rsid w:val="00E875F2"/>
    <w:rsid w:val="00E917FA"/>
    <w:rsid w:val="00E93820"/>
    <w:rsid w:val="00E93B24"/>
    <w:rsid w:val="00E961F6"/>
    <w:rsid w:val="00E96A62"/>
    <w:rsid w:val="00E97145"/>
    <w:rsid w:val="00E9798D"/>
    <w:rsid w:val="00EA0C68"/>
    <w:rsid w:val="00EA11B1"/>
    <w:rsid w:val="00EA1457"/>
    <w:rsid w:val="00EA1A3E"/>
    <w:rsid w:val="00EA32BC"/>
    <w:rsid w:val="00EA34CA"/>
    <w:rsid w:val="00EA4230"/>
    <w:rsid w:val="00EA4DB0"/>
    <w:rsid w:val="00EA4E07"/>
    <w:rsid w:val="00EA5A16"/>
    <w:rsid w:val="00EB0C94"/>
    <w:rsid w:val="00EB0F55"/>
    <w:rsid w:val="00EB420F"/>
    <w:rsid w:val="00EB4511"/>
    <w:rsid w:val="00EB6363"/>
    <w:rsid w:val="00EB6698"/>
    <w:rsid w:val="00EC03D7"/>
    <w:rsid w:val="00EC53DF"/>
    <w:rsid w:val="00EC561A"/>
    <w:rsid w:val="00ED1116"/>
    <w:rsid w:val="00ED16E1"/>
    <w:rsid w:val="00ED2D52"/>
    <w:rsid w:val="00ED311E"/>
    <w:rsid w:val="00ED4F06"/>
    <w:rsid w:val="00ED5CB2"/>
    <w:rsid w:val="00ED62C6"/>
    <w:rsid w:val="00ED64C1"/>
    <w:rsid w:val="00ED7370"/>
    <w:rsid w:val="00EE2522"/>
    <w:rsid w:val="00EE3446"/>
    <w:rsid w:val="00EE3B97"/>
    <w:rsid w:val="00EE3E78"/>
    <w:rsid w:val="00EE4B1B"/>
    <w:rsid w:val="00EF0277"/>
    <w:rsid w:val="00EF1161"/>
    <w:rsid w:val="00EF150D"/>
    <w:rsid w:val="00EF1F5A"/>
    <w:rsid w:val="00EF3181"/>
    <w:rsid w:val="00EF32A0"/>
    <w:rsid w:val="00EF3498"/>
    <w:rsid w:val="00EF47BF"/>
    <w:rsid w:val="00EF4FF1"/>
    <w:rsid w:val="00EF7010"/>
    <w:rsid w:val="00F003C9"/>
    <w:rsid w:val="00F02E34"/>
    <w:rsid w:val="00F04811"/>
    <w:rsid w:val="00F0488C"/>
    <w:rsid w:val="00F05F5E"/>
    <w:rsid w:val="00F06530"/>
    <w:rsid w:val="00F10F11"/>
    <w:rsid w:val="00F12CE1"/>
    <w:rsid w:val="00F15AAA"/>
    <w:rsid w:val="00F15BEF"/>
    <w:rsid w:val="00F15F27"/>
    <w:rsid w:val="00F16114"/>
    <w:rsid w:val="00F17EC5"/>
    <w:rsid w:val="00F2050B"/>
    <w:rsid w:val="00F23B1D"/>
    <w:rsid w:val="00F24407"/>
    <w:rsid w:val="00F24FAA"/>
    <w:rsid w:val="00F266E0"/>
    <w:rsid w:val="00F32027"/>
    <w:rsid w:val="00F33242"/>
    <w:rsid w:val="00F33643"/>
    <w:rsid w:val="00F3364D"/>
    <w:rsid w:val="00F3511B"/>
    <w:rsid w:val="00F3627B"/>
    <w:rsid w:val="00F437CC"/>
    <w:rsid w:val="00F44C52"/>
    <w:rsid w:val="00F45A2B"/>
    <w:rsid w:val="00F47067"/>
    <w:rsid w:val="00F525EB"/>
    <w:rsid w:val="00F5284A"/>
    <w:rsid w:val="00F545B2"/>
    <w:rsid w:val="00F55ED6"/>
    <w:rsid w:val="00F63DDE"/>
    <w:rsid w:val="00F63FB7"/>
    <w:rsid w:val="00F64483"/>
    <w:rsid w:val="00F649D2"/>
    <w:rsid w:val="00F6602B"/>
    <w:rsid w:val="00F71DA5"/>
    <w:rsid w:val="00F7260E"/>
    <w:rsid w:val="00F72CB2"/>
    <w:rsid w:val="00F72FDA"/>
    <w:rsid w:val="00F73A0C"/>
    <w:rsid w:val="00F73F2B"/>
    <w:rsid w:val="00F74112"/>
    <w:rsid w:val="00F756DB"/>
    <w:rsid w:val="00F7648F"/>
    <w:rsid w:val="00F81A89"/>
    <w:rsid w:val="00F82C16"/>
    <w:rsid w:val="00F85066"/>
    <w:rsid w:val="00F851D5"/>
    <w:rsid w:val="00F9137F"/>
    <w:rsid w:val="00FA065F"/>
    <w:rsid w:val="00FA5138"/>
    <w:rsid w:val="00FA5D4D"/>
    <w:rsid w:val="00FB03BD"/>
    <w:rsid w:val="00FB0EE2"/>
    <w:rsid w:val="00FB252E"/>
    <w:rsid w:val="00FB2845"/>
    <w:rsid w:val="00FB45DD"/>
    <w:rsid w:val="00FB542E"/>
    <w:rsid w:val="00FB6CE2"/>
    <w:rsid w:val="00FC0E5F"/>
    <w:rsid w:val="00FC1A95"/>
    <w:rsid w:val="00FC56DE"/>
    <w:rsid w:val="00FC684B"/>
    <w:rsid w:val="00FC6E1A"/>
    <w:rsid w:val="00FD2D7B"/>
    <w:rsid w:val="00FD306F"/>
    <w:rsid w:val="00FD3265"/>
    <w:rsid w:val="00FD43CA"/>
    <w:rsid w:val="00FD6D4F"/>
    <w:rsid w:val="00FD7D90"/>
    <w:rsid w:val="00FE2F78"/>
    <w:rsid w:val="00FE65BF"/>
    <w:rsid w:val="00FF3E7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2_Vzd&#283;l&#225;v&#225;n&#237;\2_CVTS_Ka&#353;parov&#225;\Publikace\CVTS_publikace\CVTS_aktu\grafyAK1_zaokrouh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2_Vzd&#283;l&#225;v&#225;n&#237;\2_CVTS_Ka&#353;parov&#225;\Publikace\CVTS_publikace\CVTS_aktu\grafyAK1_zaokrouh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1\2_Vzd&#283;l&#225;v&#225;n&#237;\2_CVTS_Ka&#353;parov&#225;\Publikace\CVTS_publikace\CVTS_aktu\grafyAK1_zaokrouh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654094519974076"/>
          <c:y val="3.9268178327563505E-2"/>
          <c:w val="0.5712224153240294"/>
          <c:h val="0.809015527128675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'G30'!$B$1</c:f>
              <c:strCache>
                <c:ptCount val="1"/>
                <c:pt idx="0">
                  <c:v> firmy z odvětví Ubytování, stravování a pohostinství (sekce I)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/>
              </a:solidFill>
            </a:ln>
          </c:spPr>
          <c:invertIfNegative val="0"/>
          <c:dLbls>
            <c:dLbl>
              <c:idx val="1"/>
              <c:layout>
                <c:manualLayout>
                  <c:x val="-2.79137742559960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'G30'!$A$2:$A$10</c:f>
              <c:strCache>
                <c:ptCount val="9"/>
                <c:pt idx="0">
                  <c:v>jiné důvody</c:v>
                </c:pt>
                <c:pt idx="1">
                  <c:v>potíže s identifikací vzdělávacích potřeb</c:v>
                </c:pt>
                <c:pt idx="2">
                  <c:v>upřednostňování podpory POV* 
před vzděláváním zaměstnanců</c:v>
                </c:pt>
                <c:pt idx="3">
                  <c:v>důraz na vzdělávání kladen v dřívejších letech</c:v>
                </c:pt>
                <c:pt idx="4">
                  <c:v>nedostatek vhodných nabídek vzdělávání</c:v>
                </c:pt>
                <c:pt idx="5">
                  <c:v>vysoké náklady na vzdělávání</c:v>
                </c:pt>
                <c:pt idx="6">
                  <c:v>upřednostňování nových pracovníků
 před vzděláváním stávajících</c:v>
                </c:pt>
                <c:pt idx="7">
                  <c:v>vysoké pracovní zatížení 
a nedostatek času zaměstnanců</c:v>
                </c:pt>
                <c:pt idx="8">
                  <c:v>stávající kvalifikace či účast 
ve vzdělávání byly dostatečné</c:v>
                </c:pt>
              </c:strCache>
            </c:strRef>
          </c:cat>
          <c:val>
            <c:numRef>
              <c:f>'G30'!$B$2:$B$10</c:f>
              <c:numCache>
                <c:formatCode>0%</c:formatCode>
                <c:ptCount val="9"/>
                <c:pt idx="0">
                  <c:v>0.127</c:v>
                </c:pt>
                <c:pt idx="1">
                  <c:v>0.02</c:v>
                </c:pt>
                <c:pt idx="2">
                  <c:v>6.2E-2</c:v>
                </c:pt>
                <c:pt idx="3">
                  <c:v>3.7999999999999999E-2</c:v>
                </c:pt>
                <c:pt idx="4">
                  <c:v>4.5999999999999999E-2</c:v>
                </c:pt>
                <c:pt idx="5">
                  <c:v>9.0999999999999998E-2</c:v>
                </c:pt>
                <c:pt idx="6">
                  <c:v>0.20899999999999999</c:v>
                </c:pt>
                <c:pt idx="7">
                  <c:v>0.155</c:v>
                </c:pt>
                <c:pt idx="8">
                  <c:v>0.47799999999999998</c:v>
                </c:pt>
              </c:numCache>
            </c:numRef>
          </c:val>
        </c:ser>
        <c:ser>
          <c:idx val="1"/>
          <c:order val="1"/>
          <c:tx>
            <c:strRef>
              <c:f>'G30'!$C$1</c:f>
              <c:strCache>
                <c:ptCount val="1"/>
                <c:pt idx="0">
                  <c:v> všechny firmy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1"/>
              <c:layout>
                <c:manualLayout>
                  <c:x val="4.86987466793346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'G30'!$A$2:$A$10</c:f>
              <c:strCache>
                <c:ptCount val="9"/>
                <c:pt idx="0">
                  <c:v>jiné důvody</c:v>
                </c:pt>
                <c:pt idx="1">
                  <c:v>potíže s identifikací vzdělávacích potřeb</c:v>
                </c:pt>
                <c:pt idx="2">
                  <c:v>upřednostňování podpory POV* 
před vzděláváním zaměstnanců</c:v>
                </c:pt>
                <c:pt idx="3">
                  <c:v>důraz na vzdělávání kladen v dřívejších letech</c:v>
                </c:pt>
                <c:pt idx="4">
                  <c:v>nedostatek vhodných nabídek vzdělávání</c:v>
                </c:pt>
                <c:pt idx="5">
                  <c:v>vysoké náklady na vzdělávání</c:v>
                </c:pt>
                <c:pt idx="6">
                  <c:v>upřednostňování nových pracovníků
 před vzděláváním stávajících</c:v>
                </c:pt>
                <c:pt idx="7">
                  <c:v>vysoké pracovní zatížení 
a nedostatek času zaměstnanců</c:v>
                </c:pt>
                <c:pt idx="8">
                  <c:v>stávající kvalifikace či účast 
ve vzdělávání byly dostatečné</c:v>
                </c:pt>
              </c:strCache>
            </c:strRef>
          </c:cat>
          <c:val>
            <c:numRef>
              <c:f>'G30'!$C$2:$C$10</c:f>
              <c:numCache>
                <c:formatCode>0%</c:formatCode>
                <c:ptCount val="9"/>
                <c:pt idx="0">
                  <c:v>8.4000000000000005E-2</c:v>
                </c:pt>
                <c:pt idx="1">
                  <c:v>1.4E-2</c:v>
                </c:pt>
                <c:pt idx="2">
                  <c:v>2.9000000000000001E-2</c:v>
                </c:pt>
                <c:pt idx="3">
                  <c:v>4.9000000000000002E-2</c:v>
                </c:pt>
                <c:pt idx="4">
                  <c:v>5.8000000000000003E-2</c:v>
                </c:pt>
                <c:pt idx="5">
                  <c:v>9.5000000000000001E-2</c:v>
                </c:pt>
                <c:pt idx="6">
                  <c:v>0.123</c:v>
                </c:pt>
                <c:pt idx="7">
                  <c:v>0.14699999999999999</c:v>
                </c:pt>
                <c:pt idx="8">
                  <c:v>0.58099999999999996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44512"/>
        <c:axId val="270493376"/>
      </c:barChart>
      <c:catAx>
        <c:axId val="303744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0493376"/>
        <c:crosses val="autoZero"/>
        <c:auto val="1"/>
        <c:lblAlgn val="ctr"/>
        <c:lblOffset val="100"/>
        <c:noMultiLvlLbl val="0"/>
      </c:catAx>
      <c:valAx>
        <c:axId val="2704933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03744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793156419570111"/>
          <c:y val="0.89766774567487873"/>
          <c:w val="0.70413669828494507"/>
          <c:h val="8.091324796463221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598082381772036"/>
          <c:y val="3.9268178327563505E-2"/>
          <c:w val="0.50197060326857212"/>
          <c:h val="0.853999978747503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'G31'!$B$1</c:f>
              <c:strCache>
                <c:ptCount val="1"/>
                <c:pt idx="0">
                  <c:v>firmy poskytující vzdělávání s více než 250 zaměstnanci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/>
              </a:solidFill>
            </a:ln>
          </c:spPr>
          <c:invertIfNegative val="0"/>
          <c:dLbls>
            <c:dLbl>
              <c:idx val="1"/>
              <c:layout>
                <c:manualLayout>
                  <c:x val="-5.3045738950878362E-3"/>
                  <c:y val="-1.175200099201845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67996002869387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'G31'!$A$2:$A$10</c:f>
              <c:strCache>
                <c:ptCount val="9"/>
                <c:pt idx="0">
                  <c:v>jiné důvody</c:v>
                </c:pt>
                <c:pt idx="1">
                  <c:v>potíže s identifikací vzdělávacích potřeb</c:v>
                </c:pt>
                <c:pt idx="2">
                  <c:v>upřednostňování podpory POV* 
před vzděláváním zaměstnanců</c:v>
                </c:pt>
                <c:pt idx="3">
                  <c:v>důraz na vzdělávání kladen v dřívejších letech</c:v>
                </c:pt>
                <c:pt idx="4">
                  <c:v>nedostatek vhodných nabídek vzdělávání</c:v>
                </c:pt>
                <c:pt idx="5">
                  <c:v>vysoké náklady na vzdělávání</c:v>
                </c:pt>
                <c:pt idx="6">
                  <c:v>upřednostňování nových pracovníků
 před vzděláváním stávajících</c:v>
                </c:pt>
                <c:pt idx="7">
                  <c:v>vysoké pracovní zatížení 
a nedostatek času zaměstnanců</c:v>
                </c:pt>
                <c:pt idx="8">
                  <c:v>žádná omezení neevidována, 
účast na vzdělávání byla dostatečná</c:v>
                </c:pt>
              </c:strCache>
            </c:strRef>
          </c:cat>
          <c:val>
            <c:numRef>
              <c:f>'G31'!$B$2:$B$10</c:f>
              <c:numCache>
                <c:formatCode>0%</c:formatCode>
                <c:ptCount val="9"/>
                <c:pt idx="0">
                  <c:v>8.1000000000000003E-2</c:v>
                </c:pt>
                <c:pt idx="1">
                  <c:v>2.9000000000000001E-2</c:v>
                </c:pt>
                <c:pt idx="2">
                  <c:v>2.8000000000000001E-2</c:v>
                </c:pt>
                <c:pt idx="3">
                  <c:v>0.104</c:v>
                </c:pt>
                <c:pt idx="4">
                  <c:v>6.2E-2</c:v>
                </c:pt>
                <c:pt idx="5">
                  <c:v>0.19</c:v>
                </c:pt>
                <c:pt idx="6">
                  <c:v>9.2999999999999999E-2</c:v>
                </c:pt>
                <c:pt idx="7">
                  <c:v>0.28299999999999997</c:v>
                </c:pt>
                <c:pt idx="8">
                  <c:v>0.48299999999999998</c:v>
                </c:pt>
              </c:numCache>
            </c:numRef>
          </c:val>
        </c:ser>
        <c:ser>
          <c:idx val="1"/>
          <c:order val="1"/>
          <c:tx>
            <c:strRef>
              <c:f>'G31'!$C$1</c:f>
              <c:strCache>
                <c:ptCount val="1"/>
                <c:pt idx="0">
                  <c:v>firmy poskytující vzdělávání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1"/>
              <c:layout>
                <c:manualLayout>
                  <c:x val="-2.01747293436661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777296795247336E-3"/>
                  <c:y val="-1.175200099201845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'G31'!$A$2:$A$10</c:f>
              <c:strCache>
                <c:ptCount val="9"/>
                <c:pt idx="0">
                  <c:v>jiné důvody</c:v>
                </c:pt>
                <c:pt idx="1">
                  <c:v>potíže s identifikací vzdělávacích potřeb</c:v>
                </c:pt>
                <c:pt idx="2">
                  <c:v>upřednostňování podpory POV* 
před vzděláváním zaměstnanců</c:v>
                </c:pt>
                <c:pt idx="3">
                  <c:v>důraz na vzdělávání kladen v dřívejších letech</c:v>
                </c:pt>
                <c:pt idx="4">
                  <c:v>nedostatek vhodných nabídek vzdělávání</c:v>
                </c:pt>
                <c:pt idx="5">
                  <c:v>vysoké náklady na vzdělávání</c:v>
                </c:pt>
                <c:pt idx="6">
                  <c:v>upřednostňování nových pracovníků
 před vzděláváním stávajících</c:v>
                </c:pt>
                <c:pt idx="7">
                  <c:v>vysoké pracovní zatížení 
a nedostatek času zaměstnanců</c:v>
                </c:pt>
                <c:pt idx="8">
                  <c:v>žádná omezení neevidována, 
účast na vzdělávání byla dostatečná</c:v>
                </c:pt>
              </c:strCache>
            </c:strRef>
          </c:cat>
          <c:val>
            <c:numRef>
              <c:f>'G31'!$C$2:$C$10</c:f>
              <c:numCache>
                <c:formatCode>0%</c:formatCode>
                <c:ptCount val="9"/>
                <c:pt idx="0">
                  <c:v>6.9000000000000006E-2</c:v>
                </c:pt>
                <c:pt idx="1">
                  <c:v>1.4999999999999999E-2</c:v>
                </c:pt>
                <c:pt idx="2">
                  <c:v>3.1E-2</c:v>
                </c:pt>
                <c:pt idx="3">
                  <c:v>5.2999999999999999E-2</c:v>
                </c:pt>
                <c:pt idx="4">
                  <c:v>6.0999999999999999E-2</c:v>
                </c:pt>
                <c:pt idx="5">
                  <c:v>9.9000000000000005E-2</c:v>
                </c:pt>
                <c:pt idx="6">
                  <c:v>0.13200000000000001</c:v>
                </c:pt>
                <c:pt idx="7">
                  <c:v>0.157</c:v>
                </c:pt>
                <c:pt idx="8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46048"/>
        <c:axId val="270495104"/>
      </c:barChart>
      <c:catAx>
        <c:axId val="303746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0495104"/>
        <c:crosses val="autoZero"/>
        <c:auto val="1"/>
        <c:lblAlgn val="ctr"/>
        <c:lblOffset val="100"/>
        <c:noMultiLvlLbl val="0"/>
      </c:catAx>
      <c:valAx>
        <c:axId val="2704951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037460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135976082993752"/>
          <c:y val="3.9268178327563505E-2"/>
          <c:w val="0.52178141149918134"/>
          <c:h val="0.871301567241625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'G32'!$B$1</c:f>
              <c:strCache>
                <c:ptCount val="1"/>
                <c:pt idx="0">
                  <c:v>důvody nezajišťování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82299737951969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02420776791547E-2"/>
                  <c:y val="3.272310391954740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82299737951969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'G32'!$A$2:$A$10</c:f>
              <c:strCache>
                <c:ptCount val="9"/>
                <c:pt idx="0">
                  <c:v>jiné důvody</c:v>
                </c:pt>
                <c:pt idx="1">
                  <c:v>potíže s identifikací vzdělávacích potřeb</c:v>
                </c:pt>
                <c:pt idx="2">
                  <c:v>upřednostňování podpory POV* před vzděláváním zaměstnanců</c:v>
                </c:pt>
                <c:pt idx="3">
                  <c:v>důraz na vzdělávání kladen v dřívejších letech</c:v>
                </c:pt>
                <c:pt idx="4">
                  <c:v>nedostatek vhodných nabídek vzdělávání</c:v>
                </c:pt>
                <c:pt idx="5">
                  <c:v>upřednostňování nových pracovníků před vzděláváním stávajících</c:v>
                </c:pt>
                <c:pt idx="6">
                  <c:v>vysoké náklady na vzdělávání</c:v>
                </c:pt>
                <c:pt idx="7">
                  <c:v>vysoké pracovní zatížení a nedostatek času zaměstnanců</c:v>
                </c:pt>
                <c:pt idx="8">
                  <c:v>odpovídající stávající dovednosti zaměstnanců</c:v>
                </c:pt>
              </c:strCache>
            </c:strRef>
          </c:cat>
          <c:val>
            <c:numRef>
              <c:f>'G32'!$B$2:$B$10</c:f>
              <c:numCache>
                <c:formatCode>0%</c:formatCode>
                <c:ptCount val="9"/>
                <c:pt idx="0">
                  <c:v>0.23300000000000001</c:v>
                </c:pt>
                <c:pt idx="1">
                  <c:v>4.0000000000000001E-3</c:v>
                </c:pt>
                <c:pt idx="2">
                  <c:v>0.01</c:v>
                </c:pt>
                <c:pt idx="3">
                  <c:v>1.4E-2</c:v>
                </c:pt>
                <c:pt idx="4">
                  <c:v>2.3E-2</c:v>
                </c:pt>
                <c:pt idx="5">
                  <c:v>4.2999999999999997E-2</c:v>
                </c:pt>
                <c:pt idx="6">
                  <c:v>5.6000000000000001E-2</c:v>
                </c:pt>
                <c:pt idx="7">
                  <c:v>5.6000000000000001E-2</c:v>
                </c:pt>
                <c:pt idx="8">
                  <c:v>0.69099999999999995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954816"/>
        <c:axId val="270496832"/>
      </c:barChart>
      <c:catAx>
        <c:axId val="321954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0496832"/>
        <c:crosses val="autoZero"/>
        <c:auto val="1"/>
        <c:lblAlgn val="ctr"/>
        <c:lblOffset val="100"/>
        <c:noMultiLvlLbl val="0"/>
      </c:catAx>
      <c:valAx>
        <c:axId val="27049683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21954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8663-D748-4CCD-95A1-648AA15E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5</Pages>
  <Words>1697</Words>
  <Characters>10013</Characters>
  <Application>Microsoft Office Word</Application>
  <DocSecurity>0</DocSecurity>
  <Lines>83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11687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Kotrbatá</dc:creator>
  <cp:lastModifiedBy>Alena Kotrbatá</cp:lastModifiedBy>
  <cp:revision>2</cp:revision>
  <cp:lastPrinted>2017-12-15T13:07:00Z</cp:lastPrinted>
  <dcterms:created xsi:type="dcterms:W3CDTF">2018-01-03T13:42:00Z</dcterms:created>
  <dcterms:modified xsi:type="dcterms:W3CDTF">2018-01-03T13:42:00Z</dcterms:modified>
</cp:coreProperties>
</file>