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E7" w:rsidRDefault="00A453E7" w:rsidP="00A453E7">
      <w:pPr>
        <w:pStyle w:val="Nadpis2"/>
      </w:pPr>
      <w:bookmarkStart w:id="0" w:name="_Toc485639758"/>
      <w:bookmarkStart w:id="1" w:name="_Toc490472738"/>
      <w:bookmarkStart w:id="2" w:name="_Toc501695632"/>
      <w:r>
        <w:t xml:space="preserve">Kapitola 3: </w:t>
      </w:r>
      <w:r w:rsidRPr="00384A9E">
        <w:t xml:space="preserve">Výše </w:t>
      </w:r>
      <w:r>
        <w:t xml:space="preserve">firemních </w:t>
      </w:r>
      <w:r w:rsidRPr="00384A9E">
        <w:t>investic do vzdělávání zaměstnanců</w:t>
      </w:r>
      <w:bookmarkEnd w:id="0"/>
      <w:bookmarkEnd w:id="1"/>
      <w:bookmarkEnd w:id="2"/>
      <w:r w:rsidRPr="00384A9E">
        <w:t xml:space="preserve"> </w:t>
      </w:r>
    </w:p>
    <w:p w:rsidR="00A453E7" w:rsidRDefault="00A453E7" w:rsidP="00A453E7">
      <w:pPr>
        <w:ind w:firstLine="708"/>
        <w:contextualSpacing/>
        <w:jc w:val="both"/>
      </w:pPr>
    </w:p>
    <w:p w:rsidR="00A453E7" w:rsidRDefault="00A453E7" w:rsidP="00A453E7">
      <w:pPr>
        <w:contextualSpacing/>
        <w:jc w:val="both"/>
      </w:pPr>
      <w:r>
        <w:t>Možnost firemního vzdělávání je velmi úzce spjata s financováním. Přestože si některé firmy uvědomují význam vzdělávání svých zaměstnanců a jakkoli velký zájem o něj mohou mít, pokud se jim finančně nedaří, vzdělávání zajišťují méně či ho nezajišťují vůbec</w:t>
      </w:r>
      <w:r>
        <w:rPr>
          <w:rStyle w:val="Znakapoznpodarou"/>
        </w:rPr>
        <w:footnoteReference w:id="1"/>
      </w:r>
      <w:r>
        <w:t>. Vzdělávání je bráno jako zbytný firemní náklad a v době krize je obvykle nutné se soustředit pouze na náklady nezbytné. Nicméně pokud firmy vzdělávání zajišťují, na finanční investici do jisté míry závisí i kvalita poskytovaných služeb. Přestože roli samozřejmě hrají i další faktory. Celková výše nákladů na vzdělávání se může u jednotlivých typů firem velmi odlišovat, s ohledem na obecné charakteristiky (popsané dále) nebo i s ohledem na konkrétní potřeby zaměstnanců a míru odbornosti vyžadovaných znalostí a dovedností. V CVTS byly zjišťovány průměrné výdaje na vzdělávání celkem, dále odděleně na kurzy či školení a výše dotací, které firma na vzdělávání dostala či vydala.</w:t>
      </w:r>
    </w:p>
    <w:p w:rsidR="00A453E7" w:rsidRDefault="00A453E7" w:rsidP="00A453E7">
      <w:pPr>
        <w:contextualSpacing/>
        <w:jc w:val="both"/>
      </w:pPr>
    </w:p>
    <w:p w:rsidR="00A453E7" w:rsidRDefault="00A453E7" w:rsidP="00A453E7">
      <w:pPr>
        <w:contextualSpacing/>
        <w:jc w:val="both"/>
        <w:rPr>
          <w:b/>
          <w:u w:val="single"/>
        </w:rPr>
      </w:pPr>
      <w:r>
        <w:t>Zjišťované výdaje na vzdělávání zahrnují pouze skutečné náklady firmy na vzdělávání, tedy poplatky a platby za kurzy/školení, cestovní náhrady zaměstnanců, náklady práce interních školitelů, nájem apod. Naopak nezahrnují výdaje za mzdu zaměstnanců, kteří se v rámci své pracovní doby vzdělávali.</w:t>
      </w:r>
    </w:p>
    <w:p w:rsidR="00A453E7" w:rsidRDefault="00A453E7" w:rsidP="00A453E7">
      <w:pPr>
        <w:pStyle w:val="Nadpis3"/>
      </w:pPr>
      <w:bookmarkStart w:id="3" w:name="_Toc485639759"/>
      <w:bookmarkStart w:id="4" w:name="_Toc490472739"/>
      <w:bookmarkStart w:id="5" w:name="_Toc501695633"/>
      <w:r>
        <w:t>Hlavní zjištění</w:t>
      </w:r>
      <w:bookmarkEnd w:id="3"/>
      <w:bookmarkEnd w:id="4"/>
      <w:bookmarkEnd w:id="5"/>
    </w:p>
    <w:p w:rsidR="00A453E7" w:rsidRPr="00EA2E58" w:rsidRDefault="00A453E7" w:rsidP="00A453E7">
      <w:pPr>
        <w:pStyle w:val="Odstavecseseznamem"/>
        <w:numPr>
          <w:ilvl w:val="0"/>
          <w:numId w:val="16"/>
        </w:numPr>
        <w:spacing w:after="200"/>
        <w:jc w:val="both"/>
        <w:rPr>
          <w:rFonts w:cs="Arial"/>
          <w:u w:val="single"/>
        </w:rPr>
      </w:pPr>
      <w:r>
        <w:rPr>
          <w:rFonts w:cs="Arial"/>
        </w:rPr>
        <w:t>Podíl</w:t>
      </w:r>
      <w:r w:rsidRPr="00EA2E58">
        <w:rPr>
          <w:rFonts w:cs="Arial"/>
        </w:rPr>
        <w:t xml:space="preserve"> výdaj</w:t>
      </w:r>
      <w:r>
        <w:rPr>
          <w:rFonts w:cs="Arial"/>
        </w:rPr>
        <w:t>ů</w:t>
      </w:r>
      <w:r w:rsidRPr="00EA2E58">
        <w:rPr>
          <w:rFonts w:cs="Arial"/>
        </w:rPr>
        <w:t xml:space="preserve"> na vzdělávání na jednoho zaměstnance v roce 2015</w:t>
      </w:r>
      <w:r>
        <w:rPr>
          <w:rFonts w:cs="Arial"/>
        </w:rPr>
        <w:t xml:space="preserve"> </w:t>
      </w:r>
      <w:r w:rsidRPr="00EA2E58">
        <w:rPr>
          <w:rFonts w:cs="Arial"/>
        </w:rPr>
        <w:t>činil</w:t>
      </w:r>
      <w:r>
        <w:rPr>
          <w:rFonts w:cs="Arial"/>
        </w:rPr>
        <w:t xml:space="preserve"> v průměru</w:t>
      </w:r>
      <w:r w:rsidRPr="00EA2E58">
        <w:rPr>
          <w:rFonts w:cs="Arial"/>
        </w:rPr>
        <w:t xml:space="preserve"> </w:t>
      </w:r>
      <w:r>
        <w:rPr>
          <w:rFonts w:cs="Arial"/>
        </w:rPr>
        <w:t>3 134</w:t>
      </w:r>
      <w:r w:rsidRPr="00EA2E58">
        <w:rPr>
          <w:rFonts w:cs="Arial"/>
        </w:rPr>
        <w:t xml:space="preserve"> Kč, v případě započítání pouze „vzdělávajících“ firem to bylo </w:t>
      </w:r>
      <w:r>
        <w:rPr>
          <w:rFonts w:cs="Arial"/>
        </w:rPr>
        <w:t>3 247</w:t>
      </w:r>
      <w:r w:rsidRPr="00EA2E58">
        <w:rPr>
          <w:rFonts w:cs="Arial"/>
        </w:rPr>
        <w:t xml:space="preserve"> Kč. Nejvyšší náklady vydávají firmy s více než 250 zaměstnanci a firmy z odvětví </w:t>
      </w:r>
      <w:r>
        <w:rPr>
          <w:rFonts w:cs="Arial"/>
        </w:rPr>
        <w:t>Informační</w:t>
      </w:r>
      <w:r w:rsidRPr="00EA2E58">
        <w:rPr>
          <w:rFonts w:cs="Arial"/>
        </w:rPr>
        <w:t xml:space="preserve"> a komunikační </w:t>
      </w:r>
      <w:r>
        <w:rPr>
          <w:rFonts w:cs="Arial"/>
        </w:rPr>
        <w:t>činnosti (sekce J)</w:t>
      </w:r>
      <w:r w:rsidRPr="00EA2E58">
        <w:rPr>
          <w:rFonts w:cs="Arial"/>
        </w:rPr>
        <w:t>.</w:t>
      </w:r>
    </w:p>
    <w:p w:rsidR="00A453E7" w:rsidRPr="00EA2E58" w:rsidRDefault="00A453E7" w:rsidP="00A453E7">
      <w:pPr>
        <w:pStyle w:val="Odstavecseseznamem"/>
        <w:numPr>
          <w:ilvl w:val="0"/>
          <w:numId w:val="16"/>
        </w:numPr>
        <w:spacing w:after="200"/>
        <w:jc w:val="both"/>
        <w:rPr>
          <w:rFonts w:cs="Arial"/>
          <w:u w:val="single"/>
        </w:rPr>
      </w:pPr>
      <w:r>
        <w:rPr>
          <w:rFonts w:cs="Arial"/>
        </w:rPr>
        <w:t>Podíl výdajů</w:t>
      </w:r>
      <w:r w:rsidRPr="00EA2E58">
        <w:rPr>
          <w:rFonts w:cs="Arial"/>
        </w:rPr>
        <w:t xml:space="preserve"> na kurz či školení </w:t>
      </w:r>
      <w:r>
        <w:rPr>
          <w:rFonts w:cs="Arial"/>
        </w:rPr>
        <w:t xml:space="preserve">na jednoho účastníka </w:t>
      </w:r>
      <w:r w:rsidRPr="00EA2E58">
        <w:rPr>
          <w:rFonts w:cs="Arial"/>
        </w:rPr>
        <w:t xml:space="preserve">byly </w:t>
      </w:r>
      <w:r>
        <w:rPr>
          <w:rFonts w:cs="Arial"/>
        </w:rPr>
        <w:t>3 470 Kč.</w:t>
      </w:r>
      <w:r w:rsidRPr="00EA2E58">
        <w:rPr>
          <w:rFonts w:cs="Arial"/>
        </w:rPr>
        <w:t xml:space="preserve"> </w:t>
      </w:r>
      <w:r>
        <w:rPr>
          <w:rFonts w:cs="Arial"/>
        </w:rPr>
        <w:t>Podíl výdajů</w:t>
      </w:r>
      <w:r w:rsidRPr="00EA2E58">
        <w:rPr>
          <w:rFonts w:cs="Arial"/>
        </w:rPr>
        <w:t xml:space="preserve"> </w:t>
      </w:r>
      <w:r>
        <w:rPr>
          <w:rFonts w:cs="Arial"/>
        </w:rPr>
        <w:t>za jednu hodinu</w:t>
      </w:r>
      <w:r w:rsidRPr="00EA2E58">
        <w:rPr>
          <w:rFonts w:cs="Arial"/>
        </w:rPr>
        <w:t xml:space="preserve"> k</w:t>
      </w:r>
      <w:r>
        <w:rPr>
          <w:rFonts w:cs="Arial"/>
        </w:rPr>
        <w:t>urzu/školení činil</w:t>
      </w:r>
      <w:r w:rsidRPr="00EA2E58">
        <w:rPr>
          <w:rFonts w:cs="Arial"/>
        </w:rPr>
        <w:t xml:space="preserve"> </w:t>
      </w:r>
      <w:r>
        <w:rPr>
          <w:rFonts w:cs="Arial"/>
        </w:rPr>
        <w:t>256</w:t>
      </w:r>
      <w:r w:rsidRPr="00EA2E58">
        <w:rPr>
          <w:rFonts w:cs="Arial"/>
        </w:rPr>
        <w:t xml:space="preserve"> Kč.</w:t>
      </w:r>
    </w:p>
    <w:p w:rsidR="00A453E7" w:rsidRPr="00EA2E58" w:rsidRDefault="00A453E7" w:rsidP="00A453E7">
      <w:pPr>
        <w:pStyle w:val="Odstavecseseznamem"/>
        <w:numPr>
          <w:ilvl w:val="0"/>
          <w:numId w:val="16"/>
        </w:numPr>
        <w:spacing w:after="200"/>
        <w:jc w:val="both"/>
        <w:rPr>
          <w:rFonts w:cs="Arial"/>
          <w:u w:val="single"/>
        </w:rPr>
      </w:pPr>
      <w:r>
        <w:rPr>
          <w:rFonts w:cs="Arial"/>
        </w:rPr>
        <w:t>P</w:t>
      </w:r>
      <w:r w:rsidRPr="00EA2E58">
        <w:rPr>
          <w:rFonts w:cs="Arial"/>
        </w:rPr>
        <w:t xml:space="preserve">odíl nákladů na vzdělávání k celkovým nákladům práce firem činil ve zkoumaném roce </w:t>
      </w:r>
      <w:r>
        <w:rPr>
          <w:rFonts w:cs="Arial"/>
        </w:rPr>
        <w:t xml:space="preserve">v průměru </w:t>
      </w:r>
      <w:r w:rsidRPr="00EA2E58">
        <w:rPr>
          <w:rFonts w:cs="Arial"/>
        </w:rPr>
        <w:t>0,</w:t>
      </w:r>
      <w:r>
        <w:rPr>
          <w:rFonts w:cs="Arial"/>
        </w:rPr>
        <w:t>71</w:t>
      </w:r>
      <w:r w:rsidRPr="00EA2E58">
        <w:rPr>
          <w:rFonts w:cs="Arial"/>
        </w:rPr>
        <w:t xml:space="preserve"> %.</w:t>
      </w:r>
    </w:p>
    <w:p w:rsidR="00A453E7" w:rsidRPr="00AB2EEA" w:rsidRDefault="00A453E7" w:rsidP="00A453E7">
      <w:pPr>
        <w:pStyle w:val="Odstavecseseznamem"/>
        <w:numPr>
          <w:ilvl w:val="0"/>
          <w:numId w:val="16"/>
        </w:numPr>
        <w:spacing w:after="120"/>
        <w:jc w:val="both"/>
      </w:pPr>
      <w:r w:rsidRPr="00AB2EEA">
        <w:rPr>
          <w:rFonts w:cs="Arial"/>
        </w:rPr>
        <w:t>Většina firem (91 %) v ČR v roce 2015 nevyužívala žádné dotace na vzdělávání. Malý podíl (7 %) firem využilo dotace z Evropské unie. Valná většina firem rovněž žádné příspěvky na vzdělávání (např. do kolektivních fondů) neposkytovala.</w:t>
      </w:r>
      <w:bookmarkStart w:id="6" w:name="_Toc490472740"/>
    </w:p>
    <w:p w:rsidR="00A453E7" w:rsidRDefault="00A453E7" w:rsidP="00A453E7">
      <w:pPr>
        <w:pStyle w:val="Nadpis4"/>
        <w:spacing w:after="120"/>
        <w:rPr>
          <w:rFonts w:eastAsia="Times New Roman"/>
          <w:b w:val="0"/>
          <w:bCs w:val="0"/>
          <w:iCs w:val="0"/>
          <w:color w:val="auto"/>
        </w:rPr>
      </w:pPr>
    </w:p>
    <w:p w:rsidR="00A453E7" w:rsidRPr="000F7EF9" w:rsidRDefault="00A453E7" w:rsidP="00A453E7">
      <w:pPr>
        <w:pStyle w:val="Nadpis4"/>
        <w:spacing w:after="120"/>
      </w:pPr>
      <w:bookmarkStart w:id="7" w:name="_Toc501695634"/>
      <w:r>
        <w:t>Výdaje</w:t>
      </w:r>
      <w:r w:rsidRPr="000F7EF9">
        <w:t xml:space="preserve"> na vzdělávání</w:t>
      </w:r>
      <w:bookmarkEnd w:id="6"/>
      <w:bookmarkEnd w:id="7"/>
    </w:p>
    <w:p w:rsidR="00A453E7" w:rsidRDefault="00A453E7" w:rsidP="00A453E7">
      <w:pPr>
        <w:contextualSpacing/>
        <w:jc w:val="both"/>
      </w:pPr>
      <w:r>
        <w:t>V celkovém pohledu vydaly firmy (i se započítáním těch, které vzdělávání ve sledovaném období nezajišťovaly) v roce 2015 za vzdělávání zaměstnanců průměrně přes 200 tisíc Kč. Po přepočtení na jednoho zaměstnance, což očišťuje vliv velikosti firmy, činil průměrný výdaj za vzdělávání firem v daném roce 3 134 Kč. Při vyloučení firem, které žádné vzdělávání pro své zaměstnance neorganizovaly, vzroste průměrný výdaj firmy na vzdělávání na 230 tisíc korun, v přepočtu na jednoho zaměstnance těchto firem pak na necelých 3 250 Kč. Rozdíly v těchto částkách nejsou vysoké, protože většina firem nějaký druh vzdělávání (alespoň povinné kurzy) zajistila, takže firem vyloučených z tohoto průměru je relativně málo.</w:t>
      </w:r>
    </w:p>
    <w:p w:rsidR="00A453E7" w:rsidRDefault="00A453E7" w:rsidP="00A453E7">
      <w:pPr>
        <w:contextualSpacing/>
        <w:jc w:val="both"/>
      </w:pPr>
      <w:r>
        <w:t xml:space="preserve"> </w:t>
      </w:r>
    </w:p>
    <w:p w:rsidR="00A453E7" w:rsidRDefault="00A453E7" w:rsidP="00A453E7">
      <w:pPr>
        <w:contextualSpacing/>
        <w:jc w:val="both"/>
      </w:pPr>
      <w:r>
        <w:t>Náklady na vzdělávání se samozřejmě nejvíce odvíjí od množství a zejména finanční nákladnosti vzdělávání, které firma zajišťovala.  Proto i rozložení nákladů podle jednotlivých charakteristik firem odpovídá rozložení poskytování vzdělávání obecně. Nejvyšší náklady na vzdělávání (přepočtené na jednoho zaměstnance) tak vydávají firmy s více než 250 zaměstnanci (</w:t>
      </w:r>
      <w:r w:rsidRPr="000A46AF">
        <w:t>3</w:t>
      </w:r>
      <w:r>
        <w:t xml:space="preserve"> </w:t>
      </w:r>
      <w:r w:rsidRPr="000A46AF">
        <w:t>600</w:t>
      </w:r>
      <w:r>
        <w:t xml:space="preserve"> Kč) a rovněž platí, že s velikostí firmy průměrný výdaj na vzdělávání roste. S tím souvisí i vazba mezi výdaji na vzdělávání a firemním obratem, kdy firmy s vyšším obratem mají i vyšší výdaje na vzdělávání, což se ovšem opět vztahuje k vyšší míře ochoty zajišťovat zaměstnancům vzdělávání, která je nejvyšší právě u větších firem.</w:t>
      </w:r>
    </w:p>
    <w:p w:rsidR="00A453E7" w:rsidRDefault="00A453E7" w:rsidP="00A453E7">
      <w:pPr>
        <w:contextualSpacing/>
        <w:jc w:val="both"/>
      </w:pPr>
    </w:p>
    <w:p w:rsidR="00A453E7" w:rsidRDefault="00A453E7" w:rsidP="00A453E7">
      <w:pPr>
        <w:contextualSpacing/>
        <w:jc w:val="both"/>
      </w:pPr>
      <w:r>
        <w:lastRenderedPageBreak/>
        <w:t xml:space="preserve">Výrazně vyšší rozdíly mezi výdaji na jednoho zaměstnance jsou mezi firmami podle odvětví podnikatelské činnosti. </w:t>
      </w:r>
      <w:r w:rsidRPr="007827D1">
        <w:t xml:space="preserve">Firmy v odvětví </w:t>
      </w:r>
      <w:r>
        <w:t>P</w:t>
      </w:r>
      <w:r w:rsidRPr="007827D1">
        <w:t xml:space="preserve">eněžnictví a pojišťovnictví (sekce K), které jsou ve firemním vzdělávání jedny z nejaktivnějších, </w:t>
      </w:r>
      <w:r>
        <w:t xml:space="preserve">na něj </w:t>
      </w:r>
      <w:r w:rsidRPr="007827D1">
        <w:t>vynakládají rovněž i relativně velké množství peněz</w:t>
      </w:r>
      <w:r>
        <w:t xml:space="preserve"> –</w:t>
      </w:r>
      <w:r w:rsidRPr="007827D1">
        <w:t xml:space="preserve"> v přepočtení na jednoh</w:t>
      </w:r>
      <w:r>
        <w:t>o zaměstnance</w:t>
      </w:r>
      <w:r w:rsidRPr="007827D1">
        <w:t xml:space="preserve"> </w:t>
      </w:r>
      <w:r>
        <w:t>8 000</w:t>
      </w:r>
      <w:r w:rsidRPr="007827D1">
        <w:t xml:space="preserve"> </w:t>
      </w:r>
      <w:r>
        <w:t>Kč</w:t>
      </w:r>
      <w:r w:rsidRPr="007827D1">
        <w:t xml:space="preserve">. Tuto hranici </w:t>
      </w:r>
      <w:r>
        <w:t>dokonce ještě</w:t>
      </w:r>
      <w:r w:rsidRPr="007827D1">
        <w:t xml:space="preserve"> překročily firmy z odvětví </w:t>
      </w:r>
      <w:r>
        <w:t>Informační</w:t>
      </w:r>
      <w:r w:rsidRPr="007827D1">
        <w:t xml:space="preserve"> a</w:t>
      </w:r>
      <w:r>
        <w:t> komunikační činnosti (sekce J)</w:t>
      </w:r>
      <w:r w:rsidRPr="007827D1">
        <w:t xml:space="preserve">, které za jednoho zaměstnance průměrně vydávají </w:t>
      </w:r>
      <w:r>
        <w:t xml:space="preserve">9 </w:t>
      </w:r>
      <w:r w:rsidRPr="007827D1">
        <w:t>000 Kč. U těchto firem jsou náklady na vzdělávání</w:t>
      </w:r>
      <w:r>
        <w:t>,</w:t>
      </w:r>
      <w:r w:rsidRPr="007827D1">
        <w:t xml:space="preserve"> na rozdíl od před</w:t>
      </w:r>
      <w:r>
        <w:t>chozí kategorie, vysoké spíše z důvodu</w:t>
      </w:r>
      <w:r w:rsidRPr="007827D1">
        <w:t xml:space="preserve"> vyšší</w:t>
      </w:r>
      <w:r>
        <w:t>ch celkových nákladů</w:t>
      </w:r>
      <w:r w:rsidRPr="007827D1">
        <w:t xml:space="preserve"> na</w:t>
      </w:r>
      <w:r>
        <w:t> </w:t>
      </w:r>
      <w:r w:rsidRPr="007827D1">
        <w:t>vzdělávání, jinými slovy, v tomto odvětví posílají méně lidí na drahé kurzy.</w:t>
      </w:r>
      <w:r>
        <w:t xml:space="preserve"> Naopak nejnižší náklady na vzdělávání, ve výši přibližně 900 Kč na zaměstnance, jsou v odvětví Ubytování, stravování a pohostinství (sekce I). Zaměstnanci těchto firem se vzdělávání obecně účastní méně a kurzy nejsou tak nákladné. </w:t>
      </w:r>
    </w:p>
    <w:p w:rsidR="00A453E7" w:rsidRDefault="00A453E7" w:rsidP="00A453E7">
      <w:pPr>
        <w:pStyle w:val="Titulek"/>
        <w:keepNext/>
        <w:jc w:val="both"/>
      </w:pPr>
      <w:bookmarkStart w:id="8" w:name="_Toc501615610"/>
      <w:r>
        <w:t xml:space="preserve">Graf č. </w:t>
      </w:r>
      <w:r>
        <w:fldChar w:fldCharType="begin"/>
      </w:r>
      <w:r>
        <w:instrText xml:space="preserve"> SEQ Graf_č. \* ARABIC </w:instrText>
      </w:r>
      <w:r>
        <w:fldChar w:fldCharType="separate"/>
      </w:r>
      <w:r>
        <w:rPr>
          <w:noProof/>
        </w:rPr>
        <w:t>27</w:t>
      </w:r>
      <w:r>
        <w:rPr>
          <w:noProof/>
        </w:rPr>
        <w:fldChar w:fldCharType="end"/>
      </w:r>
      <w:r>
        <w:t>: Výše podílu</w:t>
      </w:r>
      <w:r w:rsidRPr="00733CC0">
        <w:t xml:space="preserve"> výdaj</w:t>
      </w:r>
      <w:r>
        <w:t xml:space="preserve">ů </w:t>
      </w:r>
      <w:r w:rsidRPr="00733CC0">
        <w:t xml:space="preserve">na </w:t>
      </w:r>
      <w:r>
        <w:t>vzdělávání podle velikosti firmy, 2015</w:t>
      </w:r>
      <w:bookmarkEnd w:id="8"/>
    </w:p>
    <w:p w:rsidR="00A453E7" w:rsidRPr="008B54C8" w:rsidRDefault="00A453E7" w:rsidP="00A453E7">
      <w:r>
        <w:rPr>
          <w:noProof/>
        </w:rPr>
        <w:drawing>
          <wp:inline distT="0" distB="0" distL="0" distR="0" wp14:anchorId="6FF41D86" wp14:editId="031DA0BC">
            <wp:extent cx="6120130" cy="2855426"/>
            <wp:effectExtent l="0" t="0" r="0" b="2540"/>
            <wp:docPr id="72" name="Graf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53E7" w:rsidRPr="00EB211F" w:rsidRDefault="00A453E7" w:rsidP="00A453E7">
      <w:pPr>
        <w:spacing w:after="0"/>
        <w:contextualSpacing/>
        <w:rPr>
          <w:sz w:val="18"/>
        </w:rPr>
      </w:pPr>
      <w:r>
        <w:rPr>
          <w:sz w:val="18"/>
        </w:rPr>
        <w:t>Z</w:t>
      </w:r>
      <w:r w:rsidRPr="00EB211F">
        <w:rPr>
          <w:sz w:val="18"/>
        </w:rPr>
        <w:t>droj: šetření CVTS, ČSÚ 2017</w:t>
      </w:r>
    </w:p>
    <w:p w:rsidR="00A453E7" w:rsidRDefault="00A453E7" w:rsidP="00A453E7">
      <w:pPr>
        <w:spacing w:after="0"/>
        <w:jc w:val="both"/>
      </w:pPr>
    </w:p>
    <w:p w:rsidR="00A453E7" w:rsidRPr="00C1214F" w:rsidRDefault="00A453E7" w:rsidP="00A453E7">
      <w:pPr>
        <w:contextualSpacing/>
        <w:jc w:val="both"/>
        <w:rPr>
          <w:highlight w:val="yellow"/>
        </w:rPr>
      </w:pPr>
      <w:r>
        <w:t xml:space="preserve">Popsaná vysvětlení rozdílů ve finančních nákladech firem na vzdělávání úzce souvisí s jejich celkovým přístupem ke vzdělávání svých zaměstnanců. </w:t>
      </w:r>
    </w:p>
    <w:p w:rsidR="00A453E7" w:rsidRPr="00C1214F" w:rsidRDefault="00A453E7" w:rsidP="00A453E7">
      <w:pPr>
        <w:spacing w:after="0"/>
        <w:jc w:val="both"/>
        <w:rPr>
          <w:highlight w:val="yellow"/>
        </w:rPr>
      </w:pPr>
    </w:p>
    <w:p w:rsidR="00A453E7" w:rsidRPr="00EA2E58" w:rsidRDefault="00A453E7" w:rsidP="00A453E7">
      <w:pPr>
        <w:pStyle w:val="Nadpis4"/>
        <w:spacing w:after="120"/>
      </w:pPr>
      <w:bookmarkStart w:id="9" w:name="_Toc490472741"/>
      <w:bookmarkStart w:id="10" w:name="_Ref497915571"/>
      <w:bookmarkStart w:id="11" w:name="_Toc501695635"/>
      <w:r w:rsidRPr="00EA2E58">
        <w:t>Náklady na vzdělávání vztažené k celkovým nákladům</w:t>
      </w:r>
      <w:bookmarkEnd w:id="9"/>
      <w:bookmarkEnd w:id="10"/>
      <w:r>
        <w:t xml:space="preserve"> práce</w:t>
      </w:r>
      <w:bookmarkEnd w:id="11"/>
    </w:p>
    <w:p w:rsidR="00A453E7" w:rsidRDefault="00A453E7" w:rsidP="00A453E7">
      <w:pPr>
        <w:contextualSpacing/>
        <w:jc w:val="both"/>
      </w:pPr>
      <w:r>
        <w:t xml:space="preserve">Při pohledu na celkové náklady firem na vzdělávání by se mohlo zdát, že jsou poměrně vysoké, nicméně když je vztáhneme k úplným nákladům práce firem, získáme podíl v průměru 0,71 %. Takový podíl činí náklady na vzdělávání na celkových nákladech práce firmy. Podíly se rovněž liší podle různých charakteristik firem, závisí vždy na tom, kolik peněz firma na vzdělávání vydává, ale i na množství a finanční nákladnosti jednotlivých forem vzdělávání a počtu zaměstnanců, které na ně vysílá. Z hlediska velikosti firem se nejvíce liší firmy malé (s 10 až 19 zaměstnanci), jejichž podíl nákladů na vzdělávání na celkových nákladech činí 0,64 % a firmy velké (s více než 250 zaměstnanci), jejichž podíl je 0,74 %. V odlišném podílu těchto dvou typů firem se projevuje zmíněný rozdílný přístup: malé firmy (např. rodinného charakteru) obecně zajišťují vzdělávání menšímu počtu zaměstnanců (často i z důvodu nezastupitelnosti v době účasti na kurzech), než firmy někdy i s řádově stovkami zaměstnanců. Velké firmy zároveň využívají více specializovaných kurzů, které jsou nákladnější než kurzy povinné. Z hlediska odvětví, ve kterém firmy podnikají, je vzdělávání nejnákladnější pro firmy z oblasti Informačních a komunikačních činnosti (J), kde podíl nákladů na vzdělávání dosahuje 1,1 % celkových nákladů práce. U těchto firem je důvodem opět vysoká finanční nákladnost jednotlivých vzdělávacích forem specializovaných na danou oblast. U firem se zahraničním vlastníkem byl z důvodu vyšší obecné účasti jejich zaměstnanců vyšší i podíl nákladů na vzdělávání </w:t>
      </w:r>
      <w:r>
        <w:lastRenderedPageBreak/>
        <w:t>na úplných nákladech práce. Činil 0,81 %, oproti podílu firem s </w:t>
      </w:r>
      <w:r w:rsidRPr="00F82C16">
        <w:t>českým</w:t>
      </w:r>
      <w:r>
        <w:t xml:space="preserve"> vlastníkem, který byl mírně podprůměrný s hodnotou 0,62 %.</w:t>
      </w:r>
    </w:p>
    <w:p w:rsidR="00A453E7" w:rsidRPr="000E28FD" w:rsidRDefault="00A453E7" w:rsidP="00A453E7">
      <w:pPr>
        <w:pStyle w:val="Nadpis4"/>
        <w:spacing w:after="120"/>
      </w:pPr>
      <w:bookmarkStart w:id="12" w:name="_Toc490472742"/>
      <w:bookmarkStart w:id="13" w:name="_Toc501695636"/>
      <w:r w:rsidRPr="00EC53DF">
        <w:t>V</w:t>
      </w:r>
      <w:r w:rsidRPr="000E28FD">
        <w:t>ýdaje na kurzy/školení</w:t>
      </w:r>
      <w:bookmarkEnd w:id="12"/>
      <w:bookmarkEnd w:id="13"/>
    </w:p>
    <w:p w:rsidR="00A453E7" w:rsidRDefault="00A453E7" w:rsidP="00A453E7">
      <w:pPr>
        <w:contextualSpacing/>
        <w:jc w:val="both"/>
      </w:pPr>
      <w:r>
        <w:t>Podíl výdajů na kurz nebo školení na jednoho jeho účastníka činil v roce 2015 přibližně 3 500 Kč. Stejně jako u celkových výdajů, u výdajů na školení platí, že s velikostí firmy výdaje rostou (od 2 700 Kč u malých firem k 3 900 Kč u firem velkých). U průměru na jednoho účastníka je sice vliv velikosti firmy a počtu účastníků školení očištěn, nicméně stále platí, že rozdíl mezi jednotlivými velikostními kategoriemi je způsoben vyšší nákladností kurzů či školení u větších firem, které častěji než firmy menší zajišťují nepovinné kurzy, které bývají dražší než kurzy povinné. Dále je rozdíl ovlivněn vyšším počtem dražších specializovaných kurzů, na které větší firmy své zaměstnance posílají. Z hlediska odvětví podnikání je rozložení průměrných výdajů za kurzy/školení obdobné rozložení celkových průměrných výdajů firem za vzdělávání (viz výše), tzn. nejméně za kurzy či školení utrácejí firmy v odvětví Ubytování, stravování a pohostinství (sekce I; necelých 1 200</w:t>
      </w:r>
      <w:r w:rsidRPr="00940F24">
        <w:t xml:space="preserve"> Kč) a nejvíce pak firmy v odvětví </w:t>
      </w:r>
      <w:r>
        <w:t>I</w:t>
      </w:r>
      <w:r w:rsidRPr="00940F24">
        <w:t xml:space="preserve">nformační a komunikační </w:t>
      </w:r>
      <w:r>
        <w:t>činnosti</w:t>
      </w:r>
      <w:r w:rsidRPr="00940F24">
        <w:t xml:space="preserve"> </w:t>
      </w:r>
      <w:r>
        <w:t>(sekce J; 9 8</w:t>
      </w:r>
      <w:r w:rsidRPr="00940F24">
        <w:t xml:space="preserve">00 Kč). </w:t>
      </w:r>
    </w:p>
    <w:p w:rsidR="00A453E7" w:rsidRDefault="00A453E7" w:rsidP="00A453E7">
      <w:pPr>
        <w:pStyle w:val="Titulek"/>
        <w:keepNext/>
        <w:jc w:val="both"/>
      </w:pPr>
      <w:bookmarkStart w:id="14" w:name="_Ref496535444"/>
      <w:bookmarkStart w:id="15" w:name="_Toc501615611"/>
      <w:r>
        <w:t xml:space="preserve">Graf č. </w:t>
      </w:r>
      <w:r>
        <w:fldChar w:fldCharType="begin"/>
      </w:r>
      <w:r>
        <w:instrText xml:space="preserve"> SEQ Graf_č. \* ARABIC </w:instrText>
      </w:r>
      <w:r>
        <w:fldChar w:fldCharType="separate"/>
      </w:r>
      <w:r>
        <w:rPr>
          <w:noProof/>
        </w:rPr>
        <w:t>28</w:t>
      </w:r>
      <w:r>
        <w:rPr>
          <w:noProof/>
        </w:rPr>
        <w:fldChar w:fldCharType="end"/>
      </w:r>
      <w:bookmarkEnd w:id="14"/>
      <w:r>
        <w:t>: Výše podílu</w:t>
      </w:r>
      <w:r w:rsidRPr="00733CC0">
        <w:t xml:space="preserve"> výdaj</w:t>
      </w:r>
      <w:r>
        <w:t xml:space="preserve">ů </w:t>
      </w:r>
      <w:r w:rsidRPr="00733CC0">
        <w:t xml:space="preserve">na </w:t>
      </w:r>
      <w:r>
        <w:t>vzdělávání podle odvětví firmy (</w:t>
      </w:r>
      <w:proofErr w:type="gramStart"/>
      <w:r>
        <w:t>CZ</w:t>
      </w:r>
      <w:proofErr w:type="gramEnd"/>
      <w:r>
        <w:t>–</w:t>
      </w:r>
      <w:proofErr w:type="gramStart"/>
      <w:r>
        <w:t>NACE</w:t>
      </w:r>
      <w:proofErr w:type="gramEnd"/>
      <w:r>
        <w:t>), 2015</w:t>
      </w:r>
      <w:bookmarkEnd w:id="15"/>
    </w:p>
    <w:p w:rsidR="00A453E7" w:rsidRPr="00D53CB5" w:rsidRDefault="00A453E7" w:rsidP="00A453E7">
      <w:r>
        <w:rPr>
          <w:noProof/>
        </w:rPr>
        <w:drawing>
          <wp:inline distT="0" distB="0" distL="0" distR="0" wp14:anchorId="22ABF3F0" wp14:editId="39B9F50A">
            <wp:extent cx="5972810" cy="4323715"/>
            <wp:effectExtent l="0" t="0" r="8890" b="635"/>
            <wp:docPr id="82" name="Graf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53E7" w:rsidRPr="00EB211F" w:rsidRDefault="00A453E7" w:rsidP="00A453E7">
      <w:pPr>
        <w:rPr>
          <w:sz w:val="18"/>
        </w:rPr>
      </w:pPr>
      <w:r>
        <w:rPr>
          <w:sz w:val="18"/>
        </w:rPr>
        <w:t>Z</w:t>
      </w:r>
      <w:r w:rsidRPr="00EB211F">
        <w:rPr>
          <w:sz w:val="18"/>
        </w:rPr>
        <w:t>droj: šetření CVTS, ČSÚ 2017</w:t>
      </w:r>
    </w:p>
    <w:p w:rsidR="00A453E7" w:rsidRDefault="00A453E7" w:rsidP="00A453E7">
      <w:pPr>
        <w:contextualSpacing/>
        <w:jc w:val="both"/>
      </w:pPr>
      <w:r>
        <w:t xml:space="preserve">U vynaložených financí je sledováno nejen to, za co jsou utraceny, ale i jaký měla investice dopad. U kurzů a školení firmy často investovaly do externích kurzů, kterých bylo v roce 2015 výrazně více než kurzů organizovaných v rámci firmy (viz podkapitola interní vs. externí zajištění kurzů a školení). U nepovinných kurzů je tak možné přibližně odhadnout finanční náročnost jednotlivých tematických zaměření kurzů. Odhad to je opravdu hrubý, protože celková částka je zjišťována za oba druhy kurzů/školení, ale za předpokladu, že náklady na povinné kurzy jsou (přepočteno na jednoho zaměstnance) zhruba u všech firem podobné, je možné se dobrat hrubých odhadů u témat nepovinných kurzů. Nejvíce financí na jednoho účastníka vydaly </w:t>
      </w:r>
      <w:r>
        <w:lastRenderedPageBreak/>
        <w:t>firmy, které zajišťovaly kurzy zaměřené na zlepšení týmové práce a na běžné užívání informačních technologií, což jsou typičtí představitelé zlepšování měkkých kompetencí a obecných témat vzdělávání ve firmách. Dále pak nepřekvapí, že výrazně více finančních nákladů průměrně vydaly firmy, které po proběhnutém kurzu nebo školení dělají nějakou formu zpětné evaluace.</w:t>
      </w:r>
    </w:p>
    <w:p w:rsidR="00A453E7" w:rsidRDefault="00A453E7" w:rsidP="00A453E7">
      <w:pPr>
        <w:contextualSpacing/>
        <w:jc w:val="both"/>
      </w:pPr>
    </w:p>
    <w:p w:rsidR="00A453E7" w:rsidRDefault="00A453E7" w:rsidP="00A453E7">
      <w:pPr>
        <w:contextualSpacing/>
        <w:jc w:val="both"/>
      </w:pPr>
      <w:r>
        <w:t>Výše nákladů firem na jednu uskutečněnou hodinu kurzu nebo školení byla v průměru 260 Kč, přičemž jsou započítané pouze hodiny v rámci placené pracovní doby. Při pohledu na rozložení podle výše zkoumaných kategorií, kde jejich pořadí dle výše nákladů za hodinu kurzu vychází stejně jako u průměrných nákla</w:t>
      </w:r>
      <w:r w:rsidRPr="006704AC">
        <w:t>dů (viz</w:t>
      </w:r>
      <w:r>
        <w:t> graf č. 28</w:t>
      </w:r>
      <w:r w:rsidRPr="006704AC">
        <w:t xml:space="preserve">), </w:t>
      </w:r>
      <w:r>
        <w:t>je možné potvrdit již dříve uvedenou interpretaci, že firmy s nejvyššími náklady (ať už přepočtenými na jednoho účastníka kurzu nebo na jednu hodinu) zajišťují častěji výrazně dražší kurzy/školení než jiné firmy.</w:t>
      </w:r>
    </w:p>
    <w:p w:rsidR="00A453E7" w:rsidRPr="00210CE2" w:rsidRDefault="00A453E7" w:rsidP="00A453E7">
      <w:pPr>
        <w:pStyle w:val="Nadpis4"/>
        <w:spacing w:after="120"/>
      </w:pPr>
      <w:bookmarkStart w:id="16" w:name="_Toc490472743"/>
      <w:bookmarkStart w:id="17" w:name="_Toc501695637"/>
      <w:r w:rsidRPr="00210CE2">
        <w:t>Příspěvky na vzdělávání</w:t>
      </w:r>
      <w:bookmarkEnd w:id="16"/>
      <w:bookmarkEnd w:id="17"/>
    </w:p>
    <w:p w:rsidR="00A453E7" w:rsidRDefault="00A453E7" w:rsidP="00A453E7">
      <w:pPr>
        <w:contextualSpacing/>
        <w:jc w:val="both"/>
      </w:pPr>
      <w:r>
        <w:t>Jak je zřejmé nejen z této kapitoly, podpora firemního vzdělávání výrazně závisí na financích. Kromě celkové i firemní ekonomické situace hrají relativně velkou roli i dotace a další příspěvky, které firmy na vzdělávání svých zaměstnanců mohou čerpat. Valná většina (91 %) firem však deklarovala, že v roce 2015 žádné příspěvky tohoto typu nevyužila. Zhruba 7 % firem ve zkoumaném roce čerpalo dotace z Evropské unie (z Evropských fondů). Nejčastěji se jednalo o firmy, které zajišťovaly nepovinné kurzy či školení a částečně i jiné formy vzdělávání – existuje tedy předpoklad, že peníze byly využity na tento druh vzdělávání. Dotace z EU nejvíce využívaly firmy s více než 250 zaměstnanci (25 %) a firmy z odvětví Průmysl (sekce BC; 12 %), které zřejmě ve velké míře využívaly finance z operačních programů MPO.</w:t>
      </w:r>
    </w:p>
    <w:p w:rsidR="00A453E7" w:rsidRDefault="00A453E7" w:rsidP="00A453E7">
      <w:pPr>
        <w:pStyle w:val="Titulek"/>
        <w:keepNext/>
      </w:pPr>
      <w:bookmarkStart w:id="18" w:name="_Toc501615612"/>
      <w:r>
        <w:t xml:space="preserve">Graf č. </w:t>
      </w:r>
      <w:r>
        <w:fldChar w:fldCharType="begin"/>
      </w:r>
      <w:r>
        <w:instrText xml:space="preserve"> SEQ Graf_č. \* ARABIC </w:instrText>
      </w:r>
      <w:r>
        <w:fldChar w:fldCharType="separate"/>
      </w:r>
      <w:r>
        <w:rPr>
          <w:noProof/>
        </w:rPr>
        <w:t>29</w:t>
      </w:r>
      <w:r>
        <w:rPr>
          <w:noProof/>
        </w:rPr>
        <w:fldChar w:fldCharType="end"/>
      </w:r>
      <w:r>
        <w:t>: Podíl firem, které využily dotace z EU na úhradu vzdělávání zaměstnanců, 2015</w:t>
      </w:r>
      <w:bookmarkEnd w:id="18"/>
    </w:p>
    <w:p w:rsidR="00A453E7" w:rsidRPr="0051220B" w:rsidRDefault="00A453E7" w:rsidP="00A453E7">
      <w:r>
        <w:rPr>
          <w:noProof/>
        </w:rPr>
        <w:drawing>
          <wp:inline distT="0" distB="0" distL="0" distR="0" wp14:anchorId="2DFA499D" wp14:editId="75E6E2B9">
            <wp:extent cx="5972810" cy="3916045"/>
            <wp:effectExtent l="0" t="0" r="8890" b="8255"/>
            <wp:docPr id="94" name="Graf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53E7" w:rsidRPr="00EB211F" w:rsidRDefault="00A453E7" w:rsidP="00A453E7">
      <w:pPr>
        <w:spacing w:after="0"/>
        <w:contextualSpacing/>
        <w:rPr>
          <w:sz w:val="18"/>
        </w:rPr>
      </w:pPr>
      <w:r>
        <w:rPr>
          <w:sz w:val="18"/>
        </w:rPr>
        <w:t>Z</w:t>
      </w:r>
      <w:r w:rsidRPr="00EB211F">
        <w:rPr>
          <w:sz w:val="18"/>
        </w:rPr>
        <w:t>droj: šetření CVTS, ČSÚ 2017</w:t>
      </w:r>
    </w:p>
    <w:p w:rsidR="00A453E7" w:rsidRDefault="00A453E7" w:rsidP="00A453E7"/>
    <w:p w:rsidR="00A453E7" w:rsidRDefault="00A453E7" w:rsidP="00A453E7">
      <w:pPr>
        <w:contextualSpacing/>
        <w:jc w:val="both"/>
      </w:pPr>
      <w:r>
        <w:lastRenderedPageBreak/>
        <w:t>Firmy, které využívaly evropské dotace, rovněž vykazovaly nejvyšší zájem o vzdělávání svých zaměstnanců</w:t>
      </w:r>
      <w:r>
        <w:rPr>
          <w:rStyle w:val="Znakapoznpodarou"/>
        </w:rPr>
        <w:footnoteReference w:id="2"/>
      </w:r>
      <w:r>
        <w:t>. Z toho je možné usuzovat, že ve většině z těchto firem byl prvotním impulsem k získání dotace na vzdělávání zájem (případně dřívější kladná zkušenost), díky kterému se firmy začaly o možnost jiného financování zajímat a ne naopak. Průměrná částka dotace je téměř 320 tisíc Kč, nicméně mezi firmami, které dotaci dostaly, jsou značné rozdíly. Medián dotací na vzdělávání je 180 tisíc Kč a většina (93 %) těchto dotací pochází z veřejných zdrojů.</w:t>
      </w:r>
    </w:p>
    <w:p w:rsidR="00A453E7" w:rsidRDefault="00A453E7" w:rsidP="00A453E7">
      <w:pPr>
        <w:contextualSpacing/>
        <w:jc w:val="both"/>
      </w:pPr>
      <w:r>
        <w:t xml:space="preserve"> </w:t>
      </w:r>
    </w:p>
    <w:p w:rsidR="00444609" w:rsidRPr="00A453E7" w:rsidRDefault="00A453E7" w:rsidP="00A453E7">
      <w:pPr>
        <w:contextualSpacing/>
        <w:jc w:val="both"/>
      </w:pPr>
      <w:r>
        <w:t>Kromě možnosti žádostí o dotace na vzdělávání svých zaměstnanců, mají firmy možnost i naopak poskytovat příspěvky</w:t>
      </w:r>
      <w:r>
        <w:rPr>
          <w:rStyle w:val="Znakapoznpodarou"/>
        </w:rPr>
        <w:footnoteReference w:id="3"/>
      </w:r>
      <w:r>
        <w:t xml:space="preserve"> na vzdělávání do některého z fondů. Nicméně 99 % firem v ČR této možnosti za období 2012–2015 nevyužilo.</w:t>
      </w:r>
      <w:bookmarkStart w:id="19" w:name="_GoBack"/>
      <w:bookmarkEnd w:id="19"/>
    </w:p>
    <w:sectPr w:rsidR="00444609" w:rsidRPr="00A453E7" w:rsidSect="003270C1">
      <w:headerReference w:type="even" r:id="rId12"/>
      <w:headerReference w:type="default" r:id="rId13"/>
      <w:footerReference w:type="even" r:id="rId14"/>
      <w:footerReference w:type="default" r:id="rId15"/>
      <w:pgSz w:w="11906" w:h="16838" w:code="9"/>
      <w:pgMar w:top="1134" w:right="1134" w:bottom="1418" w:left="1134" w:header="680" w:footer="680"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7D" w:rsidRDefault="00C76D7D" w:rsidP="00E71A58">
      <w:r>
        <w:separator/>
      </w:r>
    </w:p>
  </w:endnote>
  <w:endnote w:type="continuationSeparator" w:id="0">
    <w:p w:rsidR="00C76D7D" w:rsidRDefault="00C76D7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932443" w:rsidRDefault="00C76D7D" w:rsidP="00A418BC">
    <w:pPr>
      <w:pStyle w:val="Zpat"/>
      <w:rPr>
        <w:szCs w:val="16"/>
      </w:rPr>
    </w:pPr>
    <w:r>
      <w:rPr>
        <w:szCs w:val="16"/>
        <w:lang w:eastAsia="cs-CZ"/>
      </w:rPr>
      <w:drawing>
        <wp:anchor distT="0" distB="0" distL="114300" distR="114300" simplePos="0" relativeHeight="251658240" behindDoc="0" locked="0" layoutInCell="1" allowOverlap="1" wp14:anchorId="3C75BCF0" wp14:editId="0BDE1D08">
          <wp:simplePos x="0" y="0"/>
          <wp:positionH relativeFrom="column">
            <wp:align>right</wp:align>
          </wp:positionH>
          <wp:positionV relativeFrom="paragraph">
            <wp:posOffset>-64770</wp:posOffset>
          </wp:positionV>
          <wp:extent cx="428625" cy="201295"/>
          <wp:effectExtent l="0" t="0" r="3175" b="1905"/>
          <wp:wrapNone/>
          <wp:docPr id="34"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A453E7">
      <w:rPr>
        <w:szCs w:val="16"/>
      </w:rPr>
      <w:t>34</w:t>
    </w:r>
    <w:r w:rsidRPr="00932443">
      <w:rPr>
        <w:szCs w:val="16"/>
      </w:rPr>
      <w:fldChar w:fldCharType="end"/>
    </w:r>
    <w:r w:rsidRPr="00932443">
      <w:rPr>
        <w:szCs w:val="16"/>
      </w:rPr>
      <w:tab/>
    </w:r>
    <w:r>
      <w:rPr>
        <w:szCs w:val="16"/>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932443" w:rsidRDefault="00C76D7D" w:rsidP="00A418BC">
    <w:pPr>
      <w:pStyle w:val="Zpat"/>
      <w:rPr>
        <w:szCs w:val="16"/>
      </w:rPr>
    </w:pPr>
    <w:r>
      <w:rPr>
        <w:szCs w:val="16"/>
        <w:lang w:eastAsia="cs-CZ"/>
      </w:rPr>
      <w:drawing>
        <wp:anchor distT="0" distB="0" distL="114300" distR="114300" simplePos="0" relativeHeight="251657216" behindDoc="0" locked="0" layoutInCell="1" allowOverlap="1" wp14:anchorId="630C6737" wp14:editId="6DE0825E">
          <wp:simplePos x="0" y="0"/>
          <wp:positionH relativeFrom="column">
            <wp:align>left</wp:align>
          </wp:positionH>
          <wp:positionV relativeFrom="paragraph">
            <wp:posOffset>-122555</wp:posOffset>
          </wp:positionV>
          <wp:extent cx="510540" cy="272415"/>
          <wp:effectExtent l="0" t="0" r="0" b="6985"/>
          <wp:wrapNone/>
          <wp:docPr id="35"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2015</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A453E7">
      <w:rPr>
        <w:rStyle w:val="ZpatChar"/>
        <w:szCs w:val="16"/>
      </w:rPr>
      <w:t>35</w:t>
    </w:r>
    <w:r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7D" w:rsidRDefault="00C76D7D" w:rsidP="00E71A58">
      <w:r>
        <w:separator/>
      </w:r>
    </w:p>
  </w:footnote>
  <w:footnote w:type="continuationSeparator" w:id="0">
    <w:p w:rsidR="00C76D7D" w:rsidRDefault="00C76D7D" w:rsidP="00E71A58">
      <w:r>
        <w:continuationSeparator/>
      </w:r>
    </w:p>
  </w:footnote>
  <w:footnote w:id="1">
    <w:p w:rsidR="00A453E7" w:rsidRPr="00F266E0" w:rsidRDefault="00A453E7" w:rsidP="00A453E7">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Např. v době ekonomické krize začínající v roce 2007 firmy výrazně snížily investice do firemního vzdělávání (Palán 2009).</w:t>
      </w:r>
      <w:r>
        <w:rPr>
          <w:rFonts w:ascii="Arial" w:hAnsi="Arial" w:cs="Arial"/>
          <w:sz w:val="18"/>
          <w:szCs w:val="18"/>
        </w:rPr>
        <w:t xml:space="preserve"> </w:t>
      </w:r>
      <w:r w:rsidRPr="00F266E0">
        <w:rPr>
          <w:rFonts w:ascii="Arial" w:hAnsi="Arial" w:cs="Arial"/>
          <w:sz w:val="18"/>
          <w:szCs w:val="18"/>
        </w:rPr>
        <w:t xml:space="preserve">PALÁN, Zdeněk: </w:t>
      </w:r>
      <w:r w:rsidRPr="00F266E0">
        <w:rPr>
          <w:rFonts w:ascii="Arial" w:hAnsi="Arial" w:cs="Arial"/>
          <w:i/>
          <w:sz w:val="18"/>
          <w:szCs w:val="18"/>
        </w:rPr>
        <w:t xml:space="preserve">Podnikové vzdělávání zasáhla </w:t>
      </w:r>
      <w:proofErr w:type="spellStart"/>
      <w:r w:rsidRPr="00F266E0">
        <w:rPr>
          <w:rFonts w:ascii="Arial" w:hAnsi="Arial" w:cs="Arial"/>
          <w:i/>
          <w:sz w:val="18"/>
          <w:szCs w:val="18"/>
        </w:rPr>
        <w:t>resece</w:t>
      </w:r>
      <w:proofErr w:type="spellEnd"/>
      <w:r w:rsidRPr="00F266E0">
        <w:rPr>
          <w:rFonts w:ascii="Arial" w:hAnsi="Arial" w:cs="Arial"/>
          <w:i/>
          <w:sz w:val="18"/>
          <w:szCs w:val="18"/>
        </w:rPr>
        <w:t xml:space="preserve">. </w:t>
      </w:r>
      <w:r w:rsidRPr="00F266E0">
        <w:rPr>
          <w:rFonts w:ascii="Arial" w:hAnsi="Arial" w:cs="Arial"/>
          <w:sz w:val="18"/>
          <w:szCs w:val="18"/>
        </w:rPr>
        <w:t>HR Strategie</w:t>
      </w:r>
      <w:r w:rsidRPr="00F266E0">
        <w:rPr>
          <w:rFonts w:ascii="Arial" w:hAnsi="Arial" w:cs="Arial"/>
          <w:sz w:val="18"/>
          <w:szCs w:val="18"/>
          <w:lang w:val="en-US"/>
        </w:rPr>
        <w:t>[online]</w:t>
      </w:r>
      <w:r w:rsidRPr="00F266E0">
        <w:rPr>
          <w:rFonts w:ascii="Arial" w:hAnsi="Arial" w:cs="Arial"/>
          <w:sz w:val="18"/>
          <w:szCs w:val="18"/>
        </w:rPr>
        <w:t xml:space="preserve">, 2009. Dostupné </w:t>
      </w:r>
      <w:proofErr w:type="gramStart"/>
      <w:r w:rsidRPr="00F266E0">
        <w:rPr>
          <w:rFonts w:ascii="Arial" w:hAnsi="Arial" w:cs="Arial"/>
          <w:sz w:val="18"/>
          <w:szCs w:val="18"/>
        </w:rPr>
        <w:t>na</w:t>
      </w:r>
      <w:proofErr w:type="gramEnd"/>
      <w:r w:rsidRPr="00F266E0">
        <w:rPr>
          <w:rFonts w:ascii="Arial" w:hAnsi="Arial" w:cs="Arial"/>
          <w:sz w:val="18"/>
          <w:szCs w:val="18"/>
        </w:rPr>
        <w:t xml:space="preserve">: </w:t>
      </w:r>
      <w:hyperlink r:id="rId1" w:history="1">
        <w:r w:rsidRPr="00F266E0">
          <w:rPr>
            <w:rStyle w:val="Hypertextovodkaz"/>
            <w:rFonts w:ascii="Arial" w:eastAsia="MS Gothic" w:hAnsi="Arial" w:cs="Arial"/>
            <w:sz w:val="18"/>
            <w:szCs w:val="18"/>
            <w:lang w:val="en-US"/>
          </w:rPr>
          <w:t>http://www.centrumandragogiky.cz/assets/Podnikov%C3%A9-vzd%C4%9Bl%C3%A1v%C3%A1n%C3%AD-zas%C3%A1hla-recese.pdf</w:t>
        </w:r>
      </w:hyperlink>
    </w:p>
  </w:footnote>
  <w:footnote w:id="2">
    <w:p w:rsidR="00A453E7" w:rsidRPr="00F266E0" w:rsidRDefault="00A453E7" w:rsidP="00A453E7">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Měřeno indexem zájmu firem o uspokojování vzdělávacích potřeb zaměstnanců.</w:t>
      </w:r>
    </w:p>
  </w:footnote>
  <w:footnote w:id="3">
    <w:p w:rsidR="00A453E7" w:rsidRPr="00F266E0" w:rsidRDefault="00A453E7" w:rsidP="00A453E7">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Příspěvky poskytnuté firmou na vzdělávání jsou myšleny výdaje firmy do kolektivních fondů obhospodařovaných vládou či zprostředkujícími společnostmi s hlavním záměrem přispět na vzdělávání zaměstnanců.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6F5416" w:rsidRDefault="00C76D7D" w:rsidP="00937AE2">
    <w:pPr>
      <w:pStyle w:val="Zhlav"/>
    </w:pPr>
    <w:r>
      <w:t>Vzdělávání zaměstnaných osob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6F5416" w:rsidRDefault="00C76D7D" w:rsidP="002F2E5D">
    <w:pPr>
      <w:pStyle w:val="Zhlav"/>
    </w:pPr>
    <w:r>
      <w:t>Vzdělávání zaměstnaných osob</w:t>
    </w:r>
  </w:p>
  <w:p w:rsidR="00C76D7D" w:rsidRPr="002F2E5D" w:rsidRDefault="00C76D7D" w:rsidP="002F2E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F12609B"/>
    <w:multiLevelType w:val="hybridMultilevel"/>
    <w:tmpl w:val="B0F65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1B036EF"/>
    <w:multiLevelType w:val="hybridMultilevel"/>
    <w:tmpl w:val="5F4EAC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3305293"/>
    <w:multiLevelType w:val="hybridMultilevel"/>
    <w:tmpl w:val="4BE863F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nsid w:val="13AB490F"/>
    <w:multiLevelType w:val="hybridMultilevel"/>
    <w:tmpl w:val="FD1CBF2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nsid w:val="151B65DD"/>
    <w:multiLevelType w:val="hybridMultilevel"/>
    <w:tmpl w:val="6EE6D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C755E74"/>
    <w:multiLevelType w:val="hybridMultilevel"/>
    <w:tmpl w:val="A620C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882EEC"/>
    <w:multiLevelType w:val="hybridMultilevel"/>
    <w:tmpl w:val="7A06C9F8"/>
    <w:lvl w:ilvl="0" w:tplc="4AAC0042">
      <w:start w:val="1"/>
      <w:numFmt w:val="bullet"/>
      <w:lvlText w:val=""/>
      <w:lvlJc w:val="left"/>
      <w:pPr>
        <w:ind w:left="567" w:hanging="207"/>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7">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260496"/>
    <w:multiLevelType w:val="hybridMultilevel"/>
    <w:tmpl w:val="60F03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6A3C8B"/>
    <w:multiLevelType w:val="hybridMultilevel"/>
    <w:tmpl w:val="A44A5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0B17918"/>
    <w:multiLevelType w:val="hybridMultilevel"/>
    <w:tmpl w:val="C100B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FF764D"/>
    <w:multiLevelType w:val="hybridMultilevel"/>
    <w:tmpl w:val="6F0A3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832A38"/>
    <w:multiLevelType w:val="hybridMultilevel"/>
    <w:tmpl w:val="A984B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6F0C7B"/>
    <w:multiLevelType w:val="hybridMultilevel"/>
    <w:tmpl w:val="08364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0471AE"/>
    <w:multiLevelType w:val="hybridMultilevel"/>
    <w:tmpl w:val="B04865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E045E86"/>
    <w:multiLevelType w:val="hybridMultilevel"/>
    <w:tmpl w:val="0096E9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6B608EB"/>
    <w:multiLevelType w:val="hybridMultilevel"/>
    <w:tmpl w:val="BE0C6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4D6413"/>
    <w:multiLevelType w:val="hybridMultilevel"/>
    <w:tmpl w:val="02E0B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24"/>
  </w:num>
  <w:num w:numId="14">
    <w:abstractNumId w:val="16"/>
  </w:num>
  <w:num w:numId="15">
    <w:abstractNumId w:val="19"/>
  </w:num>
  <w:num w:numId="16">
    <w:abstractNumId w:val="18"/>
  </w:num>
  <w:num w:numId="17">
    <w:abstractNumId w:val="25"/>
  </w:num>
  <w:num w:numId="18">
    <w:abstractNumId w:val="10"/>
  </w:num>
  <w:num w:numId="19">
    <w:abstractNumId w:val="21"/>
  </w:num>
  <w:num w:numId="20">
    <w:abstractNumId w:val="29"/>
  </w:num>
  <w:num w:numId="21">
    <w:abstractNumId w:val="13"/>
  </w:num>
  <w:num w:numId="22">
    <w:abstractNumId w:val="12"/>
  </w:num>
  <w:num w:numId="23">
    <w:abstractNumId w:val="15"/>
  </w:num>
  <w:num w:numId="24">
    <w:abstractNumId w:val="22"/>
  </w:num>
  <w:num w:numId="25">
    <w:abstractNumId w:val="20"/>
  </w:num>
  <w:num w:numId="26">
    <w:abstractNumId w:val="28"/>
  </w:num>
  <w:num w:numId="27">
    <w:abstractNumId w:val="14"/>
  </w:num>
  <w:num w:numId="28">
    <w:abstractNumId w:val="26"/>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19137">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DF"/>
    <w:rsid w:val="000018C3"/>
    <w:rsid w:val="0000209D"/>
    <w:rsid w:val="00002A65"/>
    <w:rsid w:val="00004D5A"/>
    <w:rsid w:val="000056D5"/>
    <w:rsid w:val="00006A92"/>
    <w:rsid w:val="00006CA4"/>
    <w:rsid w:val="0000767A"/>
    <w:rsid w:val="00010702"/>
    <w:rsid w:val="00012017"/>
    <w:rsid w:val="00013128"/>
    <w:rsid w:val="0001469F"/>
    <w:rsid w:val="00014ABD"/>
    <w:rsid w:val="00016992"/>
    <w:rsid w:val="00020F71"/>
    <w:rsid w:val="00021297"/>
    <w:rsid w:val="00022667"/>
    <w:rsid w:val="000234D6"/>
    <w:rsid w:val="000238C6"/>
    <w:rsid w:val="00023D29"/>
    <w:rsid w:val="00026389"/>
    <w:rsid w:val="00027D43"/>
    <w:rsid w:val="00030BA1"/>
    <w:rsid w:val="000310E8"/>
    <w:rsid w:val="00031AE0"/>
    <w:rsid w:val="000322EF"/>
    <w:rsid w:val="000332C4"/>
    <w:rsid w:val="00033FCD"/>
    <w:rsid w:val="000377E4"/>
    <w:rsid w:val="00041CEC"/>
    <w:rsid w:val="000440D5"/>
    <w:rsid w:val="000449C6"/>
    <w:rsid w:val="00044BB6"/>
    <w:rsid w:val="00045C87"/>
    <w:rsid w:val="0004694F"/>
    <w:rsid w:val="000469F6"/>
    <w:rsid w:val="000510E6"/>
    <w:rsid w:val="000522E4"/>
    <w:rsid w:val="000529B3"/>
    <w:rsid w:val="00061007"/>
    <w:rsid w:val="000610E1"/>
    <w:rsid w:val="00061960"/>
    <w:rsid w:val="00061CD9"/>
    <w:rsid w:val="00062EC5"/>
    <w:rsid w:val="00062F22"/>
    <w:rsid w:val="0006332F"/>
    <w:rsid w:val="000673F4"/>
    <w:rsid w:val="000712B3"/>
    <w:rsid w:val="0007201B"/>
    <w:rsid w:val="000726AD"/>
    <w:rsid w:val="00072DF6"/>
    <w:rsid w:val="00076DDC"/>
    <w:rsid w:val="000825D2"/>
    <w:rsid w:val="0008263E"/>
    <w:rsid w:val="00082C19"/>
    <w:rsid w:val="000847CB"/>
    <w:rsid w:val="00085395"/>
    <w:rsid w:val="00087249"/>
    <w:rsid w:val="0008742A"/>
    <w:rsid w:val="00087634"/>
    <w:rsid w:val="00087A17"/>
    <w:rsid w:val="00087F2B"/>
    <w:rsid w:val="00092845"/>
    <w:rsid w:val="00093EEF"/>
    <w:rsid w:val="00094810"/>
    <w:rsid w:val="000954C7"/>
    <w:rsid w:val="00097088"/>
    <w:rsid w:val="000974D1"/>
    <w:rsid w:val="0009799E"/>
    <w:rsid w:val="000A1178"/>
    <w:rsid w:val="000A1183"/>
    <w:rsid w:val="000A131B"/>
    <w:rsid w:val="000A1A99"/>
    <w:rsid w:val="000A256D"/>
    <w:rsid w:val="000A3833"/>
    <w:rsid w:val="000A3A2C"/>
    <w:rsid w:val="000A5A34"/>
    <w:rsid w:val="000A7077"/>
    <w:rsid w:val="000A798E"/>
    <w:rsid w:val="000A7A9C"/>
    <w:rsid w:val="000B30FA"/>
    <w:rsid w:val="000B6FF8"/>
    <w:rsid w:val="000C192D"/>
    <w:rsid w:val="000C25C2"/>
    <w:rsid w:val="000C3408"/>
    <w:rsid w:val="000C4263"/>
    <w:rsid w:val="000C6AFD"/>
    <w:rsid w:val="000D4F04"/>
    <w:rsid w:val="000D5637"/>
    <w:rsid w:val="000E2C4C"/>
    <w:rsid w:val="000E57D2"/>
    <w:rsid w:val="000E66D6"/>
    <w:rsid w:val="000E6FBD"/>
    <w:rsid w:val="000F4B71"/>
    <w:rsid w:val="000F7B2B"/>
    <w:rsid w:val="00100F5C"/>
    <w:rsid w:val="0010176F"/>
    <w:rsid w:val="001018E9"/>
    <w:rsid w:val="0010437D"/>
    <w:rsid w:val="00104C4C"/>
    <w:rsid w:val="001068EE"/>
    <w:rsid w:val="001102A2"/>
    <w:rsid w:val="00110752"/>
    <w:rsid w:val="00111F62"/>
    <w:rsid w:val="00112EC1"/>
    <w:rsid w:val="00113925"/>
    <w:rsid w:val="00120E67"/>
    <w:rsid w:val="0012192F"/>
    <w:rsid w:val="00125C79"/>
    <w:rsid w:val="00125D69"/>
    <w:rsid w:val="001276F7"/>
    <w:rsid w:val="00127C9D"/>
    <w:rsid w:val="00131636"/>
    <w:rsid w:val="001405FA"/>
    <w:rsid w:val="0014073C"/>
    <w:rsid w:val="001425C3"/>
    <w:rsid w:val="00143B45"/>
    <w:rsid w:val="00150952"/>
    <w:rsid w:val="00152969"/>
    <w:rsid w:val="00156839"/>
    <w:rsid w:val="00156CC6"/>
    <w:rsid w:val="00161C0B"/>
    <w:rsid w:val="0016256B"/>
    <w:rsid w:val="00163793"/>
    <w:rsid w:val="001646AF"/>
    <w:rsid w:val="00167C72"/>
    <w:rsid w:val="001706D6"/>
    <w:rsid w:val="00171223"/>
    <w:rsid w:val="001714F2"/>
    <w:rsid w:val="00171CAE"/>
    <w:rsid w:val="0017231D"/>
    <w:rsid w:val="0017233B"/>
    <w:rsid w:val="00173420"/>
    <w:rsid w:val="00173CB4"/>
    <w:rsid w:val="00174370"/>
    <w:rsid w:val="00180F75"/>
    <w:rsid w:val="00181829"/>
    <w:rsid w:val="001848C0"/>
    <w:rsid w:val="00184B08"/>
    <w:rsid w:val="00185010"/>
    <w:rsid w:val="001852B9"/>
    <w:rsid w:val="0018545B"/>
    <w:rsid w:val="00185BFD"/>
    <w:rsid w:val="001863F7"/>
    <w:rsid w:val="00187B7C"/>
    <w:rsid w:val="001907D7"/>
    <w:rsid w:val="00191AAE"/>
    <w:rsid w:val="001934A1"/>
    <w:rsid w:val="00195AC5"/>
    <w:rsid w:val="00195C7D"/>
    <w:rsid w:val="0019730B"/>
    <w:rsid w:val="001A41AF"/>
    <w:rsid w:val="001A4364"/>
    <w:rsid w:val="001A552F"/>
    <w:rsid w:val="001A5A5B"/>
    <w:rsid w:val="001A7116"/>
    <w:rsid w:val="001B2CA9"/>
    <w:rsid w:val="001B3110"/>
    <w:rsid w:val="001B4670"/>
    <w:rsid w:val="001B4729"/>
    <w:rsid w:val="001B497C"/>
    <w:rsid w:val="001B6C09"/>
    <w:rsid w:val="001C05CD"/>
    <w:rsid w:val="001C1A1B"/>
    <w:rsid w:val="001C206D"/>
    <w:rsid w:val="001C2920"/>
    <w:rsid w:val="001C3BF5"/>
    <w:rsid w:val="001C4160"/>
    <w:rsid w:val="001C4E2A"/>
    <w:rsid w:val="001C7F7F"/>
    <w:rsid w:val="001D12DF"/>
    <w:rsid w:val="001D1633"/>
    <w:rsid w:val="001D1D6A"/>
    <w:rsid w:val="001D20C7"/>
    <w:rsid w:val="001D2A11"/>
    <w:rsid w:val="001D36C2"/>
    <w:rsid w:val="001D4A0A"/>
    <w:rsid w:val="001D68B2"/>
    <w:rsid w:val="001D6E9C"/>
    <w:rsid w:val="001E104A"/>
    <w:rsid w:val="001E3A70"/>
    <w:rsid w:val="001E4019"/>
    <w:rsid w:val="001E4CF4"/>
    <w:rsid w:val="001E6CC7"/>
    <w:rsid w:val="001E71EA"/>
    <w:rsid w:val="001E7423"/>
    <w:rsid w:val="001F1D95"/>
    <w:rsid w:val="001F1EF4"/>
    <w:rsid w:val="001F2D66"/>
    <w:rsid w:val="001F3BF5"/>
    <w:rsid w:val="001F4597"/>
    <w:rsid w:val="001F65AF"/>
    <w:rsid w:val="00201296"/>
    <w:rsid w:val="00201715"/>
    <w:rsid w:val="0020402B"/>
    <w:rsid w:val="002043A8"/>
    <w:rsid w:val="002052F1"/>
    <w:rsid w:val="00205F73"/>
    <w:rsid w:val="00206B44"/>
    <w:rsid w:val="00207B2D"/>
    <w:rsid w:val="002116DF"/>
    <w:rsid w:val="002118B9"/>
    <w:rsid w:val="00213EE9"/>
    <w:rsid w:val="00217C5B"/>
    <w:rsid w:val="002208F6"/>
    <w:rsid w:val="0022139E"/>
    <w:rsid w:val="00221E44"/>
    <w:rsid w:val="002227AF"/>
    <w:rsid w:val="002252E0"/>
    <w:rsid w:val="002255F6"/>
    <w:rsid w:val="002271B2"/>
    <w:rsid w:val="00227850"/>
    <w:rsid w:val="00227A53"/>
    <w:rsid w:val="00230C6E"/>
    <w:rsid w:val="002310CA"/>
    <w:rsid w:val="00233C31"/>
    <w:rsid w:val="00236443"/>
    <w:rsid w:val="00236AF1"/>
    <w:rsid w:val="0024041F"/>
    <w:rsid w:val="002436BA"/>
    <w:rsid w:val="00244A15"/>
    <w:rsid w:val="00245B03"/>
    <w:rsid w:val="00247319"/>
    <w:rsid w:val="0024799E"/>
    <w:rsid w:val="00247FB7"/>
    <w:rsid w:val="002501F0"/>
    <w:rsid w:val="00250799"/>
    <w:rsid w:val="002516FD"/>
    <w:rsid w:val="0025346A"/>
    <w:rsid w:val="002539B1"/>
    <w:rsid w:val="00253C0F"/>
    <w:rsid w:val="00253F55"/>
    <w:rsid w:val="00256BB0"/>
    <w:rsid w:val="00260E7C"/>
    <w:rsid w:val="00262B3E"/>
    <w:rsid w:val="00271465"/>
    <w:rsid w:val="00273BC8"/>
    <w:rsid w:val="00277713"/>
    <w:rsid w:val="00277A94"/>
    <w:rsid w:val="00280C5C"/>
    <w:rsid w:val="00282489"/>
    <w:rsid w:val="00285412"/>
    <w:rsid w:val="0028591B"/>
    <w:rsid w:val="00290BD5"/>
    <w:rsid w:val="00290CAE"/>
    <w:rsid w:val="00291B11"/>
    <w:rsid w:val="00293819"/>
    <w:rsid w:val="00293F7E"/>
    <w:rsid w:val="00295586"/>
    <w:rsid w:val="002A00BE"/>
    <w:rsid w:val="002A05D5"/>
    <w:rsid w:val="002A16D4"/>
    <w:rsid w:val="002A182B"/>
    <w:rsid w:val="002A230C"/>
    <w:rsid w:val="002A5E10"/>
    <w:rsid w:val="002B3849"/>
    <w:rsid w:val="002B585E"/>
    <w:rsid w:val="002B5B39"/>
    <w:rsid w:val="002C19F8"/>
    <w:rsid w:val="002C270F"/>
    <w:rsid w:val="002C43BD"/>
    <w:rsid w:val="002C6512"/>
    <w:rsid w:val="002C7799"/>
    <w:rsid w:val="002D01EA"/>
    <w:rsid w:val="002D0246"/>
    <w:rsid w:val="002D0E14"/>
    <w:rsid w:val="002D0E59"/>
    <w:rsid w:val="002E02A1"/>
    <w:rsid w:val="002E06BA"/>
    <w:rsid w:val="002E3136"/>
    <w:rsid w:val="002E4E4C"/>
    <w:rsid w:val="002E6624"/>
    <w:rsid w:val="002F1697"/>
    <w:rsid w:val="002F1DB4"/>
    <w:rsid w:val="002F281A"/>
    <w:rsid w:val="002F2925"/>
    <w:rsid w:val="002F2E5D"/>
    <w:rsid w:val="002F4825"/>
    <w:rsid w:val="002F682A"/>
    <w:rsid w:val="00302391"/>
    <w:rsid w:val="00304771"/>
    <w:rsid w:val="00304FD2"/>
    <w:rsid w:val="003052D4"/>
    <w:rsid w:val="00306C5B"/>
    <w:rsid w:val="00312F53"/>
    <w:rsid w:val="0031434D"/>
    <w:rsid w:val="003160DE"/>
    <w:rsid w:val="0032003B"/>
    <w:rsid w:val="003205AD"/>
    <w:rsid w:val="003209D6"/>
    <w:rsid w:val="00321924"/>
    <w:rsid w:val="00325830"/>
    <w:rsid w:val="0032656E"/>
    <w:rsid w:val="003270C1"/>
    <w:rsid w:val="0032771E"/>
    <w:rsid w:val="00332190"/>
    <w:rsid w:val="00335667"/>
    <w:rsid w:val="00340321"/>
    <w:rsid w:val="00344668"/>
    <w:rsid w:val="0034556C"/>
    <w:rsid w:val="003462D9"/>
    <w:rsid w:val="003476DF"/>
    <w:rsid w:val="00350C87"/>
    <w:rsid w:val="00351E16"/>
    <w:rsid w:val="00351EAC"/>
    <w:rsid w:val="00354505"/>
    <w:rsid w:val="003546AD"/>
    <w:rsid w:val="00360C86"/>
    <w:rsid w:val="00361627"/>
    <w:rsid w:val="003619B3"/>
    <w:rsid w:val="00361CB2"/>
    <w:rsid w:val="00362151"/>
    <w:rsid w:val="00364407"/>
    <w:rsid w:val="00364436"/>
    <w:rsid w:val="003657F3"/>
    <w:rsid w:val="00365D00"/>
    <w:rsid w:val="00366CC8"/>
    <w:rsid w:val="0036716B"/>
    <w:rsid w:val="00367778"/>
    <w:rsid w:val="0037096B"/>
    <w:rsid w:val="00373D6F"/>
    <w:rsid w:val="003752A4"/>
    <w:rsid w:val="003811E5"/>
    <w:rsid w:val="003818DC"/>
    <w:rsid w:val="00382A55"/>
    <w:rsid w:val="003830DE"/>
    <w:rsid w:val="00384327"/>
    <w:rsid w:val="00385D98"/>
    <w:rsid w:val="00392321"/>
    <w:rsid w:val="00393BDD"/>
    <w:rsid w:val="00395886"/>
    <w:rsid w:val="0039762C"/>
    <w:rsid w:val="003A19EC"/>
    <w:rsid w:val="003A1C3F"/>
    <w:rsid w:val="003A1D51"/>
    <w:rsid w:val="003A2B4D"/>
    <w:rsid w:val="003A446E"/>
    <w:rsid w:val="003A478C"/>
    <w:rsid w:val="003A5525"/>
    <w:rsid w:val="003A6B38"/>
    <w:rsid w:val="003A7736"/>
    <w:rsid w:val="003A7C80"/>
    <w:rsid w:val="003B04BF"/>
    <w:rsid w:val="003B5A32"/>
    <w:rsid w:val="003B6F9A"/>
    <w:rsid w:val="003B793C"/>
    <w:rsid w:val="003C3490"/>
    <w:rsid w:val="003C3AFF"/>
    <w:rsid w:val="003D3E3A"/>
    <w:rsid w:val="003D6279"/>
    <w:rsid w:val="003D65FD"/>
    <w:rsid w:val="003D6920"/>
    <w:rsid w:val="003E2DBD"/>
    <w:rsid w:val="003E356F"/>
    <w:rsid w:val="003E3881"/>
    <w:rsid w:val="003E4C91"/>
    <w:rsid w:val="003E6112"/>
    <w:rsid w:val="003E734C"/>
    <w:rsid w:val="003F107B"/>
    <w:rsid w:val="003F2623"/>
    <w:rsid w:val="003F313C"/>
    <w:rsid w:val="003F3C7B"/>
    <w:rsid w:val="003F3F6E"/>
    <w:rsid w:val="003F4B2C"/>
    <w:rsid w:val="003F551C"/>
    <w:rsid w:val="003F75E1"/>
    <w:rsid w:val="003F7D23"/>
    <w:rsid w:val="004013CA"/>
    <w:rsid w:val="00407C13"/>
    <w:rsid w:val="00410638"/>
    <w:rsid w:val="004116F0"/>
    <w:rsid w:val="00412A4F"/>
    <w:rsid w:val="004170C5"/>
    <w:rsid w:val="004246BF"/>
    <w:rsid w:val="00425275"/>
    <w:rsid w:val="0042610C"/>
    <w:rsid w:val="00426595"/>
    <w:rsid w:val="00426B93"/>
    <w:rsid w:val="004272F9"/>
    <w:rsid w:val="0042763D"/>
    <w:rsid w:val="00432A58"/>
    <w:rsid w:val="004334ED"/>
    <w:rsid w:val="00434617"/>
    <w:rsid w:val="004358CD"/>
    <w:rsid w:val="00436F1F"/>
    <w:rsid w:val="00440900"/>
    <w:rsid w:val="004416AE"/>
    <w:rsid w:val="00442DF3"/>
    <w:rsid w:val="00442EB1"/>
    <w:rsid w:val="004441A0"/>
    <w:rsid w:val="00444609"/>
    <w:rsid w:val="00447CFF"/>
    <w:rsid w:val="00451BDC"/>
    <w:rsid w:val="00456E0F"/>
    <w:rsid w:val="00460FB3"/>
    <w:rsid w:val="00463983"/>
    <w:rsid w:val="00467830"/>
    <w:rsid w:val="00471807"/>
    <w:rsid w:val="0047295C"/>
    <w:rsid w:val="00475504"/>
    <w:rsid w:val="00476240"/>
    <w:rsid w:val="00476439"/>
    <w:rsid w:val="00476EBA"/>
    <w:rsid w:val="00477268"/>
    <w:rsid w:val="0047735C"/>
    <w:rsid w:val="004776BC"/>
    <w:rsid w:val="0048139F"/>
    <w:rsid w:val="00481540"/>
    <w:rsid w:val="00481E40"/>
    <w:rsid w:val="004833CC"/>
    <w:rsid w:val="00483454"/>
    <w:rsid w:val="004836F3"/>
    <w:rsid w:val="00484ECE"/>
    <w:rsid w:val="00485151"/>
    <w:rsid w:val="004874ED"/>
    <w:rsid w:val="00487511"/>
    <w:rsid w:val="004900FF"/>
    <w:rsid w:val="00490AE6"/>
    <w:rsid w:val="004915CB"/>
    <w:rsid w:val="004924DC"/>
    <w:rsid w:val="00492F74"/>
    <w:rsid w:val="0049401D"/>
    <w:rsid w:val="004A14E4"/>
    <w:rsid w:val="004A3212"/>
    <w:rsid w:val="004A61C5"/>
    <w:rsid w:val="004A77DF"/>
    <w:rsid w:val="004B1417"/>
    <w:rsid w:val="004B1865"/>
    <w:rsid w:val="004B1898"/>
    <w:rsid w:val="004B3009"/>
    <w:rsid w:val="004B55B7"/>
    <w:rsid w:val="004B5811"/>
    <w:rsid w:val="004B6468"/>
    <w:rsid w:val="004B66B6"/>
    <w:rsid w:val="004B6749"/>
    <w:rsid w:val="004B6FB1"/>
    <w:rsid w:val="004C0DB7"/>
    <w:rsid w:val="004C367A"/>
    <w:rsid w:val="004C384C"/>
    <w:rsid w:val="004C3867"/>
    <w:rsid w:val="004C4CD0"/>
    <w:rsid w:val="004C53BF"/>
    <w:rsid w:val="004C5665"/>
    <w:rsid w:val="004C5F81"/>
    <w:rsid w:val="004C6AA7"/>
    <w:rsid w:val="004C70DC"/>
    <w:rsid w:val="004C7CB9"/>
    <w:rsid w:val="004D0211"/>
    <w:rsid w:val="004D0794"/>
    <w:rsid w:val="004D40ED"/>
    <w:rsid w:val="004D424A"/>
    <w:rsid w:val="004D544F"/>
    <w:rsid w:val="004D65BB"/>
    <w:rsid w:val="004E1550"/>
    <w:rsid w:val="004E1A07"/>
    <w:rsid w:val="004E1DD3"/>
    <w:rsid w:val="004E2FED"/>
    <w:rsid w:val="004E765C"/>
    <w:rsid w:val="004E7E54"/>
    <w:rsid w:val="004F06F5"/>
    <w:rsid w:val="004F2E3C"/>
    <w:rsid w:val="004F33A0"/>
    <w:rsid w:val="004F3E76"/>
    <w:rsid w:val="004F4790"/>
    <w:rsid w:val="004F4A9A"/>
    <w:rsid w:val="00500A8A"/>
    <w:rsid w:val="00507476"/>
    <w:rsid w:val="005108C0"/>
    <w:rsid w:val="00511099"/>
    <w:rsid w:val="00511873"/>
    <w:rsid w:val="0051195F"/>
    <w:rsid w:val="0051220B"/>
    <w:rsid w:val="00512A2F"/>
    <w:rsid w:val="0051312B"/>
    <w:rsid w:val="00513B7E"/>
    <w:rsid w:val="00515C74"/>
    <w:rsid w:val="00516FE8"/>
    <w:rsid w:val="0051759A"/>
    <w:rsid w:val="0052007E"/>
    <w:rsid w:val="005227A7"/>
    <w:rsid w:val="0052337A"/>
    <w:rsid w:val="0052389A"/>
    <w:rsid w:val="00524C77"/>
    <w:rsid w:val="00525137"/>
    <w:rsid w:val="005251DD"/>
    <w:rsid w:val="0052744A"/>
    <w:rsid w:val="005310A5"/>
    <w:rsid w:val="00532CE7"/>
    <w:rsid w:val="0053324C"/>
    <w:rsid w:val="00534A28"/>
    <w:rsid w:val="00535608"/>
    <w:rsid w:val="00540939"/>
    <w:rsid w:val="00541130"/>
    <w:rsid w:val="005412F1"/>
    <w:rsid w:val="00541508"/>
    <w:rsid w:val="00541BFC"/>
    <w:rsid w:val="005444A4"/>
    <w:rsid w:val="00545BBF"/>
    <w:rsid w:val="005461FD"/>
    <w:rsid w:val="00551C2D"/>
    <w:rsid w:val="0055444F"/>
    <w:rsid w:val="00555035"/>
    <w:rsid w:val="0055599F"/>
    <w:rsid w:val="00555EE6"/>
    <w:rsid w:val="00556D68"/>
    <w:rsid w:val="0055720E"/>
    <w:rsid w:val="00561876"/>
    <w:rsid w:val="00562FFA"/>
    <w:rsid w:val="005634B8"/>
    <w:rsid w:val="00563CD7"/>
    <w:rsid w:val="005647BF"/>
    <w:rsid w:val="00565A8A"/>
    <w:rsid w:val="00567470"/>
    <w:rsid w:val="0056764C"/>
    <w:rsid w:val="00567D41"/>
    <w:rsid w:val="0057364B"/>
    <w:rsid w:val="00574773"/>
    <w:rsid w:val="00575493"/>
    <w:rsid w:val="00583C3D"/>
    <w:rsid w:val="00583FFD"/>
    <w:rsid w:val="0058420D"/>
    <w:rsid w:val="00590D37"/>
    <w:rsid w:val="005911BE"/>
    <w:rsid w:val="00593152"/>
    <w:rsid w:val="00594EBD"/>
    <w:rsid w:val="00597244"/>
    <w:rsid w:val="005A10F2"/>
    <w:rsid w:val="005A21E0"/>
    <w:rsid w:val="005A25D1"/>
    <w:rsid w:val="005A28FF"/>
    <w:rsid w:val="005A3DF8"/>
    <w:rsid w:val="005A5549"/>
    <w:rsid w:val="005A5896"/>
    <w:rsid w:val="005B027D"/>
    <w:rsid w:val="005B121D"/>
    <w:rsid w:val="005B1F7F"/>
    <w:rsid w:val="005B4D8E"/>
    <w:rsid w:val="005B50BC"/>
    <w:rsid w:val="005C06ED"/>
    <w:rsid w:val="005C2BD9"/>
    <w:rsid w:val="005C7A1C"/>
    <w:rsid w:val="005C7D5B"/>
    <w:rsid w:val="005D0C56"/>
    <w:rsid w:val="005D4AD4"/>
    <w:rsid w:val="005D5802"/>
    <w:rsid w:val="005D6845"/>
    <w:rsid w:val="005D6CDB"/>
    <w:rsid w:val="005D7890"/>
    <w:rsid w:val="005E1C2B"/>
    <w:rsid w:val="005E5EB3"/>
    <w:rsid w:val="005E69E8"/>
    <w:rsid w:val="005E7C78"/>
    <w:rsid w:val="005F0609"/>
    <w:rsid w:val="005F2B87"/>
    <w:rsid w:val="005F3EB1"/>
    <w:rsid w:val="005F5469"/>
    <w:rsid w:val="0060063E"/>
    <w:rsid w:val="006018EF"/>
    <w:rsid w:val="00604307"/>
    <w:rsid w:val="0060487F"/>
    <w:rsid w:val="00604EAD"/>
    <w:rsid w:val="00607834"/>
    <w:rsid w:val="006104FB"/>
    <w:rsid w:val="006109A9"/>
    <w:rsid w:val="006122D1"/>
    <w:rsid w:val="00612A2F"/>
    <w:rsid w:val="00613A2E"/>
    <w:rsid w:val="00616E05"/>
    <w:rsid w:val="00616E17"/>
    <w:rsid w:val="00617078"/>
    <w:rsid w:val="00622B4C"/>
    <w:rsid w:val="00624093"/>
    <w:rsid w:val="00626353"/>
    <w:rsid w:val="0062791F"/>
    <w:rsid w:val="00631E7C"/>
    <w:rsid w:val="0063536A"/>
    <w:rsid w:val="006404A7"/>
    <w:rsid w:val="006449D6"/>
    <w:rsid w:val="006451E4"/>
    <w:rsid w:val="00645819"/>
    <w:rsid w:val="00645B33"/>
    <w:rsid w:val="00650275"/>
    <w:rsid w:val="00650925"/>
    <w:rsid w:val="006516CB"/>
    <w:rsid w:val="00656C52"/>
    <w:rsid w:val="00656C87"/>
    <w:rsid w:val="00657E87"/>
    <w:rsid w:val="00661BE4"/>
    <w:rsid w:val="00661DB2"/>
    <w:rsid w:val="00662030"/>
    <w:rsid w:val="00664803"/>
    <w:rsid w:val="0066549C"/>
    <w:rsid w:val="00665BA4"/>
    <w:rsid w:val="00666A57"/>
    <w:rsid w:val="006677B8"/>
    <w:rsid w:val="00667AF2"/>
    <w:rsid w:val="0067093E"/>
    <w:rsid w:val="006710C9"/>
    <w:rsid w:val="006727A6"/>
    <w:rsid w:val="00674D89"/>
    <w:rsid w:val="00675E37"/>
    <w:rsid w:val="0068062C"/>
    <w:rsid w:val="0068174E"/>
    <w:rsid w:val="00681DCE"/>
    <w:rsid w:val="0068260E"/>
    <w:rsid w:val="00685BEC"/>
    <w:rsid w:val="00690683"/>
    <w:rsid w:val="00693C2B"/>
    <w:rsid w:val="00693F4F"/>
    <w:rsid w:val="00695BEF"/>
    <w:rsid w:val="00697435"/>
    <w:rsid w:val="006977F6"/>
    <w:rsid w:val="00697A13"/>
    <w:rsid w:val="006A109C"/>
    <w:rsid w:val="006A47B0"/>
    <w:rsid w:val="006B03DF"/>
    <w:rsid w:val="006B22DF"/>
    <w:rsid w:val="006B344A"/>
    <w:rsid w:val="006B78D8"/>
    <w:rsid w:val="006C113F"/>
    <w:rsid w:val="006C123E"/>
    <w:rsid w:val="006C128B"/>
    <w:rsid w:val="006C516C"/>
    <w:rsid w:val="006C56D4"/>
    <w:rsid w:val="006C5B3C"/>
    <w:rsid w:val="006C6924"/>
    <w:rsid w:val="006C6BE8"/>
    <w:rsid w:val="006C78D3"/>
    <w:rsid w:val="006C7CA6"/>
    <w:rsid w:val="006D3E8A"/>
    <w:rsid w:val="006D4064"/>
    <w:rsid w:val="006D61DD"/>
    <w:rsid w:val="006D61F6"/>
    <w:rsid w:val="006E05FE"/>
    <w:rsid w:val="006E279A"/>
    <w:rsid w:val="006E313B"/>
    <w:rsid w:val="006E48A4"/>
    <w:rsid w:val="006E79F3"/>
    <w:rsid w:val="006F2029"/>
    <w:rsid w:val="006F5416"/>
    <w:rsid w:val="006F7137"/>
    <w:rsid w:val="00700A9E"/>
    <w:rsid w:val="00701B50"/>
    <w:rsid w:val="00701DB8"/>
    <w:rsid w:val="00704C3F"/>
    <w:rsid w:val="00706AD4"/>
    <w:rsid w:val="00710DF7"/>
    <w:rsid w:val="007140BE"/>
    <w:rsid w:val="0072018E"/>
    <w:rsid w:val="007211F5"/>
    <w:rsid w:val="00722359"/>
    <w:rsid w:val="00722A19"/>
    <w:rsid w:val="00725BB5"/>
    <w:rsid w:val="00726388"/>
    <w:rsid w:val="00730AE8"/>
    <w:rsid w:val="00731E2F"/>
    <w:rsid w:val="0073214E"/>
    <w:rsid w:val="0073256F"/>
    <w:rsid w:val="00735191"/>
    <w:rsid w:val="00737EA5"/>
    <w:rsid w:val="00740CD1"/>
    <w:rsid w:val="00741493"/>
    <w:rsid w:val="0074219B"/>
    <w:rsid w:val="00742868"/>
    <w:rsid w:val="00742F45"/>
    <w:rsid w:val="00747095"/>
    <w:rsid w:val="00750FA5"/>
    <w:rsid w:val="00752180"/>
    <w:rsid w:val="007549BB"/>
    <w:rsid w:val="00755202"/>
    <w:rsid w:val="007554F9"/>
    <w:rsid w:val="00755D3A"/>
    <w:rsid w:val="007578D3"/>
    <w:rsid w:val="00757925"/>
    <w:rsid w:val="0076003C"/>
    <w:rsid w:val="007609C6"/>
    <w:rsid w:val="0076175D"/>
    <w:rsid w:val="0076287E"/>
    <w:rsid w:val="00764811"/>
    <w:rsid w:val="00764E54"/>
    <w:rsid w:val="0076521E"/>
    <w:rsid w:val="007661E9"/>
    <w:rsid w:val="007714C7"/>
    <w:rsid w:val="00771F07"/>
    <w:rsid w:val="00774838"/>
    <w:rsid w:val="00776169"/>
    <w:rsid w:val="00776527"/>
    <w:rsid w:val="00776667"/>
    <w:rsid w:val="0077709B"/>
    <w:rsid w:val="00780EF1"/>
    <w:rsid w:val="00786A10"/>
    <w:rsid w:val="00787171"/>
    <w:rsid w:val="007874C5"/>
    <w:rsid w:val="00790764"/>
    <w:rsid w:val="0079402D"/>
    <w:rsid w:val="0079453C"/>
    <w:rsid w:val="00794677"/>
    <w:rsid w:val="0079472D"/>
    <w:rsid w:val="00794844"/>
    <w:rsid w:val="00795F2F"/>
    <w:rsid w:val="007970A5"/>
    <w:rsid w:val="007A1FDC"/>
    <w:rsid w:val="007A5179"/>
    <w:rsid w:val="007A5589"/>
    <w:rsid w:val="007B08AF"/>
    <w:rsid w:val="007B3FF0"/>
    <w:rsid w:val="007B41B2"/>
    <w:rsid w:val="007B64CD"/>
    <w:rsid w:val="007B6689"/>
    <w:rsid w:val="007B6EAA"/>
    <w:rsid w:val="007B7672"/>
    <w:rsid w:val="007C1883"/>
    <w:rsid w:val="007C23DF"/>
    <w:rsid w:val="007C2728"/>
    <w:rsid w:val="007C3A3E"/>
    <w:rsid w:val="007C52E4"/>
    <w:rsid w:val="007C7DD2"/>
    <w:rsid w:val="007C7E1E"/>
    <w:rsid w:val="007D03B0"/>
    <w:rsid w:val="007D3922"/>
    <w:rsid w:val="007D40DF"/>
    <w:rsid w:val="007D40F8"/>
    <w:rsid w:val="007D43B5"/>
    <w:rsid w:val="007D612B"/>
    <w:rsid w:val="007D705F"/>
    <w:rsid w:val="007D717B"/>
    <w:rsid w:val="007D76CA"/>
    <w:rsid w:val="007E4BCF"/>
    <w:rsid w:val="007E6FD4"/>
    <w:rsid w:val="007E7E61"/>
    <w:rsid w:val="007F0845"/>
    <w:rsid w:val="007F3B2B"/>
    <w:rsid w:val="007F3E34"/>
    <w:rsid w:val="007F4377"/>
    <w:rsid w:val="007F45E0"/>
    <w:rsid w:val="00800493"/>
    <w:rsid w:val="00803A87"/>
    <w:rsid w:val="00807C82"/>
    <w:rsid w:val="00810A9E"/>
    <w:rsid w:val="00813696"/>
    <w:rsid w:val="00813C9F"/>
    <w:rsid w:val="00813DDE"/>
    <w:rsid w:val="0081642E"/>
    <w:rsid w:val="00816905"/>
    <w:rsid w:val="00817729"/>
    <w:rsid w:val="00821CE5"/>
    <w:rsid w:val="00821FF6"/>
    <w:rsid w:val="00822763"/>
    <w:rsid w:val="00824D60"/>
    <w:rsid w:val="00825C4D"/>
    <w:rsid w:val="0082731F"/>
    <w:rsid w:val="0083143E"/>
    <w:rsid w:val="00831CDE"/>
    <w:rsid w:val="00833502"/>
    <w:rsid w:val="00834304"/>
    <w:rsid w:val="008347AF"/>
    <w:rsid w:val="00834FAA"/>
    <w:rsid w:val="00836086"/>
    <w:rsid w:val="0084162C"/>
    <w:rsid w:val="0084708F"/>
    <w:rsid w:val="008477C8"/>
    <w:rsid w:val="00847A9B"/>
    <w:rsid w:val="00847D1C"/>
    <w:rsid w:val="0085114D"/>
    <w:rsid w:val="00852217"/>
    <w:rsid w:val="00852429"/>
    <w:rsid w:val="00855275"/>
    <w:rsid w:val="00855408"/>
    <w:rsid w:val="0085641C"/>
    <w:rsid w:val="00856D65"/>
    <w:rsid w:val="008601F1"/>
    <w:rsid w:val="00860AE7"/>
    <w:rsid w:val="00861B41"/>
    <w:rsid w:val="00863434"/>
    <w:rsid w:val="00865E4C"/>
    <w:rsid w:val="00866E27"/>
    <w:rsid w:val="008701E4"/>
    <w:rsid w:val="00870338"/>
    <w:rsid w:val="0087440E"/>
    <w:rsid w:val="00874B81"/>
    <w:rsid w:val="00874EC6"/>
    <w:rsid w:val="00875A32"/>
    <w:rsid w:val="00876086"/>
    <w:rsid w:val="00880EAE"/>
    <w:rsid w:val="008814DB"/>
    <w:rsid w:val="00882FC9"/>
    <w:rsid w:val="00882FCF"/>
    <w:rsid w:val="00885D9B"/>
    <w:rsid w:val="00885F53"/>
    <w:rsid w:val="00886785"/>
    <w:rsid w:val="008873D4"/>
    <w:rsid w:val="008928E9"/>
    <w:rsid w:val="00893447"/>
    <w:rsid w:val="00893E85"/>
    <w:rsid w:val="00894031"/>
    <w:rsid w:val="008941D8"/>
    <w:rsid w:val="0089767A"/>
    <w:rsid w:val="008978D6"/>
    <w:rsid w:val="008B2A95"/>
    <w:rsid w:val="008B54C8"/>
    <w:rsid w:val="008B7C02"/>
    <w:rsid w:val="008B7D2B"/>
    <w:rsid w:val="008C0049"/>
    <w:rsid w:val="008C0E88"/>
    <w:rsid w:val="008C3EDC"/>
    <w:rsid w:val="008C4159"/>
    <w:rsid w:val="008C78A2"/>
    <w:rsid w:val="008D0172"/>
    <w:rsid w:val="008D05B7"/>
    <w:rsid w:val="008D0BFA"/>
    <w:rsid w:val="008D16C0"/>
    <w:rsid w:val="008D1E6A"/>
    <w:rsid w:val="008D22AA"/>
    <w:rsid w:val="008D2A16"/>
    <w:rsid w:val="008D4C37"/>
    <w:rsid w:val="008D7148"/>
    <w:rsid w:val="008E2C57"/>
    <w:rsid w:val="008E31FF"/>
    <w:rsid w:val="008E5065"/>
    <w:rsid w:val="008E51CD"/>
    <w:rsid w:val="008E6F06"/>
    <w:rsid w:val="008E7CC7"/>
    <w:rsid w:val="008F029B"/>
    <w:rsid w:val="008F3B67"/>
    <w:rsid w:val="008F3FC9"/>
    <w:rsid w:val="008F585B"/>
    <w:rsid w:val="008F7860"/>
    <w:rsid w:val="009003A8"/>
    <w:rsid w:val="0090158A"/>
    <w:rsid w:val="00902500"/>
    <w:rsid w:val="00902EFF"/>
    <w:rsid w:val="00904A8C"/>
    <w:rsid w:val="00904D33"/>
    <w:rsid w:val="00904D80"/>
    <w:rsid w:val="00906401"/>
    <w:rsid w:val="00907881"/>
    <w:rsid w:val="0091022B"/>
    <w:rsid w:val="00910D55"/>
    <w:rsid w:val="0091155E"/>
    <w:rsid w:val="00911661"/>
    <w:rsid w:val="00912A92"/>
    <w:rsid w:val="00915C23"/>
    <w:rsid w:val="00916F73"/>
    <w:rsid w:val="009170AB"/>
    <w:rsid w:val="0091728D"/>
    <w:rsid w:val="00917291"/>
    <w:rsid w:val="00921510"/>
    <w:rsid w:val="0092180B"/>
    <w:rsid w:val="00921F14"/>
    <w:rsid w:val="00924AC8"/>
    <w:rsid w:val="009258B2"/>
    <w:rsid w:val="0092597A"/>
    <w:rsid w:val="00926272"/>
    <w:rsid w:val="0093187F"/>
    <w:rsid w:val="00932443"/>
    <w:rsid w:val="009330C3"/>
    <w:rsid w:val="009347F2"/>
    <w:rsid w:val="00937621"/>
    <w:rsid w:val="00937AE2"/>
    <w:rsid w:val="00941062"/>
    <w:rsid w:val="00943C36"/>
    <w:rsid w:val="0094427A"/>
    <w:rsid w:val="009445EA"/>
    <w:rsid w:val="00955870"/>
    <w:rsid w:val="00967D95"/>
    <w:rsid w:val="0097044A"/>
    <w:rsid w:val="00971FEA"/>
    <w:rsid w:val="00973C4B"/>
    <w:rsid w:val="00974923"/>
    <w:rsid w:val="00977A39"/>
    <w:rsid w:val="00980D3D"/>
    <w:rsid w:val="0098198C"/>
    <w:rsid w:val="00983719"/>
    <w:rsid w:val="00987A30"/>
    <w:rsid w:val="00990A60"/>
    <w:rsid w:val="00992CF3"/>
    <w:rsid w:val="00995566"/>
    <w:rsid w:val="009968D6"/>
    <w:rsid w:val="0099745E"/>
    <w:rsid w:val="0099769C"/>
    <w:rsid w:val="009A0348"/>
    <w:rsid w:val="009A0491"/>
    <w:rsid w:val="009A1CAB"/>
    <w:rsid w:val="009A25E7"/>
    <w:rsid w:val="009A4C68"/>
    <w:rsid w:val="009A60D1"/>
    <w:rsid w:val="009A6749"/>
    <w:rsid w:val="009B11D8"/>
    <w:rsid w:val="009B13E0"/>
    <w:rsid w:val="009B25C4"/>
    <w:rsid w:val="009B4AFE"/>
    <w:rsid w:val="009B6DD0"/>
    <w:rsid w:val="009B6FD3"/>
    <w:rsid w:val="009C048A"/>
    <w:rsid w:val="009C1750"/>
    <w:rsid w:val="009C1F9C"/>
    <w:rsid w:val="009C2ADE"/>
    <w:rsid w:val="009C2E29"/>
    <w:rsid w:val="009C554B"/>
    <w:rsid w:val="009C64F2"/>
    <w:rsid w:val="009C719E"/>
    <w:rsid w:val="009D3ACD"/>
    <w:rsid w:val="009D58EA"/>
    <w:rsid w:val="009E2CE9"/>
    <w:rsid w:val="009E5273"/>
    <w:rsid w:val="009E58CB"/>
    <w:rsid w:val="009E5DCB"/>
    <w:rsid w:val="009E5DDB"/>
    <w:rsid w:val="009F231B"/>
    <w:rsid w:val="009F425B"/>
    <w:rsid w:val="009F4CA7"/>
    <w:rsid w:val="009F5852"/>
    <w:rsid w:val="009F5F22"/>
    <w:rsid w:val="009F6820"/>
    <w:rsid w:val="00A0194A"/>
    <w:rsid w:val="00A06517"/>
    <w:rsid w:val="00A07D55"/>
    <w:rsid w:val="00A10D66"/>
    <w:rsid w:val="00A12F0F"/>
    <w:rsid w:val="00A14114"/>
    <w:rsid w:val="00A1463C"/>
    <w:rsid w:val="00A14F3A"/>
    <w:rsid w:val="00A16169"/>
    <w:rsid w:val="00A16413"/>
    <w:rsid w:val="00A21B43"/>
    <w:rsid w:val="00A23E43"/>
    <w:rsid w:val="00A24446"/>
    <w:rsid w:val="00A30344"/>
    <w:rsid w:val="00A30F65"/>
    <w:rsid w:val="00A3239A"/>
    <w:rsid w:val="00A36A90"/>
    <w:rsid w:val="00A36D79"/>
    <w:rsid w:val="00A418BC"/>
    <w:rsid w:val="00A440CF"/>
    <w:rsid w:val="00A453E7"/>
    <w:rsid w:val="00A46DE0"/>
    <w:rsid w:val="00A478D8"/>
    <w:rsid w:val="00A502F0"/>
    <w:rsid w:val="00A50D73"/>
    <w:rsid w:val="00A51FD5"/>
    <w:rsid w:val="00A52989"/>
    <w:rsid w:val="00A52CAD"/>
    <w:rsid w:val="00A53FC7"/>
    <w:rsid w:val="00A554CF"/>
    <w:rsid w:val="00A56C94"/>
    <w:rsid w:val="00A5735A"/>
    <w:rsid w:val="00A60EAA"/>
    <w:rsid w:val="00A62CE1"/>
    <w:rsid w:val="00A65A2E"/>
    <w:rsid w:val="00A66C4A"/>
    <w:rsid w:val="00A66E49"/>
    <w:rsid w:val="00A6741E"/>
    <w:rsid w:val="00A70AC6"/>
    <w:rsid w:val="00A711A1"/>
    <w:rsid w:val="00A716F3"/>
    <w:rsid w:val="00A75035"/>
    <w:rsid w:val="00A7547C"/>
    <w:rsid w:val="00A75E40"/>
    <w:rsid w:val="00A77D1D"/>
    <w:rsid w:val="00A84B8A"/>
    <w:rsid w:val="00A85714"/>
    <w:rsid w:val="00A857C0"/>
    <w:rsid w:val="00A86F27"/>
    <w:rsid w:val="00A95D95"/>
    <w:rsid w:val="00A96524"/>
    <w:rsid w:val="00A9746A"/>
    <w:rsid w:val="00AA16FF"/>
    <w:rsid w:val="00AA186E"/>
    <w:rsid w:val="00AA2996"/>
    <w:rsid w:val="00AA402B"/>
    <w:rsid w:val="00AA4904"/>
    <w:rsid w:val="00AA52BF"/>
    <w:rsid w:val="00AA559A"/>
    <w:rsid w:val="00AA7325"/>
    <w:rsid w:val="00AB07A3"/>
    <w:rsid w:val="00AB117D"/>
    <w:rsid w:val="00AB20E9"/>
    <w:rsid w:val="00AB2AF1"/>
    <w:rsid w:val="00AB2EEA"/>
    <w:rsid w:val="00AB4DCD"/>
    <w:rsid w:val="00AB7339"/>
    <w:rsid w:val="00AC12CC"/>
    <w:rsid w:val="00AC148B"/>
    <w:rsid w:val="00AC1514"/>
    <w:rsid w:val="00AC1720"/>
    <w:rsid w:val="00AC376D"/>
    <w:rsid w:val="00AC39F4"/>
    <w:rsid w:val="00AC746A"/>
    <w:rsid w:val="00AD02E2"/>
    <w:rsid w:val="00AD185B"/>
    <w:rsid w:val="00AD2FC5"/>
    <w:rsid w:val="00AD306C"/>
    <w:rsid w:val="00AD45C6"/>
    <w:rsid w:val="00AD56A9"/>
    <w:rsid w:val="00AE01E8"/>
    <w:rsid w:val="00AE0492"/>
    <w:rsid w:val="00AE09B3"/>
    <w:rsid w:val="00AE1A83"/>
    <w:rsid w:val="00AE2962"/>
    <w:rsid w:val="00AE29CE"/>
    <w:rsid w:val="00AE5CE1"/>
    <w:rsid w:val="00AE640A"/>
    <w:rsid w:val="00AF2689"/>
    <w:rsid w:val="00AF2AA7"/>
    <w:rsid w:val="00AF7C99"/>
    <w:rsid w:val="00AF7DE4"/>
    <w:rsid w:val="00B00913"/>
    <w:rsid w:val="00B01273"/>
    <w:rsid w:val="00B01593"/>
    <w:rsid w:val="00B05FCB"/>
    <w:rsid w:val="00B10A4D"/>
    <w:rsid w:val="00B13BB9"/>
    <w:rsid w:val="00B14939"/>
    <w:rsid w:val="00B1747B"/>
    <w:rsid w:val="00B17E71"/>
    <w:rsid w:val="00B17FDE"/>
    <w:rsid w:val="00B2379C"/>
    <w:rsid w:val="00B2687D"/>
    <w:rsid w:val="00B32DDB"/>
    <w:rsid w:val="00B34528"/>
    <w:rsid w:val="00B34C59"/>
    <w:rsid w:val="00B36212"/>
    <w:rsid w:val="00B36D22"/>
    <w:rsid w:val="00B378BD"/>
    <w:rsid w:val="00B37EED"/>
    <w:rsid w:val="00B402FC"/>
    <w:rsid w:val="00B41A00"/>
    <w:rsid w:val="00B43352"/>
    <w:rsid w:val="00B446C3"/>
    <w:rsid w:val="00B45AAB"/>
    <w:rsid w:val="00B46604"/>
    <w:rsid w:val="00B47690"/>
    <w:rsid w:val="00B47E59"/>
    <w:rsid w:val="00B5037B"/>
    <w:rsid w:val="00B52A85"/>
    <w:rsid w:val="00B530CD"/>
    <w:rsid w:val="00B544E2"/>
    <w:rsid w:val="00B550AF"/>
    <w:rsid w:val="00B55F5E"/>
    <w:rsid w:val="00B560B3"/>
    <w:rsid w:val="00B56222"/>
    <w:rsid w:val="00B5752E"/>
    <w:rsid w:val="00B57A8F"/>
    <w:rsid w:val="00B600D3"/>
    <w:rsid w:val="00B6283F"/>
    <w:rsid w:val="00B63A11"/>
    <w:rsid w:val="00B64C24"/>
    <w:rsid w:val="00B6608F"/>
    <w:rsid w:val="00B67966"/>
    <w:rsid w:val="00B679FB"/>
    <w:rsid w:val="00B70148"/>
    <w:rsid w:val="00B71824"/>
    <w:rsid w:val="00B72AEC"/>
    <w:rsid w:val="00B75684"/>
    <w:rsid w:val="00B757DB"/>
    <w:rsid w:val="00B76D1E"/>
    <w:rsid w:val="00B80EC6"/>
    <w:rsid w:val="00B81E1D"/>
    <w:rsid w:val="00B82BCE"/>
    <w:rsid w:val="00B83928"/>
    <w:rsid w:val="00B92D1D"/>
    <w:rsid w:val="00B938C5"/>
    <w:rsid w:val="00B95940"/>
    <w:rsid w:val="00BA56A3"/>
    <w:rsid w:val="00BA6804"/>
    <w:rsid w:val="00BA7247"/>
    <w:rsid w:val="00BA7EF7"/>
    <w:rsid w:val="00BB46F3"/>
    <w:rsid w:val="00BB4CB1"/>
    <w:rsid w:val="00BB4F98"/>
    <w:rsid w:val="00BB511F"/>
    <w:rsid w:val="00BB7D52"/>
    <w:rsid w:val="00BC2D96"/>
    <w:rsid w:val="00BC33C6"/>
    <w:rsid w:val="00BC669A"/>
    <w:rsid w:val="00BC7154"/>
    <w:rsid w:val="00BC7244"/>
    <w:rsid w:val="00BD0A8D"/>
    <w:rsid w:val="00BD20CD"/>
    <w:rsid w:val="00BD2998"/>
    <w:rsid w:val="00BD366B"/>
    <w:rsid w:val="00BD5B70"/>
    <w:rsid w:val="00BD6D50"/>
    <w:rsid w:val="00BE18B9"/>
    <w:rsid w:val="00BE1CEB"/>
    <w:rsid w:val="00BE1DF8"/>
    <w:rsid w:val="00BE2495"/>
    <w:rsid w:val="00BE3497"/>
    <w:rsid w:val="00BE5EB7"/>
    <w:rsid w:val="00BE7B7D"/>
    <w:rsid w:val="00BF1578"/>
    <w:rsid w:val="00BF1731"/>
    <w:rsid w:val="00C101FE"/>
    <w:rsid w:val="00C1214F"/>
    <w:rsid w:val="00C14339"/>
    <w:rsid w:val="00C15BCD"/>
    <w:rsid w:val="00C162CA"/>
    <w:rsid w:val="00C174A4"/>
    <w:rsid w:val="00C21F94"/>
    <w:rsid w:val="00C22AD7"/>
    <w:rsid w:val="00C2397A"/>
    <w:rsid w:val="00C25DAB"/>
    <w:rsid w:val="00C25EC6"/>
    <w:rsid w:val="00C27913"/>
    <w:rsid w:val="00C27ECC"/>
    <w:rsid w:val="00C33B68"/>
    <w:rsid w:val="00C364F0"/>
    <w:rsid w:val="00C36A79"/>
    <w:rsid w:val="00C405D4"/>
    <w:rsid w:val="00C40B6C"/>
    <w:rsid w:val="00C4513B"/>
    <w:rsid w:val="00C466F4"/>
    <w:rsid w:val="00C54697"/>
    <w:rsid w:val="00C54833"/>
    <w:rsid w:val="00C57ABA"/>
    <w:rsid w:val="00C60F49"/>
    <w:rsid w:val="00C6103F"/>
    <w:rsid w:val="00C61702"/>
    <w:rsid w:val="00C63B52"/>
    <w:rsid w:val="00C63D65"/>
    <w:rsid w:val="00C64E57"/>
    <w:rsid w:val="00C717FD"/>
    <w:rsid w:val="00C7280E"/>
    <w:rsid w:val="00C73885"/>
    <w:rsid w:val="00C747B1"/>
    <w:rsid w:val="00C7500E"/>
    <w:rsid w:val="00C75F18"/>
    <w:rsid w:val="00C76D7D"/>
    <w:rsid w:val="00C812D3"/>
    <w:rsid w:val="00C819B2"/>
    <w:rsid w:val="00C82191"/>
    <w:rsid w:val="00C829FD"/>
    <w:rsid w:val="00C84608"/>
    <w:rsid w:val="00C87196"/>
    <w:rsid w:val="00C872DC"/>
    <w:rsid w:val="00C87FDD"/>
    <w:rsid w:val="00C90CF4"/>
    <w:rsid w:val="00C91C87"/>
    <w:rsid w:val="00C92EB6"/>
    <w:rsid w:val="00C93389"/>
    <w:rsid w:val="00C9573E"/>
    <w:rsid w:val="00C961EB"/>
    <w:rsid w:val="00CA0BCA"/>
    <w:rsid w:val="00CA0FFC"/>
    <w:rsid w:val="00CA349A"/>
    <w:rsid w:val="00CA6516"/>
    <w:rsid w:val="00CB0299"/>
    <w:rsid w:val="00CB3139"/>
    <w:rsid w:val="00CB4930"/>
    <w:rsid w:val="00CB698F"/>
    <w:rsid w:val="00CC11E6"/>
    <w:rsid w:val="00CC2E7D"/>
    <w:rsid w:val="00CC5E5F"/>
    <w:rsid w:val="00CD10A5"/>
    <w:rsid w:val="00CD2076"/>
    <w:rsid w:val="00CD2412"/>
    <w:rsid w:val="00CD3DFD"/>
    <w:rsid w:val="00CD601F"/>
    <w:rsid w:val="00CD6AB5"/>
    <w:rsid w:val="00CD6E59"/>
    <w:rsid w:val="00CD7869"/>
    <w:rsid w:val="00CE146C"/>
    <w:rsid w:val="00CE4C89"/>
    <w:rsid w:val="00CE5D87"/>
    <w:rsid w:val="00CE670B"/>
    <w:rsid w:val="00CF1455"/>
    <w:rsid w:val="00CF3D42"/>
    <w:rsid w:val="00CF51EC"/>
    <w:rsid w:val="00CF5881"/>
    <w:rsid w:val="00CF724F"/>
    <w:rsid w:val="00CF73AE"/>
    <w:rsid w:val="00D025FA"/>
    <w:rsid w:val="00D03393"/>
    <w:rsid w:val="00D040DD"/>
    <w:rsid w:val="00D045AE"/>
    <w:rsid w:val="00D04C9C"/>
    <w:rsid w:val="00D06F2A"/>
    <w:rsid w:val="00D13986"/>
    <w:rsid w:val="00D14A92"/>
    <w:rsid w:val="00D201D8"/>
    <w:rsid w:val="00D235B7"/>
    <w:rsid w:val="00D23CB2"/>
    <w:rsid w:val="00D25F28"/>
    <w:rsid w:val="00D27973"/>
    <w:rsid w:val="00D27F7B"/>
    <w:rsid w:val="00D3352B"/>
    <w:rsid w:val="00D428B5"/>
    <w:rsid w:val="00D47031"/>
    <w:rsid w:val="00D50F46"/>
    <w:rsid w:val="00D51501"/>
    <w:rsid w:val="00D53CB5"/>
    <w:rsid w:val="00D565F4"/>
    <w:rsid w:val="00D61365"/>
    <w:rsid w:val="00D63619"/>
    <w:rsid w:val="00D65CC8"/>
    <w:rsid w:val="00D66223"/>
    <w:rsid w:val="00D73AB5"/>
    <w:rsid w:val="00D742B4"/>
    <w:rsid w:val="00D7703B"/>
    <w:rsid w:val="00D8084C"/>
    <w:rsid w:val="00D836D2"/>
    <w:rsid w:val="00D90069"/>
    <w:rsid w:val="00D92A63"/>
    <w:rsid w:val="00DA0AFE"/>
    <w:rsid w:val="00DA0D5C"/>
    <w:rsid w:val="00DA6969"/>
    <w:rsid w:val="00DA7C0C"/>
    <w:rsid w:val="00DB0F28"/>
    <w:rsid w:val="00DB1D90"/>
    <w:rsid w:val="00DB2410"/>
    <w:rsid w:val="00DB2EC8"/>
    <w:rsid w:val="00DB332F"/>
    <w:rsid w:val="00DB4701"/>
    <w:rsid w:val="00DC35E8"/>
    <w:rsid w:val="00DC5B3B"/>
    <w:rsid w:val="00DC615A"/>
    <w:rsid w:val="00DD091D"/>
    <w:rsid w:val="00DD129F"/>
    <w:rsid w:val="00DD130E"/>
    <w:rsid w:val="00DD25AA"/>
    <w:rsid w:val="00DE0BA0"/>
    <w:rsid w:val="00DE1E7E"/>
    <w:rsid w:val="00DE2D95"/>
    <w:rsid w:val="00DE37AF"/>
    <w:rsid w:val="00DE44B4"/>
    <w:rsid w:val="00DE4F3B"/>
    <w:rsid w:val="00DE4FDB"/>
    <w:rsid w:val="00DF15F9"/>
    <w:rsid w:val="00DF42FF"/>
    <w:rsid w:val="00DF44CF"/>
    <w:rsid w:val="00DF6A75"/>
    <w:rsid w:val="00DF723C"/>
    <w:rsid w:val="00E00286"/>
    <w:rsid w:val="00E008AC"/>
    <w:rsid w:val="00E01C0E"/>
    <w:rsid w:val="00E027EE"/>
    <w:rsid w:val="00E03F9A"/>
    <w:rsid w:val="00E04694"/>
    <w:rsid w:val="00E04C53"/>
    <w:rsid w:val="00E061E1"/>
    <w:rsid w:val="00E12B1E"/>
    <w:rsid w:val="00E1469A"/>
    <w:rsid w:val="00E160F1"/>
    <w:rsid w:val="00E17223"/>
    <w:rsid w:val="00E17262"/>
    <w:rsid w:val="00E17F51"/>
    <w:rsid w:val="00E230A5"/>
    <w:rsid w:val="00E232A2"/>
    <w:rsid w:val="00E2381A"/>
    <w:rsid w:val="00E253A2"/>
    <w:rsid w:val="00E27A5C"/>
    <w:rsid w:val="00E3026F"/>
    <w:rsid w:val="00E30557"/>
    <w:rsid w:val="00E31308"/>
    <w:rsid w:val="00E3309D"/>
    <w:rsid w:val="00E3470D"/>
    <w:rsid w:val="00E50156"/>
    <w:rsid w:val="00E5324E"/>
    <w:rsid w:val="00E53470"/>
    <w:rsid w:val="00E539F6"/>
    <w:rsid w:val="00E53EA5"/>
    <w:rsid w:val="00E54374"/>
    <w:rsid w:val="00E55C96"/>
    <w:rsid w:val="00E64490"/>
    <w:rsid w:val="00E6519D"/>
    <w:rsid w:val="00E67696"/>
    <w:rsid w:val="00E70B29"/>
    <w:rsid w:val="00E71A58"/>
    <w:rsid w:val="00E72A7A"/>
    <w:rsid w:val="00E72AA3"/>
    <w:rsid w:val="00E75C94"/>
    <w:rsid w:val="00E7631E"/>
    <w:rsid w:val="00E80CB9"/>
    <w:rsid w:val="00E8447B"/>
    <w:rsid w:val="00E875F2"/>
    <w:rsid w:val="00E917FA"/>
    <w:rsid w:val="00E93820"/>
    <w:rsid w:val="00E93B24"/>
    <w:rsid w:val="00E961F6"/>
    <w:rsid w:val="00E96A62"/>
    <w:rsid w:val="00E97145"/>
    <w:rsid w:val="00E9798D"/>
    <w:rsid w:val="00EA0C68"/>
    <w:rsid w:val="00EA11B1"/>
    <w:rsid w:val="00EA1457"/>
    <w:rsid w:val="00EA1A3E"/>
    <w:rsid w:val="00EA32BC"/>
    <w:rsid w:val="00EA34CA"/>
    <w:rsid w:val="00EA4230"/>
    <w:rsid w:val="00EA4DB0"/>
    <w:rsid w:val="00EA4E07"/>
    <w:rsid w:val="00EA5A16"/>
    <w:rsid w:val="00EB0C94"/>
    <w:rsid w:val="00EB0F55"/>
    <w:rsid w:val="00EB420F"/>
    <w:rsid w:val="00EB4511"/>
    <w:rsid w:val="00EB6363"/>
    <w:rsid w:val="00EB6698"/>
    <w:rsid w:val="00EC03D7"/>
    <w:rsid w:val="00EC53DF"/>
    <w:rsid w:val="00EC561A"/>
    <w:rsid w:val="00ED1116"/>
    <w:rsid w:val="00ED16E1"/>
    <w:rsid w:val="00ED2D52"/>
    <w:rsid w:val="00ED311E"/>
    <w:rsid w:val="00ED4F06"/>
    <w:rsid w:val="00ED5CB2"/>
    <w:rsid w:val="00ED62C6"/>
    <w:rsid w:val="00ED64C1"/>
    <w:rsid w:val="00ED7370"/>
    <w:rsid w:val="00EE2522"/>
    <w:rsid w:val="00EE3446"/>
    <w:rsid w:val="00EE3B97"/>
    <w:rsid w:val="00EE3E78"/>
    <w:rsid w:val="00EE4B1B"/>
    <w:rsid w:val="00EF0277"/>
    <w:rsid w:val="00EF1161"/>
    <w:rsid w:val="00EF150D"/>
    <w:rsid w:val="00EF1F5A"/>
    <w:rsid w:val="00EF3181"/>
    <w:rsid w:val="00EF32A0"/>
    <w:rsid w:val="00EF3498"/>
    <w:rsid w:val="00EF47BF"/>
    <w:rsid w:val="00EF4FF1"/>
    <w:rsid w:val="00EF7010"/>
    <w:rsid w:val="00F003C9"/>
    <w:rsid w:val="00F02E34"/>
    <w:rsid w:val="00F04811"/>
    <w:rsid w:val="00F0488C"/>
    <w:rsid w:val="00F05F5E"/>
    <w:rsid w:val="00F06530"/>
    <w:rsid w:val="00F10F11"/>
    <w:rsid w:val="00F12CE1"/>
    <w:rsid w:val="00F15AAA"/>
    <w:rsid w:val="00F15BEF"/>
    <w:rsid w:val="00F15F27"/>
    <w:rsid w:val="00F16114"/>
    <w:rsid w:val="00F17EC5"/>
    <w:rsid w:val="00F2050B"/>
    <w:rsid w:val="00F23B1D"/>
    <w:rsid w:val="00F24407"/>
    <w:rsid w:val="00F24FAA"/>
    <w:rsid w:val="00F266E0"/>
    <w:rsid w:val="00F32027"/>
    <w:rsid w:val="00F33242"/>
    <w:rsid w:val="00F33643"/>
    <w:rsid w:val="00F3364D"/>
    <w:rsid w:val="00F3511B"/>
    <w:rsid w:val="00F3627B"/>
    <w:rsid w:val="00F437CC"/>
    <w:rsid w:val="00F44C52"/>
    <w:rsid w:val="00F45A2B"/>
    <w:rsid w:val="00F47067"/>
    <w:rsid w:val="00F525EB"/>
    <w:rsid w:val="00F5284A"/>
    <w:rsid w:val="00F545B2"/>
    <w:rsid w:val="00F55ED6"/>
    <w:rsid w:val="00F63DDE"/>
    <w:rsid w:val="00F63FB7"/>
    <w:rsid w:val="00F64483"/>
    <w:rsid w:val="00F648AC"/>
    <w:rsid w:val="00F649D2"/>
    <w:rsid w:val="00F6602B"/>
    <w:rsid w:val="00F71DA5"/>
    <w:rsid w:val="00F7260E"/>
    <w:rsid w:val="00F72CB2"/>
    <w:rsid w:val="00F72FDA"/>
    <w:rsid w:val="00F73A0C"/>
    <w:rsid w:val="00F73F2B"/>
    <w:rsid w:val="00F74112"/>
    <w:rsid w:val="00F756DB"/>
    <w:rsid w:val="00F7648F"/>
    <w:rsid w:val="00F81A89"/>
    <w:rsid w:val="00F82C16"/>
    <w:rsid w:val="00F85066"/>
    <w:rsid w:val="00F851D5"/>
    <w:rsid w:val="00F9137F"/>
    <w:rsid w:val="00FA065F"/>
    <w:rsid w:val="00FA5138"/>
    <w:rsid w:val="00FA5D4D"/>
    <w:rsid w:val="00FB03BD"/>
    <w:rsid w:val="00FB0EE2"/>
    <w:rsid w:val="00FB252E"/>
    <w:rsid w:val="00FB2845"/>
    <w:rsid w:val="00FB45DD"/>
    <w:rsid w:val="00FB542E"/>
    <w:rsid w:val="00FB6CE2"/>
    <w:rsid w:val="00FC0E5F"/>
    <w:rsid w:val="00FC1A95"/>
    <w:rsid w:val="00FC56DE"/>
    <w:rsid w:val="00FC684B"/>
    <w:rsid w:val="00FC6E1A"/>
    <w:rsid w:val="00FD2D7B"/>
    <w:rsid w:val="00FD306F"/>
    <w:rsid w:val="00FD3265"/>
    <w:rsid w:val="00FD43CA"/>
    <w:rsid w:val="00FD6D4F"/>
    <w:rsid w:val="00FD7D90"/>
    <w:rsid w:val="00FE2F78"/>
    <w:rsid w:val="00FE65BF"/>
    <w:rsid w:val="00FF3E79"/>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9137">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87504692">
      <w:bodyDiv w:val="1"/>
      <w:marLeft w:val="0"/>
      <w:marRight w:val="0"/>
      <w:marTop w:val="0"/>
      <w:marBottom w:val="0"/>
      <w:divBdr>
        <w:top w:val="none" w:sz="0" w:space="0" w:color="auto"/>
        <w:left w:val="none" w:sz="0" w:space="0" w:color="auto"/>
        <w:bottom w:val="none" w:sz="0" w:space="0" w:color="auto"/>
        <w:right w:val="none" w:sz="0" w:space="0" w:color="auto"/>
      </w:divBdr>
    </w:div>
    <w:div w:id="91365154">
      <w:bodyDiv w:val="1"/>
      <w:marLeft w:val="0"/>
      <w:marRight w:val="0"/>
      <w:marTop w:val="0"/>
      <w:marBottom w:val="0"/>
      <w:divBdr>
        <w:top w:val="none" w:sz="0" w:space="0" w:color="auto"/>
        <w:left w:val="none" w:sz="0" w:space="0" w:color="auto"/>
        <w:bottom w:val="none" w:sz="0" w:space="0" w:color="auto"/>
        <w:right w:val="none" w:sz="0" w:space="0" w:color="auto"/>
      </w:divBdr>
    </w:div>
    <w:div w:id="182213148">
      <w:bodyDiv w:val="1"/>
      <w:marLeft w:val="0"/>
      <w:marRight w:val="0"/>
      <w:marTop w:val="0"/>
      <w:marBottom w:val="0"/>
      <w:divBdr>
        <w:top w:val="none" w:sz="0" w:space="0" w:color="auto"/>
        <w:left w:val="none" w:sz="0" w:space="0" w:color="auto"/>
        <w:bottom w:val="none" w:sz="0" w:space="0" w:color="auto"/>
        <w:right w:val="none" w:sz="0" w:space="0" w:color="auto"/>
      </w:divBdr>
    </w:div>
    <w:div w:id="190804904">
      <w:bodyDiv w:val="1"/>
      <w:marLeft w:val="0"/>
      <w:marRight w:val="0"/>
      <w:marTop w:val="0"/>
      <w:marBottom w:val="0"/>
      <w:divBdr>
        <w:top w:val="none" w:sz="0" w:space="0" w:color="auto"/>
        <w:left w:val="none" w:sz="0" w:space="0" w:color="auto"/>
        <w:bottom w:val="none" w:sz="0" w:space="0" w:color="auto"/>
        <w:right w:val="none" w:sz="0" w:space="0" w:color="auto"/>
      </w:divBdr>
    </w:div>
    <w:div w:id="198708523">
      <w:bodyDiv w:val="1"/>
      <w:marLeft w:val="0"/>
      <w:marRight w:val="0"/>
      <w:marTop w:val="0"/>
      <w:marBottom w:val="0"/>
      <w:divBdr>
        <w:top w:val="none" w:sz="0" w:space="0" w:color="auto"/>
        <w:left w:val="none" w:sz="0" w:space="0" w:color="auto"/>
        <w:bottom w:val="none" w:sz="0" w:space="0" w:color="auto"/>
        <w:right w:val="none" w:sz="0" w:space="0" w:color="auto"/>
      </w:divBdr>
    </w:div>
    <w:div w:id="210386444">
      <w:bodyDiv w:val="1"/>
      <w:marLeft w:val="0"/>
      <w:marRight w:val="0"/>
      <w:marTop w:val="0"/>
      <w:marBottom w:val="0"/>
      <w:divBdr>
        <w:top w:val="none" w:sz="0" w:space="0" w:color="auto"/>
        <w:left w:val="none" w:sz="0" w:space="0" w:color="auto"/>
        <w:bottom w:val="none" w:sz="0" w:space="0" w:color="auto"/>
        <w:right w:val="none" w:sz="0" w:space="0" w:color="auto"/>
      </w:divBdr>
    </w:div>
    <w:div w:id="223882039">
      <w:bodyDiv w:val="1"/>
      <w:marLeft w:val="0"/>
      <w:marRight w:val="0"/>
      <w:marTop w:val="0"/>
      <w:marBottom w:val="0"/>
      <w:divBdr>
        <w:top w:val="none" w:sz="0" w:space="0" w:color="auto"/>
        <w:left w:val="none" w:sz="0" w:space="0" w:color="auto"/>
        <w:bottom w:val="none" w:sz="0" w:space="0" w:color="auto"/>
        <w:right w:val="none" w:sz="0" w:space="0" w:color="auto"/>
      </w:divBdr>
    </w:div>
    <w:div w:id="23189144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9168120">
      <w:bodyDiv w:val="1"/>
      <w:marLeft w:val="0"/>
      <w:marRight w:val="0"/>
      <w:marTop w:val="0"/>
      <w:marBottom w:val="0"/>
      <w:divBdr>
        <w:top w:val="none" w:sz="0" w:space="0" w:color="auto"/>
        <w:left w:val="none" w:sz="0" w:space="0" w:color="auto"/>
        <w:bottom w:val="none" w:sz="0" w:space="0" w:color="auto"/>
        <w:right w:val="none" w:sz="0" w:space="0" w:color="auto"/>
      </w:divBdr>
    </w:div>
    <w:div w:id="284119825">
      <w:bodyDiv w:val="1"/>
      <w:marLeft w:val="0"/>
      <w:marRight w:val="0"/>
      <w:marTop w:val="0"/>
      <w:marBottom w:val="0"/>
      <w:divBdr>
        <w:top w:val="none" w:sz="0" w:space="0" w:color="auto"/>
        <w:left w:val="none" w:sz="0" w:space="0" w:color="auto"/>
        <w:bottom w:val="none" w:sz="0" w:space="0" w:color="auto"/>
        <w:right w:val="none" w:sz="0" w:space="0" w:color="auto"/>
      </w:divBdr>
    </w:div>
    <w:div w:id="344594015">
      <w:bodyDiv w:val="1"/>
      <w:marLeft w:val="0"/>
      <w:marRight w:val="0"/>
      <w:marTop w:val="0"/>
      <w:marBottom w:val="0"/>
      <w:divBdr>
        <w:top w:val="none" w:sz="0" w:space="0" w:color="auto"/>
        <w:left w:val="none" w:sz="0" w:space="0" w:color="auto"/>
        <w:bottom w:val="none" w:sz="0" w:space="0" w:color="auto"/>
        <w:right w:val="none" w:sz="0" w:space="0" w:color="auto"/>
      </w:divBdr>
    </w:div>
    <w:div w:id="392393154">
      <w:bodyDiv w:val="1"/>
      <w:marLeft w:val="0"/>
      <w:marRight w:val="0"/>
      <w:marTop w:val="0"/>
      <w:marBottom w:val="0"/>
      <w:divBdr>
        <w:top w:val="none" w:sz="0" w:space="0" w:color="auto"/>
        <w:left w:val="none" w:sz="0" w:space="0" w:color="auto"/>
        <w:bottom w:val="none" w:sz="0" w:space="0" w:color="auto"/>
        <w:right w:val="none" w:sz="0" w:space="0" w:color="auto"/>
      </w:divBdr>
    </w:div>
    <w:div w:id="40830557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44437320">
      <w:bodyDiv w:val="1"/>
      <w:marLeft w:val="0"/>
      <w:marRight w:val="0"/>
      <w:marTop w:val="0"/>
      <w:marBottom w:val="0"/>
      <w:divBdr>
        <w:top w:val="none" w:sz="0" w:space="0" w:color="auto"/>
        <w:left w:val="none" w:sz="0" w:space="0" w:color="auto"/>
        <w:bottom w:val="none" w:sz="0" w:space="0" w:color="auto"/>
        <w:right w:val="none" w:sz="0" w:space="0" w:color="auto"/>
      </w:divBdr>
    </w:div>
    <w:div w:id="67287825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87412776">
      <w:bodyDiv w:val="1"/>
      <w:marLeft w:val="0"/>
      <w:marRight w:val="0"/>
      <w:marTop w:val="0"/>
      <w:marBottom w:val="0"/>
      <w:divBdr>
        <w:top w:val="none" w:sz="0" w:space="0" w:color="auto"/>
        <w:left w:val="none" w:sz="0" w:space="0" w:color="auto"/>
        <w:bottom w:val="none" w:sz="0" w:space="0" w:color="auto"/>
        <w:right w:val="none" w:sz="0" w:space="0" w:color="auto"/>
      </w:divBdr>
    </w:div>
    <w:div w:id="801194790">
      <w:bodyDiv w:val="1"/>
      <w:marLeft w:val="0"/>
      <w:marRight w:val="0"/>
      <w:marTop w:val="0"/>
      <w:marBottom w:val="0"/>
      <w:divBdr>
        <w:top w:val="none" w:sz="0" w:space="0" w:color="auto"/>
        <w:left w:val="none" w:sz="0" w:space="0" w:color="auto"/>
        <w:bottom w:val="none" w:sz="0" w:space="0" w:color="auto"/>
        <w:right w:val="none" w:sz="0" w:space="0" w:color="auto"/>
      </w:divBdr>
    </w:div>
    <w:div w:id="869340026">
      <w:bodyDiv w:val="1"/>
      <w:marLeft w:val="0"/>
      <w:marRight w:val="0"/>
      <w:marTop w:val="0"/>
      <w:marBottom w:val="0"/>
      <w:divBdr>
        <w:top w:val="none" w:sz="0" w:space="0" w:color="auto"/>
        <w:left w:val="none" w:sz="0" w:space="0" w:color="auto"/>
        <w:bottom w:val="none" w:sz="0" w:space="0" w:color="auto"/>
        <w:right w:val="none" w:sz="0" w:space="0" w:color="auto"/>
      </w:divBdr>
    </w:div>
    <w:div w:id="886451275">
      <w:bodyDiv w:val="1"/>
      <w:marLeft w:val="0"/>
      <w:marRight w:val="0"/>
      <w:marTop w:val="0"/>
      <w:marBottom w:val="0"/>
      <w:divBdr>
        <w:top w:val="none" w:sz="0" w:space="0" w:color="auto"/>
        <w:left w:val="none" w:sz="0" w:space="0" w:color="auto"/>
        <w:bottom w:val="none" w:sz="0" w:space="0" w:color="auto"/>
        <w:right w:val="none" w:sz="0" w:space="0" w:color="auto"/>
      </w:divBdr>
    </w:div>
    <w:div w:id="899706849">
      <w:bodyDiv w:val="1"/>
      <w:marLeft w:val="0"/>
      <w:marRight w:val="0"/>
      <w:marTop w:val="0"/>
      <w:marBottom w:val="0"/>
      <w:divBdr>
        <w:top w:val="none" w:sz="0" w:space="0" w:color="auto"/>
        <w:left w:val="none" w:sz="0" w:space="0" w:color="auto"/>
        <w:bottom w:val="none" w:sz="0" w:space="0" w:color="auto"/>
        <w:right w:val="none" w:sz="0" w:space="0" w:color="auto"/>
      </w:divBdr>
    </w:div>
    <w:div w:id="927233226">
      <w:bodyDiv w:val="1"/>
      <w:marLeft w:val="0"/>
      <w:marRight w:val="0"/>
      <w:marTop w:val="0"/>
      <w:marBottom w:val="0"/>
      <w:divBdr>
        <w:top w:val="none" w:sz="0" w:space="0" w:color="auto"/>
        <w:left w:val="none" w:sz="0" w:space="0" w:color="auto"/>
        <w:bottom w:val="none" w:sz="0" w:space="0" w:color="auto"/>
        <w:right w:val="none" w:sz="0" w:space="0" w:color="auto"/>
      </w:divBdr>
    </w:div>
    <w:div w:id="932709568">
      <w:bodyDiv w:val="1"/>
      <w:marLeft w:val="0"/>
      <w:marRight w:val="0"/>
      <w:marTop w:val="0"/>
      <w:marBottom w:val="0"/>
      <w:divBdr>
        <w:top w:val="none" w:sz="0" w:space="0" w:color="auto"/>
        <w:left w:val="none" w:sz="0" w:space="0" w:color="auto"/>
        <w:bottom w:val="none" w:sz="0" w:space="0" w:color="auto"/>
        <w:right w:val="none" w:sz="0" w:space="0" w:color="auto"/>
      </w:divBdr>
    </w:div>
    <w:div w:id="1038554462">
      <w:bodyDiv w:val="1"/>
      <w:marLeft w:val="0"/>
      <w:marRight w:val="0"/>
      <w:marTop w:val="0"/>
      <w:marBottom w:val="0"/>
      <w:divBdr>
        <w:top w:val="none" w:sz="0" w:space="0" w:color="auto"/>
        <w:left w:val="none" w:sz="0" w:space="0" w:color="auto"/>
        <w:bottom w:val="none" w:sz="0" w:space="0" w:color="auto"/>
        <w:right w:val="none" w:sz="0" w:space="0" w:color="auto"/>
      </w:divBdr>
    </w:div>
    <w:div w:id="1107698164">
      <w:bodyDiv w:val="1"/>
      <w:marLeft w:val="0"/>
      <w:marRight w:val="0"/>
      <w:marTop w:val="0"/>
      <w:marBottom w:val="0"/>
      <w:divBdr>
        <w:top w:val="none" w:sz="0" w:space="0" w:color="auto"/>
        <w:left w:val="none" w:sz="0" w:space="0" w:color="auto"/>
        <w:bottom w:val="none" w:sz="0" w:space="0" w:color="auto"/>
        <w:right w:val="none" w:sz="0" w:space="0" w:color="auto"/>
      </w:divBdr>
    </w:div>
    <w:div w:id="1131747808">
      <w:bodyDiv w:val="1"/>
      <w:marLeft w:val="0"/>
      <w:marRight w:val="0"/>
      <w:marTop w:val="0"/>
      <w:marBottom w:val="0"/>
      <w:divBdr>
        <w:top w:val="none" w:sz="0" w:space="0" w:color="auto"/>
        <w:left w:val="none" w:sz="0" w:space="0" w:color="auto"/>
        <w:bottom w:val="none" w:sz="0" w:space="0" w:color="auto"/>
        <w:right w:val="none" w:sz="0" w:space="0" w:color="auto"/>
      </w:divBdr>
    </w:div>
    <w:div w:id="119055868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411955">
      <w:bodyDiv w:val="1"/>
      <w:marLeft w:val="0"/>
      <w:marRight w:val="0"/>
      <w:marTop w:val="0"/>
      <w:marBottom w:val="0"/>
      <w:divBdr>
        <w:top w:val="none" w:sz="0" w:space="0" w:color="auto"/>
        <w:left w:val="none" w:sz="0" w:space="0" w:color="auto"/>
        <w:bottom w:val="none" w:sz="0" w:space="0" w:color="auto"/>
        <w:right w:val="none" w:sz="0" w:space="0" w:color="auto"/>
      </w:divBdr>
    </w:div>
    <w:div w:id="1359967131">
      <w:bodyDiv w:val="1"/>
      <w:marLeft w:val="0"/>
      <w:marRight w:val="0"/>
      <w:marTop w:val="0"/>
      <w:marBottom w:val="0"/>
      <w:divBdr>
        <w:top w:val="none" w:sz="0" w:space="0" w:color="auto"/>
        <w:left w:val="none" w:sz="0" w:space="0" w:color="auto"/>
        <w:bottom w:val="none" w:sz="0" w:space="0" w:color="auto"/>
        <w:right w:val="none" w:sz="0" w:space="0" w:color="auto"/>
      </w:divBdr>
    </w:div>
    <w:div w:id="138105734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69670012">
      <w:bodyDiv w:val="1"/>
      <w:marLeft w:val="0"/>
      <w:marRight w:val="0"/>
      <w:marTop w:val="0"/>
      <w:marBottom w:val="0"/>
      <w:divBdr>
        <w:top w:val="none" w:sz="0" w:space="0" w:color="auto"/>
        <w:left w:val="none" w:sz="0" w:space="0" w:color="auto"/>
        <w:bottom w:val="none" w:sz="0" w:space="0" w:color="auto"/>
        <w:right w:val="none" w:sz="0" w:space="0" w:color="auto"/>
      </w:divBdr>
    </w:div>
    <w:div w:id="1706639986">
      <w:bodyDiv w:val="1"/>
      <w:marLeft w:val="0"/>
      <w:marRight w:val="0"/>
      <w:marTop w:val="0"/>
      <w:marBottom w:val="0"/>
      <w:divBdr>
        <w:top w:val="none" w:sz="0" w:space="0" w:color="auto"/>
        <w:left w:val="none" w:sz="0" w:space="0" w:color="auto"/>
        <w:bottom w:val="none" w:sz="0" w:space="0" w:color="auto"/>
        <w:right w:val="none" w:sz="0" w:space="0" w:color="auto"/>
      </w:divBdr>
    </w:div>
    <w:div w:id="1813520023">
      <w:bodyDiv w:val="1"/>
      <w:marLeft w:val="0"/>
      <w:marRight w:val="0"/>
      <w:marTop w:val="0"/>
      <w:marBottom w:val="0"/>
      <w:divBdr>
        <w:top w:val="none" w:sz="0" w:space="0" w:color="auto"/>
        <w:left w:val="none" w:sz="0" w:space="0" w:color="auto"/>
        <w:bottom w:val="none" w:sz="0" w:space="0" w:color="auto"/>
        <w:right w:val="none" w:sz="0" w:space="0" w:color="auto"/>
      </w:divBdr>
    </w:div>
    <w:div w:id="1838156674">
      <w:bodyDiv w:val="1"/>
      <w:marLeft w:val="0"/>
      <w:marRight w:val="0"/>
      <w:marTop w:val="0"/>
      <w:marBottom w:val="0"/>
      <w:divBdr>
        <w:top w:val="none" w:sz="0" w:space="0" w:color="auto"/>
        <w:left w:val="none" w:sz="0" w:space="0" w:color="auto"/>
        <w:bottom w:val="none" w:sz="0" w:space="0" w:color="auto"/>
        <w:right w:val="none" w:sz="0" w:space="0" w:color="auto"/>
      </w:divBdr>
    </w:div>
    <w:div w:id="186856317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87204846">
      <w:bodyDiv w:val="1"/>
      <w:marLeft w:val="0"/>
      <w:marRight w:val="0"/>
      <w:marTop w:val="0"/>
      <w:marBottom w:val="0"/>
      <w:divBdr>
        <w:top w:val="none" w:sz="0" w:space="0" w:color="auto"/>
        <w:left w:val="none" w:sz="0" w:space="0" w:color="auto"/>
        <w:bottom w:val="none" w:sz="0" w:space="0" w:color="auto"/>
        <w:right w:val="none" w:sz="0" w:space="0" w:color="auto"/>
      </w:divBdr>
    </w:div>
    <w:div w:id="20606668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entrumandragogiky.cz/assets/Podnikov%C3%A9-vzd%C4%9Bl%C3%A1v%C3%A1n%C3%AD-zas%C3%A1hla-rece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'G27'!$B$14</c:f>
              <c:strCache>
                <c:ptCount val="1"/>
                <c:pt idx="0">
                  <c:v>podíl celkových výdajů na vzdělávání na jednoho zaměstnance (Kč)</c:v>
                </c:pt>
              </c:strCache>
            </c:strRef>
          </c:tx>
          <c:spPr>
            <a:solidFill>
              <a:schemeClr val="accent1">
                <a:lumMod val="60000"/>
                <a:lumOff val="40000"/>
              </a:schemeClr>
            </a:solidFill>
            <a:ln>
              <a:solidFill>
                <a:schemeClr val="accent1"/>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'G27'!$A$15:$A$19</c:f>
              <c:strCache>
                <c:ptCount val="5"/>
                <c:pt idx="0">
                  <c:v>celkem</c:v>
                </c:pt>
                <c:pt idx="1">
                  <c:v>10–19 zaměstanců</c:v>
                </c:pt>
                <c:pt idx="2">
                  <c:v>20–49 zaměstnanců</c:v>
                </c:pt>
                <c:pt idx="3">
                  <c:v>50–249 zaměstnanců</c:v>
                </c:pt>
                <c:pt idx="4">
                  <c:v>250 a více zaměstnanců</c:v>
                </c:pt>
              </c:strCache>
            </c:strRef>
          </c:cat>
          <c:val>
            <c:numRef>
              <c:f>'G27'!$B$15:$B$19</c:f>
              <c:numCache>
                <c:formatCode>#,##0</c:formatCode>
                <c:ptCount val="5"/>
                <c:pt idx="0">
                  <c:v>3133.5</c:v>
                </c:pt>
                <c:pt idx="1">
                  <c:v>2193.6999999999998</c:v>
                </c:pt>
                <c:pt idx="2">
                  <c:v>2317</c:v>
                </c:pt>
                <c:pt idx="3">
                  <c:v>2983.8</c:v>
                </c:pt>
                <c:pt idx="4">
                  <c:v>3650.2</c:v>
                </c:pt>
              </c:numCache>
            </c:numRef>
          </c:val>
        </c:ser>
        <c:ser>
          <c:idx val="1"/>
          <c:order val="1"/>
          <c:tx>
            <c:strRef>
              <c:f>'G27'!$C$14</c:f>
              <c:strCache>
                <c:ptCount val="1"/>
                <c:pt idx="0">
                  <c:v>podíl výdajů na kurz/školení na jednoho účastníka (Kč)</c:v>
                </c:pt>
              </c:strCache>
            </c:strRef>
          </c:tx>
          <c:spPr>
            <a:solidFill>
              <a:schemeClr val="accent2">
                <a:lumMod val="60000"/>
                <a:lumOff val="40000"/>
              </a:schemeClr>
            </a:solidFill>
            <a:ln>
              <a:solidFill>
                <a:schemeClr val="accent2"/>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'G27'!$A$15:$A$19</c:f>
              <c:strCache>
                <c:ptCount val="5"/>
                <c:pt idx="0">
                  <c:v>celkem</c:v>
                </c:pt>
                <c:pt idx="1">
                  <c:v>10–19 zaměstanců</c:v>
                </c:pt>
                <c:pt idx="2">
                  <c:v>20–49 zaměstnanců</c:v>
                </c:pt>
                <c:pt idx="3">
                  <c:v>50–249 zaměstnanců</c:v>
                </c:pt>
                <c:pt idx="4">
                  <c:v>250 a více zaměstnanců</c:v>
                </c:pt>
              </c:strCache>
            </c:strRef>
          </c:cat>
          <c:val>
            <c:numRef>
              <c:f>'G27'!$C$15:$C$19</c:f>
              <c:numCache>
                <c:formatCode>#,##0</c:formatCode>
                <c:ptCount val="5"/>
                <c:pt idx="0">
                  <c:v>3470.4</c:v>
                </c:pt>
                <c:pt idx="1">
                  <c:v>2675.1</c:v>
                </c:pt>
                <c:pt idx="2">
                  <c:v>2784.2</c:v>
                </c:pt>
                <c:pt idx="3">
                  <c:v>3395.1</c:v>
                </c:pt>
                <c:pt idx="4">
                  <c:v>3857.6</c:v>
                </c:pt>
              </c:numCache>
            </c:numRef>
          </c:val>
        </c:ser>
        <c:ser>
          <c:idx val="2"/>
          <c:order val="2"/>
          <c:tx>
            <c:strRef>
              <c:f>'G27'!$D$14</c:f>
              <c:strCache>
                <c:ptCount val="1"/>
                <c:pt idx="0">
                  <c:v>podíl výdajů na jednu hodinu kurzu/školení (Kč)</c:v>
                </c:pt>
              </c:strCache>
            </c:strRef>
          </c:tx>
          <c:spPr>
            <a:solidFill>
              <a:schemeClr val="accent3"/>
            </a:solidFill>
            <a:ln>
              <a:solidFill>
                <a:schemeClr val="accent3">
                  <a:lumMod val="75000"/>
                </a:schemeClr>
              </a:solidFill>
            </a:ln>
          </c:spPr>
          <c:invertIfNegative val="0"/>
          <c:dLbls>
            <c:txPr>
              <a:bodyPr rot="-5400000" vert="horz"/>
              <a:lstStyle/>
              <a:p>
                <a:pPr>
                  <a:defRPr/>
                </a:pPr>
                <a:endParaRPr lang="cs-CZ"/>
              </a:p>
            </c:txPr>
            <c:showLegendKey val="0"/>
            <c:showVal val="1"/>
            <c:showCatName val="0"/>
            <c:showSerName val="0"/>
            <c:showPercent val="0"/>
            <c:showBubbleSize val="0"/>
            <c:showLeaderLines val="0"/>
          </c:dLbls>
          <c:cat>
            <c:strRef>
              <c:f>'G27'!$A$15:$A$19</c:f>
              <c:strCache>
                <c:ptCount val="5"/>
                <c:pt idx="0">
                  <c:v>celkem</c:v>
                </c:pt>
                <c:pt idx="1">
                  <c:v>10–19 zaměstanců</c:v>
                </c:pt>
                <c:pt idx="2">
                  <c:v>20–49 zaměstnanců</c:v>
                </c:pt>
                <c:pt idx="3">
                  <c:v>50–249 zaměstnanců</c:v>
                </c:pt>
                <c:pt idx="4">
                  <c:v>250 a více zaměstnanců</c:v>
                </c:pt>
              </c:strCache>
            </c:strRef>
          </c:cat>
          <c:val>
            <c:numRef>
              <c:f>'G27'!$D$15:$D$19</c:f>
              <c:numCache>
                <c:formatCode>#,##0</c:formatCode>
                <c:ptCount val="5"/>
                <c:pt idx="0">
                  <c:v>255.5</c:v>
                </c:pt>
                <c:pt idx="1">
                  <c:v>255.6</c:v>
                </c:pt>
                <c:pt idx="2">
                  <c:v>274.60000000000002</c:v>
                </c:pt>
                <c:pt idx="3">
                  <c:v>252.3</c:v>
                </c:pt>
                <c:pt idx="4">
                  <c:v>253.6</c:v>
                </c:pt>
              </c:numCache>
            </c:numRef>
          </c:val>
        </c:ser>
        <c:dLbls>
          <c:showLegendKey val="0"/>
          <c:showVal val="0"/>
          <c:showCatName val="0"/>
          <c:showSerName val="0"/>
          <c:showPercent val="0"/>
          <c:showBubbleSize val="0"/>
        </c:dLbls>
        <c:gapWidth val="150"/>
        <c:axId val="286242304"/>
        <c:axId val="173322176"/>
      </c:barChart>
      <c:catAx>
        <c:axId val="286242304"/>
        <c:scaling>
          <c:orientation val="minMax"/>
        </c:scaling>
        <c:delete val="0"/>
        <c:axPos val="b"/>
        <c:majorTickMark val="out"/>
        <c:minorTickMark val="none"/>
        <c:tickLblPos val="nextTo"/>
        <c:crossAx val="173322176"/>
        <c:crosses val="autoZero"/>
        <c:auto val="1"/>
        <c:lblAlgn val="ctr"/>
        <c:lblOffset val="100"/>
        <c:noMultiLvlLbl val="0"/>
      </c:catAx>
      <c:valAx>
        <c:axId val="173322176"/>
        <c:scaling>
          <c:orientation val="minMax"/>
        </c:scaling>
        <c:delete val="1"/>
        <c:axPos val="l"/>
        <c:numFmt formatCode="#,##0" sourceLinked="1"/>
        <c:majorTickMark val="out"/>
        <c:minorTickMark val="none"/>
        <c:tickLblPos val="nextTo"/>
        <c:crossAx val="286242304"/>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2"/>
          <c:order val="0"/>
          <c:tx>
            <c:strRef>
              <c:f>'G28'!$D$5</c:f>
              <c:strCache>
                <c:ptCount val="1"/>
                <c:pt idx="0">
                  <c:v>podíl výdajů na jednu hodinu kurzu/školení (Kč)</c:v>
                </c:pt>
              </c:strCache>
            </c:strRef>
          </c:tx>
          <c:spPr>
            <a:solidFill>
              <a:schemeClr val="accent3"/>
            </a:solidFill>
            <a:ln>
              <a:solidFill>
                <a:schemeClr val="accent3">
                  <a:lumMod val="75000"/>
                </a:schemeClr>
              </a:solidFill>
            </a:ln>
          </c:spPr>
          <c:invertIfNegative val="0"/>
          <c:dLbls>
            <c:showLegendKey val="0"/>
            <c:showVal val="1"/>
            <c:showCatName val="0"/>
            <c:showSerName val="0"/>
            <c:showPercent val="0"/>
            <c:showBubbleSize val="0"/>
            <c:showLeaderLines val="0"/>
          </c:dLbls>
          <c:cat>
            <c:strRef>
              <c:f>'G28'!$A$6:$A$15</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'G28'!$D$6:$D$15</c:f>
              <c:numCache>
                <c:formatCode>#,##0</c:formatCode>
                <c:ptCount val="10"/>
                <c:pt idx="0">
                  <c:v>304.7</c:v>
                </c:pt>
                <c:pt idx="1">
                  <c:v>237.7</c:v>
                </c:pt>
                <c:pt idx="2">
                  <c:v>433.6</c:v>
                </c:pt>
                <c:pt idx="3">
                  <c:v>174.9</c:v>
                </c:pt>
                <c:pt idx="4">
                  <c:v>192.3</c:v>
                </c:pt>
                <c:pt idx="5">
                  <c:v>292.3</c:v>
                </c:pt>
                <c:pt idx="6">
                  <c:v>190.8</c:v>
                </c:pt>
                <c:pt idx="7">
                  <c:v>292.2</c:v>
                </c:pt>
                <c:pt idx="8">
                  <c:v>232.2</c:v>
                </c:pt>
                <c:pt idx="9">
                  <c:v>255.5</c:v>
                </c:pt>
              </c:numCache>
            </c:numRef>
          </c:val>
        </c:ser>
        <c:ser>
          <c:idx val="1"/>
          <c:order val="1"/>
          <c:tx>
            <c:strRef>
              <c:f>'G28'!$C$5</c:f>
              <c:strCache>
                <c:ptCount val="1"/>
                <c:pt idx="0">
                  <c:v>podíl výdajů na kurz/školení na jednoho účastníka (Kč)</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'G28'!$A$6:$A$15</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'G28'!$C$6:$C$15</c:f>
              <c:numCache>
                <c:formatCode>#,##0</c:formatCode>
                <c:ptCount val="10"/>
                <c:pt idx="0">
                  <c:v>3875.6</c:v>
                </c:pt>
                <c:pt idx="1">
                  <c:v>8471.2000000000007</c:v>
                </c:pt>
                <c:pt idx="2">
                  <c:v>9823.5</c:v>
                </c:pt>
                <c:pt idx="3">
                  <c:v>1154.7</c:v>
                </c:pt>
                <c:pt idx="4">
                  <c:v>2531.5</c:v>
                </c:pt>
                <c:pt idx="5">
                  <c:v>3315.5</c:v>
                </c:pt>
                <c:pt idx="6">
                  <c:v>2999.1</c:v>
                </c:pt>
                <c:pt idx="7">
                  <c:v>3773.3</c:v>
                </c:pt>
                <c:pt idx="8">
                  <c:v>2930.5</c:v>
                </c:pt>
                <c:pt idx="9">
                  <c:v>3470.4</c:v>
                </c:pt>
              </c:numCache>
            </c:numRef>
          </c:val>
        </c:ser>
        <c:ser>
          <c:idx val="0"/>
          <c:order val="2"/>
          <c:tx>
            <c:strRef>
              <c:f>'G28'!$B$5</c:f>
              <c:strCache>
                <c:ptCount val="1"/>
                <c:pt idx="0">
                  <c:v>podíl celkových výdajů na vzdělávání na jednoho zaměstnance (Kč)</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'G28'!$A$6:$A$15</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'G28'!$B$6:$B$15</c:f>
              <c:numCache>
                <c:formatCode>#,##0</c:formatCode>
                <c:ptCount val="10"/>
                <c:pt idx="0">
                  <c:v>3127.3</c:v>
                </c:pt>
                <c:pt idx="1">
                  <c:v>8104.5</c:v>
                </c:pt>
                <c:pt idx="2">
                  <c:v>9011.4</c:v>
                </c:pt>
                <c:pt idx="3">
                  <c:v>922.1</c:v>
                </c:pt>
                <c:pt idx="4">
                  <c:v>2324</c:v>
                </c:pt>
                <c:pt idx="5">
                  <c:v>2685.3</c:v>
                </c:pt>
                <c:pt idx="6">
                  <c:v>2810.9</c:v>
                </c:pt>
                <c:pt idx="7">
                  <c:v>3541.6</c:v>
                </c:pt>
                <c:pt idx="8">
                  <c:v>2825.4</c:v>
                </c:pt>
                <c:pt idx="9">
                  <c:v>3133.5</c:v>
                </c:pt>
              </c:numCache>
            </c:numRef>
          </c:val>
        </c:ser>
        <c:dLbls>
          <c:showLegendKey val="0"/>
          <c:showVal val="0"/>
          <c:showCatName val="0"/>
          <c:showSerName val="0"/>
          <c:showPercent val="0"/>
          <c:showBubbleSize val="0"/>
        </c:dLbls>
        <c:gapWidth val="79"/>
        <c:axId val="291475456"/>
        <c:axId val="173323904"/>
      </c:barChart>
      <c:catAx>
        <c:axId val="291475456"/>
        <c:scaling>
          <c:orientation val="minMax"/>
        </c:scaling>
        <c:delete val="0"/>
        <c:axPos val="l"/>
        <c:majorTickMark val="out"/>
        <c:minorTickMark val="none"/>
        <c:tickLblPos val="nextTo"/>
        <c:crossAx val="173323904"/>
        <c:crosses val="autoZero"/>
        <c:auto val="1"/>
        <c:lblAlgn val="ctr"/>
        <c:lblOffset val="100"/>
        <c:noMultiLvlLbl val="0"/>
      </c:catAx>
      <c:valAx>
        <c:axId val="173323904"/>
        <c:scaling>
          <c:orientation val="minMax"/>
        </c:scaling>
        <c:delete val="1"/>
        <c:axPos val="b"/>
        <c:numFmt formatCode="#,##0" sourceLinked="1"/>
        <c:majorTickMark val="out"/>
        <c:minorTickMark val="none"/>
        <c:tickLblPos val="nextTo"/>
        <c:crossAx val="291475456"/>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621132040935724E-2"/>
          <c:y val="3.9126593936908656E-2"/>
          <c:w val="0.89398562497090139"/>
          <c:h val="0.77197699553223875"/>
        </c:manualLayout>
      </c:layout>
      <c:barChart>
        <c:barDir val="col"/>
        <c:grouping val="clustered"/>
        <c:varyColors val="0"/>
        <c:ser>
          <c:idx val="0"/>
          <c:order val="0"/>
          <c:tx>
            <c:strRef>
              <c:f>'G29'!$B$1</c:f>
              <c:strCache>
                <c:ptCount val="1"/>
                <c:pt idx="0">
                  <c:v>všechny firmy</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9525" cmpd="sng">
                <a:solidFill>
                  <a:schemeClr val="accent1"/>
                </a:solidFill>
              </a:ln>
            </c:spPr>
          </c:dPt>
          <c:dLbls>
            <c:txPr>
              <a:bodyPr rot="-5400000" vert="horz"/>
              <a:lstStyle/>
              <a:p>
                <a:pPr>
                  <a:defRPr/>
                </a:pPr>
                <a:endParaRPr lang="cs-CZ"/>
              </a:p>
            </c:txPr>
            <c:dLblPos val="inEnd"/>
            <c:showLegendKey val="0"/>
            <c:showVal val="1"/>
            <c:showCatName val="0"/>
            <c:showSerName val="0"/>
            <c:showPercent val="0"/>
            <c:showBubbleSize val="0"/>
            <c:showLeaderLines val="0"/>
          </c:dLbls>
          <c:cat>
            <c:strRef>
              <c:f>'G29'!$A$2:$A$6</c:f>
              <c:strCache>
                <c:ptCount val="5"/>
                <c:pt idx="0">
                  <c:v>celkem</c:v>
                </c:pt>
                <c:pt idx="1">
                  <c:v>10–19 zaměstanců</c:v>
                </c:pt>
                <c:pt idx="2">
                  <c:v>20–49 zaměstnanců</c:v>
                </c:pt>
                <c:pt idx="3">
                  <c:v>50–249 zaměstnanců</c:v>
                </c:pt>
                <c:pt idx="4">
                  <c:v>250 a více zaměstnanců</c:v>
                </c:pt>
              </c:strCache>
            </c:strRef>
          </c:cat>
          <c:val>
            <c:numRef>
              <c:f>'G29'!$B$2:$B$6</c:f>
              <c:numCache>
                <c:formatCode>0%</c:formatCode>
                <c:ptCount val="5"/>
                <c:pt idx="0">
                  <c:v>7.1999999999999995E-2</c:v>
                </c:pt>
                <c:pt idx="1">
                  <c:v>3.1E-2</c:v>
                </c:pt>
                <c:pt idx="2">
                  <c:v>6.5000000000000002E-2</c:v>
                </c:pt>
                <c:pt idx="3">
                  <c:v>0.14399999999999999</c:v>
                </c:pt>
                <c:pt idx="4">
                  <c:v>0.249</c:v>
                </c:pt>
              </c:numCache>
            </c:numRef>
          </c:val>
        </c:ser>
        <c:ser>
          <c:idx val="1"/>
          <c:order val="1"/>
          <c:tx>
            <c:strRef>
              <c:f>'G29'!$C$1</c:f>
              <c:strCache>
                <c:ptCount val="1"/>
                <c:pt idx="0">
                  <c:v> firmy zajišťující nepovinné kurzy a školení</c:v>
                </c:pt>
              </c:strCache>
            </c:strRef>
          </c:tx>
          <c:spPr>
            <a:solidFill>
              <a:schemeClr val="accent2">
                <a:lumMod val="60000"/>
                <a:lumOff val="40000"/>
              </a:schemeClr>
            </a:solidFill>
            <a:ln>
              <a:solidFill>
                <a:schemeClr val="accent2"/>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'G29'!$A$2:$A$6</c:f>
              <c:strCache>
                <c:ptCount val="5"/>
                <c:pt idx="0">
                  <c:v>celkem</c:v>
                </c:pt>
                <c:pt idx="1">
                  <c:v>10–19 zaměstanců</c:v>
                </c:pt>
                <c:pt idx="2">
                  <c:v>20–49 zaměstnanců</c:v>
                </c:pt>
                <c:pt idx="3">
                  <c:v>50–249 zaměstnanců</c:v>
                </c:pt>
                <c:pt idx="4">
                  <c:v>250 a více zaměstnanců</c:v>
                </c:pt>
              </c:strCache>
            </c:strRef>
          </c:cat>
          <c:val>
            <c:numRef>
              <c:f>'G29'!$C$2:$C$6</c:f>
              <c:numCache>
                <c:formatCode>0%</c:formatCode>
                <c:ptCount val="5"/>
                <c:pt idx="0">
                  <c:v>0.128</c:v>
                </c:pt>
                <c:pt idx="1">
                  <c:v>6.5000000000000002E-2</c:v>
                </c:pt>
                <c:pt idx="2">
                  <c:v>0.11799999999999999</c:v>
                </c:pt>
                <c:pt idx="3">
                  <c:v>0.191</c:v>
                </c:pt>
                <c:pt idx="4">
                  <c:v>0.26800000000000002</c:v>
                </c:pt>
              </c:numCache>
            </c:numRef>
          </c:val>
        </c:ser>
        <c:ser>
          <c:idx val="2"/>
          <c:order val="2"/>
          <c:tx>
            <c:strRef>
              <c:f>'G29'!$D$1</c:f>
              <c:strCache>
                <c:ptCount val="1"/>
                <c:pt idx="0">
                  <c:v> firmy zajišťující jiné formy vzdělávání</c:v>
                </c:pt>
              </c:strCache>
            </c:strRef>
          </c:tx>
          <c:spPr>
            <a:solidFill>
              <a:schemeClr val="accent3"/>
            </a:solidFill>
            <a:ln>
              <a:solidFill>
                <a:schemeClr val="accent3">
                  <a:lumMod val="75000"/>
                </a:schemeClr>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'G29'!$A$2:$A$6</c:f>
              <c:strCache>
                <c:ptCount val="5"/>
                <c:pt idx="0">
                  <c:v>celkem</c:v>
                </c:pt>
                <c:pt idx="1">
                  <c:v>10–19 zaměstanců</c:v>
                </c:pt>
                <c:pt idx="2">
                  <c:v>20–49 zaměstnanců</c:v>
                </c:pt>
                <c:pt idx="3">
                  <c:v>50–249 zaměstnanců</c:v>
                </c:pt>
                <c:pt idx="4">
                  <c:v>250 a více zaměstnanců</c:v>
                </c:pt>
              </c:strCache>
            </c:strRef>
          </c:cat>
          <c:val>
            <c:numRef>
              <c:f>'G29'!$D$2:$D$6</c:f>
              <c:numCache>
                <c:formatCode>0%</c:formatCode>
                <c:ptCount val="5"/>
                <c:pt idx="0">
                  <c:v>0.107</c:v>
                </c:pt>
                <c:pt idx="1">
                  <c:v>4.1000000000000002E-2</c:v>
                </c:pt>
                <c:pt idx="2">
                  <c:v>0.09</c:v>
                </c:pt>
                <c:pt idx="3">
                  <c:v>0.17299999999999999</c:v>
                </c:pt>
                <c:pt idx="4">
                  <c:v>0.27200000000000002</c:v>
                </c:pt>
              </c:numCache>
            </c:numRef>
          </c:val>
        </c:ser>
        <c:dLbls>
          <c:showLegendKey val="0"/>
          <c:showVal val="0"/>
          <c:showCatName val="0"/>
          <c:showSerName val="0"/>
          <c:showPercent val="0"/>
          <c:showBubbleSize val="0"/>
        </c:dLbls>
        <c:gapWidth val="150"/>
        <c:axId val="291889664"/>
        <c:axId val="173325632"/>
      </c:barChart>
      <c:catAx>
        <c:axId val="291889664"/>
        <c:scaling>
          <c:orientation val="minMax"/>
        </c:scaling>
        <c:delete val="0"/>
        <c:axPos val="b"/>
        <c:majorTickMark val="out"/>
        <c:minorTickMark val="none"/>
        <c:tickLblPos val="nextTo"/>
        <c:crossAx val="173325632"/>
        <c:crosses val="autoZero"/>
        <c:auto val="1"/>
        <c:lblAlgn val="ctr"/>
        <c:lblOffset val="100"/>
        <c:noMultiLvlLbl val="0"/>
      </c:catAx>
      <c:valAx>
        <c:axId val="173325632"/>
        <c:scaling>
          <c:orientation val="minMax"/>
        </c:scaling>
        <c:delete val="1"/>
        <c:axPos val="l"/>
        <c:numFmt formatCode="0%" sourceLinked="0"/>
        <c:majorTickMark val="out"/>
        <c:minorTickMark val="none"/>
        <c:tickLblPos val="nextTo"/>
        <c:crossAx val="291889664"/>
        <c:crosses val="autoZero"/>
        <c:crossBetween val="between"/>
      </c:valAx>
      <c:spPr>
        <a:noFill/>
        <a:ln>
          <a:noFill/>
        </a:ln>
      </c:spPr>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1A0B-6869-4B7A-AC8B-A0CDCC8C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5</Pages>
  <Words>1602</Words>
  <Characters>9458</Characters>
  <Application>Microsoft Office Word</Application>
  <DocSecurity>0</DocSecurity>
  <Lines>78</Lines>
  <Paragraphs>22</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11038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Kotrbatá</dc:creator>
  <cp:lastModifiedBy>Alena Kotrbatá</cp:lastModifiedBy>
  <cp:revision>2</cp:revision>
  <cp:lastPrinted>2017-12-15T13:04:00Z</cp:lastPrinted>
  <dcterms:created xsi:type="dcterms:W3CDTF">2018-01-03T13:41:00Z</dcterms:created>
  <dcterms:modified xsi:type="dcterms:W3CDTF">2018-01-03T13:41:00Z</dcterms:modified>
</cp:coreProperties>
</file>